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840CE2">
      <w:pPr>
        <w:spacing w:line="720" w:lineRule="exact"/>
        <w:ind w:firstLine="1201"/>
        <w:jc w:val="center"/>
        <w:rPr>
          <w:rFonts w:ascii="华文新魏" w:eastAsia="华文新魏"/>
          <w:b/>
          <w:bCs/>
          <w:color w:val="auto"/>
          <w:kern w:val="0"/>
          <w:sz w:val="60"/>
          <w:szCs w:val="60"/>
          <w:highlight w:val="none"/>
        </w:rPr>
      </w:pPr>
      <w:bookmarkStart w:id="0" w:name="_Toc82016587"/>
    </w:p>
    <w:p w14:paraId="04EEF825">
      <w:pPr>
        <w:spacing w:line="720" w:lineRule="exact"/>
        <w:ind w:firstLine="198" w:firstLineChars="33"/>
        <w:jc w:val="center"/>
        <w:rPr>
          <w:rFonts w:ascii="文鼎中隶简" w:eastAsia="文鼎中隶简"/>
          <w:color w:val="auto"/>
          <w:kern w:val="0"/>
          <w:sz w:val="60"/>
          <w:szCs w:val="60"/>
          <w:highlight w:val="none"/>
        </w:rPr>
      </w:pPr>
      <w:r>
        <w:rPr>
          <w:rFonts w:hint="eastAsia" w:ascii="华文新魏" w:eastAsia="华文新魏"/>
          <w:b/>
          <w:bCs/>
          <w:color w:val="auto"/>
          <w:kern w:val="0"/>
          <w:sz w:val="60"/>
          <w:szCs w:val="60"/>
          <w:highlight w:val="none"/>
        </w:rPr>
        <w:t>云之龙咨询集团有限公司</w:t>
      </w:r>
    </w:p>
    <w:p w14:paraId="5EB26633">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7D07ACA8">
      <w:pPr>
        <w:spacing w:line="1000" w:lineRule="exact"/>
        <w:ind w:firstLine="1440"/>
        <w:jc w:val="center"/>
        <w:rPr>
          <w:rFonts w:ascii="楷体_GB2312" w:eastAsia="楷体_GB2312"/>
          <w:b/>
          <w:color w:val="auto"/>
          <w:kern w:val="0"/>
          <w:sz w:val="84"/>
          <w:szCs w:val="84"/>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竞争性磋商文件</w:t>
      </w:r>
      <w:r>
        <w:rPr>
          <w:rFonts w:hint="eastAsia" w:ascii="楷体_GB2312" w:eastAsia="楷体_GB2312"/>
          <w:b/>
          <w:color w:val="auto"/>
          <w:kern w:val="0"/>
          <w:sz w:val="84"/>
          <w:szCs w:val="84"/>
          <w:highlight w:val="none"/>
        </w:rPr>
        <w:cr/>
      </w:r>
      <w:r>
        <w:rPr>
          <w:rFonts w:hint="eastAsia" w:ascii="楷体_GB2312" w:eastAsia="楷体_GB2312"/>
          <w:b/>
          <w:color w:val="auto"/>
          <w:kern w:val="0"/>
          <w:sz w:val="84"/>
          <w:szCs w:val="84"/>
          <w:highlight w:val="none"/>
        </w:rPr>
        <w:cr/>
      </w:r>
    </w:p>
    <w:p w14:paraId="2A77AC15">
      <w:pPr>
        <w:pStyle w:val="26"/>
        <w:ind w:firstLine="4560" w:firstLineChars="1900"/>
        <w:rPr>
          <w:color w:val="auto"/>
          <w:kern w:val="0"/>
          <w:highlight w:val="none"/>
        </w:rPr>
      </w:pPr>
    </w:p>
    <w:p w14:paraId="4C116FA1">
      <w:pPr>
        <w:ind w:left="2871" w:leftChars="527" w:hanging="1606" w:hangingChars="500"/>
        <w:rPr>
          <w:rFonts w:ascii="宋体" w:hAnsi="宋体" w:cs="宋体"/>
          <w:b/>
          <w:bCs/>
          <w:color w:val="auto"/>
          <w:kern w:val="0"/>
          <w:sz w:val="32"/>
          <w:highlight w:val="none"/>
        </w:rPr>
      </w:pPr>
    </w:p>
    <w:p w14:paraId="53F450B3">
      <w:pPr>
        <w:ind w:left="2871" w:leftChars="527" w:hanging="1606" w:hangingChars="500"/>
        <w:rPr>
          <w:rFonts w:ascii="宋体" w:hAnsi="宋体" w:cs="宋体"/>
          <w:b/>
          <w:bCs/>
          <w:color w:val="auto"/>
          <w:kern w:val="0"/>
          <w:sz w:val="32"/>
          <w:highlight w:val="none"/>
        </w:rPr>
      </w:pPr>
      <w:r>
        <w:rPr>
          <w:rFonts w:hint="eastAsia" w:ascii="宋体" w:hAnsi="宋体" w:cs="宋体"/>
          <w:b/>
          <w:bCs/>
          <w:color w:val="auto"/>
          <w:kern w:val="0"/>
          <w:sz w:val="32"/>
          <w:highlight w:val="none"/>
        </w:rPr>
        <w:t>项目名称</w:t>
      </w:r>
      <w:r>
        <w:rPr>
          <w:rFonts w:hint="eastAsia" w:ascii="宋体" w:hAnsi="宋体" w:cs="宋体"/>
          <w:b/>
          <w:bCs/>
          <w:color w:val="auto"/>
          <w:kern w:val="0"/>
          <w:sz w:val="32"/>
          <w:highlight w:val="none"/>
          <w:lang w:eastAsia="zh-CN"/>
        </w:rPr>
        <w:t>：桂林市第十三中学校园操场改造及校园硅PU篮球场项目</w:t>
      </w:r>
    </w:p>
    <w:p w14:paraId="5EC8BB5E">
      <w:pPr>
        <w:ind w:left="2871" w:leftChars="527" w:hanging="1606" w:hangingChars="5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项目编号：GLZC2026-C2-990171-YZLZ</w:t>
      </w:r>
    </w:p>
    <w:p w14:paraId="46A9E225">
      <w:pPr>
        <w:ind w:left="2871" w:leftChars="527" w:hanging="1606" w:hangingChars="500"/>
        <w:rPr>
          <w:rFonts w:hint="eastAsia" w:ascii="宋体" w:hAnsi="宋体" w:cs="宋体"/>
          <w:b/>
          <w:bCs/>
          <w:color w:val="auto"/>
          <w:kern w:val="0"/>
          <w:sz w:val="32"/>
          <w:highlight w:val="none"/>
          <w:lang w:eastAsia="zh-CN"/>
        </w:rPr>
      </w:pPr>
      <w:r>
        <w:rPr>
          <w:rFonts w:hint="eastAsia" w:ascii="宋体" w:hAnsi="宋体" w:cs="宋体"/>
          <w:b/>
          <w:bCs/>
          <w:color w:val="auto"/>
          <w:kern w:val="0"/>
          <w:sz w:val="32"/>
          <w:highlight w:val="none"/>
        </w:rPr>
        <w:t>代理编号</w:t>
      </w:r>
      <w:r>
        <w:rPr>
          <w:rFonts w:hint="eastAsia" w:ascii="宋体" w:hAnsi="宋体" w:cs="宋体"/>
          <w:b/>
          <w:bCs/>
          <w:color w:val="auto"/>
          <w:kern w:val="0"/>
          <w:sz w:val="32"/>
          <w:highlight w:val="none"/>
          <w:lang w:eastAsia="zh-CN"/>
        </w:rPr>
        <w:t>：YZLGL2026-C2-026-GLZC</w:t>
      </w:r>
    </w:p>
    <w:p w14:paraId="55C8E4E8">
      <w:pPr>
        <w:ind w:left="2871" w:leftChars="527" w:hanging="1606" w:hangingChars="500"/>
        <w:rPr>
          <w:rFonts w:hint="eastAsia" w:ascii="宋体" w:hAnsi="宋体" w:eastAsia="宋体" w:cs="宋体"/>
          <w:b/>
          <w:bCs/>
          <w:color w:val="auto"/>
          <w:kern w:val="0"/>
          <w:sz w:val="32"/>
          <w:highlight w:val="none"/>
          <w:lang w:eastAsia="zh-CN"/>
        </w:rPr>
      </w:pPr>
    </w:p>
    <w:p w14:paraId="1702775E">
      <w:pPr>
        <w:ind w:left="-2" w:leftChars="-1" w:firstLine="720" w:firstLineChars="300"/>
        <w:rPr>
          <w:rFonts w:ascii="宋体" w:hAnsi="宋体" w:cs="宋体"/>
          <w:color w:val="auto"/>
          <w:kern w:val="0"/>
          <w:highlight w:val="none"/>
        </w:rPr>
      </w:pPr>
    </w:p>
    <w:p w14:paraId="54AA17E1">
      <w:pPr>
        <w:ind w:firstLine="1446" w:firstLineChars="450"/>
        <w:jc w:val="center"/>
        <w:rPr>
          <w:rFonts w:ascii="宋体" w:hAnsi="宋体" w:cs="宋体"/>
          <w:b/>
          <w:bCs/>
          <w:color w:val="auto"/>
          <w:kern w:val="0"/>
          <w:sz w:val="32"/>
          <w:highlight w:val="none"/>
        </w:rPr>
      </w:pPr>
    </w:p>
    <w:p w14:paraId="1C62FE90">
      <w:pPr>
        <w:ind w:firstLine="643"/>
        <w:jc w:val="center"/>
        <w:rPr>
          <w:rFonts w:ascii="宋体" w:hAnsi="宋体" w:cs="宋体"/>
          <w:b/>
          <w:bCs/>
          <w:color w:val="auto"/>
          <w:kern w:val="0"/>
          <w:sz w:val="32"/>
          <w:highlight w:val="none"/>
        </w:rPr>
      </w:pPr>
      <w:r>
        <w:rPr>
          <w:rFonts w:hint="eastAsia" w:ascii="宋体" w:hAnsi="宋体" w:cs="宋体"/>
          <w:b/>
          <w:bCs/>
          <w:color w:val="auto"/>
          <w:kern w:val="0"/>
          <w:sz w:val="32"/>
          <w:highlight w:val="none"/>
        </w:rPr>
        <w:t>采购代理机构：云之龙咨询集团有限公司</w:t>
      </w:r>
    </w:p>
    <w:p w14:paraId="1CCC9C67">
      <w:pPr>
        <w:ind w:firstLine="643"/>
        <w:jc w:val="center"/>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lang w:eastAsia="zh-CN"/>
        </w:rPr>
        <w:t>2026年</w:t>
      </w:r>
      <w:r>
        <w:rPr>
          <w:rFonts w:hint="eastAsia" w:ascii="宋体" w:hAnsi="宋体" w:cs="宋体"/>
          <w:b/>
          <w:bCs/>
          <w:color w:val="auto"/>
          <w:kern w:val="0"/>
          <w:sz w:val="32"/>
          <w:highlight w:val="none"/>
          <w:lang w:val="en-US" w:eastAsia="zh-CN"/>
        </w:rPr>
        <w:t>5</w:t>
      </w:r>
      <w:r>
        <w:rPr>
          <w:rFonts w:hint="eastAsia" w:ascii="宋体" w:hAnsi="宋体" w:cs="宋体"/>
          <w:b/>
          <w:bCs/>
          <w:color w:val="auto"/>
          <w:kern w:val="0"/>
          <w:sz w:val="32"/>
          <w:highlight w:val="none"/>
          <w:lang w:eastAsia="zh-CN"/>
        </w:rPr>
        <w:t>月</w:t>
      </w:r>
      <w:r>
        <w:rPr>
          <w:rFonts w:hint="eastAsia" w:ascii="宋体" w:hAnsi="宋体" w:cs="宋体"/>
          <w:b/>
          <w:bCs/>
          <w:color w:val="auto"/>
          <w:kern w:val="0"/>
          <w:sz w:val="32"/>
          <w:highlight w:val="none"/>
          <w:lang w:val="en-US" w:eastAsia="zh-CN"/>
        </w:rPr>
        <w:t>18</w:t>
      </w:r>
      <w:r>
        <w:rPr>
          <w:rFonts w:hint="eastAsia" w:ascii="宋体" w:hAnsi="宋体" w:cs="宋体"/>
          <w:b/>
          <w:bCs/>
          <w:color w:val="auto"/>
          <w:kern w:val="0"/>
          <w:sz w:val="32"/>
          <w:highlight w:val="none"/>
          <w:lang w:eastAsia="zh-CN"/>
        </w:rPr>
        <w:t>日</w:t>
      </w:r>
    </w:p>
    <w:p w14:paraId="7098D6D5">
      <w:pPr>
        <w:pStyle w:val="26"/>
        <w:spacing w:line="420" w:lineRule="exact"/>
        <w:rPr>
          <w:rFonts w:hAnsi="宋体" w:cs="宋体"/>
          <w:color w:val="auto"/>
          <w:kern w:val="0"/>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3276AB28">
      <w:pPr>
        <w:pStyle w:val="26"/>
        <w:spacing w:line="420" w:lineRule="exact"/>
        <w:rPr>
          <w:rFonts w:hAnsi="宋体" w:cs="宋体"/>
          <w:color w:val="auto"/>
          <w:kern w:val="0"/>
          <w:sz w:val="44"/>
          <w:highlight w:val="none"/>
        </w:rPr>
      </w:pPr>
    </w:p>
    <w:p w14:paraId="0D90E817">
      <w:pPr>
        <w:pStyle w:val="26"/>
        <w:spacing w:line="420" w:lineRule="exact"/>
        <w:jc w:val="center"/>
        <w:rPr>
          <w:rFonts w:hAnsi="宋体" w:cs="宋体"/>
          <w:color w:val="auto"/>
          <w:kern w:val="0"/>
          <w:sz w:val="44"/>
          <w:highlight w:val="none"/>
        </w:rPr>
      </w:pPr>
    </w:p>
    <w:p w14:paraId="0B246392">
      <w:pPr>
        <w:pStyle w:val="26"/>
        <w:spacing w:line="420" w:lineRule="exact"/>
        <w:jc w:val="center"/>
        <w:rPr>
          <w:rFonts w:hAnsi="宋体" w:cs="宋体"/>
          <w:b/>
          <w:bCs/>
          <w:color w:val="auto"/>
          <w:kern w:val="0"/>
          <w:sz w:val="44"/>
          <w:highlight w:val="none"/>
        </w:rPr>
      </w:pPr>
      <w:r>
        <w:rPr>
          <w:rFonts w:hint="eastAsia" w:hAnsi="宋体" w:cs="宋体"/>
          <w:b/>
          <w:bCs/>
          <w:color w:val="auto"/>
          <w:kern w:val="0"/>
          <w:sz w:val="44"/>
          <w:highlight w:val="none"/>
        </w:rPr>
        <w:t>目     录</w:t>
      </w:r>
    </w:p>
    <w:p w14:paraId="0E0C87C6">
      <w:pPr>
        <w:pStyle w:val="26"/>
        <w:tabs>
          <w:tab w:val="left" w:pos="8860"/>
          <w:tab w:val="left" w:pos="9140"/>
        </w:tabs>
        <w:rPr>
          <w:rFonts w:hAnsi="宋体" w:cs="宋体"/>
          <w:color w:val="auto"/>
          <w:kern w:val="0"/>
          <w:sz w:val="32"/>
          <w:highlight w:val="none"/>
        </w:rPr>
      </w:pPr>
    </w:p>
    <w:p w14:paraId="11C15F18">
      <w:pPr>
        <w:pStyle w:val="39"/>
        <w:ind w:left="480"/>
        <w:rPr>
          <w:rStyle w:val="58"/>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第一章 竞争性磋商公告</w:t>
      </w:r>
      <w:r>
        <w:rPr>
          <w:rFonts w:ascii="宋体" w:hAnsi="宋体" w:cs="宋体"/>
          <w:b/>
          <w:color w:val="auto"/>
          <w:kern w:val="0"/>
          <w:sz w:val="32"/>
          <w:szCs w:val="32"/>
          <w:highlight w:val="none"/>
        </w:rPr>
        <w:t>………………………………</w:t>
      </w:r>
      <w:r>
        <w:rPr>
          <w:rFonts w:hint="eastAsia" w:ascii="宋体" w:hAnsi="宋体" w:cs="宋体"/>
          <w:b/>
          <w:color w:val="auto"/>
          <w:kern w:val="0"/>
          <w:sz w:val="32"/>
          <w:szCs w:val="32"/>
          <w:highlight w:val="none"/>
        </w:rPr>
        <w:t>2</w:t>
      </w:r>
    </w:p>
    <w:p w14:paraId="4269DCFB">
      <w:pPr>
        <w:pStyle w:val="39"/>
        <w:ind w:left="480"/>
        <w:rPr>
          <w:rStyle w:val="58"/>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第二章 供应商须知</w:t>
      </w:r>
      <w:r>
        <w:rPr>
          <w:rFonts w:ascii="宋体" w:hAnsi="宋体" w:cs="宋体"/>
          <w:b/>
          <w:color w:val="auto"/>
          <w:kern w:val="0"/>
          <w:sz w:val="32"/>
          <w:szCs w:val="32"/>
          <w:highlight w:val="none"/>
        </w:rPr>
        <w:t>……………………………………</w:t>
      </w:r>
      <w:r>
        <w:rPr>
          <w:rFonts w:hint="eastAsia" w:ascii="宋体" w:hAnsi="宋体" w:cs="宋体"/>
          <w:b/>
          <w:color w:val="auto"/>
          <w:kern w:val="0"/>
          <w:sz w:val="32"/>
          <w:szCs w:val="32"/>
          <w:highlight w:val="none"/>
        </w:rPr>
        <w:t>5</w:t>
      </w:r>
    </w:p>
    <w:p w14:paraId="724F6B0A">
      <w:pPr>
        <w:pStyle w:val="39"/>
        <w:ind w:left="480"/>
        <w:rPr>
          <w:rStyle w:val="58"/>
          <w:rFonts w:hint="eastAsia" w:ascii="宋体" w:hAnsi="宋体" w:eastAsia="宋体" w:cs="宋体"/>
          <w:b/>
          <w:color w:val="auto"/>
          <w:kern w:val="0"/>
          <w:sz w:val="32"/>
          <w:szCs w:val="32"/>
          <w:highlight w:val="none"/>
          <w:lang w:eastAsia="zh-CN"/>
        </w:rPr>
      </w:pPr>
      <w:r>
        <w:rPr>
          <w:rFonts w:hint="eastAsia" w:ascii="宋体" w:hAnsi="宋体" w:cs="宋体"/>
          <w:b/>
          <w:color w:val="auto"/>
          <w:kern w:val="0"/>
          <w:sz w:val="32"/>
          <w:szCs w:val="32"/>
          <w:highlight w:val="none"/>
        </w:rPr>
        <w:t>第三章 采购需求</w:t>
      </w:r>
      <w:r>
        <w:rPr>
          <w:rFonts w:ascii="宋体" w:hAnsi="宋体" w:cs="宋体"/>
          <w:b/>
          <w:color w:val="auto"/>
          <w:kern w:val="0"/>
          <w:sz w:val="32"/>
          <w:szCs w:val="32"/>
          <w:highlight w:val="none"/>
        </w:rPr>
        <w:t>………………………………………</w:t>
      </w:r>
      <w:r>
        <w:rPr>
          <w:rFonts w:hint="eastAsia" w:ascii="宋体" w:hAnsi="宋体" w:cs="宋体"/>
          <w:b/>
          <w:color w:val="auto"/>
          <w:kern w:val="0"/>
          <w:sz w:val="32"/>
          <w:szCs w:val="32"/>
          <w:highlight w:val="none"/>
        </w:rPr>
        <w:t>3</w:t>
      </w:r>
      <w:r>
        <w:rPr>
          <w:rStyle w:val="58"/>
          <w:rFonts w:hint="eastAsia" w:ascii="宋体" w:hAnsi="宋体" w:cs="宋体"/>
          <w:b/>
          <w:color w:val="auto"/>
          <w:kern w:val="0"/>
          <w:sz w:val="32"/>
          <w:szCs w:val="32"/>
          <w:highlight w:val="none"/>
          <w:u w:val="none"/>
          <w:lang w:val="en-US" w:eastAsia="zh-CN"/>
        </w:rPr>
        <w:t>2</w:t>
      </w:r>
    </w:p>
    <w:p w14:paraId="6BCA4103">
      <w:pPr>
        <w:pStyle w:val="39"/>
        <w:ind w:left="480"/>
        <w:rPr>
          <w:rStyle w:val="58"/>
          <w:rFonts w:hint="eastAsia" w:ascii="宋体" w:hAnsi="宋体" w:eastAsia="宋体" w:cs="宋体"/>
          <w:b/>
          <w:color w:val="auto"/>
          <w:kern w:val="0"/>
          <w:sz w:val="32"/>
          <w:szCs w:val="32"/>
          <w:highlight w:val="none"/>
          <w:u w:val="none"/>
          <w:lang w:eastAsia="zh-CN"/>
        </w:rPr>
      </w:pPr>
      <w:r>
        <w:rPr>
          <w:rFonts w:hint="eastAsia" w:ascii="宋体" w:hAnsi="宋体" w:cs="宋体"/>
          <w:b/>
          <w:color w:val="auto"/>
          <w:kern w:val="0"/>
          <w:sz w:val="32"/>
          <w:szCs w:val="32"/>
          <w:highlight w:val="none"/>
        </w:rPr>
        <w:t>第四</w:t>
      </w:r>
      <w:r>
        <w:rPr>
          <w:rFonts w:hint="eastAsia" w:ascii="宋体" w:hAnsi="宋体" w:eastAsia="宋体" w:cs="宋体"/>
          <w:b/>
          <w:color w:val="auto"/>
          <w:kern w:val="0"/>
          <w:sz w:val="32"/>
          <w:szCs w:val="32"/>
          <w:highlight w:val="none"/>
        </w:rPr>
        <w:t>章 工程量清单</w:t>
      </w:r>
      <w:r>
        <w:rPr>
          <w:rFonts w:hint="eastAsia" w:ascii="宋体" w:hAnsi="宋体" w:eastAsia="宋体" w:cs="宋体"/>
          <w:b/>
          <w:color w:val="auto"/>
          <w:kern w:val="0"/>
          <w:sz w:val="32"/>
          <w:szCs w:val="32"/>
          <w:highlight w:val="none"/>
          <w:lang w:eastAsia="zh-CN"/>
        </w:rPr>
        <w:t>及图纸</w:t>
      </w:r>
      <w:r>
        <w:rPr>
          <w:rFonts w:ascii="宋体" w:hAnsi="宋体" w:cs="宋体"/>
          <w:b/>
          <w:color w:val="auto"/>
          <w:kern w:val="0"/>
          <w:sz w:val="32"/>
          <w:szCs w:val="32"/>
          <w:highlight w:val="none"/>
        </w:rPr>
        <w:t>……………………………</w:t>
      </w:r>
      <w:r>
        <w:rPr>
          <w:rStyle w:val="58"/>
          <w:rFonts w:hint="eastAsia" w:ascii="宋体" w:hAnsi="宋体" w:cs="宋体"/>
          <w:b/>
          <w:color w:val="auto"/>
          <w:kern w:val="0"/>
          <w:sz w:val="32"/>
          <w:szCs w:val="32"/>
          <w:highlight w:val="none"/>
          <w:u w:val="none"/>
        </w:rPr>
        <w:t>3</w:t>
      </w:r>
      <w:r>
        <w:rPr>
          <w:rStyle w:val="58"/>
          <w:rFonts w:hint="eastAsia" w:ascii="宋体" w:hAnsi="宋体" w:cs="宋体"/>
          <w:b/>
          <w:color w:val="auto"/>
          <w:kern w:val="0"/>
          <w:sz w:val="32"/>
          <w:szCs w:val="32"/>
          <w:highlight w:val="none"/>
          <w:u w:val="none"/>
          <w:lang w:val="en-US" w:eastAsia="zh-CN"/>
        </w:rPr>
        <w:t>9</w:t>
      </w:r>
    </w:p>
    <w:p w14:paraId="492CFCF6">
      <w:pPr>
        <w:pStyle w:val="39"/>
        <w:ind w:left="480"/>
        <w:rPr>
          <w:rFonts w:hint="default" w:ascii="宋体" w:hAnsi="宋体" w:eastAsia="宋体" w:cs="宋体"/>
          <w:b/>
          <w:color w:val="auto"/>
          <w:sz w:val="32"/>
          <w:szCs w:val="32"/>
          <w:highlight w:val="none"/>
          <w:lang w:val="en-US" w:eastAsia="zh-CN"/>
        </w:rPr>
      </w:pPr>
      <w:r>
        <w:rPr>
          <w:rStyle w:val="58"/>
          <w:rFonts w:hint="eastAsia" w:ascii="宋体" w:hAnsi="宋体" w:cs="宋体"/>
          <w:b/>
          <w:color w:val="auto"/>
          <w:kern w:val="0"/>
          <w:sz w:val="32"/>
          <w:szCs w:val="32"/>
          <w:highlight w:val="none"/>
          <w:u w:val="none"/>
        </w:rPr>
        <w:t xml:space="preserve">第五章 </w:t>
      </w:r>
      <w:r>
        <w:rPr>
          <w:rFonts w:hint="eastAsia" w:ascii="宋体" w:hAnsi="宋体" w:cs="宋体"/>
          <w:b/>
          <w:color w:val="auto"/>
          <w:sz w:val="32"/>
          <w:szCs w:val="32"/>
          <w:highlight w:val="none"/>
        </w:rPr>
        <w:t>评审方法………………………………………</w:t>
      </w:r>
      <w:r>
        <w:rPr>
          <w:rFonts w:hint="eastAsia" w:ascii="宋体" w:hAnsi="宋体" w:cs="宋体"/>
          <w:b/>
          <w:color w:val="auto"/>
          <w:sz w:val="32"/>
          <w:szCs w:val="32"/>
          <w:highlight w:val="none"/>
          <w:lang w:val="en-US" w:eastAsia="zh-CN"/>
        </w:rPr>
        <w:t>42</w:t>
      </w:r>
    </w:p>
    <w:p w14:paraId="5DF1405C">
      <w:pPr>
        <w:pStyle w:val="39"/>
        <w:ind w:left="480"/>
        <w:rPr>
          <w:rFonts w:hint="eastAsia" w:ascii="宋体" w:hAnsi="宋体" w:eastAsia="宋体" w:cs="宋体"/>
          <w:b/>
          <w:color w:val="auto"/>
          <w:sz w:val="32"/>
          <w:szCs w:val="32"/>
          <w:highlight w:val="none"/>
          <w:lang w:eastAsia="zh-CN"/>
        </w:rPr>
      </w:pPr>
      <w:r>
        <w:rPr>
          <w:rStyle w:val="58"/>
          <w:rFonts w:hint="eastAsia" w:ascii="宋体" w:hAnsi="宋体" w:cs="宋体"/>
          <w:b/>
          <w:color w:val="auto"/>
          <w:kern w:val="0"/>
          <w:sz w:val="32"/>
          <w:szCs w:val="32"/>
          <w:highlight w:val="none"/>
          <w:u w:val="none"/>
        </w:rPr>
        <w:t xml:space="preserve">第六章 </w:t>
      </w:r>
      <w:r>
        <w:rPr>
          <w:rFonts w:hint="eastAsia" w:ascii="宋体" w:hAnsi="宋体" w:cs="宋体"/>
          <w:b/>
          <w:color w:val="auto"/>
          <w:sz w:val="32"/>
          <w:szCs w:val="32"/>
          <w:highlight w:val="none"/>
        </w:rPr>
        <w:t>响应文件（格式）……………………………4</w:t>
      </w:r>
      <w:r>
        <w:rPr>
          <w:rFonts w:hint="eastAsia" w:ascii="宋体" w:hAnsi="宋体" w:cs="宋体"/>
          <w:b/>
          <w:color w:val="auto"/>
          <w:sz w:val="32"/>
          <w:szCs w:val="32"/>
          <w:highlight w:val="none"/>
          <w:lang w:val="en-US" w:eastAsia="zh-CN"/>
        </w:rPr>
        <w:t>7</w:t>
      </w:r>
    </w:p>
    <w:p w14:paraId="0B3EDED8">
      <w:pPr>
        <w:pStyle w:val="39"/>
        <w:ind w:left="480"/>
        <w:rPr>
          <w:rStyle w:val="58"/>
          <w:rFonts w:hint="eastAsia" w:ascii="宋体" w:hAnsi="宋体" w:eastAsia="宋体" w:cs="宋体"/>
          <w:b/>
          <w:color w:val="auto"/>
          <w:kern w:val="0"/>
          <w:sz w:val="32"/>
          <w:szCs w:val="32"/>
          <w:highlight w:val="none"/>
          <w:u w:val="none"/>
          <w:lang w:val="en-US" w:eastAsia="zh-CN"/>
        </w:rPr>
      </w:pPr>
      <w:r>
        <w:rPr>
          <w:rFonts w:hint="eastAsia" w:ascii="宋体" w:hAnsi="宋体" w:cs="宋体"/>
          <w:b/>
          <w:color w:val="auto"/>
          <w:kern w:val="0"/>
          <w:sz w:val="32"/>
          <w:szCs w:val="32"/>
          <w:highlight w:val="none"/>
        </w:rPr>
        <w:t xml:space="preserve">第七章 </w:t>
      </w:r>
      <w:r>
        <w:rPr>
          <w:rFonts w:hint="eastAsia" w:ascii="宋体" w:hAnsi="宋体" w:cs="宋体"/>
          <w:b/>
          <w:color w:val="auto"/>
          <w:sz w:val="32"/>
          <w:szCs w:val="32"/>
          <w:highlight w:val="none"/>
        </w:rPr>
        <w:t>合同主要条款及格式…………………………</w:t>
      </w:r>
      <w:r>
        <w:rPr>
          <w:rStyle w:val="58"/>
          <w:rFonts w:ascii="宋体" w:hAnsi="宋体" w:cs="宋体"/>
          <w:b/>
          <w:color w:val="auto"/>
          <w:kern w:val="0"/>
          <w:sz w:val="32"/>
          <w:szCs w:val="32"/>
          <w:highlight w:val="none"/>
          <w:u w:val="none"/>
        </w:rPr>
        <w:t>6</w:t>
      </w:r>
      <w:r>
        <w:rPr>
          <w:rStyle w:val="58"/>
          <w:rFonts w:hint="eastAsia" w:ascii="宋体" w:hAnsi="宋体" w:cs="宋体"/>
          <w:b/>
          <w:color w:val="auto"/>
          <w:kern w:val="0"/>
          <w:sz w:val="32"/>
          <w:szCs w:val="32"/>
          <w:highlight w:val="none"/>
          <w:u w:val="none"/>
          <w:lang w:val="en-US" w:eastAsia="zh-CN"/>
        </w:rPr>
        <w:t>6</w:t>
      </w:r>
    </w:p>
    <w:p w14:paraId="05F7BAA5">
      <w:pPr>
        <w:pStyle w:val="25"/>
        <w:tabs>
          <w:tab w:val="right" w:leader="dot" w:pos="9288"/>
        </w:tabs>
        <w:ind w:left="960"/>
        <w:rPr>
          <w:color w:val="auto"/>
          <w:highlight w:val="none"/>
        </w:rPr>
      </w:pPr>
    </w:p>
    <w:p w14:paraId="0BC00BEF">
      <w:pPr>
        <w:pStyle w:val="26"/>
        <w:tabs>
          <w:tab w:val="left" w:pos="8860"/>
          <w:tab w:val="left" w:pos="9140"/>
        </w:tabs>
        <w:spacing w:line="520" w:lineRule="exact"/>
        <w:rPr>
          <w:rFonts w:hAnsi="宋体" w:cs="宋体"/>
          <w:color w:val="auto"/>
          <w:kern w:val="0"/>
          <w:sz w:val="32"/>
          <w:highlight w:val="none"/>
        </w:rPr>
      </w:pPr>
    </w:p>
    <w:p w14:paraId="619687F2">
      <w:pPr>
        <w:pStyle w:val="26"/>
        <w:tabs>
          <w:tab w:val="left" w:pos="8860"/>
          <w:tab w:val="left" w:pos="9140"/>
        </w:tabs>
        <w:spacing w:line="520" w:lineRule="exact"/>
        <w:ind w:firstLine="737"/>
        <w:rPr>
          <w:rFonts w:hAnsi="宋体" w:cs="宋体"/>
          <w:color w:val="auto"/>
          <w:kern w:val="0"/>
          <w:szCs w:val="21"/>
          <w:highlight w:val="none"/>
        </w:rPr>
      </w:pPr>
    </w:p>
    <w:p w14:paraId="66EA2AA0">
      <w:pPr>
        <w:ind w:firstLine="3120" w:firstLineChars="1300"/>
        <w:rPr>
          <w:color w:val="auto"/>
          <w:kern w:val="0"/>
          <w:szCs w:val="21"/>
          <w:highlight w:val="none"/>
        </w:rPr>
      </w:pPr>
    </w:p>
    <w:p w14:paraId="4072228D">
      <w:pPr>
        <w:ind w:firstLine="3120" w:firstLineChars="1300"/>
        <w:rPr>
          <w:color w:val="auto"/>
          <w:kern w:val="0"/>
          <w:szCs w:val="21"/>
          <w:highlight w:val="none"/>
        </w:rPr>
      </w:pPr>
    </w:p>
    <w:p w14:paraId="75A460AC">
      <w:pPr>
        <w:ind w:firstLine="3120" w:firstLineChars="1300"/>
        <w:rPr>
          <w:color w:val="auto"/>
          <w:kern w:val="0"/>
          <w:szCs w:val="21"/>
          <w:highlight w:val="none"/>
        </w:rPr>
      </w:pPr>
    </w:p>
    <w:p w14:paraId="3E1DA470">
      <w:pPr>
        <w:ind w:firstLine="3120" w:firstLineChars="1300"/>
        <w:rPr>
          <w:color w:val="auto"/>
          <w:kern w:val="0"/>
          <w:szCs w:val="21"/>
          <w:highlight w:val="none"/>
        </w:rPr>
      </w:pPr>
    </w:p>
    <w:p w14:paraId="123A4391">
      <w:pPr>
        <w:ind w:firstLine="3120" w:firstLineChars="1300"/>
        <w:rPr>
          <w:color w:val="auto"/>
          <w:kern w:val="0"/>
          <w:szCs w:val="21"/>
          <w:highlight w:val="none"/>
        </w:rPr>
      </w:pPr>
    </w:p>
    <w:p w14:paraId="603ED436">
      <w:pPr>
        <w:ind w:firstLine="3120" w:firstLineChars="1300"/>
        <w:rPr>
          <w:color w:val="auto"/>
          <w:kern w:val="0"/>
          <w:szCs w:val="21"/>
          <w:highlight w:val="none"/>
        </w:rPr>
      </w:pPr>
    </w:p>
    <w:p w14:paraId="656000D8">
      <w:pPr>
        <w:ind w:firstLine="3120" w:firstLineChars="1300"/>
        <w:rPr>
          <w:color w:val="auto"/>
          <w:kern w:val="0"/>
          <w:szCs w:val="21"/>
          <w:highlight w:val="none"/>
        </w:rPr>
      </w:pPr>
    </w:p>
    <w:p w14:paraId="2F0D4785">
      <w:pPr>
        <w:ind w:firstLine="3120" w:firstLineChars="1300"/>
        <w:rPr>
          <w:color w:val="auto"/>
          <w:kern w:val="0"/>
          <w:szCs w:val="21"/>
          <w:highlight w:val="none"/>
        </w:rPr>
      </w:pPr>
    </w:p>
    <w:p w14:paraId="2B7D861F">
      <w:pPr>
        <w:ind w:firstLine="3120" w:firstLineChars="1300"/>
        <w:rPr>
          <w:color w:val="auto"/>
          <w:kern w:val="0"/>
          <w:szCs w:val="21"/>
          <w:highlight w:val="none"/>
        </w:rPr>
      </w:pPr>
    </w:p>
    <w:p w14:paraId="098F0DB6">
      <w:pPr>
        <w:ind w:firstLine="3120" w:firstLineChars="1300"/>
        <w:rPr>
          <w:color w:val="auto"/>
          <w:kern w:val="0"/>
          <w:szCs w:val="21"/>
          <w:highlight w:val="none"/>
        </w:rPr>
      </w:pPr>
    </w:p>
    <w:p w14:paraId="500DA64E">
      <w:pPr>
        <w:pStyle w:val="23"/>
        <w:rPr>
          <w:color w:val="auto"/>
          <w:highlight w:val="none"/>
        </w:rPr>
      </w:pPr>
    </w:p>
    <w:p w14:paraId="36B1D81A">
      <w:pPr>
        <w:ind w:firstLine="3120" w:firstLineChars="1300"/>
        <w:rPr>
          <w:color w:val="auto"/>
          <w:kern w:val="0"/>
          <w:szCs w:val="21"/>
          <w:highlight w:val="none"/>
        </w:rPr>
      </w:pPr>
    </w:p>
    <w:p w14:paraId="5FBC2826">
      <w:pPr>
        <w:ind w:firstLine="3120" w:firstLineChars="1300"/>
        <w:rPr>
          <w:color w:val="auto"/>
          <w:kern w:val="0"/>
          <w:szCs w:val="21"/>
          <w:highlight w:val="none"/>
        </w:rPr>
      </w:pPr>
    </w:p>
    <w:p w14:paraId="505D1751">
      <w:pPr>
        <w:ind w:firstLine="3120" w:firstLineChars="1300"/>
        <w:rPr>
          <w:color w:val="auto"/>
          <w:kern w:val="0"/>
          <w:szCs w:val="21"/>
          <w:highlight w:val="none"/>
        </w:rPr>
      </w:pPr>
    </w:p>
    <w:p w14:paraId="1E544C47">
      <w:pPr>
        <w:ind w:firstLine="3120" w:firstLineChars="1300"/>
        <w:rPr>
          <w:color w:val="auto"/>
          <w:kern w:val="0"/>
          <w:szCs w:val="21"/>
          <w:highlight w:val="none"/>
        </w:rPr>
      </w:pPr>
    </w:p>
    <w:p w14:paraId="22FF0F12">
      <w:pPr>
        <w:numPr>
          <w:ilvl w:val="0"/>
          <w:numId w:val="2"/>
        </w:numPr>
        <w:tabs>
          <w:tab w:val="left" w:pos="1080"/>
        </w:tabs>
        <w:spacing w:line="480" w:lineRule="exact"/>
        <w:ind w:left="1077" w:hanging="1077" w:firstLineChars="0"/>
        <w:jc w:val="center"/>
        <w:outlineLvl w:val="1"/>
        <w:rPr>
          <w:rFonts w:ascii="宋体" w:hAnsi="宋体" w:cs="宋体"/>
          <w:b/>
          <w:color w:val="auto"/>
          <w:kern w:val="0"/>
          <w:sz w:val="32"/>
          <w:szCs w:val="32"/>
          <w:highlight w:val="none"/>
        </w:rPr>
      </w:pPr>
      <w:bookmarkStart w:id="1" w:name="_Toc82016584"/>
      <w:bookmarkStart w:id="2" w:name="_Toc44229878"/>
      <w:bookmarkStart w:id="3" w:name="_Toc44405619"/>
      <w:r>
        <w:rPr>
          <w:rFonts w:hint="eastAsia" w:ascii="宋体" w:hAnsi="宋体" w:cs="宋体"/>
          <w:b/>
          <w:color w:val="auto"/>
          <w:kern w:val="0"/>
          <w:sz w:val="32"/>
          <w:szCs w:val="32"/>
          <w:highlight w:val="none"/>
        </w:rPr>
        <w:t>竞争性磋商公告</w:t>
      </w:r>
      <w:bookmarkEnd w:id="1"/>
    </w:p>
    <w:p w14:paraId="2DF1DFC3">
      <w:pPr>
        <w:spacing w:line="320" w:lineRule="exact"/>
        <w:ind w:firstLine="0" w:firstLineChars="0"/>
        <w:rPr>
          <w:rFonts w:ascii="宋体" w:hAnsi="宋体" w:cs="宋体"/>
          <w:color w:val="auto"/>
          <w:sz w:val="21"/>
          <w:szCs w:val="24"/>
          <w:highlight w:val="none"/>
        </w:rPr>
      </w:pPr>
    </w:p>
    <w:p w14:paraId="3321F47D">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bookmarkStart w:id="4" w:name="_Hlk37430271"/>
      <w:r>
        <w:rPr>
          <w:rFonts w:hint="eastAsia" w:ascii="宋体" w:hAnsi="宋体" w:cs="宋体"/>
          <w:color w:val="auto"/>
          <w:sz w:val="21"/>
          <w:szCs w:val="24"/>
          <w:highlight w:val="none"/>
        </w:rPr>
        <w:t>项目概况</w:t>
      </w:r>
    </w:p>
    <w:p w14:paraId="38AD1F2D">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r>
        <w:rPr>
          <w:rFonts w:hint="eastAsia" w:ascii="宋体" w:hAnsi="宋体"/>
          <w:color w:val="auto"/>
          <w:sz w:val="21"/>
          <w:szCs w:val="24"/>
          <w:highlight w:val="none"/>
        </w:rPr>
        <w:t>桂林市第十三中学校园操场改造及校园硅PU篮球场项目</w:t>
      </w:r>
      <w:r>
        <w:rPr>
          <w:rFonts w:hint="eastAsia" w:ascii="宋体" w:hAnsi="宋体" w:cs="宋体"/>
          <w:color w:val="auto"/>
          <w:sz w:val="21"/>
          <w:szCs w:val="24"/>
          <w:highlight w:val="none"/>
        </w:rPr>
        <w:t>的潜在供应商应在广西政府采购云平台（https://www.gcy.zfcg.gxzf.gov.cn/）获取竞争性磋商文件，并于</w:t>
      </w:r>
      <w:r>
        <w:rPr>
          <w:rFonts w:hint="eastAsia" w:ascii="宋体" w:hAnsi="宋体" w:cs="宋体"/>
          <w:color w:val="auto"/>
          <w:sz w:val="21"/>
          <w:szCs w:val="24"/>
          <w:highlight w:val="none"/>
          <w:lang w:eastAsia="zh-CN"/>
        </w:rPr>
        <w:t>2026年</w:t>
      </w:r>
      <w:r>
        <w:rPr>
          <w:rFonts w:hint="eastAsia" w:ascii="宋体" w:hAnsi="宋体" w:cs="宋体"/>
          <w:color w:val="auto"/>
          <w:sz w:val="21"/>
          <w:szCs w:val="24"/>
          <w:highlight w:val="none"/>
          <w:lang w:val="en-US" w:eastAsia="zh-CN"/>
        </w:rPr>
        <w:t>5</w:t>
      </w:r>
      <w:r>
        <w:rPr>
          <w:rFonts w:hint="eastAsia" w:ascii="宋体" w:hAnsi="宋体" w:cs="宋体"/>
          <w:color w:val="auto"/>
          <w:sz w:val="21"/>
          <w:szCs w:val="24"/>
          <w:highlight w:val="none"/>
          <w:lang w:eastAsia="zh-CN"/>
        </w:rPr>
        <w:t>月</w:t>
      </w:r>
      <w:r>
        <w:rPr>
          <w:rFonts w:hint="eastAsia" w:ascii="宋体" w:hAnsi="宋体" w:cs="宋体"/>
          <w:color w:val="auto"/>
          <w:sz w:val="21"/>
          <w:szCs w:val="24"/>
          <w:highlight w:val="none"/>
          <w:lang w:val="en-US" w:eastAsia="zh-CN"/>
        </w:rPr>
        <w:t>29</w:t>
      </w:r>
      <w:r>
        <w:rPr>
          <w:rFonts w:hint="eastAsia" w:ascii="宋体" w:hAnsi="宋体" w:cs="宋体"/>
          <w:color w:val="auto"/>
          <w:sz w:val="21"/>
          <w:szCs w:val="24"/>
          <w:highlight w:val="none"/>
          <w:lang w:eastAsia="zh-CN"/>
        </w:rPr>
        <w:t>日</w:t>
      </w:r>
      <w:r>
        <w:rPr>
          <w:rFonts w:hint="eastAsia" w:ascii="宋体" w:hAnsi="宋体" w:cs="宋体"/>
          <w:color w:val="auto"/>
          <w:sz w:val="21"/>
          <w:szCs w:val="24"/>
          <w:highlight w:val="none"/>
        </w:rPr>
        <w:t>上午9时30分（北京时间）前提交响应文件。</w:t>
      </w:r>
    </w:p>
    <w:bookmarkEnd w:id="4"/>
    <w:p w14:paraId="6491CAED">
      <w:pPr>
        <w:keepNext/>
        <w:keepLines/>
        <w:spacing w:before="260" w:after="260" w:line="400" w:lineRule="exact"/>
        <w:ind w:firstLine="422"/>
        <w:outlineLvl w:val="1"/>
        <w:rPr>
          <w:rFonts w:ascii="宋体" w:hAnsi="宋体" w:cs="宋体"/>
          <w:b/>
          <w:color w:val="auto"/>
          <w:sz w:val="21"/>
          <w:szCs w:val="21"/>
          <w:highlight w:val="none"/>
        </w:rPr>
      </w:pPr>
      <w:bookmarkStart w:id="5" w:name="_Toc82016585"/>
      <w:bookmarkStart w:id="6" w:name="_Toc28359012"/>
      <w:bookmarkStart w:id="7" w:name="_Toc28359089"/>
      <w:bookmarkStart w:id="8" w:name="_Toc35393629"/>
      <w:bookmarkStart w:id="9" w:name="_Toc35393798"/>
      <w:r>
        <w:rPr>
          <w:rFonts w:hint="eastAsia" w:ascii="宋体" w:hAnsi="宋体" w:cs="宋体"/>
          <w:b/>
          <w:color w:val="auto"/>
          <w:sz w:val="21"/>
          <w:szCs w:val="21"/>
          <w:highlight w:val="none"/>
        </w:rPr>
        <w:t>一、项目基本情况</w:t>
      </w:r>
      <w:bookmarkEnd w:id="5"/>
      <w:bookmarkEnd w:id="6"/>
      <w:bookmarkEnd w:id="7"/>
      <w:bookmarkEnd w:id="8"/>
      <w:bookmarkEnd w:id="9"/>
    </w:p>
    <w:p w14:paraId="4822CE2C">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项目编号：GLZC2026-C2-990171-YZLZ</w:t>
      </w:r>
    </w:p>
    <w:p w14:paraId="7A4C5349">
      <w:pPr>
        <w:spacing w:line="400" w:lineRule="exact"/>
        <w:ind w:firstLine="420"/>
        <w:rPr>
          <w:rFonts w:hint="eastAsia" w:ascii="宋体" w:hAnsi="宋体" w:eastAsia="宋体"/>
          <w:color w:val="auto"/>
          <w:sz w:val="21"/>
          <w:szCs w:val="24"/>
          <w:highlight w:val="none"/>
          <w:lang w:eastAsia="zh-CN"/>
        </w:rPr>
      </w:pPr>
      <w:r>
        <w:rPr>
          <w:rFonts w:hint="eastAsia" w:ascii="宋体" w:hAnsi="宋体"/>
          <w:color w:val="auto"/>
          <w:sz w:val="21"/>
          <w:szCs w:val="24"/>
          <w:highlight w:val="none"/>
        </w:rPr>
        <w:t>项目名称：桂林市第十三中学校园操场改造及校园硅PU篮球场项目</w:t>
      </w:r>
    </w:p>
    <w:p w14:paraId="5D240789">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采购方式：竞争性磋商</w:t>
      </w:r>
    </w:p>
    <w:p w14:paraId="4A4201E3">
      <w:pPr>
        <w:spacing w:line="400" w:lineRule="exact"/>
        <w:ind w:firstLine="420"/>
        <w:rPr>
          <w:rFonts w:hint="eastAsia" w:ascii="宋体" w:hAnsi="宋体"/>
          <w:color w:val="auto"/>
          <w:sz w:val="21"/>
          <w:szCs w:val="24"/>
          <w:highlight w:val="none"/>
        </w:rPr>
      </w:pPr>
      <w:r>
        <w:rPr>
          <w:rFonts w:hint="eastAsia" w:ascii="宋体" w:hAnsi="宋体"/>
          <w:color w:val="auto"/>
          <w:sz w:val="21"/>
          <w:szCs w:val="24"/>
          <w:highlight w:val="none"/>
        </w:rPr>
        <w:t>预算金额（元）：</w:t>
      </w:r>
      <w:r>
        <w:rPr>
          <w:rFonts w:hint="eastAsia" w:ascii="宋体" w:hAnsi="宋体"/>
          <w:color w:val="auto"/>
          <w:sz w:val="21"/>
          <w:szCs w:val="24"/>
          <w:highlight w:val="none"/>
          <w:lang w:val="en-US" w:eastAsia="zh-CN"/>
        </w:rPr>
        <w:t>2000000.00</w:t>
      </w:r>
      <w:r>
        <w:rPr>
          <w:rFonts w:hint="eastAsia" w:ascii="宋体" w:hAnsi="宋体"/>
          <w:color w:val="auto"/>
          <w:sz w:val="21"/>
          <w:szCs w:val="24"/>
          <w:highlight w:val="none"/>
        </w:rPr>
        <w:t>。</w:t>
      </w:r>
    </w:p>
    <w:p w14:paraId="614F499D">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最高限价（元）：</w:t>
      </w:r>
      <w:r>
        <w:rPr>
          <w:rFonts w:hint="eastAsia" w:ascii="宋体" w:hAnsi="宋体"/>
          <w:color w:val="auto"/>
          <w:sz w:val="21"/>
          <w:szCs w:val="24"/>
          <w:highlight w:val="none"/>
          <w:lang w:val="en-US" w:eastAsia="zh-CN"/>
        </w:rPr>
        <w:t>1940000.00</w:t>
      </w:r>
      <w:r>
        <w:rPr>
          <w:rFonts w:hint="eastAsia" w:ascii="宋体" w:hAnsi="宋体"/>
          <w:color w:val="auto"/>
          <w:sz w:val="21"/>
          <w:szCs w:val="24"/>
          <w:highlight w:val="none"/>
        </w:rPr>
        <w:t>。</w:t>
      </w:r>
      <w:bookmarkStart w:id="1503" w:name="_GoBack"/>
      <w:bookmarkEnd w:id="1503"/>
    </w:p>
    <w:p w14:paraId="39C7F84F">
      <w:pPr>
        <w:spacing w:line="400" w:lineRule="exact"/>
        <w:ind w:firstLine="420"/>
        <w:rPr>
          <w:rFonts w:hint="eastAsia" w:ascii="宋体" w:hAnsi="宋体"/>
          <w:color w:val="auto"/>
          <w:sz w:val="21"/>
          <w:szCs w:val="24"/>
          <w:highlight w:val="none"/>
          <w:lang w:eastAsia="zh-CN"/>
        </w:rPr>
      </w:pPr>
      <w:bookmarkStart w:id="10" w:name="_Toc28359013"/>
      <w:bookmarkStart w:id="11" w:name="_Toc35393630"/>
      <w:bookmarkStart w:id="12" w:name="_Toc28359090"/>
      <w:bookmarkStart w:id="13" w:name="_Toc35393799"/>
      <w:r>
        <w:rPr>
          <w:rFonts w:hint="eastAsia" w:ascii="宋体" w:hAnsi="宋体"/>
          <w:color w:val="auto"/>
          <w:sz w:val="21"/>
          <w:szCs w:val="24"/>
          <w:highlight w:val="none"/>
          <w:lang w:eastAsia="zh-CN"/>
        </w:rPr>
        <w:t>（1）标的名称、数量及单位：桂林市第十三中学校园操场改造1项，包含内容为原混合型塑胶跑道拆除、13mm混合型塑胶跑道敷设、80mm沥青铺装、排水沟、主席台砌筑等项目；桂林市第十三中学校园硅PU篮球场</w:t>
      </w:r>
      <w:r>
        <w:rPr>
          <w:rFonts w:hint="eastAsia" w:ascii="宋体" w:hAnsi="宋体"/>
          <w:color w:val="auto"/>
          <w:sz w:val="21"/>
          <w:szCs w:val="24"/>
          <w:highlight w:val="none"/>
          <w:lang w:val="en-US" w:eastAsia="zh-CN"/>
        </w:rPr>
        <w:t>1项</w:t>
      </w:r>
      <w:r>
        <w:rPr>
          <w:rFonts w:hint="eastAsia" w:ascii="宋体" w:hAnsi="宋体"/>
          <w:color w:val="auto"/>
          <w:sz w:val="21"/>
          <w:szCs w:val="24"/>
          <w:highlight w:val="none"/>
          <w:lang w:eastAsia="zh-CN"/>
        </w:rPr>
        <w:t>，包含内容为原硅PU拆除、8mm硅PU敷设、80mm沥青铺装等项目。具体详见工程量清单及图纸。（2）简要技术需求或者服务要求：工程质量保修期不得少于</w:t>
      </w:r>
      <w:r>
        <w:rPr>
          <w:rFonts w:hint="eastAsia" w:ascii="宋体" w:hAnsi="宋体"/>
          <w:color w:val="auto"/>
          <w:sz w:val="21"/>
          <w:szCs w:val="24"/>
          <w:highlight w:val="none"/>
          <w:lang w:val="en-US" w:eastAsia="zh-CN"/>
        </w:rPr>
        <w:t>3年</w:t>
      </w:r>
      <w:r>
        <w:rPr>
          <w:rFonts w:hint="eastAsia" w:ascii="宋体" w:hAnsi="宋体"/>
          <w:color w:val="auto"/>
          <w:sz w:val="21"/>
          <w:szCs w:val="24"/>
          <w:highlight w:val="none"/>
          <w:lang w:eastAsia="zh-CN"/>
        </w:rPr>
        <w:t>。</w:t>
      </w:r>
    </w:p>
    <w:p w14:paraId="478DB43C">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合同履行期限（工期）：</w:t>
      </w:r>
      <w:r>
        <w:rPr>
          <w:rFonts w:hint="eastAsia" w:ascii="宋体" w:hAnsi="宋体"/>
          <w:color w:val="auto"/>
          <w:sz w:val="21"/>
          <w:szCs w:val="24"/>
          <w:highlight w:val="none"/>
          <w:u w:val="single"/>
          <w:lang w:val="en-US" w:eastAsia="zh-CN"/>
        </w:rPr>
        <w:t>70</w:t>
      </w:r>
      <w:r>
        <w:rPr>
          <w:rFonts w:hint="eastAsia" w:ascii="宋体" w:hAnsi="宋体"/>
          <w:color w:val="auto"/>
          <w:sz w:val="21"/>
          <w:szCs w:val="24"/>
          <w:highlight w:val="none"/>
        </w:rPr>
        <w:t>日历天。</w:t>
      </w:r>
    </w:p>
    <w:p w14:paraId="22482ADB">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本项目不接受联合体参与磋商。</w:t>
      </w:r>
    </w:p>
    <w:p w14:paraId="45A0CADB">
      <w:pPr>
        <w:spacing w:line="400" w:lineRule="exact"/>
        <w:ind w:firstLine="422"/>
        <w:rPr>
          <w:rFonts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0"/>
      <w:bookmarkEnd w:id="11"/>
      <w:bookmarkEnd w:id="12"/>
      <w:bookmarkEnd w:id="13"/>
    </w:p>
    <w:p w14:paraId="44930F59">
      <w:pPr>
        <w:spacing w:line="400" w:lineRule="exact"/>
        <w:ind w:firstLine="420"/>
        <w:rPr>
          <w:rFonts w:ascii="宋体" w:hAnsi="宋体" w:cs="宋体"/>
          <w:color w:val="auto"/>
          <w:sz w:val="21"/>
          <w:szCs w:val="21"/>
          <w:highlight w:val="none"/>
        </w:rPr>
      </w:pPr>
      <w:bookmarkStart w:id="14" w:name="OLE_LINK42"/>
      <w:bookmarkStart w:id="15" w:name="_Toc28359091"/>
      <w:bookmarkStart w:id="16" w:name="_Toc28359014"/>
      <w:r>
        <w:rPr>
          <w:rFonts w:hint="eastAsia" w:ascii="宋体" w:hAnsi="宋体" w:cs="宋体"/>
          <w:color w:val="auto"/>
          <w:sz w:val="21"/>
          <w:szCs w:val="21"/>
          <w:highlight w:val="none"/>
        </w:rPr>
        <w:t>1.满足《中华人民共和国政府采购法》第二十二条规定。</w:t>
      </w:r>
    </w:p>
    <w:p w14:paraId="58C0905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落实政府采购政策需满足的资格要求：本项目专门面向小微企业采购。供应商应符合《政府采购促进中小企业发展管理办法》（财库﹝2020﹞46号）第二条规定，根据《关于政府采购支持监狱企业发展有关问题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财库〔2014〕68号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及《关于促进残疾人就业政府采购政策的通知》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财库〔2017〕141号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规定，监狱企业、残疾人福利性单位视同小型、微型企业。</w:t>
      </w:r>
    </w:p>
    <w:p w14:paraId="0905F640">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3.本项目的特定资格要求：</w:t>
      </w:r>
      <w:bookmarkStart w:id="17" w:name="OLE_LINK6"/>
    </w:p>
    <w:p w14:paraId="14ECF79E">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供应商须具备建筑工程施工总承包三级以上（含三级）资质，同时具备有效的安全生产许可证，并在人员、设备、资金等方面具有相应的履约能力。</w:t>
      </w:r>
    </w:p>
    <w:p w14:paraId="7DBA77B5">
      <w:pPr>
        <w:spacing w:line="400" w:lineRule="exact"/>
        <w:ind w:firstLine="42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）供应商提供</w:t>
      </w:r>
      <w:r>
        <w:rPr>
          <w:rFonts w:hint="eastAsia" w:ascii="宋体" w:hAnsi="宋体" w:cs="宋体"/>
          <w:bCs/>
          <w:color w:val="auto"/>
          <w:sz w:val="21"/>
          <w:szCs w:val="21"/>
          <w:highlight w:val="none"/>
        </w:rPr>
        <w:t>项目管理机构组成表</w:t>
      </w:r>
      <w:r>
        <w:rPr>
          <w:rFonts w:hint="eastAsia" w:ascii="宋体" w:hAnsi="宋体" w:cs="宋体"/>
          <w:color w:val="auto"/>
          <w:sz w:val="21"/>
          <w:szCs w:val="21"/>
          <w:highlight w:val="none"/>
          <w:lang w:eastAsia="zh-CN"/>
        </w:rPr>
        <w:t>，且</w:t>
      </w:r>
      <w:r>
        <w:rPr>
          <w:rFonts w:hint="eastAsia" w:ascii="宋体" w:hAnsi="宋体" w:cs="宋体"/>
          <w:bCs/>
          <w:color w:val="auto"/>
          <w:sz w:val="21"/>
          <w:szCs w:val="21"/>
          <w:highlight w:val="none"/>
          <w:lang w:eastAsia="zh-CN"/>
        </w:rPr>
        <w:t>须满足以下最低人员配备要求</w:t>
      </w:r>
      <w:r>
        <w:rPr>
          <w:rFonts w:hint="eastAsia" w:ascii="宋体" w:hAnsi="宋体" w:cs="宋体"/>
          <w:color w:val="auto"/>
          <w:sz w:val="21"/>
          <w:szCs w:val="21"/>
          <w:highlight w:val="none"/>
          <w:lang w:eastAsia="zh-CN"/>
        </w:rPr>
        <w:t>：</w:t>
      </w:r>
    </w:p>
    <w:p w14:paraId="082B201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项目经理必须具备建筑工程专业二级以上（含二级）注册建造师执业资格，具备有效的安全生产考核合格证书（B类）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color w:val="auto"/>
          <w:sz w:val="21"/>
          <w:szCs w:val="21"/>
          <w:highlight w:val="none"/>
        </w:rPr>
        <w:t>，且未拟派其他在建、已中标（或成交）未开工或已列为其他项目中标（或成交）候选人第一名的建造师作为项目经理（符合桂建管﹝2013﹞17号文及桂建管﹝2016﹞70号</w:t>
      </w:r>
      <w:r>
        <w:rPr>
          <w:rFonts w:hint="eastAsia" w:ascii="宋体" w:hAnsi="宋体" w:cs="宋体"/>
          <w:color w:val="auto"/>
          <w:sz w:val="21"/>
          <w:szCs w:val="21"/>
          <w:highlight w:val="none"/>
          <w:lang w:eastAsia="zh-CN"/>
        </w:rPr>
        <w:t>文</w:t>
      </w:r>
      <w:r>
        <w:rPr>
          <w:rFonts w:hint="eastAsia" w:ascii="宋体" w:hAnsi="宋体" w:cs="宋体"/>
          <w:color w:val="auto"/>
          <w:sz w:val="21"/>
          <w:szCs w:val="21"/>
          <w:highlight w:val="none"/>
        </w:rPr>
        <w:t>除外）</w:t>
      </w:r>
      <w:bookmarkEnd w:id="17"/>
      <w:r>
        <w:rPr>
          <w:rFonts w:hint="eastAsia" w:ascii="宋体" w:hAnsi="宋体" w:cs="宋体"/>
          <w:color w:val="auto"/>
          <w:sz w:val="21"/>
          <w:szCs w:val="21"/>
          <w:highlight w:val="none"/>
        </w:rPr>
        <w:t>。</w:t>
      </w:r>
      <w:bookmarkEnd w:id="14"/>
    </w:p>
    <w:p w14:paraId="6E6F211D">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color w:val="auto"/>
          <w:sz w:val="21"/>
          <w:szCs w:val="21"/>
          <w:highlight w:val="none"/>
          <w:lang w:eastAsia="zh-CN"/>
        </w:rPr>
        <w:t>②</w:t>
      </w:r>
      <w:r>
        <w:rPr>
          <w:rFonts w:hint="eastAsia" w:ascii="宋体" w:hAnsi="宋体" w:cs="宋体"/>
          <w:bCs/>
          <w:color w:val="auto"/>
          <w:sz w:val="21"/>
          <w:szCs w:val="21"/>
          <w:highlight w:val="none"/>
        </w:rPr>
        <w:t>技术负责人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须具有相关专业中级及以上职称</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0074E223">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③</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相应有效的专职安全员安全生产考核合格证书（C类）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5617205E">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④</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（各配备</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）：拟投入的</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相应有效的施工现场专业人员职业培训合格证书</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1F083959">
      <w:pPr>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lang w:eastAsia="zh-CN"/>
        </w:rPr>
        <w:t>⑤供应商具有</w:t>
      </w:r>
      <w:r>
        <w:rPr>
          <w:rFonts w:hint="eastAsia" w:ascii="宋体" w:hAnsi="宋体" w:cs="宋体"/>
          <w:bCs/>
          <w:color w:val="auto"/>
          <w:sz w:val="21"/>
          <w:szCs w:val="21"/>
          <w:highlight w:val="none"/>
        </w:rPr>
        <w:t>202</w:t>
      </w:r>
      <w:r>
        <w:rPr>
          <w:rFonts w:hint="eastAsia" w:ascii="宋体" w:hAnsi="宋体" w:cs="宋体"/>
          <w:bCs/>
          <w:color w:val="auto"/>
          <w:sz w:val="21"/>
          <w:szCs w:val="21"/>
          <w:highlight w:val="none"/>
          <w:lang w:val="en-US" w:eastAsia="zh-CN"/>
        </w:rPr>
        <w:t>6</w:t>
      </w:r>
      <w:r>
        <w:rPr>
          <w:rFonts w:hint="eastAsia" w:ascii="宋体" w:hAnsi="宋体" w:cs="宋体"/>
          <w:bCs/>
          <w:color w:val="auto"/>
          <w:sz w:val="21"/>
          <w:szCs w:val="21"/>
          <w:highlight w:val="none"/>
        </w:rPr>
        <w:t>年以来任意1个月为</w:t>
      </w:r>
      <w:r>
        <w:rPr>
          <w:rFonts w:hint="eastAsia" w:ascii="宋体" w:hAnsi="宋体" w:cs="宋体"/>
          <w:bCs/>
          <w:color w:val="auto"/>
          <w:sz w:val="21"/>
          <w:szCs w:val="21"/>
          <w:highlight w:val="none"/>
          <w:lang w:eastAsia="zh-CN"/>
        </w:rPr>
        <w:t>以上</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缴纳</w:t>
      </w:r>
      <w:r>
        <w:rPr>
          <w:rFonts w:hint="eastAsia" w:ascii="宋体" w:hAnsi="宋体" w:cs="宋体"/>
          <w:bCs/>
          <w:color w:val="auto"/>
          <w:sz w:val="21"/>
          <w:szCs w:val="21"/>
          <w:highlight w:val="none"/>
        </w:rPr>
        <w:t>的社保证明材料或供应商与其签订的有效劳动合同</w:t>
      </w:r>
      <w:r>
        <w:rPr>
          <w:rFonts w:hint="eastAsia" w:ascii="宋体" w:hAnsi="宋体" w:cs="宋体"/>
          <w:bCs/>
          <w:color w:val="auto"/>
          <w:sz w:val="21"/>
          <w:szCs w:val="21"/>
          <w:highlight w:val="none"/>
          <w:lang w:eastAsia="zh-CN"/>
        </w:rPr>
        <w:t>。</w:t>
      </w:r>
    </w:p>
    <w:p w14:paraId="385653DD">
      <w:pPr>
        <w:spacing w:line="400" w:lineRule="exact"/>
        <w:ind w:firstLine="422"/>
        <w:rPr>
          <w:rFonts w:ascii="宋体" w:hAnsi="宋体" w:cs="宋体"/>
          <w:b/>
          <w:bCs/>
          <w:color w:val="auto"/>
          <w:sz w:val="21"/>
          <w:szCs w:val="21"/>
          <w:highlight w:val="none"/>
        </w:rPr>
      </w:pPr>
      <w:bookmarkStart w:id="18" w:name="_Toc35393800"/>
      <w:bookmarkStart w:id="19" w:name="_Toc35393631"/>
      <w:r>
        <w:rPr>
          <w:rFonts w:hint="eastAsia" w:ascii="宋体" w:hAnsi="宋体" w:cs="宋体"/>
          <w:b/>
          <w:bCs/>
          <w:color w:val="auto"/>
          <w:sz w:val="21"/>
          <w:szCs w:val="21"/>
          <w:highlight w:val="none"/>
        </w:rPr>
        <w:t>三、获取采购文件</w:t>
      </w:r>
      <w:bookmarkEnd w:id="15"/>
      <w:bookmarkEnd w:id="16"/>
      <w:bookmarkEnd w:id="18"/>
      <w:bookmarkEnd w:id="19"/>
    </w:p>
    <w:p w14:paraId="62DC28B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5</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18</w:t>
      </w:r>
      <w:r>
        <w:rPr>
          <w:rFonts w:hint="eastAsia" w:ascii="宋体" w:hAnsi="宋体" w:cs="宋体"/>
          <w:color w:val="auto"/>
          <w:sz w:val="21"/>
          <w:szCs w:val="21"/>
          <w:highlight w:val="none"/>
          <w:u w:val="single"/>
          <w:lang w:eastAsia="zh-CN"/>
        </w:rPr>
        <w:t>日</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5</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29</w:t>
      </w:r>
      <w:r>
        <w:rPr>
          <w:rFonts w:hint="eastAsia" w:ascii="宋体" w:hAnsi="宋体" w:cs="宋体"/>
          <w:color w:val="auto"/>
          <w:sz w:val="21"/>
          <w:szCs w:val="21"/>
          <w:highlight w:val="none"/>
          <w:u w:val="single"/>
          <w:lang w:eastAsia="zh-CN"/>
        </w:rPr>
        <w:t>日</w:t>
      </w:r>
      <w:r>
        <w:rPr>
          <w:rFonts w:hint="eastAsia" w:ascii="宋体" w:hAnsi="宋体" w:cs="宋体"/>
          <w:color w:val="auto"/>
          <w:sz w:val="21"/>
          <w:szCs w:val="21"/>
          <w:highlight w:val="none"/>
        </w:rPr>
        <w:t>，每天上午</w:t>
      </w:r>
      <w:r>
        <w:rPr>
          <w:rFonts w:hint="eastAsia" w:ascii="宋体" w:hAnsi="宋体" w:cs="宋体"/>
          <w:color w:val="auto"/>
          <w:sz w:val="21"/>
          <w:szCs w:val="21"/>
          <w:highlight w:val="none"/>
          <w:u w:val="single"/>
        </w:rPr>
        <w:t>00:00</w:t>
      </w:r>
      <w:r>
        <w:rPr>
          <w:rFonts w:hint="eastAsia" w:ascii="宋体" w:hAnsi="宋体" w:cs="宋体"/>
          <w:color w:val="auto"/>
          <w:sz w:val="21"/>
          <w:szCs w:val="21"/>
          <w:highlight w:val="none"/>
          <w:u w:val="single"/>
          <w:lang w:val="en-US" w:eastAsia="zh-CN"/>
        </w:rPr>
        <w:t>:00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lang w:val="en-US" w:eastAsia="zh-CN"/>
        </w:rPr>
        <w:t>12</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val="en-US" w:eastAsia="zh-CN"/>
        </w:rPr>
        <w:t>00:00</w:t>
      </w:r>
      <w:r>
        <w:rPr>
          <w:rFonts w:hint="eastAsia" w:ascii="宋体" w:hAnsi="宋体" w:cs="宋体"/>
          <w:color w:val="auto"/>
          <w:sz w:val="21"/>
          <w:szCs w:val="21"/>
          <w:highlight w:val="none"/>
        </w:rPr>
        <w:t>，下午</w:t>
      </w:r>
      <w:r>
        <w:rPr>
          <w:rFonts w:hint="eastAsia" w:ascii="宋体" w:hAnsi="宋体" w:cs="宋体"/>
          <w:color w:val="auto"/>
          <w:sz w:val="21"/>
          <w:szCs w:val="21"/>
          <w:highlight w:val="none"/>
          <w:u w:val="single"/>
        </w:rPr>
        <w:t>12:00</w:t>
      </w:r>
      <w:r>
        <w:rPr>
          <w:rFonts w:hint="eastAsia" w:ascii="宋体" w:hAnsi="宋体" w:cs="宋体"/>
          <w:color w:val="auto"/>
          <w:sz w:val="21"/>
          <w:szCs w:val="21"/>
          <w:highlight w:val="none"/>
          <w:u w:val="single"/>
          <w:lang w:val="en-US" w:eastAsia="zh-CN"/>
        </w:rPr>
        <w:t>:00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23:59</w:t>
      </w:r>
      <w:r>
        <w:rPr>
          <w:rFonts w:hint="eastAsia" w:ascii="宋体" w:hAnsi="宋体" w:cs="宋体"/>
          <w:color w:val="auto"/>
          <w:sz w:val="21"/>
          <w:szCs w:val="21"/>
          <w:highlight w:val="none"/>
          <w:u w:val="single"/>
          <w:lang w:val="en-US" w:eastAsia="zh-CN"/>
        </w:rPr>
        <w:t>:59</w:t>
      </w:r>
      <w:r>
        <w:rPr>
          <w:rFonts w:hint="eastAsia" w:ascii="宋体" w:hAnsi="宋体" w:cs="宋体"/>
          <w:color w:val="auto"/>
          <w:sz w:val="21"/>
          <w:szCs w:val="21"/>
          <w:highlight w:val="none"/>
        </w:rPr>
        <w:t>（北京时间，法定节假日除外）</w:t>
      </w:r>
    </w:p>
    <w:p w14:paraId="3312CFBF">
      <w:pPr>
        <w:spacing w:line="440" w:lineRule="exact"/>
        <w:ind w:firstLine="424" w:firstLineChars="202"/>
        <w:rPr>
          <w:rFonts w:ascii="宋体" w:hAnsi="宋体"/>
          <w:color w:val="auto"/>
          <w:sz w:val="21"/>
          <w:szCs w:val="21"/>
          <w:highlight w:val="none"/>
        </w:rPr>
      </w:pPr>
      <w:r>
        <w:rPr>
          <w:rFonts w:hint="eastAsia" w:ascii="宋体" w:hAnsi="宋体" w:cs="宋体"/>
          <w:color w:val="auto"/>
          <w:sz w:val="21"/>
          <w:szCs w:val="21"/>
          <w:highlight w:val="none"/>
        </w:rPr>
        <w:t>地点：</w:t>
      </w:r>
      <w:bookmarkStart w:id="20" w:name="OLE_LINK8"/>
      <w:bookmarkStart w:id="21" w:name="OLE_LINK7"/>
      <w:r>
        <w:rPr>
          <w:rFonts w:hint="eastAsia" w:ascii="宋体" w:hAnsi="宋体" w:cs="宋体"/>
          <w:color w:val="auto"/>
          <w:sz w:val="21"/>
          <w:szCs w:val="21"/>
          <w:highlight w:val="none"/>
        </w:rPr>
        <w:t>广西政府采购云平台（https://www.gcy.zfcg.gxzf.gov.cn/）</w:t>
      </w:r>
      <w:bookmarkEnd w:id="20"/>
      <w:bookmarkEnd w:id="21"/>
      <w:r>
        <w:rPr>
          <w:rFonts w:hint="eastAsia" w:ascii="宋体" w:hAnsi="宋体" w:cs="宋体"/>
          <w:color w:val="auto"/>
          <w:sz w:val="21"/>
          <w:szCs w:val="21"/>
          <w:highlight w:val="none"/>
        </w:rPr>
        <w:t>。</w:t>
      </w:r>
    </w:p>
    <w:p w14:paraId="73B88F0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方式：</w:t>
      </w:r>
      <w:bookmarkStart w:id="22" w:name="OLE_LINK12"/>
      <w:r>
        <w:rPr>
          <w:rFonts w:hint="eastAsia" w:ascii="宋体" w:hAnsi="宋体" w:cs="宋体"/>
          <w:color w:val="auto"/>
          <w:kern w:val="0"/>
          <w:sz w:val="21"/>
          <w:szCs w:val="21"/>
          <w:highlight w:val="none"/>
        </w:rPr>
        <w:t>潜在供应商登录</w:t>
      </w:r>
      <w:r>
        <w:rPr>
          <w:rFonts w:hint="eastAsia" w:ascii="宋体" w:hAnsi="宋体" w:cs="宋体"/>
          <w:color w:val="auto"/>
          <w:sz w:val="21"/>
          <w:szCs w:val="21"/>
          <w:highlight w:val="none"/>
        </w:rPr>
        <w:t>广西政府采购云平台（https://www.gcy.zfcg.gxzf.gov.cn/）</w:t>
      </w:r>
      <w:r>
        <w:rPr>
          <w:rFonts w:hint="eastAsia" w:ascii="宋体" w:hAnsi="宋体" w:cs="宋体"/>
          <w:color w:val="auto"/>
          <w:sz w:val="21"/>
          <w:szCs w:val="24"/>
          <w:highlight w:val="none"/>
        </w:rPr>
        <w:t>免费</w:t>
      </w:r>
      <w:r>
        <w:rPr>
          <w:rFonts w:hint="eastAsia" w:ascii="宋体" w:hAnsi="宋体" w:cs="宋体"/>
          <w:color w:val="auto"/>
          <w:sz w:val="21"/>
          <w:szCs w:val="21"/>
          <w:highlight w:val="none"/>
        </w:rPr>
        <w:t>获取竞争性磋商文件电子版。</w:t>
      </w:r>
      <w:r>
        <w:rPr>
          <w:rFonts w:hint="eastAsia" w:ascii="宋体" w:hAnsi="宋体" w:cs="宋体"/>
          <w:b/>
          <w:bCs/>
          <w:color w:val="auto"/>
          <w:sz w:val="21"/>
          <w:szCs w:val="21"/>
          <w:highlight w:val="none"/>
        </w:rPr>
        <w:t>供应商应在广西政府采购云平台进行“申请获取采购文件”操作，否则，将导致无法在线编制响应文件并参与竞标，其不利后果由供应商自行承担</w:t>
      </w:r>
      <w:bookmarkEnd w:id="22"/>
      <w:r>
        <w:rPr>
          <w:rFonts w:hint="eastAsia" w:ascii="宋体" w:hAnsi="宋体" w:cs="宋体"/>
          <w:b/>
          <w:bCs/>
          <w:color w:val="auto"/>
          <w:sz w:val="21"/>
          <w:szCs w:val="21"/>
          <w:highlight w:val="none"/>
        </w:rPr>
        <w:t>。</w:t>
      </w:r>
    </w:p>
    <w:p w14:paraId="0A52F12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售价（元）：0。</w:t>
      </w:r>
      <w:bookmarkStart w:id="23" w:name="_Toc28359015"/>
      <w:bookmarkStart w:id="24" w:name="_Toc35393801"/>
      <w:bookmarkStart w:id="25" w:name="_Toc35393632"/>
      <w:bookmarkStart w:id="26" w:name="_Toc28359092"/>
    </w:p>
    <w:p w14:paraId="2AFB470E">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四、响应文件提交</w:t>
      </w:r>
      <w:bookmarkEnd w:id="23"/>
      <w:bookmarkEnd w:id="24"/>
      <w:bookmarkEnd w:id="25"/>
      <w:bookmarkEnd w:id="26"/>
    </w:p>
    <w:p w14:paraId="04E1B9A8">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截止时间：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5</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29</w:t>
      </w:r>
      <w:r>
        <w:rPr>
          <w:rFonts w:hint="eastAsia" w:ascii="宋体" w:hAnsi="宋体" w:cs="宋体"/>
          <w:color w:val="auto"/>
          <w:sz w:val="21"/>
          <w:szCs w:val="21"/>
          <w:highlight w:val="none"/>
          <w:u w:val="single"/>
          <w:lang w:eastAsia="zh-CN"/>
        </w:rPr>
        <w:t>日</w:t>
      </w:r>
      <w:r>
        <w:rPr>
          <w:rFonts w:ascii="宋体" w:hAnsi="宋体" w:cs="宋体"/>
          <w:color w:val="auto"/>
          <w:sz w:val="21"/>
          <w:szCs w:val="21"/>
          <w:highlight w:val="none"/>
          <w:u w:val="single"/>
        </w:rPr>
        <w:t>上午</w:t>
      </w:r>
      <w:r>
        <w:rPr>
          <w:rFonts w:hint="eastAsia" w:ascii="宋体" w:hAnsi="宋体" w:cs="宋体"/>
          <w:color w:val="auto"/>
          <w:sz w:val="21"/>
          <w:szCs w:val="21"/>
          <w:highlight w:val="none"/>
          <w:u w:val="single"/>
        </w:rPr>
        <w:t>9</w:t>
      </w:r>
      <w:r>
        <w:rPr>
          <w:rFonts w:hint="eastAsia" w:ascii="宋体" w:hAnsi="宋体" w:cs="宋体"/>
          <w:bCs/>
          <w:color w:val="auto"/>
          <w:sz w:val="21"/>
          <w:szCs w:val="21"/>
          <w:highlight w:val="none"/>
          <w:u w:val="single"/>
        </w:rPr>
        <w:t>时30分</w:t>
      </w:r>
      <w:r>
        <w:rPr>
          <w:rFonts w:hint="eastAsia" w:ascii="宋体" w:hAnsi="宋体" w:cs="宋体"/>
          <w:bCs/>
          <w:color w:val="auto"/>
          <w:sz w:val="21"/>
          <w:szCs w:val="21"/>
          <w:highlight w:val="none"/>
        </w:rPr>
        <w:t>（北京时间）</w:t>
      </w:r>
    </w:p>
    <w:p w14:paraId="629C262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bookmarkStart w:id="27" w:name="OLE_LINK14"/>
      <w:bookmarkStart w:id="28" w:name="OLE_LINK13"/>
      <w:bookmarkStart w:id="29" w:name="_Toc28359016"/>
      <w:bookmarkStart w:id="30" w:name="_Toc35393633"/>
      <w:bookmarkStart w:id="31" w:name="_Toc35393802"/>
      <w:bookmarkStart w:id="32" w:name="_Toc28359093"/>
      <w:r>
        <w:rPr>
          <w:rFonts w:hint="eastAsia" w:ascii="宋体" w:hAnsi="宋体" w:cs="宋体"/>
          <w:color w:val="auto"/>
          <w:sz w:val="21"/>
          <w:szCs w:val="21"/>
          <w:highlight w:val="none"/>
        </w:rPr>
        <w:t>登录广西政府采购云平台在线提交</w:t>
      </w:r>
      <w:bookmarkEnd w:id="27"/>
      <w:bookmarkEnd w:id="28"/>
      <w:r>
        <w:rPr>
          <w:rFonts w:hint="eastAsia" w:ascii="宋体" w:hAnsi="宋体" w:cs="宋体"/>
          <w:color w:val="auto"/>
          <w:sz w:val="21"/>
          <w:szCs w:val="21"/>
          <w:highlight w:val="none"/>
        </w:rPr>
        <w:t>。</w:t>
      </w:r>
    </w:p>
    <w:p w14:paraId="1B701131">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9"/>
      <w:bookmarkEnd w:id="30"/>
      <w:bookmarkEnd w:id="31"/>
      <w:bookmarkEnd w:id="32"/>
    </w:p>
    <w:p w14:paraId="35503DAC">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5</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29</w:t>
      </w:r>
      <w:r>
        <w:rPr>
          <w:rFonts w:hint="eastAsia" w:ascii="宋体" w:hAnsi="宋体" w:cs="宋体"/>
          <w:color w:val="auto"/>
          <w:sz w:val="21"/>
          <w:szCs w:val="21"/>
          <w:highlight w:val="none"/>
          <w:u w:val="single"/>
          <w:lang w:eastAsia="zh-CN"/>
        </w:rPr>
        <w:t>日</w:t>
      </w:r>
      <w:r>
        <w:rPr>
          <w:rFonts w:hint="eastAsia" w:ascii="宋体" w:hAnsi="宋体" w:cs="宋体"/>
          <w:color w:val="auto"/>
          <w:sz w:val="21"/>
          <w:szCs w:val="21"/>
          <w:highlight w:val="none"/>
          <w:u w:val="single"/>
        </w:rPr>
        <w:t>上</w:t>
      </w:r>
      <w:r>
        <w:rPr>
          <w:rFonts w:ascii="宋体" w:hAnsi="宋体" w:cs="宋体"/>
          <w:color w:val="auto"/>
          <w:sz w:val="21"/>
          <w:szCs w:val="21"/>
          <w:highlight w:val="none"/>
          <w:u w:val="single"/>
        </w:rPr>
        <w:t>午</w:t>
      </w:r>
      <w:r>
        <w:rPr>
          <w:rFonts w:hint="eastAsia" w:ascii="宋体" w:hAnsi="宋体" w:cs="宋体"/>
          <w:color w:val="auto"/>
          <w:sz w:val="21"/>
          <w:szCs w:val="21"/>
          <w:highlight w:val="none"/>
          <w:u w:val="single"/>
        </w:rPr>
        <w:t>9</w:t>
      </w:r>
      <w:r>
        <w:rPr>
          <w:rFonts w:hint="eastAsia" w:ascii="宋体" w:hAnsi="宋体" w:cs="宋体"/>
          <w:bCs/>
          <w:color w:val="auto"/>
          <w:sz w:val="21"/>
          <w:szCs w:val="21"/>
          <w:highlight w:val="none"/>
          <w:u w:val="single"/>
        </w:rPr>
        <w:t>时30分</w:t>
      </w:r>
      <w:r>
        <w:rPr>
          <w:rFonts w:hint="eastAsia" w:ascii="宋体" w:hAnsi="宋体" w:cs="宋体"/>
          <w:bCs/>
          <w:color w:val="auto"/>
          <w:sz w:val="21"/>
          <w:szCs w:val="21"/>
          <w:highlight w:val="none"/>
        </w:rPr>
        <w:t>（北京时间）</w:t>
      </w:r>
    </w:p>
    <w:p w14:paraId="625AC427">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地点：</w:t>
      </w:r>
      <w:bookmarkStart w:id="33" w:name="_Toc35393634"/>
      <w:bookmarkStart w:id="34" w:name="_Toc35393803"/>
      <w:bookmarkStart w:id="35" w:name="_Toc28359017"/>
      <w:bookmarkStart w:id="36" w:name="_Toc28359094"/>
      <w:r>
        <w:rPr>
          <w:rFonts w:hint="eastAsia" w:ascii="宋体" w:hAnsi="宋体" w:cs="宋体"/>
          <w:color w:val="auto"/>
          <w:sz w:val="21"/>
          <w:szCs w:val="21"/>
          <w:highlight w:val="none"/>
        </w:rPr>
        <w:t>通过广西政府采购云平台在线解密开启。</w:t>
      </w:r>
    </w:p>
    <w:p w14:paraId="4F23EFBF">
      <w:pPr>
        <w:spacing w:line="400" w:lineRule="exact"/>
        <w:ind w:left="240" w:leftChars="100" w:firstLine="211" w:firstLineChars="100"/>
        <w:rPr>
          <w:rFonts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33"/>
      <w:bookmarkEnd w:id="34"/>
      <w:bookmarkEnd w:id="35"/>
      <w:bookmarkEnd w:id="36"/>
    </w:p>
    <w:p w14:paraId="30B15B96">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自本公告发布之日起5个工作日。</w:t>
      </w:r>
      <w:bookmarkStart w:id="37" w:name="_Toc35393804"/>
      <w:bookmarkStart w:id="38" w:name="_Toc35393635"/>
    </w:p>
    <w:p w14:paraId="1F13643C">
      <w:pPr>
        <w:numPr>
          <w:ilvl w:val="0"/>
          <w:numId w:val="3"/>
        </w:numPr>
        <w:spacing w:line="400" w:lineRule="exact"/>
        <w:ind w:firstLine="422"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7"/>
      <w:bookmarkEnd w:id="38"/>
    </w:p>
    <w:p w14:paraId="45F90400">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1.信息公告发布媒体：中国政府采购网（www.ccgp.gov.cn）、广西壮族自治区政府采购网（zfcg.gxzf.gov.cn）、桂林市政府采购网（zfcg.czj.guilin.gov.cn）。</w:t>
      </w:r>
    </w:p>
    <w:p w14:paraId="7D1B424C">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19CB56B2">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w:t>
      </w:r>
      <w:r>
        <w:rPr>
          <w:rFonts w:hint="eastAsia" w:ascii="宋体" w:hAnsi="宋体" w:cs="宋体"/>
          <w:color w:val="auto"/>
          <w:sz w:val="21"/>
          <w:szCs w:val="21"/>
          <w:highlight w:val="none"/>
        </w:rPr>
        <w:t>；</w:t>
      </w:r>
    </w:p>
    <w:p w14:paraId="28C9B286">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5CD27992">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118ECD67">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（4）强制采购政府强制采购节能产品；优先采购节能产品、环境标志产品；</w:t>
      </w:r>
    </w:p>
    <w:p w14:paraId="2E6AA975">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4CF3BA74">
      <w:pPr>
        <w:spacing w:line="400" w:lineRule="exact"/>
        <w:ind w:firstLine="420"/>
        <w:rPr>
          <w:rFonts w:ascii="宋体" w:hAnsi="宋体" w:cs="宋体"/>
          <w:color w:val="auto"/>
          <w:sz w:val="21"/>
          <w:szCs w:val="21"/>
          <w:highlight w:val="none"/>
        </w:rPr>
      </w:pPr>
      <w:bookmarkStart w:id="39" w:name="_Toc28359095"/>
      <w:bookmarkStart w:id="40" w:name="_Toc35393636"/>
      <w:bookmarkStart w:id="41" w:name="_Toc35393805"/>
      <w:bookmarkStart w:id="42" w:name="_Toc28359018"/>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3D44E2E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16C0E3C7">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（2）对在“信用中国”网站</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www.creditchina.gov.cn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、中国政府采购网</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www.ccgp.gov.cn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被列入失信被执行人、重大税收违法失信主体、政府采购严重违法失信行为记录名单及其他不符合《中华人民共和国政府采购法》第二十二条规定条件的供应商，不得参与政府采购活动。</w:t>
      </w:r>
    </w:p>
    <w:p w14:paraId="00EEFD72">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4.广西政府采购云平台电子竞标相关事宜：</w:t>
      </w:r>
    </w:p>
    <w:p w14:paraId="6B7DC212">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电子签章或电子签名；供应商应当在响应文件提交截止时间前在广西政府采购云平台</w:t>
      </w:r>
      <w:r>
        <w:rPr>
          <w:rFonts w:hint="eastAsia" w:ascii="宋体" w:hAnsi="宋体" w:cs="宋体"/>
          <w:bCs/>
          <w:color w:val="auto"/>
          <w:sz w:val="21"/>
          <w:szCs w:val="21"/>
          <w:highlight w:val="none"/>
          <w:lang w:eastAsia="zh-CN"/>
        </w:rPr>
        <w:t>完成</w:t>
      </w:r>
      <w:r>
        <w:rPr>
          <w:rFonts w:hint="eastAsia" w:ascii="宋体" w:hAnsi="宋体" w:cs="宋体"/>
          <w:bCs/>
          <w:color w:val="auto"/>
          <w:sz w:val="21"/>
          <w:szCs w:val="21"/>
          <w:highlight w:val="none"/>
        </w:rPr>
        <w:t>身份认证，确保能够对相关数据电文进行加密和使用电子签章；③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528B2D91">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（2）电子竞标具体操作流程参考《政府采购项目电子交易管理操作指南</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供应商》（详见桂林市政府采购网—采购资讯—重要通知）；如遇平台技术问题详询95763或者0771-3381253。</w:t>
      </w:r>
    </w:p>
    <w:p w14:paraId="405FF0D0">
      <w:pPr>
        <w:adjustRightInd w:val="0"/>
        <w:snapToGrid w:val="0"/>
        <w:spacing w:line="400" w:lineRule="exact"/>
        <w:ind w:firstLine="420"/>
        <w:rPr>
          <w:rFonts w:hint="eastAsia" w:ascii="宋体" w:hAnsi="宋体" w:cs="宋体"/>
          <w:color w:val="auto"/>
          <w:sz w:val="21"/>
          <w:szCs w:val="21"/>
          <w:highlight w:val="none"/>
        </w:rPr>
      </w:pPr>
      <w:r>
        <w:rPr>
          <w:rFonts w:hint="eastAsia" w:ascii="宋体" w:hAnsi="宋体" w:cs="宋体"/>
          <w:bCs/>
          <w:color w:val="auto"/>
          <w:sz w:val="21"/>
          <w:szCs w:val="21"/>
          <w:highlight w:val="none"/>
        </w:rPr>
        <w:t>（3）</w:t>
      </w:r>
      <w:r>
        <w:rPr>
          <w:rFonts w:hint="eastAsia" w:ascii="宋体" w:hAnsi="宋体" w:cs="宋体"/>
          <w:color w:val="auto"/>
          <w:kern w:val="0"/>
          <w:sz w:val="21"/>
          <w:szCs w:val="21"/>
          <w:highlight w:val="none"/>
        </w:rPr>
        <w:t>电子响应文件的制作、加密、</w:t>
      </w:r>
      <w:r>
        <w:rPr>
          <w:rFonts w:hint="eastAsia" w:ascii="宋体" w:hAnsi="宋体" w:cs="宋体"/>
          <w:color w:val="auto"/>
          <w:sz w:val="21"/>
          <w:szCs w:val="21"/>
          <w:highlight w:val="none"/>
        </w:rPr>
        <w:t>提交、解密等相关事宜详见第二章 “供应商须知”。</w:t>
      </w:r>
    </w:p>
    <w:p w14:paraId="233EAF19">
      <w:pPr>
        <w:adjustRightInd w:val="0"/>
        <w:snapToGrid w:val="0"/>
        <w:spacing w:line="400" w:lineRule="exact"/>
        <w:ind w:firstLine="420"/>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5.</w:t>
      </w:r>
      <w:r>
        <w:rPr>
          <w:rFonts w:hint="eastAsia" w:ascii="宋体" w:hAnsi="宋体" w:cs="宋体"/>
          <w:color w:val="auto"/>
          <w:kern w:val="0"/>
          <w:sz w:val="21"/>
          <w:szCs w:val="21"/>
          <w:highlight w:val="none"/>
        </w:rPr>
        <w:t>监督管理机构</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桂林市财政局    联系电话：0773-2816067</w:t>
      </w:r>
    </w:p>
    <w:p w14:paraId="3BA62CEF">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9"/>
      <w:bookmarkEnd w:id="40"/>
      <w:bookmarkEnd w:id="41"/>
      <w:bookmarkEnd w:id="42"/>
    </w:p>
    <w:p w14:paraId="7116B0B3">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1.采购人信息</w:t>
      </w:r>
    </w:p>
    <w:p w14:paraId="0E85C81A">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名    称：</w:t>
      </w:r>
      <w:r>
        <w:rPr>
          <w:rFonts w:hint="eastAsia" w:ascii="宋体" w:hAnsi="宋体"/>
          <w:color w:val="auto"/>
          <w:sz w:val="21"/>
          <w:szCs w:val="24"/>
          <w:highlight w:val="none"/>
        </w:rPr>
        <w:t>桂林市第十三中学</w:t>
      </w:r>
    </w:p>
    <w:p w14:paraId="3D5A57B3">
      <w:pPr>
        <w:spacing w:line="400" w:lineRule="exact"/>
        <w:ind w:firstLine="420"/>
        <w:rPr>
          <w:rFonts w:hint="eastAsia" w:ascii="宋体" w:hAnsi="宋体" w:cs="宋体"/>
          <w:color w:val="auto"/>
          <w:sz w:val="21"/>
          <w:szCs w:val="24"/>
          <w:highlight w:val="none"/>
        </w:rPr>
      </w:pPr>
      <w:r>
        <w:rPr>
          <w:rFonts w:hint="eastAsia" w:ascii="宋体" w:hAnsi="宋体" w:cs="宋体"/>
          <w:color w:val="auto"/>
          <w:sz w:val="21"/>
          <w:szCs w:val="24"/>
          <w:highlight w:val="none"/>
        </w:rPr>
        <w:t>地    址：</w:t>
      </w:r>
      <w:r>
        <w:rPr>
          <w:rFonts w:hint="eastAsia" w:ascii="宋体" w:hAnsi="宋体" w:cs="宋体"/>
          <w:color w:val="auto"/>
          <w:sz w:val="21"/>
          <w:szCs w:val="24"/>
          <w:highlight w:val="none"/>
        </w:rPr>
        <w:fldChar w:fldCharType="begin"/>
      </w:r>
      <w:r>
        <w:rPr>
          <w:rFonts w:hint="eastAsia" w:ascii="宋体" w:hAnsi="宋体" w:cs="宋体"/>
          <w:color w:val="auto"/>
          <w:sz w:val="21"/>
          <w:szCs w:val="24"/>
          <w:highlight w:val="none"/>
        </w:rPr>
        <w:instrText xml:space="preserve"> HYPERLINK "http://www.baidu.com/link?url=UwmCk_WYCpVhnt8WNof7ACl_V-BcuHdnc9oxKVvXEsbI2CToSKID4qiynhHKz-Z38MbVjKvByWjTTJcI2RD7rbRl6GsnVn8fYXLH2GfoBi9DlUD-8vG0C1H3df1tqvs0YbEEaHRhWrSt5fmFQ7QH_cbW3FN0dP4rhIC1gWdzpMlWF_CLZXb1gKhNq4-9Ng5JYSrG9uXH06Obo5Gm7nOqxaVqTJOe7X4tAv1-drHA9KDYcHvYcwq9BYmqbQz5kzMC4I9wT1fWdB2rVFaTfJvX1eWkIEZWgyn1ta2G0Wr4EpK" \t "_blank" </w:instrText>
      </w:r>
      <w:r>
        <w:rPr>
          <w:rFonts w:hint="eastAsia" w:ascii="宋体" w:hAnsi="宋体" w:cs="宋体"/>
          <w:color w:val="auto"/>
          <w:sz w:val="21"/>
          <w:szCs w:val="24"/>
          <w:highlight w:val="none"/>
        </w:rPr>
        <w:fldChar w:fldCharType="separate"/>
      </w:r>
      <w:r>
        <w:rPr>
          <w:rFonts w:hint="eastAsia" w:ascii="宋体" w:hAnsi="宋体" w:cs="宋体"/>
          <w:color w:val="auto"/>
          <w:sz w:val="21"/>
          <w:szCs w:val="24"/>
          <w:highlight w:val="none"/>
        </w:rPr>
        <w:t>广西壮族自治区桂林市秀峰区四会路9号</w:t>
      </w:r>
    </w:p>
    <w:p w14:paraId="4DE34817">
      <w:pPr>
        <w:spacing w:line="400" w:lineRule="exact"/>
        <w:ind w:firstLine="420"/>
        <w:rPr>
          <w:rFonts w:hint="default" w:ascii="宋体" w:hAnsi="宋体" w:cs="宋体"/>
          <w:color w:val="auto"/>
          <w:sz w:val="21"/>
          <w:szCs w:val="24"/>
          <w:highlight w:val="none"/>
          <w:lang w:val="en-US" w:eastAsia="zh-CN"/>
        </w:rPr>
      </w:pPr>
      <w:r>
        <w:rPr>
          <w:rFonts w:hint="eastAsia" w:ascii="宋体" w:hAnsi="宋体" w:cs="宋体"/>
          <w:color w:val="auto"/>
          <w:sz w:val="21"/>
          <w:szCs w:val="24"/>
          <w:highlight w:val="none"/>
        </w:rPr>
        <w:fldChar w:fldCharType="end"/>
      </w:r>
      <w:r>
        <w:rPr>
          <w:rFonts w:hint="eastAsia" w:ascii="宋体" w:hAnsi="宋体" w:cs="宋体"/>
          <w:color w:val="auto"/>
          <w:sz w:val="21"/>
          <w:szCs w:val="24"/>
          <w:highlight w:val="none"/>
        </w:rPr>
        <w:t>项目联系人</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曹维</w:t>
      </w:r>
    </w:p>
    <w:p w14:paraId="235180EF">
      <w:pPr>
        <w:spacing w:line="400" w:lineRule="exact"/>
        <w:ind w:firstLine="420"/>
        <w:rPr>
          <w:rFonts w:hint="default" w:ascii="宋体" w:hAnsi="宋体" w:cs="宋体"/>
          <w:color w:val="auto"/>
          <w:sz w:val="21"/>
          <w:szCs w:val="24"/>
          <w:highlight w:val="none"/>
          <w:lang w:val="en-US" w:eastAsia="zh-CN"/>
        </w:rPr>
      </w:pPr>
      <w:r>
        <w:rPr>
          <w:rFonts w:hint="eastAsia" w:ascii="宋体" w:hAnsi="宋体" w:cs="宋体"/>
          <w:color w:val="auto"/>
          <w:sz w:val="21"/>
          <w:szCs w:val="24"/>
          <w:highlight w:val="none"/>
        </w:rPr>
        <w:t>联系方式：</w:t>
      </w:r>
      <w:r>
        <w:rPr>
          <w:rFonts w:hint="eastAsia" w:ascii="宋体" w:hAnsi="宋体" w:cs="宋体"/>
          <w:color w:val="auto"/>
          <w:sz w:val="21"/>
          <w:szCs w:val="24"/>
          <w:highlight w:val="none"/>
          <w:lang w:val="en-US" w:eastAsia="zh-CN"/>
        </w:rPr>
        <w:t>0773-2801229</w:t>
      </w:r>
    </w:p>
    <w:p w14:paraId="08CC1DDB">
      <w:pPr>
        <w:spacing w:line="400" w:lineRule="exact"/>
        <w:ind w:firstLine="42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2.采购代理机构信息</w:t>
      </w:r>
    </w:p>
    <w:p w14:paraId="19A2038C">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名    称：云之龙咨询集团有限公司</w:t>
      </w:r>
    </w:p>
    <w:p w14:paraId="776ED30B">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地    址：广西桂林市临桂区西城北路2号耀辉•美好家园2幢12层1号房</w:t>
      </w:r>
    </w:p>
    <w:p w14:paraId="71A34E3F">
      <w:pPr>
        <w:spacing w:line="400" w:lineRule="exact"/>
        <w:ind w:firstLine="420"/>
        <w:rPr>
          <w:rFonts w:hint="eastAsia" w:ascii="宋体" w:hAnsi="宋体" w:eastAsia="宋体" w:cs="宋体"/>
          <w:color w:val="auto"/>
          <w:sz w:val="21"/>
          <w:szCs w:val="24"/>
          <w:highlight w:val="none"/>
          <w:lang w:eastAsia="zh-CN"/>
        </w:rPr>
      </w:pPr>
      <w:r>
        <w:rPr>
          <w:rFonts w:hint="eastAsia" w:ascii="宋体" w:hAnsi="宋体" w:cs="宋体"/>
          <w:color w:val="auto"/>
          <w:sz w:val="21"/>
          <w:szCs w:val="20"/>
          <w:highlight w:val="none"/>
        </w:rPr>
        <w:t>项目联系人：</w:t>
      </w:r>
      <w:r>
        <w:rPr>
          <w:rFonts w:hint="eastAsia" w:ascii="宋体" w:hAnsi="宋体" w:cs="宋体"/>
          <w:color w:val="auto"/>
          <w:sz w:val="21"/>
          <w:szCs w:val="20"/>
          <w:highlight w:val="none"/>
          <w:lang w:eastAsia="zh-CN"/>
        </w:rPr>
        <w:t>李贞</w:t>
      </w:r>
    </w:p>
    <w:p w14:paraId="20FDAD77">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项目联系方式：</w:t>
      </w:r>
      <w:bookmarkStart w:id="43" w:name="OLE_LINK9"/>
      <w:r>
        <w:rPr>
          <w:rFonts w:hint="eastAsia" w:ascii="宋体" w:hAnsi="宋体" w:cs="宋体"/>
          <w:color w:val="auto"/>
          <w:sz w:val="21"/>
          <w:szCs w:val="24"/>
          <w:highlight w:val="none"/>
        </w:rPr>
        <w:t>0773-2887388</w:t>
      </w:r>
      <w:bookmarkEnd w:id="43"/>
      <w:r>
        <w:rPr>
          <w:rFonts w:hint="eastAsia" w:ascii="宋体" w:hAnsi="宋体" w:cs="宋体"/>
          <w:color w:val="auto"/>
          <w:sz w:val="21"/>
          <w:szCs w:val="24"/>
          <w:highlight w:val="none"/>
        </w:rPr>
        <w:t xml:space="preserve">、2887399 </w:t>
      </w:r>
    </w:p>
    <w:p w14:paraId="3EF47B55">
      <w:pPr>
        <w:widowControl/>
        <w:spacing w:line="240" w:lineRule="auto"/>
        <w:ind w:firstLine="0" w:firstLineChars="0"/>
        <w:jc w:val="left"/>
        <w:rPr>
          <w:rFonts w:ascii="宋体" w:hAnsi="宋体" w:cs="宋体"/>
          <w:bCs/>
          <w:color w:val="auto"/>
          <w:szCs w:val="21"/>
          <w:highlight w:val="none"/>
        </w:rPr>
      </w:pPr>
      <w:r>
        <w:rPr>
          <w:rFonts w:ascii="宋体" w:hAnsi="宋体" w:cs="宋体"/>
          <w:bCs/>
          <w:color w:val="auto"/>
          <w:szCs w:val="21"/>
          <w:highlight w:val="none"/>
        </w:rPr>
        <w:br w:type="page"/>
      </w:r>
    </w:p>
    <w:bookmarkEnd w:id="2"/>
    <w:bookmarkEnd w:id="3"/>
    <w:p w14:paraId="442C4232">
      <w:pPr>
        <w:numPr>
          <w:ilvl w:val="0"/>
          <w:numId w:val="4"/>
        </w:numPr>
        <w:spacing w:line="360" w:lineRule="exact"/>
        <w:ind w:left="1077" w:hanging="1077" w:firstLineChars="0"/>
        <w:jc w:val="center"/>
        <w:outlineLvl w:val="1"/>
        <w:rPr>
          <w:rFonts w:ascii="宋体" w:hAnsi="宋体" w:cs="宋体"/>
          <w:b/>
          <w:color w:val="auto"/>
          <w:kern w:val="0"/>
          <w:sz w:val="32"/>
          <w:szCs w:val="32"/>
          <w:highlight w:val="none"/>
        </w:rPr>
      </w:pPr>
      <w:bookmarkStart w:id="44" w:name="_Toc82016586"/>
      <w:r>
        <w:rPr>
          <w:rFonts w:hint="eastAsia" w:ascii="宋体" w:hAnsi="宋体" w:cs="宋体"/>
          <w:b/>
          <w:color w:val="auto"/>
          <w:kern w:val="0"/>
          <w:sz w:val="32"/>
          <w:szCs w:val="32"/>
          <w:highlight w:val="none"/>
        </w:rPr>
        <w:t>供应商须知</w:t>
      </w:r>
      <w:bookmarkEnd w:id="44"/>
    </w:p>
    <w:p w14:paraId="70F45B97">
      <w:pPr>
        <w:tabs>
          <w:tab w:val="left" w:pos="1065"/>
          <w:tab w:val="center" w:pos="4411"/>
        </w:tabs>
        <w:spacing w:line="360" w:lineRule="exact"/>
        <w:ind w:firstLine="482"/>
        <w:jc w:val="center"/>
        <w:rPr>
          <w:rFonts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816"/>
        <w:gridCol w:w="1324"/>
        <w:gridCol w:w="6586"/>
      </w:tblGrid>
      <w:tr w14:paraId="132C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96AB17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816" w:type="dxa"/>
            <w:vAlign w:val="center"/>
          </w:tcPr>
          <w:p w14:paraId="3D279ED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条款号</w:t>
            </w:r>
          </w:p>
        </w:tc>
        <w:tc>
          <w:tcPr>
            <w:tcW w:w="1324" w:type="dxa"/>
            <w:vAlign w:val="center"/>
          </w:tcPr>
          <w:p w14:paraId="3404775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条款名称</w:t>
            </w:r>
          </w:p>
        </w:tc>
        <w:tc>
          <w:tcPr>
            <w:tcW w:w="6586" w:type="dxa"/>
            <w:vAlign w:val="center"/>
          </w:tcPr>
          <w:p w14:paraId="2A622B8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内容、要求</w:t>
            </w:r>
          </w:p>
        </w:tc>
      </w:tr>
      <w:tr w14:paraId="133C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4769CD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816" w:type="dxa"/>
            <w:vAlign w:val="center"/>
          </w:tcPr>
          <w:p w14:paraId="456C327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324" w:type="dxa"/>
            <w:vAlign w:val="center"/>
          </w:tcPr>
          <w:p w14:paraId="62D8957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项目名称及项目编号</w:t>
            </w:r>
          </w:p>
        </w:tc>
        <w:tc>
          <w:tcPr>
            <w:tcW w:w="6586" w:type="dxa"/>
            <w:vAlign w:val="center"/>
          </w:tcPr>
          <w:p w14:paraId="29EB8DDD">
            <w:pPr>
              <w:spacing w:line="340" w:lineRule="exact"/>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rPr>
              <w:t>桂林市第十三中学校园操场改造及校园硅PU篮球场项目</w:t>
            </w:r>
          </w:p>
          <w:p w14:paraId="4CAE2CA1">
            <w:pPr>
              <w:spacing w:line="340" w:lineRule="exact"/>
              <w:ind w:firstLine="0" w:firstLineChars="0"/>
              <w:jc w:val="left"/>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项目编号：GLZC2026-C2-990171-YZLZ</w:t>
            </w:r>
          </w:p>
          <w:p w14:paraId="50F2F20E">
            <w:pPr>
              <w:spacing w:line="340" w:lineRule="exact"/>
              <w:ind w:firstLine="0" w:firstLineChars="0"/>
              <w:jc w:val="left"/>
              <w:rPr>
                <w:rFonts w:hint="eastAsia" w:ascii="宋体" w:hAnsi="宋体" w:eastAsia="宋体" w:cs="宋体"/>
                <w:color w:val="auto"/>
                <w:kern w:val="0"/>
                <w:sz w:val="21"/>
                <w:szCs w:val="24"/>
                <w:highlight w:val="none"/>
                <w:lang w:eastAsia="zh-CN"/>
              </w:rPr>
            </w:pPr>
            <w:r>
              <w:rPr>
                <w:rFonts w:hint="eastAsia" w:ascii="宋体" w:hAnsi="宋体" w:cs="宋体"/>
                <w:color w:val="auto"/>
                <w:sz w:val="21"/>
                <w:szCs w:val="21"/>
                <w:highlight w:val="none"/>
              </w:rPr>
              <w:t>代理编号：YZLGL2026-C2-026-GLZC</w:t>
            </w:r>
          </w:p>
        </w:tc>
      </w:tr>
      <w:tr w14:paraId="3FCC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88" w:type="dxa"/>
            <w:vAlign w:val="center"/>
          </w:tcPr>
          <w:p w14:paraId="2372651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816" w:type="dxa"/>
            <w:vAlign w:val="center"/>
          </w:tcPr>
          <w:p w14:paraId="769BCFA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324" w:type="dxa"/>
            <w:vAlign w:val="center"/>
          </w:tcPr>
          <w:p w14:paraId="527B413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6586" w:type="dxa"/>
            <w:vAlign w:val="center"/>
          </w:tcPr>
          <w:p w14:paraId="5D82CB40">
            <w:pPr>
              <w:spacing w:line="340" w:lineRule="exact"/>
              <w:ind w:firstLine="0" w:firstLineChars="0"/>
              <w:jc w:val="left"/>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3.1满足《中华人民共和国政府采购法》第二十二条规定。</w:t>
            </w:r>
          </w:p>
          <w:p w14:paraId="7DBC4D62">
            <w:pPr>
              <w:spacing w:line="340" w:lineRule="exact"/>
              <w:ind w:firstLine="0" w:firstLineChars="0"/>
              <w:jc w:val="left"/>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3.2落实政府采购政策需满足的资格要求：</w:t>
            </w:r>
            <w:r>
              <w:rPr>
                <w:rFonts w:hint="eastAsia" w:ascii="宋体" w:hAnsi="宋体" w:cs="宋体"/>
                <w:color w:val="auto"/>
                <w:sz w:val="21"/>
                <w:szCs w:val="24"/>
                <w:highlight w:val="none"/>
              </w:rPr>
              <w:t>本项目专门面向小微企业采购。供应商应符合《政府采购促进中小企业发展管理办法》（财库﹝2020﹞46号）第二条规定，根据《关于政府采购支持监狱企业发展有关问题的通知》</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财库〔2014〕68号</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及《关于促进残疾人就业政府采购政策的通知》</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财库〔2017〕141号</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规定，监狱企业、残疾人福利性单位视同小型、微型企业。</w:t>
            </w:r>
          </w:p>
          <w:p w14:paraId="53757DFD">
            <w:pPr>
              <w:spacing w:line="340" w:lineRule="exact"/>
              <w:ind w:left="0" w:leftChars="0" w:firstLine="0" w:firstLineChars="0"/>
              <w:jc w:val="left"/>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3.3本项目的特定资格要求：</w:t>
            </w:r>
          </w:p>
          <w:p w14:paraId="06221F01">
            <w:pPr>
              <w:spacing w:line="340" w:lineRule="exact"/>
              <w:ind w:firstLine="0" w:firstLineChars="0"/>
              <w:jc w:val="left"/>
              <w:rPr>
                <w:rFonts w:hint="eastAsia" w:ascii="宋体" w:hAnsi="宋体" w:cs="宋体"/>
                <w:color w:val="auto"/>
                <w:sz w:val="21"/>
                <w:szCs w:val="24"/>
                <w:highlight w:val="none"/>
              </w:rPr>
            </w:pP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1</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供应商须具备建筑工程施工总承包三级以上（含三级）资质，同时具备有效的安全生产许可证，并在人员、设备、资金等方面具有相应的履约能力。</w:t>
            </w:r>
          </w:p>
          <w:p w14:paraId="1516FDC4">
            <w:pPr>
              <w:spacing w:line="340" w:lineRule="exact"/>
              <w:ind w:firstLine="0" w:firstLineChars="0"/>
              <w:jc w:val="left"/>
              <w:rPr>
                <w:rFonts w:hint="eastAsia" w:ascii="宋体" w:hAnsi="宋体" w:cs="宋体"/>
                <w:color w:val="auto"/>
                <w:sz w:val="21"/>
                <w:szCs w:val="24"/>
                <w:highlight w:val="none"/>
                <w:lang w:eastAsia="zh-CN"/>
              </w:rPr>
            </w:pP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2</w:t>
            </w:r>
            <w:r>
              <w:rPr>
                <w:rFonts w:hint="eastAsia" w:ascii="宋体" w:hAnsi="宋体" w:cs="宋体"/>
                <w:color w:val="auto"/>
                <w:sz w:val="21"/>
                <w:szCs w:val="24"/>
                <w:highlight w:val="none"/>
                <w:lang w:eastAsia="zh-CN"/>
              </w:rPr>
              <w:t>）供应商提供</w:t>
            </w:r>
            <w:r>
              <w:rPr>
                <w:rFonts w:hint="eastAsia" w:ascii="宋体" w:hAnsi="宋体" w:cs="宋体"/>
                <w:bCs w:val="0"/>
                <w:color w:val="auto"/>
                <w:sz w:val="21"/>
                <w:szCs w:val="24"/>
                <w:highlight w:val="none"/>
              </w:rPr>
              <w:t>项目管理机构组成表</w:t>
            </w:r>
            <w:r>
              <w:rPr>
                <w:rFonts w:hint="eastAsia" w:ascii="宋体" w:hAnsi="宋体" w:cs="宋体"/>
                <w:color w:val="auto"/>
                <w:sz w:val="21"/>
                <w:szCs w:val="24"/>
                <w:highlight w:val="none"/>
                <w:lang w:eastAsia="zh-CN"/>
              </w:rPr>
              <w:t>，且</w:t>
            </w:r>
            <w:r>
              <w:rPr>
                <w:rFonts w:hint="eastAsia" w:ascii="宋体" w:hAnsi="宋体" w:cs="宋体"/>
                <w:bCs w:val="0"/>
                <w:color w:val="auto"/>
                <w:sz w:val="21"/>
                <w:szCs w:val="24"/>
                <w:highlight w:val="none"/>
                <w:lang w:eastAsia="zh-CN"/>
              </w:rPr>
              <w:t>须满足以下最低人员配备要求</w:t>
            </w:r>
            <w:r>
              <w:rPr>
                <w:rFonts w:hint="eastAsia" w:ascii="宋体" w:hAnsi="宋体" w:cs="宋体"/>
                <w:color w:val="auto"/>
                <w:sz w:val="21"/>
                <w:szCs w:val="24"/>
                <w:highlight w:val="none"/>
                <w:lang w:eastAsia="zh-CN"/>
              </w:rPr>
              <w:t>：</w:t>
            </w:r>
          </w:p>
          <w:p w14:paraId="547A620C">
            <w:pPr>
              <w:spacing w:line="340" w:lineRule="exact"/>
              <w:ind w:firstLine="0" w:firstLineChars="0"/>
              <w:jc w:val="left"/>
              <w:rPr>
                <w:rFonts w:hint="eastAsia" w:ascii="宋体" w:hAnsi="宋体" w:cs="宋体"/>
                <w:color w:val="auto"/>
                <w:sz w:val="21"/>
                <w:szCs w:val="24"/>
                <w:highlight w:val="none"/>
              </w:rPr>
            </w:pPr>
            <w:r>
              <w:rPr>
                <w:rFonts w:hint="eastAsia" w:ascii="宋体" w:hAnsi="宋体" w:cs="宋体"/>
                <w:color w:val="auto"/>
                <w:sz w:val="21"/>
                <w:szCs w:val="24"/>
                <w:highlight w:val="none"/>
                <w:lang w:eastAsia="zh-CN"/>
              </w:rPr>
              <w:t>①</w:t>
            </w:r>
            <w:r>
              <w:rPr>
                <w:rFonts w:hint="eastAsia" w:ascii="宋体" w:hAnsi="宋体" w:cs="宋体"/>
                <w:color w:val="auto"/>
                <w:sz w:val="21"/>
                <w:szCs w:val="24"/>
                <w:highlight w:val="none"/>
              </w:rPr>
              <w:t>项目经理</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1人</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拟投入</w:t>
            </w:r>
            <w:r>
              <w:rPr>
                <w:rFonts w:hint="eastAsia" w:ascii="宋体" w:hAnsi="宋体" w:cs="宋体"/>
                <w:color w:val="auto"/>
                <w:sz w:val="21"/>
                <w:szCs w:val="24"/>
                <w:highlight w:val="none"/>
                <w:lang w:eastAsia="zh-CN"/>
              </w:rPr>
              <w:t>的</w:t>
            </w:r>
            <w:r>
              <w:rPr>
                <w:rFonts w:hint="eastAsia" w:ascii="宋体" w:hAnsi="宋体" w:cs="宋体"/>
                <w:color w:val="auto"/>
                <w:sz w:val="21"/>
                <w:szCs w:val="24"/>
                <w:highlight w:val="none"/>
              </w:rPr>
              <w:t>项目经理必须具备建筑工程专业二级以上（含二级）注册建造师执业资格，具备有效的安全生产考核合格证书（B类）</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rPr>
              <w:t>身份证</w:t>
            </w:r>
            <w:r>
              <w:rPr>
                <w:rFonts w:hint="eastAsia" w:ascii="宋体" w:hAnsi="宋体" w:cs="宋体"/>
                <w:color w:val="auto"/>
                <w:sz w:val="21"/>
                <w:szCs w:val="24"/>
                <w:highlight w:val="none"/>
              </w:rPr>
              <w:t>，且未拟派其他在建、已中标（或成交）未开工或已列为其他项目中标（或成交）候选人第一名的建造师作为项目经理（符合桂建管﹝2013﹞17号文及桂建管﹝2016﹞70号</w:t>
            </w:r>
            <w:r>
              <w:rPr>
                <w:rFonts w:hint="eastAsia" w:ascii="宋体" w:hAnsi="宋体" w:cs="宋体"/>
                <w:color w:val="auto"/>
                <w:sz w:val="21"/>
                <w:szCs w:val="24"/>
                <w:highlight w:val="none"/>
                <w:lang w:eastAsia="zh-CN"/>
              </w:rPr>
              <w:t>文</w:t>
            </w:r>
            <w:r>
              <w:rPr>
                <w:rFonts w:hint="eastAsia" w:ascii="宋体" w:hAnsi="宋体" w:cs="宋体"/>
                <w:color w:val="auto"/>
                <w:sz w:val="21"/>
                <w:szCs w:val="24"/>
                <w:highlight w:val="none"/>
              </w:rPr>
              <w:t>除外）。</w:t>
            </w:r>
          </w:p>
          <w:p w14:paraId="1B797120">
            <w:pPr>
              <w:spacing w:line="340" w:lineRule="exact"/>
              <w:ind w:firstLine="0" w:firstLineChars="0"/>
              <w:jc w:val="left"/>
              <w:rPr>
                <w:rFonts w:hint="eastAsia" w:ascii="宋体" w:hAnsi="宋体" w:cs="宋体"/>
                <w:bCs w:val="0"/>
                <w:color w:val="auto"/>
                <w:sz w:val="21"/>
                <w:szCs w:val="24"/>
                <w:highlight w:val="none"/>
                <w:lang w:eastAsia="zh-CN"/>
              </w:rPr>
            </w:pPr>
            <w:r>
              <w:rPr>
                <w:rFonts w:hint="eastAsia" w:ascii="宋体" w:hAnsi="宋体" w:cs="宋体"/>
                <w:color w:val="auto"/>
                <w:sz w:val="21"/>
                <w:szCs w:val="24"/>
                <w:highlight w:val="none"/>
                <w:lang w:eastAsia="zh-CN"/>
              </w:rPr>
              <w:t>②</w:t>
            </w:r>
            <w:r>
              <w:rPr>
                <w:rFonts w:hint="eastAsia" w:ascii="宋体" w:hAnsi="宋体" w:cs="宋体"/>
                <w:bCs w:val="0"/>
                <w:color w:val="auto"/>
                <w:sz w:val="21"/>
                <w:szCs w:val="24"/>
                <w:highlight w:val="none"/>
              </w:rPr>
              <w:t>技术负责人</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lang w:val="en-US" w:eastAsia="zh-CN"/>
              </w:rPr>
              <w:t>1人</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lang w:eastAsia="zh-CN"/>
              </w:rPr>
              <w:t>：</w:t>
            </w:r>
            <w:r>
              <w:rPr>
                <w:rFonts w:hint="eastAsia" w:ascii="宋体" w:hAnsi="宋体" w:cs="宋体"/>
                <w:color w:val="auto"/>
                <w:sz w:val="21"/>
                <w:szCs w:val="24"/>
                <w:highlight w:val="none"/>
              </w:rPr>
              <w:t>拟投入</w:t>
            </w:r>
            <w:r>
              <w:rPr>
                <w:rFonts w:hint="eastAsia" w:ascii="宋体" w:hAnsi="宋体" w:cs="宋体"/>
                <w:color w:val="auto"/>
                <w:sz w:val="21"/>
                <w:szCs w:val="24"/>
                <w:highlight w:val="none"/>
                <w:lang w:eastAsia="zh-CN"/>
              </w:rPr>
              <w:t>的</w:t>
            </w:r>
            <w:r>
              <w:rPr>
                <w:rFonts w:hint="eastAsia" w:ascii="宋体" w:hAnsi="宋体" w:cs="宋体"/>
                <w:bCs w:val="0"/>
                <w:color w:val="auto"/>
                <w:sz w:val="21"/>
                <w:szCs w:val="24"/>
                <w:highlight w:val="none"/>
              </w:rPr>
              <w:t>技术负责人</w:t>
            </w:r>
            <w:r>
              <w:rPr>
                <w:rFonts w:hint="eastAsia" w:ascii="宋体" w:hAnsi="宋体" w:cs="宋体"/>
                <w:bCs w:val="0"/>
                <w:color w:val="auto"/>
                <w:sz w:val="21"/>
                <w:szCs w:val="24"/>
                <w:highlight w:val="none"/>
                <w:lang w:eastAsia="zh-CN"/>
              </w:rPr>
              <w:t>须具有相关专业中级及以上职称</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rPr>
              <w:t>身份证</w:t>
            </w:r>
            <w:r>
              <w:rPr>
                <w:rFonts w:hint="eastAsia" w:ascii="宋体" w:hAnsi="宋体" w:cs="宋体"/>
                <w:bCs w:val="0"/>
                <w:color w:val="auto"/>
                <w:sz w:val="21"/>
                <w:szCs w:val="24"/>
                <w:highlight w:val="none"/>
                <w:lang w:eastAsia="zh-CN"/>
              </w:rPr>
              <w:t>。</w:t>
            </w:r>
          </w:p>
          <w:p w14:paraId="273DD05F">
            <w:pPr>
              <w:spacing w:line="340" w:lineRule="exact"/>
              <w:ind w:firstLine="0" w:firstLineChars="0"/>
              <w:jc w:val="left"/>
              <w:rPr>
                <w:rFonts w:hint="eastAsia" w:ascii="宋体" w:hAnsi="宋体" w:cs="宋体"/>
                <w:bCs w:val="0"/>
                <w:color w:val="auto"/>
                <w:sz w:val="21"/>
                <w:szCs w:val="24"/>
                <w:highlight w:val="none"/>
                <w:lang w:eastAsia="zh-CN"/>
              </w:rPr>
            </w:pPr>
            <w:r>
              <w:rPr>
                <w:rFonts w:hint="eastAsia" w:ascii="宋体" w:hAnsi="宋体" w:cs="宋体"/>
                <w:bCs w:val="0"/>
                <w:color w:val="auto"/>
                <w:sz w:val="21"/>
                <w:szCs w:val="24"/>
                <w:highlight w:val="none"/>
                <w:lang w:eastAsia="zh-CN"/>
              </w:rPr>
              <w:t>③</w:t>
            </w:r>
            <w:r>
              <w:rPr>
                <w:rFonts w:hint="eastAsia" w:ascii="宋体" w:hAnsi="宋体" w:cs="宋体"/>
                <w:bCs w:val="0"/>
                <w:color w:val="auto"/>
                <w:sz w:val="21"/>
                <w:szCs w:val="24"/>
                <w:highlight w:val="none"/>
              </w:rPr>
              <w:t>专职安全生产管理人员</w:t>
            </w:r>
            <w:r>
              <w:rPr>
                <w:rFonts w:hint="eastAsia" w:ascii="宋体" w:hAnsi="宋体" w:cs="宋体"/>
                <w:bCs w:val="0"/>
                <w:color w:val="auto"/>
                <w:sz w:val="21"/>
                <w:szCs w:val="24"/>
                <w:highlight w:val="none"/>
                <w:lang w:eastAsia="zh-CN"/>
              </w:rPr>
              <w:t>（</w:t>
            </w:r>
            <w:r>
              <w:rPr>
                <w:rFonts w:hint="eastAsia" w:ascii="宋体" w:hAnsi="宋体" w:cs="宋体"/>
                <w:bCs w:val="0"/>
                <w:color w:val="auto"/>
                <w:sz w:val="21"/>
                <w:szCs w:val="24"/>
                <w:highlight w:val="none"/>
                <w:lang w:val="en-US" w:eastAsia="zh-CN"/>
              </w:rPr>
              <w:t>1人</w:t>
            </w:r>
            <w:r>
              <w:rPr>
                <w:rFonts w:hint="eastAsia" w:ascii="宋体" w:hAnsi="宋体" w:cs="宋体"/>
                <w:bCs w:val="0"/>
                <w:color w:val="auto"/>
                <w:sz w:val="21"/>
                <w:szCs w:val="24"/>
                <w:highlight w:val="none"/>
                <w:lang w:eastAsia="zh-CN"/>
              </w:rPr>
              <w:t>）：</w:t>
            </w:r>
            <w:r>
              <w:rPr>
                <w:rFonts w:hint="eastAsia" w:ascii="宋体" w:hAnsi="宋体" w:cs="宋体"/>
                <w:color w:val="auto"/>
                <w:sz w:val="21"/>
                <w:szCs w:val="24"/>
                <w:highlight w:val="none"/>
              </w:rPr>
              <w:t>拟投入</w:t>
            </w:r>
            <w:r>
              <w:rPr>
                <w:rFonts w:hint="eastAsia" w:ascii="宋体" w:hAnsi="宋体" w:cs="宋体"/>
                <w:color w:val="auto"/>
                <w:sz w:val="21"/>
                <w:szCs w:val="24"/>
                <w:highlight w:val="none"/>
                <w:lang w:eastAsia="zh-CN"/>
              </w:rPr>
              <w:t>的</w:t>
            </w:r>
            <w:r>
              <w:rPr>
                <w:rFonts w:hint="eastAsia" w:ascii="宋体" w:hAnsi="宋体" w:cs="宋体"/>
                <w:bCs w:val="0"/>
                <w:color w:val="auto"/>
                <w:sz w:val="21"/>
                <w:szCs w:val="24"/>
                <w:highlight w:val="none"/>
              </w:rPr>
              <w:t>专职安全生产管理人员</w:t>
            </w:r>
            <w:r>
              <w:rPr>
                <w:rFonts w:hint="eastAsia" w:ascii="宋体" w:hAnsi="宋体" w:cs="宋体"/>
                <w:bCs w:val="0"/>
                <w:color w:val="auto"/>
                <w:sz w:val="21"/>
                <w:szCs w:val="24"/>
                <w:highlight w:val="none"/>
                <w:lang w:eastAsia="zh-CN"/>
              </w:rPr>
              <w:t>须具有</w:t>
            </w:r>
            <w:r>
              <w:rPr>
                <w:rFonts w:hint="eastAsia" w:ascii="宋体" w:hAnsi="宋体" w:cs="宋体"/>
                <w:bCs w:val="0"/>
                <w:color w:val="auto"/>
                <w:sz w:val="21"/>
                <w:szCs w:val="24"/>
                <w:highlight w:val="none"/>
              </w:rPr>
              <w:t>相应有效的专职安全员安全生产考核合格证书（C类）</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rPr>
              <w:t>身份证</w:t>
            </w:r>
            <w:r>
              <w:rPr>
                <w:rFonts w:hint="eastAsia" w:ascii="宋体" w:hAnsi="宋体" w:cs="宋体"/>
                <w:bCs w:val="0"/>
                <w:color w:val="auto"/>
                <w:sz w:val="21"/>
                <w:szCs w:val="24"/>
                <w:highlight w:val="none"/>
                <w:lang w:eastAsia="zh-CN"/>
              </w:rPr>
              <w:t>。</w:t>
            </w:r>
          </w:p>
          <w:p w14:paraId="74F9C368">
            <w:pPr>
              <w:spacing w:line="340" w:lineRule="exact"/>
              <w:ind w:firstLine="0" w:firstLineChars="0"/>
              <w:jc w:val="left"/>
              <w:rPr>
                <w:rFonts w:hint="eastAsia" w:ascii="宋体" w:hAnsi="宋体" w:cs="宋体"/>
                <w:bCs w:val="0"/>
                <w:color w:val="auto"/>
                <w:sz w:val="21"/>
                <w:szCs w:val="24"/>
                <w:highlight w:val="none"/>
                <w:lang w:eastAsia="zh-CN"/>
              </w:rPr>
            </w:pPr>
            <w:r>
              <w:rPr>
                <w:rFonts w:hint="eastAsia" w:ascii="宋体" w:hAnsi="宋体" w:cs="宋体"/>
                <w:bCs w:val="0"/>
                <w:color w:val="auto"/>
                <w:sz w:val="21"/>
                <w:szCs w:val="24"/>
                <w:highlight w:val="none"/>
                <w:lang w:eastAsia="zh-CN"/>
              </w:rPr>
              <w:t>④</w:t>
            </w:r>
            <w:r>
              <w:rPr>
                <w:rFonts w:hint="eastAsia" w:ascii="宋体" w:hAnsi="宋体" w:cs="宋体"/>
                <w:bCs w:val="0"/>
                <w:color w:val="auto"/>
                <w:sz w:val="21"/>
                <w:szCs w:val="24"/>
                <w:highlight w:val="none"/>
              </w:rPr>
              <w:t>施工员、质量员、材料员</w:t>
            </w:r>
            <w:r>
              <w:rPr>
                <w:rFonts w:hint="eastAsia" w:ascii="宋体" w:hAnsi="宋体" w:cs="宋体"/>
                <w:bCs w:val="0"/>
                <w:color w:val="auto"/>
                <w:sz w:val="21"/>
                <w:szCs w:val="24"/>
                <w:highlight w:val="none"/>
                <w:lang w:eastAsia="zh-CN"/>
              </w:rPr>
              <w:t>（各配备</w:t>
            </w:r>
            <w:r>
              <w:rPr>
                <w:rFonts w:hint="eastAsia" w:ascii="宋体" w:hAnsi="宋体" w:cs="宋体"/>
                <w:bCs w:val="0"/>
                <w:color w:val="auto"/>
                <w:sz w:val="21"/>
                <w:szCs w:val="24"/>
                <w:highlight w:val="none"/>
                <w:lang w:val="en-US" w:eastAsia="zh-CN"/>
              </w:rPr>
              <w:t>1人</w:t>
            </w:r>
            <w:r>
              <w:rPr>
                <w:rFonts w:hint="eastAsia" w:ascii="宋体" w:hAnsi="宋体" w:cs="宋体"/>
                <w:bCs w:val="0"/>
                <w:color w:val="auto"/>
                <w:sz w:val="21"/>
                <w:szCs w:val="24"/>
                <w:highlight w:val="none"/>
                <w:lang w:eastAsia="zh-CN"/>
              </w:rPr>
              <w:t>）：拟投入的</w:t>
            </w:r>
            <w:r>
              <w:rPr>
                <w:rFonts w:hint="eastAsia" w:ascii="宋体" w:hAnsi="宋体" w:cs="宋体"/>
                <w:bCs w:val="0"/>
                <w:color w:val="auto"/>
                <w:sz w:val="21"/>
                <w:szCs w:val="24"/>
                <w:highlight w:val="none"/>
              </w:rPr>
              <w:t>施工员、质量员、材料员</w:t>
            </w:r>
            <w:r>
              <w:rPr>
                <w:rFonts w:hint="eastAsia" w:ascii="宋体" w:hAnsi="宋体" w:cs="宋体"/>
                <w:bCs w:val="0"/>
                <w:color w:val="auto"/>
                <w:sz w:val="21"/>
                <w:szCs w:val="24"/>
                <w:highlight w:val="none"/>
                <w:lang w:eastAsia="zh-CN"/>
              </w:rPr>
              <w:t>须具有</w:t>
            </w:r>
            <w:r>
              <w:rPr>
                <w:rFonts w:hint="eastAsia" w:ascii="宋体" w:hAnsi="宋体" w:cs="宋体"/>
                <w:bCs w:val="0"/>
                <w:color w:val="auto"/>
                <w:sz w:val="21"/>
                <w:szCs w:val="24"/>
                <w:highlight w:val="none"/>
              </w:rPr>
              <w:t>相应有效的施工现场专业人员职业培训合格证书</w:t>
            </w:r>
            <w:r>
              <w:rPr>
                <w:rFonts w:hint="eastAsia" w:ascii="宋体" w:hAnsi="宋体" w:cs="宋体"/>
                <w:bCs w:val="0"/>
                <w:color w:val="auto"/>
                <w:sz w:val="21"/>
                <w:szCs w:val="24"/>
                <w:highlight w:val="none"/>
                <w:lang w:eastAsia="zh-CN"/>
              </w:rPr>
              <w:t>、</w:t>
            </w:r>
            <w:r>
              <w:rPr>
                <w:rFonts w:hint="eastAsia" w:ascii="宋体" w:hAnsi="宋体" w:cs="宋体"/>
                <w:bCs w:val="0"/>
                <w:color w:val="auto"/>
                <w:sz w:val="21"/>
                <w:szCs w:val="24"/>
                <w:highlight w:val="none"/>
              </w:rPr>
              <w:t>身份证</w:t>
            </w:r>
            <w:r>
              <w:rPr>
                <w:rFonts w:hint="eastAsia" w:ascii="宋体" w:hAnsi="宋体" w:cs="宋体"/>
                <w:bCs w:val="0"/>
                <w:color w:val="auto"/>
                <w:sz w:val="21"/>
                <w:szCs w:val="24"/>
                <w:highlight w:val="none"/>
                <w:lang w:eastAsia="zh-CN"/>
              </w:rPr>
              <w:t>。</w:t>
            </w:r>
          </w:p>
          <w:p w14:paraId="3BF1A176">
            <w:pPr>
              <w:spacing w:line="340" w:lineRule="exact"/>
              <w:ind w:firstLine="0" w:firstLineChars="0"/>
              <w:jc w:val="left"/>
              <w:rPr>
                <w:rFonts w:hint="eastAsia" w:ascii="宋体" w:hAnsi="宋体" w:cs="宋体"/>
                <w:color w:val="auto"/>
                <w:spacing w:val="0"/>
                <w:kern w:val="2"/>
                <w:sz w:val="21"/>
                <w:szCs w:val="21"/>
                <w:highlight w:val="none"/>
              </w:rPr>
            </w:pPr>
            <w:r>
              <w:rPr>
                <w:rFonts w:hint="eastAsia" w:ascii="宋体" w:hAnsi="宋体" w:cs="宋体"/>
                <w:bCs w:val="0"/>
                <w:color w:val="auto"/>
                <w:sz w:val="21"/>
                <w:szCs w:val="24"/>
                <w:highlight w:val="none"/>
                <w:lang w:eastAsia="zh-CN"/>
              </w:rPr>
              <w:t>⑤供应商具有</w:t>
            </w:r>
            <w:r>
              <w:rPr>
                <w:rFonts w:hint="eastAsia" w:ascii="宋体" w:hAnsi="宋体" w:cs="宋体"/>
                <w:bCs w:val="0"/>
                <w:color w:val="auto"/>
                <w:sz w:val="21"/>
                <w:szCs w:val="24"/>
                <w:highlight w:val="none"/>
              </w:rPr>
              <w:t>202</w:t>
            </w:r>
            <w:r>
              <w:rPr>
                <w:rFonts w:hint="eastAsia" w:ascii="宋体" w:hAnsi="宋体" w:cs="宋体"/>
                <w:bCs w:val="0"/>
                <w:color w:val="auto"/>
                <w:sz w:val="21"/>
                <w:szCs w:val="24"/>
                <w:highlight w:val="none"/>
                <w:lang w:val="en-US" w:eastAsia="zh-CN"/>
              </w:rPr>
              <w:t>6</w:t>
            </w:r>
            <w:r>
              <w:rPr>
                <w:rFonts w:hint="eastAsia" w:ascii="宋体" w:hAnsi="宋体" w:cs="宋体"/>
                <w:bCs w:val="0"/>
                <w:color w:val="auto"/>
                <w:sz w:val="21"/>
                <w:szCs w:val="24"/>
                <w:highlight w:val="none"/>
              </w:rPr>
              <w:t>年以来任意1个月为</w:t>
            </w:r>
            <w:r>
              <w:rPr>
                <w:rFonts w:hint="eastAsia" w:ascii="宋体" w:hAnsi="宋体" w:cs="宋体"/>
                <w:bCs w:val="0"/>
                <w:color w:val="auto"/>
                <w:sz w:val="21"/>
                <w:szCs w:val="24"/>
                <w:highlight w:val="none"/>
                <w:lang w:eastAsia="zh-CN"/>
              </w:rPr>
              <w:t>以上</w:t>
            </w:r>
            <w:r>
              <w:rPr>
                <w:rFonts w:hint="eastAsia" w:ascii="宋体" w:hAnsi="宋体" w:cs="宋体"/>
                <w:color w:val="auto"/>
                <w:sz w:val="21"/>
                <w:szCs w:val="24"/>
                <w:highlight w:val="none"/>
              </w:rPr>
              <w:t>项目经理</w:t>
            </w:r>
            <w:r>
              <w:rPr>
                <w:rFonts w:hint="eastAsia" w:ascii="宋体" w:hAnsi="宋体" w:cs="宋体"/>
                <w:color w:val="auto"/>
                <w:sz w:val="21"/>
                <w:szCs w:val="24"/>
                <w:highlight w:val="none"/>
                <w:lang w:eastAsia="zh-CN"/>
              </w:rPr>
              <w:t>、</w:t>
            </w:r>
            <w:r>
              <w:rPr>
                <w:rFonts w:hint="eastAsia" w:ascii="宋体" w:hAnsi="宋体" w:cs="宋体"/>
                <w:bCs w:val="0"/>
                <w:color w:val="auto"/>
                <w:sz w:val="21"/>
                <w:szCs w:val="24"/>
                <w:highlight w:val="none"/>
              </w:rPr>
              <w:t>技术负责人</w:t>
            </w:r>
            <w:r>
              <w:rPr>
                <w:rFonts w:hint="eastAsia" w:ascii="宋体" w:hAnsi="宋体" w:cs="宋体"/>
                <w:bCs w:val="0"/>
                <w:color w:val="auto"/>
                <w:sz w:val="21"/>
                <w:szCs w:val="24"/>
                <w:highlight w:val="none"/>
                <w:lang w:eastAsia="zh-CN"/>
              </w:rPr>
              <w:t>、</w:t>
            </w:r>
            <w:r>
              <w:rPr>
                <w:rFonts w:hint="eastAsia" w:ascii="宋体" w:hAnsi="宋体" w:cs="宋体"/>
                <w:bCs w:val="0"/>
                <w:color w:val="auto"/>
                <w:sz w:val="21"/>
                <w:szCs w:val="24"/>
                <w:highlight w:val="none"/>
              </w:rPr>
              <w:t>专职安全生产管理人员</w:t>
            </w:r>
            <w:r>
              <w:rPr>
                <w:rFonts w:hint="eastAsia" w:ascii="宋体" w:hAnsi="宋体" w:cs="宋体"/>
                <w:bCs w:val="0"/>
                <w:color w:val="auto"/>
                <w:sz w:val="21"/>
                <w:szCs w:val="24"/>
                <w:highlight w:val="none"/>
                <w:lang w:eastAsia="zh-CN"/>
              </w:rPr>
              <w:t>、</w:t>
            </w:r>
            <w:r>
              <w:rPr>
                <w:rFonts w:hint="eastAsia" w:ascii="宋体" w:hAnsi="宋体" w:cs="宋体"/>
                <w:bCs w:val="0"/>
                <w:color w:val="auto"/>
                <w:sz w:val="21"/>
                <w:szCs w:val="24"/>
                <w:highlight w:val="none"/>
              </w:rPr>
              <w:t>施工员、质量员、材料员</w:t>
            </w:r>
            <w:r>
              <w:rPr>
                <w:rFonts w:hint="eastAsia" w:ascii="宋体" w:hAnsi="宋体" w:cs="宋体"/>
                <w:bCs w:val="0"/>
                <w:color w:val="auto"/>
                <w:sz w:val="21"/>
                <w:szCs w:val="24"/>
                <w:highlight w:val="none"/>
                <w:lang w:eastAsia="zh-CN"/>
              </w:rPr>
              <w:t>缴纳</w:t>
            </w:r>
            <w:r>
              <w:rPr>
                <w:rFonts w:hint="eastAsia" w:ascii="宋体" w:hAnsi="宋体" w:cs="宋体"/>
                <w:bCs w:val="0"/>
                <w:color w:val="auto"/>
                <w:sz w:val="21"/>
                <w:szCs w:val="24"/>
                <w:highlight w:val="none"/>
              </w:rPr>
              <w:t>的社保证明材料或供应商与其签订的有效劳动合同</w:t>
            </w:r>
            <w:r>
              <w:rPr>
                <w:rFonts w:hint="eastAsia" w:ascii="宋体" w:hAnsi="宋体" w:cs="宋体"/>
                <w:bCs w:val="0"/>
                <w:color w:val="auto"/>
                <w:sz w:val="21"/>
                <w:szCs w:val="24"/>
                <w:highlight w:val="none"/>
                <w:lang w:eastAsia="zh-CN"/>
              </w:rPr>
              <w:t>。</w:t>
            </w:r>
          </w:p>
        </w:tc>
      </w:tr>
      <w:tr w14:paraId="2091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10F28334">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816" w:type="dxa"/>
            <w:vAlign w:val="center"/>
          </w:tcPr>
          <w:p w14:paraId="42A02DA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324" w:type="dxa"/>
            <w:vAlign w:val="center"/>
          </w:tcPr>
          <w:p w14:paraId="1603DEEC">
            <w:pPr>
              <w:spacing w:line="340" w:lineRule="exact"/>
              <w:ind w:firstLine="0" w:firstLineChars="0"/>
              <w:jc w:val="center"/>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参与电子竞标的准备工作</w:t>
            </w:r>
          </w:p>
        </w:tc>
        <w:tc>
          <w:tcPr>
            <w:tcW w:w="6586" w:type="dxa"/>
            <w:vAlign w:val="center"/>
          </w:tcPr>
          <w:p w14:paraId="2D8BBE41">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电子签章或电子签名；③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650E9821">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4.2电子竞标具体操作流程参考《政府采购项目电子交易管理操作指南</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供应商》（详见桂林市政府采购网—采购资讯—重要通知）；如遇平台技术问题详询95763或者0771-3381253。</w:t>
            </w:r>
          </w:p>
          <w:p w14:paraId="7BEF25FE">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4.3不论磋商结果如何，供应商均应自行承担所有与磋商有关的全部费用。 </w:t>
            </w:r>
          </w:p>
        </w:tc>
      </w:tr>
      <w:tr w14:paraId="303E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6EAB09F">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816" w:type="dxa"/>
            <w:vAlign w:val="center"/>
          </w:tcPr>
          <w:p w14:paraId="74868AF1">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1324" w:type="dxa"/>
            <w:vAlign w:val="center"/>
          </w:tcPr>
          <w:p w14:paraId="688D2ED1">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磋商报价及采购预算金额</w:t>
            </w:r>
          </w:p>
        </w:tc>
        <w:tc>
          <w:tcPr>
            <w:tcW w:w="6586" w:type="dxa"/>
            <w:vAlign w:val="center"/>
          </w:tcPr>
          <w:p w14:paraId="0B49FE17">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13.1磋商报价应按磋商文件中相关附件格式填写。</w:t>
            </w:r>
          </w:p>
          <w:p w14:paraId="30A57CFE">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13.2</w:t>
            </w:r>
            <w:r>
              <w:rPr>
                <w:rFonts w:hint="eastAsia" w:ascii="宋体" w:hAnsi="宋体" w:cs="宋体"/>
                <w:color w:val="auto"/>
                <w:sz w:val="21"/>
                <w:szCs w:val="21"/>
                <w:highlight w:val="none"/>
              </w:rPr>
              <w:t>报价</w:t>
            </w:r>
            <w:r>
              <w:rPr>
                <w:rFonts w:hint="eastAsia" w:ascii="宋体" w:hAnsi="宋体" w:cs="宋体"/>
                <w:bCs/>
                <w:color w:val="auto"/>
                <w:sz w:val="21"/>
                <w:szCs w:val="21"/>
                <w:highlight w:val="none"/>
              </w:rPr>
              <w:t>包括施工设备、主要材料、辅助材料、铺装、垃圾清运、劳务、管理、维护、保险、利润、增值税、政策性文件规定及合同包含的所有风险、责任等各项应有费用。</w:t>
            </w:r>
          </w:p>
          <w:p w14:paraId="2C35DD16">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13.</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磋商货币：响应文件报价中的单价和合价全部采用人民币表示。</w:t>
            </w:r>
          </w:p>
          <w:p w14:paraId="32A2AB39">
            <w:pPr>
              <w:keepNext w:val="0"/>
              <w:keepLines w:val="0"/>
              <w:pageBreakBefore w:val="0"/>
              <w:widowControl w:val="0"/>
              <w:tabs>
                <w:tab w:val="left" w:pos="210"/>
              </w:tabs>
              <w:kinsoku/>
              <w:wordWrap w:val="0"/>
              <w:overflowPunct/>
              <w:topLinePunct w:val="0"/>
              <w:autoSpaceDE/>
              <w:autoSpaceDN/>
              <w:bidi w:val="0"/>
              <w:adjustRightInd/>
              <w:snapToGrid/>
              <w:spacing w:line="440" w:lineRule="exact"/>
              <w:ind w:left="0" w:leftChars="0" w:firstLine="0" w:firstLineChars="0"/>
              <w:jc w:val="left"/>
              <w:textAlignment w:val="auto"/>
              <w:rPr>
                <w:color w:val="auto"/>
                <w:highlight w:val="none"/>
              </w:rPr>
            </w:pPr>
            <w:r>
              <w:rPr>
                <w:rFonts w:hint="eastAsia" w:ascii="宋体" w:hAnsi="宋体" w:eastAsia="宋体" w:cs="宋体"/>
                <w:b/>
                <w:bCs w:val="0"/>
                <w:color w:val="auto"/>
                <w:sz w:val="21"/>
                <w:szCs w:val="21"/>
                <w:highlight w:val="none"/>
              </w:rPr>
              <w:t>13.</w:t>
            </w:r>
            <w:r>
              <w:rPr>
                <w:rFonts w:hint="eastAsia" w:ascii="宋体" w:hAnsi="宋体" w:eastAsia="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rPr>
              <w:t>本项目预算金额</w:t>
            </w:r>
            <w:r>
              <w:rPr>
                <w:rFonts w:hint="eastAsia" w:ascii="宋体" w:hAnsi="宋体" w:eastAsia="宋体" w:cs="宋体"/>
                <w:b/>
                <w:bCs w:val="0"/>
                <w:color w:val="auto"/>
                <w:sz w:val="21"/>
                <w:szCs w:val="21"/>
                <w:highlight w:val="none"/>
                <w:lang w:eastAsia="zh-CN"/>
              </w:rPr>
              <w:t>及最高限价</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本项目预算金额为贰佰万元整（¥</w:t>
            </w:r>
            <w:r>
              <w:rPr>
                <w:rFonts w:hint="eastAsia" w:ascii="宋体" w:hAnsi="宋体" w:eastAsia="宋体" w:cs="宋体"/>
                <w:b/>
                <w:bCs w:val="0"/>
                <w:color w:val="auto"/>
                <w:sz w:val="21"/>
                <w:szCs w:val="21"/>
                <w:highlight w:val="none"/>
                <w:lang w:val="en-US" w:eastAsia="zh-CN"/>
              </w:rPr>
              <w:t>2000000.00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，最高限价为：人民币壹</w:t>
            </w:r>
            <w:r>
              <w:rPr>
                <w:rFonts w:hint="eastAsia" w:ascii="宋体" w:hAnsi="宋体" w:eastAsia="宋体" w:cs="宋体"/>
                <w:b/>
                <w:bCs w:val="0"/>
                <w:color w:val="auto"/>
                <w:sz w:val="21"/>
                <w:szCs w:val="21"/>
                <w:highlight w:val="none"/>
                <w:lang w:eastAsia="zh-CN"/>
              </w:rPr>
              <w:t>佰</w:t>
            </w:r>
            <w:r>
              <w:rPr>
                <w:rFonts w:hint="eastAsia" w:ascii="宋体" w:hAnsi="宋体" w:cs="宋体"/>
                <w:b/>
                <w:bCs w:val="0"/>
                <w:color w:val="auto"/>
                <w:sz w:val="21"/>
                <w:szCs w:val="21"/>
                <w:highlight w:val="none"/>
                <w:lang w:eastAsia="zh-CN"/>
              </w:rPr>
              <w:t>玖拾肆</w:t>
            </w:r>
            <w:r>
              <w:rPr>
                <w:rFonts w:hint="eastAsia" w:ascii="宋体" w:hAnsi="宋体" w:eastAsia="宋体" w:cs="宋体"/>
                <w:b/>
                <w:bCs w:val="0"/>
                <w:color w:val="auto"/>
                <w:sz w:val="21"/>
                <w:szCs w:val="21"/>
                <w:highlight w:val="none"/>
                <w:lang w:eastAsia="zh-CN"/>
              </w:rPr>
              <w:t>万元整（¥</w:t>
            </w:r>
            <w:r>
              <w:rPr>
                <w:rFonts w:hint="eastAsia" w:ascii="宋体" w:hAnsi="宋体" w:cs="宋体"/>
                <w:b/>
                <w:bCs w:val="0"/>
                <w:color w:val="auto"/>
                <w:sz w:val="21"/>
                <w:szCs w:val="21"/>
                <w:highlight w:val="none"/>
                <w:lang w:val="en-US" w:eastAsia="zh-CN"/>
              </w:rPr>
              <w:t>194</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其中：</w:t>
            </w:r>
            <w:r>
              <w:rPr>
                <w:rFonts w:hint="eastAsia" w:ascii="宋体" w:hAnsi="宋体" w:eastAsia="宋体" w:cs="宋体"/>
                <w:b/>
                <w:bCs w:val="0"/>
                <w:color w:val="auto"/>
                <w:sz w:val="21"/>
                <w:szCs w:val="21"/>
                <w:highlight w:val="none"/>
                <w:lang w:eastAsia="zh-CN"/>
              </w:rPr>
              <w:t>桂林市第十三中学校园操场改造最高限价为壹佰伍拾叁万元整（¥</w:t>
            </w:r>
            <w:r>
              <w:rPr>
                <w:rFonts w:hint="eastAsia" w:ascii="宋体" w:hAnsi="宋体" w:eastAsia="宋体" w:cs="宋体"/>
                <w:b/>
                <w:bCs w:val="0"/>
                <w:color w:val="auto"/>
                <w:sz w:val="21"/>
                <w:szCs w:val="21"/>
                <w:highlight w:val="none"/>
                <w:lang w:val="en-US" w:eastAsia="zh-CN"/>
              </w:rPr>
              <w:t>15</w:t>
            </w:r>
            <w:r>
              <w:rPr>
                <w:rFonts w:hint="eastAsia" w:ascii="宋体" w:hAnsi="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）；桂林市第十三中学校园硅PU篮球场最高限价为肆拾壹万元整（¥</w:t>
            </w:r>
            <w:r>
              <w:rPr>
                <w:rFonts w:hint="eastAsia" w:ascii="宋体" w:hAnsi="宋体" w:eastAsia="宋体" w:cs="宋体"/>
                <w:b/>
                <w:bCs w:val="0"/>
                <w:color w:val="auto"/>
                <w:sz w:val="21"/>
                <w:szCs w:val="21"/>
                <w:highlight w:val="none"/>
                <w:lang w:val="en-US" w:eastAsia="zh-CN"/>
              </w:rPr>
              <w:t>4</w:t>
            </w:r>
            <w:r>
              <w:rPr>
                <w:rFonts w:hint="eastAsia" w:ascii="宋体" w:hAnsi="宋体" w:cs="宋体"/>
                <w:b/>
                <w:bCs w:val="0"/>
                <w:color w:val="auto"/>
                <w:sz w:val="21"/>
                <w:szCs w:val="21"/>
                <w:highlight w:val="none"/>
                <w:lang w:val="en-US" w:eastAsia="zh-CN"/>
              </w:rPr>
              <w:t>1</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eastAsia="zh-CN"/>
              </w:rPr>
              <w:t>供应商的磋商报价</w:t>
            </w:r>
            <w:r>
              <w:rPr>
                <w:rFonts w:hint="eastAsia" w:ascii="宋体" w:hAnsi="宋体" w:cs="宋体"/>
                <w:b/>
                <w:bCs w:val="0"/>
                <w:color w:val="auto"/>
                <w:sz w:val="21"/>
                <w:szCs w:val="21"/>
                <w:highlight w:val="none"/>
                <w:lang w:eastAsia="zh-CN"/>
              </w:rPr>
              <w:t>及相应采购标的报价</w:t>
            </w:r>
            <w:r>
              <w:rPr>
                <w:rFonts w:hint="eastAsia" w:ascii="宋体" w:hAnsi="宋体" w:eastAsia="宋体" w:cs="宋体"/>
                <w:b/>
                <w:bCs w:val="0"/>
                <w:color w:val="auto"/>
                <w:sz w:val="21"/>
                <w:szCs w:val="21"/>
                <w:highlight w:val="none"/>
                <w:lang w:eastAsia="zh-CN"/>
              </w:rPr>
              <w:t>不得高于</w:t>
            </w:r>
            <w:r>
              <w:rPr>
                <w:rFonts w:hint="eastAsia" w:ascii="宋体" w:hAnsi="宋体" w:cs="宋体"/>
                <w:b/>
                <w:bCs w:val="0"/>
                <w:color w:val="auto"/>
                <w:sz w:val="21"/>
                <w:szCs w:val="21"/>
                <w:highlight w:val="none"/>
                <w:lang w:eastAsia="zh-CN"/>
              </w:rPr>
              <w:t>上述相应</w:t>
            </w:r>
            <w:r>
              <w:rPr>
                <w:rFonts w:hint="eastAsia" w:ascii="宋体" w:hAnsi="宋体" w:eastAsia="宋体" w:cs="宋体"/>
                <w:b/>
                <w:bCs w:val="0"/>
                <w:color w:val="auto"/>
                <w:sz w:val="21"/>
                <w:szCs w:val="21"/>
                <w:highlight w:val="none"/>
                <w:lang w:eastAsia="zh-CN"/>
              </w:rPr>
              <w:t>最高限价，否则响应文件按无效处理。</w:t>
            </w:r>
          </w:p>
        </w:tc>
      </w:tr>
      <w:tr w14:paraId="42A3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1F3E5C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816" w:type="dxa"/>
            <w:vAlign w:val="center"/>
          </w:tcPr>
          <w:p w14:paraId="64C35C49">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1324" w:type="dxa"/>
            <w:vAlign w:val="center"/>
          </w:tcPr>
          <w:p w14:paraId="35B8378F">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6586" w:type="dxa"/>
            <w:vAlign w:val="center"/>
          </w:tcPr>
          <w:p w14:paraId="77383705">
            <w:pPr>
              <w:tabs>
                <w:tab w:val="left" w:pos="1305"/>
              </w:tabs>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45EE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1FD72EB8">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816" w:type="dxa"/>
            <w:vAlign w:val="center"/>
          </w:tcPr>
          <w:p w14:paraId="1D280996">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324" w:type="dxa"/>
            <w:vAlign w:val="center"/>
          </w:tcPr>
          <w:p w14:paraId="24047092">
            <w:pPr>
              <w:spacing w:line="340" w:lineRule="exact"/>
              <w:ind w:firstLine="0" w:firstLineChars="0"/>
              <w:jc w:val="center"/>
              <w:rPr>
                <w:rFonts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w:t>
            </w:r>
          </w:p>
        </w:tc>
        <w:tc>
          <w:tcPr>
            <w:tcW w:w="6586" w:type="dxa"/>
            <w:vAlign w:val="center"/>
          </w:tcPr>
          <w:p w14:paraId="595F69E7">
            <w:pPr>
              <w:snapToGrid w:val="0"/>
              <w:spacing w:line="340" w:lineRule="exact"/>
              <w:ind w:firstLine="0" w:firstLineChars="0"/>
              <w:jc w:val="left"/>
              <w:rPr>
                <w:rFonts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3C6EAD18">
            <w:pPr>
              <w:snapToGrid w:val="0"/>
              <w:spacing w:line="340" w:lineRule="exact"/>
              <w:ind w:firstLine="0" w:firstLineChars="0"/>
              <w:jc w:val="left"/>
              <w:rPr>
                <w:rFonts w:ascii="宋体" w:hAnsi="宋体" w:cs="宋体"/>
                <w:bCs/>
                <w:color w:val="auto"/>
                <w:sz w:val="21"/>
                <w:szCs w:val="21"/>
                <w:highlight w:val="none"/>
              </w:rPr>
            </w:pPr>
            <w:r>
              <w:rPr>
                <w:rFonts w:hint="eastAsia" w:ascii="宋体" w:hAnsi="宋体" w:cs="宋体"/>
                <w:bCs/>
                <w:color w:val="auto"/>
                <w:sz w:val="21"/>
                <w:szCs w:val="21"/>
                <w:highlight w:val="none"/>
              </w:rPr>
              <w:t>15.2供应商下载或获取竞争性磋商文件后，登录广西政府采购云平台，按照本磋商文件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以及广西政府采购云平台的要求，通过广西政府采购云平台编制电子响应文件。</w:t>
            </w:r>
          </w:p>
          <w:p w14:paraId="7CF333F4">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广西政府采购云平台</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191D075D">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15.4电子响应文件不得涂改，若有修改错漏处，须由法定代表人或授权委托代理人签字（或电子签名）。因响应文件字迹潦草、表达不清、内容不完整、编排混乱导致响应文件被误读、漏读，或者在按竞争性磋商文件规定的部位查找不到相关内容的，其不利后果由供应商自行承担。</w:t>
            </w:r>
          </w:p>
          <w:p w14:paraId="09B027AC">
            <w:pPr>
              <w:snapToGrid w:val="0"/>
              <w:spacing w:line="340" w:lineRule="exact"/>
              <w:ind w:firstLine="0" w:firstLineChars="0"/>
              <w:jc w:val="left"/>
              <w:rPr>
                <w:rFonts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7F3C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E18F019">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816" w:type="dxa"/>
            <w:vAlign w:val="center"/>
          </w:tcPr>
          <w:p w14:paraId="4DBFE91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1324" w:type="dxa"/>
            <w:vAlign w:val="center"/>
          </w:tcPr>
          <w:p w14:paraId="565CFFED">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6586" w:type="dxa"/>
            <w:vAlign w:val="center"/>
          </w:tcPr>
          <w:p w14:paraId="48D2FD44">
            <w:pPr>
              <w:snapToGrid w:val="0"/>
              <w:spacing w:line="380" w:lineRule="exact"/>
              <w:ind w:firstLine="0" w:firstLineChars="0"/>
              <w:jc w:val="left"/>
              <w:rPr>
                <w:rFonts w:ascii="宋体" w:hAnsi="宋体" w:cs="宋体"/>
                <w:color w:val="auto"/>
                <w:sz w:val="21"/>
                <w:szCs w:val="24"/>
                <w:highlight w:val="none"/>
              </w:rPr>
            </w:pPr>
            <w:r>
              <w:rPr>
                <w:rFonts w:hint="eastAsia" w:ascii="宋体" w:hAnsi="宋体" w:cs="宋体"/>
                <w:color w:val="auto"/>
                <w:sz w:val="21"/>
                <w:szCs w:val="24"/>
                <w:highlight w:val="none"/>
              </w:rPr>
              <w:t>15.6.1本竞争性磋商文件中描述供应商的“公章”是指根据我国对公章的管理规定，用供应商法定主体行为名称制作的印章，除本竞争性磋商文件有特殊规定外，供应商的其他形式印章均不能代替公章。</w:t>
            </w:r>
          </w:p>
          <w:p w14:paraId="614AEF32">
            <w:pPr>
              <w:snapToGrid w:val="0"/>
              <w:spacing w:line="380" w:lineRule="exact"/>
              <w:ind w:firstLine="0" w:firstLineChars="0"/>
              <w:jc w:val="left"/>
              <w:rPr>
                <w:rFonts w:ascii="宋体" w:hAnsi="宋体" w:cs="宋体"/>
                <w:color w:val="auto"/>
                <w:sz w:val="21"/>
                <w:szCs w:val="24"/>
                <w:highlight w:val="none"/>
              </w:rPr>
            </w:pPr>
            <w:r>
              <w:rPr>
                <w:rFonts w:hint="eastAsia" w:ascii="宋体" w:hAnsi="宋体" w:cs="宋体"/>
                <w:color w:val="auto"/>
                <w:sz w:val="21"/>
                <w:szCs w:val="24"/>
                <w:highlight w:val="none"/>
              </w:rPr>
              <w:t>15.6.2本竞争性磋商文件中描述供应商的“签字”是指供应商的法定代表人或者委托代理人亲自在文件规定签字处亲笔写上个人的名字的行为，私章、签字章、印鉴、影印等其他形式均不能代替亲笔签字。</w:t>
            </w:r>
          </w:p>
          <w:p w14:paraId="12C734AC">
            <w:pPr>
              <w:snapToGrid w:val="0"/>
              <w:spacing w:line="340" w:lineRule="exact"/>
              <w:ind w:firstLine="0" w:firstLineChars="0"/>
              <w:jc w:val="left"/>
              <w:rPr>
                <w:rFonts w:ascii="宋体" w:hAnsi="宋体" w:cs="宋体"/>
                <w:color w:val="auto"/>
                <w:sz w:val="21"/>
                <w:szCs w:val="24"/>
                <w:highlight w:val="none"/>
              </w:rPr>
            </w:pPr>
            <w:r>
              <w:rPr>
                <w:rFonts w:hint="eastAsia" w:ascii="宋体" w:hAnsi="宋体" w:cs="宋体"/>
                <w:color w:val="auto"/>
                <w:sz w:val="21"/>
                <w:szCs w:val="24"/>
                <w:highlight w:val="none"/>
              </w:rPr>
              <w:t>15.6.3本竞争性磋商文件所称的“电子签章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认可的CA认证的电子签名数据为表现形式的印章，可用于签署电子响应文件，电子签章与实物印章、电子签名与手写签名具有同等法律效力，不因其采用电子化表现形式而否定其法律效力</w:t>
            </w:r>
            <w:r>
              <w:rPr>
                <w:rFonts w:hint="eastAsia" w:ascii="宋体" w:hAnsi="宋体" w:cs="宋体"/>
                <w:color w:val="auto"/>
                <w:sz w:val="21"/>
                <w:szCs w:val="21"/>
                <w:highlight w:val="none"/>
              </w:rPr>
              <w:t>。</w:t>
            </w:r>
          </w:p>
        </w:tc>
      </w:tr>
      <w:tr w14:paraId="02DF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4B2F698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816" w:type="dxa"/>
            <w:vAlign w:val="center"/>
          </w:tcPr>
          <w:p w14:paraId="74F144EC">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16</w:t>
            </w:r>
          </w:p>
        </w:tc>
        <w:tc>
          <w:tcPr>
            <w:tcW w:w="1324" w:type="dxa"/>
            <w:vAlign w:val="center"/>
          </w:tcPr>
          <w:p w14:paraId="66EE17DB">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6586" w:type="dxa"/>
            <w:vAlign w:val="center"/>
          </w:tcPr>
          <w:p w14:paraId="57160BCB">
            <w:pPr>
              <w:spacing w:line="340" w:lineRule="exact"/>
              <w:ind w:firstLine="0" w:firstLineChars="0"/>
              <w:rPr>
                <w:rFonts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5</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29</w:t>
            </w:r>
            <w:r>
              <w:rPr>
                <w:rFonts w:hint="eastAsia" w:ascii="宋体" w:hAnsi="宋体" w:cs="宋体"/>
                <w:color w:val="auto"/>
                <w:sz w:val="21"/>
                <w:szCs w:val="21"/>
                <w:highlight w:val="none"/>
                <w:u w:val="single"/>
                <w:lang w:eastAsia="zh-CN"/>
              </w:rPr>
              <w:t>日</w:t>
            </w:r>
            <w:r>
              <w:rPr>
                <w:rFonts w:ascii="宋体" w:hAnsi="宋体" w:cs="宋体"/>
                <w:color w:val="auto"/>
                <w:sz w:val="21"/>
                <w:szCs w:val="21"/>
                <w:highlight w:val="none"/>
                <w:u w:val="single"/>
              </w:rPr>
              <w:t>上午9</w:t>
            </w:r>
            <w:r>
              <w:rPr>
                <w:rFonts w:hint="eastAsia" w:ascii="宋体" w:hAnsi="宋体" w:cs="宋体"/>
                <w:bCs/>
                <w:color w:val="auto"/>
                <w:sz w:val="21"/>
                <w:szCs w:val="21"/>
                <w:highlight w:val="none"/>
                <w:u w:val="single"/>
              </w:rPr>
              <w:t>时</w:t>
            </w:r>
            <w:r>
              <w:rPr>
                <w:rFonts w:ascii="宋体" w:hAnsi="宋体" w:cs="宋体"/>
                <w:bCs/>
                <w:color w:val="auto"/>
                <w:sz w:val="21"/>
                <w:szCs w:val="21"/>
                <w:highlight w:val="none"/>
                <w:u w:val="single"/>
              </w:rPr>
              <w:t>30分</w:t>
            </w:r>
            <w:r>
              <w:rPr>
                <w:rFonts w:hint="eastAsia" w:ascii="宋体" w:hAnsi="宋体" w:cs="宋体"/>
                <w:bCs/>
                <w:color w:val="auto"/>
                <w:sz w:val="21"/>
                <w:szCs w:val="21"/>
                <w:highlight w:val="none"/>
              </w:rPr>
              <w:t>（北京时间）</w:t>
            </w:r>
          </w:p>
          <w:p w14:paraId="03CF3F6B">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16.2地点：通过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在线提交。</w:t>
            </w:r>
          </w:p>
          <w:p w14:paraId="40C0A916">
            <w:pPr>
              <w:adjustRightInd w:val="0"/>
              <w:snapToGrid w:val="0"/>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3A239A31">
            <w:pPr>
              <w:tabs>
                <w:tab w:val="left" w:pos="1305"/>
              </w:tabs>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16.4除竞争性磋商文件另有规定外，供应商所提交的响应文件不予退还。</w:t>
            </w:r>
          </w:p>
        </w:tc>
      </w:tr>
      <w:tr w14:paraId="64D0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45899AB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816" w:type="dxa"/>
            <w:vAlign w:val="center"/>
          </w:tcPr>
          <w:p w14:paraId="4B009354">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17</w:t>
            </w:r>
          </w:p>
        </w:tc>
        <w:tc>
          <w:tcPr>
            <w:tcW w:w="1324" w:type="dxa"/>
            <w:vAlign w:val="center"/>
          </w:tcPr>
          <w:p w14:paraId="7020E73D">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6586" w:type="dxa"/>
            <w:vAlign w:val="center"/>
          </w:tcPr>
          <w:p w14:paraId="3953F450">
            <w:pPr>
              <w:tabs>
                <w:tab w:val="left" w:pos="1305"/>
              </w:tabs>
              <w:spacing w:line="340" w:lineRule="exact"/>
              <w:ind w:firstLine="0" w:firstLineChars="0"/>
              <w:rPr>
                <w:rFonts w:ascii="宋体" w:hAnsi="宋体" w:cs="宋体"/>
                <w:color w:val="auto"/>
                <w:kern w:val="0"/>
                <w:sz w:val="21"/>
                <w:szCs w:val="21"/>
                <w:highlight w:val="none"/>
              </w:rPr>
            </w:pPr>
            <w:r>
              <w:rPr>
                <w:rFonts w:ascii="宋体" w:hAnsi="宋体" w:cs="宋体"/>
                <w:color w:val="auto"/>
                <w:kern w:val="0"/>
                <w:sz w:val="21"/>
                <w:szCs w:val="21"/>
                <w:highlight w:val="none"/>
              </w:rPr>
              <w:t>响应文件提交截止时间后，采购代理机构开启解密响应文件操作，</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向各供应商发出电子加密响应文件解密通知，由供应商在系统发出解密通知后30分钟内自行使用加密时的CA通过“项目采购</w:t>
            </w:r>
            <w:r>
              <w:rPr>
                <w:rFonts w:hint="eastAsia" w:ascii="宋体" w:hAnsi="宋体" w:cs="宋体"/>
                <w:color w:val="auto"/>
                <w:kern w:val="0"/>
                <w:sz w:val="21"/>
                <w:szCs w:val="21"/>
                <w:highlight w:val="none"/>
                <w:lang w:eastAsia="zh-CN"/>
              </w:rPr>
              <w:t>－</w:t>
            </w:r>
            <w:r>
              <w:rPr>
                <w:rFonts w:ascii="宋体" w:hAnsi="宋体" w:cs="宋体"/>
                <w:color w:val="auto"/>
                <w:kern w:val="0"/>
                <w:sz w:val="21"/>
                <w:szCs w:val="21"/>
                <w:highlight w:val="none"/>
              </w:rPr>
              <w:t>开标评标”功能对响应文件进行解密。若供应商在上述规定的时间内无法解密或解密失败的，可以在响应文件解密截止时间后30分钟内向采购代理机构现场提交电子备份响应文件（接收电子备份响应文件的电子邮箱为：guilinyl@vip.sina.com）</w:t>
            </w:r>
            <w:r>
              <w:rPr>
                <w:rFonts w:hint="eastAsia" w:ascii="宋体" w:hAnsi="宋体" w:cs="宋体"/>
                <w:color w:val="auto"/>
                <w:kern w:val="0"/>
                <w:sz w:val="21"/>
                <w:szCs w:val="21"/>
                <w:highlight w:val="none"/>
              </w:rPr>
              <w:t>；供应商未在上述规定的时间、电子邮箱提交的电子备份响应文件，采购代理机构不予接收或承认。</w:t>
            </w:r>
            <w:r>
              <w:rPr>
                <w:rFonts w:ascii="宋体" w:hAnsi="宋体" w:cs="宋体"/>
                <w:color w:val="auto"/>
                <w:kern w:val="0"/>
                <w:sz w:val="21"/>
                <w:szCs w:val="21"/>
                <w:highlight w:val="none"/>
              </w:rPr>
              <w:t>采购代理机构收到电子备份响应文件后按</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操作规范上传至</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w:t>
            </w:r>
            <w:r>
              <w:rPr>
                <w:rFonts w:hint="eastAsia" w:ascii="宋体" w:hAnsi="宋体" w:cs="宋体"/>
                <w:color w:val="auto"/>
                <w:kern w:val="0"/>
                <w:sz w:val="21"/>
                <w:szCs w:val="21"/>
                <w:highlight w:val="none"/>
              </w:rPr>
              <w:t>磋商。</w:t>
            </w:r>
          </w:p>
        </w:tc>
      </w:tr>
      <w:tr w14:paraId="295E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E49B31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816" w:type="dxa"/>
            <w:vAlign w:val="center"/>
          </w:tcPr>
          <w:p w14:paraId="5C68EAFF">
            <w:pPr>
              <w:spacing w:line="340" w:lineRule="exact"/>
              <w:ind w:firstLine="105" w:firstLineChars="5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1324" w:type="dxa"/>
            <w:vAlign w:val="center"/>
          </w:tcPr>
          <w:p w14:paraId="400C30D2">
            <w:pPr>
              <w:spacing w:line="34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磋商小组组成</w:t>
            </w:r>
          </w:p>
        </w:tc>
        <w:tc>
          <w:tcPr>
            <w:tcW w:w="6586" w:type="dxa"/>
            <w:vAlign w:val="center"/>
          </w:tcPr>
          <w:p w14:paraId="2EB9CF9E">
            <w:pPr>
              <w:tabs>
                <w:tab w:val="left" w:pos="1140"/>
              </w:tabs>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磋商及评审组织工作由采购代理机构负责，具体磋商、评审工作由依法组建的磋商小组负责，磋商小组由采购人代表和</w:t>
            </w:r>
            <w:r>
              <w:rPr>
                <w:rFonts w:hint="eastAsia" w:ascii="宋体" w:hAnsi="宋体" w:cs="宋体"/>
                <w:color w:val="auto"/>
                <w:kern w:val="0"/>
                <w:sz w:val="21"/>
                <w:szCs w:val="21"/>
                <w:highlight w:val="none"/>
                <w:lang w:eastAsia="zh-CN"/>
              </w:rPr>
              <w:t>评审专家</w:t>
            </w:r>
            <w:r>
              <w:rPr>
                <w:rFonts w:hint="eastAsia" w:ascii="宋体" w:hAnsi="宋体" w:cs="宋体"/>
                <w:color w:val="auto"/>
                <w:kern w:val="0"/>
                <w:sz w:val="21"/>
                <w:szCs w:val="21"/>
                <w:highlight w:val="none"/>
              </w:rPr>
              <w:t>3人组成，其中评审专家人数不得少于磋商小组成员总数的2/3。</w:t>
            </w:r>
          </w:p>
        </w:tc>
      </w:tr>
      <w:tr w14:paraId="49CC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F21CA1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816" w:type="dxa"/>
            <w:vAlign w:val="center"/>
          </w:tcPr>
          <w:p w14:paraId="3E5332B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1324" w:type="dxa"/>
            <w:vAlign w:val="center"/>
          </w:tcPr>
          <w:p w14:paraId="18CE811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磋商时间、地点、人员</w:t>
            </w:r>
          </w:p>
        </w:tc>
        <w:tc>
          <w:tcPr>
            <w:tcW w:w="6586" w:type="dxa"/>
          </w:tcPr>
          <w:p w14:paraId="4539F4B7">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 磋商时间：首次响应文件提交截止时间后。</w:t>
            </w:r>
          </w:p>
          <w:p w14:paraId="5B6DE945">
            <w:pPr>
              <w:spacing w:line="340" w:lineRule="exact"/>
              <w:ind w:firstLine="0" w:firstLineChars="0"/>
              <w:rPr>
                <w:rFonts w:ascii="宋体" w:hAnsi="宋体" w:cs="宋体"/>
                <w:bCs/>
                <w:color w:val="auto"/>
                <w:sz w:val="21"/>
                <w:szCs w:val="21"/>
                <w:highlight w:val="none"/>
              </w:rPr>
            </w:pPr>
            <w:r>
              <w:rPr>
                <w:rFonts w:hint="eastAsia" w:ascii="宋体" w:hAnsi="宋体" w:cs="宋体"/>
                <w:color w:val="auto"/>
                <w:kern w:val="0"/>
                <w:sz w:val="21"/>
                <w:szCs w:val="21"/>
                <w:highlight w:val="none"/>
              </w:rPr>
              <w:t>18.2.2 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229ADF46">
            <w:pPr>
              <w:spacing w:line="34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18.2.3磋商参加人员：供应商法定代表人或相应的委托代理人参加磋商。请供应商实时登录广西政府采购云平台等候在线磋商。</w:t>
            </w:r>
          </w:p>
          <w:p w14:paraId="2A7446CA">
            <w:pPr>
              <w:spacing w:line="340" w:lineRule="exact"/>
              <w:ind w:firstLine="0" w:firstLineChars="0"/>
              <w:rPr>
                <w:rFonts w:ascii="宋体" w:hAnsi="宋体" w:cs="宋体"/>
                <w:color w:val="auto"/>
                <w:sz w:val="21"/>
                <w:szCs w:val="21"/>
                <w:highlight w:val="none"/>
              </w:rPr>
            </w:pPr>
            <w:r>
              <w:rPr>
                <w:rFonts w:hint="eastAsia" w:ascii="宋体" w:hAnsi="宋体" w:cs="宋体"/>
                <w:bCs/>
                <w:color w:val="auto"/>
                <w:sz w:val="21"/>
                <w:szCs w:val="21"/>
                <w:highlight w:val="none"/>
              </w:rPr>
              <w:t>18.2.4 首次响应文件提交截止时间后，登录广西政府采购云平台在线解密开启。</w:t>
            </w:r>
          </w:p>
        </w:tc>
      </w:tr>
      <w:tr w14:paraId="3B4D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88" w:type="dxa"/>
            <w:vAlign w:val="center"/>
          </w:tcPr>
          <w:p w14:paraId="44CBD27A">
            <w:pPr>
              <w:spacing w:line="340" w:lineRule="exact"/>
              <w:ind w:firstLine="0" w:firstLineChars="0"/>
              <w:jc w:val="center"/>
              <w:rPr>
                <w:rFonts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816" w:type="dxa"/>
            <w:vAlign w:val="center"/>
          </w:tcPr>
          <w:p w14:paraId="5A56723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1324" w:type="dxa"/>
            <w:vAlign w:val="center"/>
          </w:tcPr>
          <w:p w14:paraId="41690817">
            <w:pPr>
              <w:spacing w:line="340" w:lineRule="exact"/>
              <w:ind w:left="34" w:leftChars="14"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6586" w:type="dxa"/>
            <w:vAlign w:val="center"/>
          </w:tcPr>
          <w:p w14:paraId="75683F35">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综合评分法，具体详见第</w:t>
            </w:r>
            <w:r>
              <w:rPr>
                <w:rFonts w:hint="eastAsia" w:ascii="宋体" w:hAnsi="宋体" w:cs="宋体"/>
                <w:color w:val="auto"/>
                <w:sz w:val="21"/>
                <w:szCs w:val="21"/>
                <w:highlight w:val="none"/>
                <w:lang w:eastAsia="zh-CN"/>
              </w:rPr>
              <w:t>五</w:t>
            </w:r>
            <w:r>
              <w:rPr>
                <w:rFonts w:hint="eastAsia" w:ascii="宋体" w:hAnsi="宋体" w:cs="宋体"/>
                <w:color w:val="auto"/>
                <w:sz w:val="21"/>
                <w:szCs w:val="21"/>
                <w:highlight w:val="none"/>
              </w:rPr>
              <w:t>章“评审办法”。</w:t>
            </w:r>
          </w:p>
        </w:tc>
      </w:tr>
      <w:tr w14:paraId="2E43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0EB402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816" w:type="dxa"/>
            <w:vAlign w:val="center"/>
          </w:tcPr>
          <w:p w14:paraId="4C083E4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26</w:t>
            </w:r>
          </w:p>
        </w:tc>
        <w:tc>
          <w:tcPr>
            <w:tcW w:w="1324" w:type="dxa"/>
            <w:vAlign w:val="center"/>
          </w:tcPr>
          <w:p w14:paraId="73491EA6">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信用查询</w:t>
            </w:r>
          </w:p>
        </w:tc>
        <w:tc>
          <w:tcPr>
            <w:tcW w:w="6586" w:type="dxa"/>
            <w:vAlign w:val="center"/>
          </w:tcPr>
          <w:p w14:paraId="5729BABE">
            <w:pPr>
              <w:spacing w:line="340" w:lineRule="exact"/>
              <w:ind w:left="73" w:leftChars="20" w:hanging="25" w:hangingChars="12"/>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根据《关于做好政府采购有关信用主体标识码登记及在政府采购活动中查询使用信用记录有关问题的通知》（桂财采〔2016〕37），由采购代理机构对第一</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进行信用查询：</w:t>
            </w:r>
          </w:p>
          <w:p w14:paraId="76EDEF59">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w:t>
            </w:r>
          </w:p>
          <w:p w14:paraId="210431DB">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38F9503D">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4F87F80B">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sz w:val="21"/>
                <w:szCs w:val="21"/>
                <w:highlight w:val="none"/>
              </w:rPr>
              <w:t>信用信息使用规则：对在“信用中国”网站</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www.creditchina.gov.cn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、中国政府采购网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www.ccgp.gov.cn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等渠道列入失信被执行人、重大税收违法失信主体、政府采购严重违法失信行为记录名单及其他不符合《中华人民共和国政府采购法》第二十二条规定条件的供应商，取消其</w:t>
            </w:r>
            <w:r>
              <w:rPr>
                <w:rFonts w:hint="eastAsia" w:ascii="宋体" w:hAnsi="宋体" w:cs="宋体"/>
                <w:color w:val="auto"/>
                <w:sz w:val="21"/>
                <w:szCs w:val="21"/>
                <w:highlight w:val="none"/>
                <w:lang w:eastAsia="zh-CN"/>
              </w:rPr>
              <w:t>成交候选供应商</w:t>
            </w:r>
            <w:r>
              <w:rPr>
                <w:rFonts w:hint="eastAsia" w:ascii="宋体" w:hAnsi="宋体" w:cs="宋体"/>
                <w:color w:val="auto"/>
                <w:sz w:val="21"/>
                <w:szCs w:val="21"/>
                <w:highlight w:val="none"/>
              </w:rPr>
              <w:t>资格。</w:t>
            </w:r>
          </w:p>
        </w:tc>
      </w:tr>
      <w:tr w14:paraId="324C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56658E8">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816" w:type="dxa"/>
            <w:vAlign w:val="center"/>
          </w:tcPr>
          <w:p w14:paraId="726DB63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1324" w:type="dxa"/>
            <w:vAlign w:val="center"/>
          </w:tcPr>
          <w:p w14:paraId="75F33DA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0F91375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6586" w:type="dxa"/>
          </w:tcPr>
          <w:p w14:paraId="5105C2D3">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 采购代理机构于评审结束后两个工作日内将评审报告送交采购人，采购人应当自收到评审报告五个工作日内在评审报告推荐的成交候选供应商中按顺序确定</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，采购代理机构在</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确定之日起两个工作日内发出成交通知书，并在指定媒体上公告成交信息。</w:t>
            </w:r>
          </w:p>
          <w:p w14:paraId="651002E6">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27.3在发布成交公告的同时，采购代理机构向</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发出成交通知书。</w:t>
            </w:r>
          </w:p>
        </w:tc>
      </w:tr>
      <w:tr w14:paraId="2D9E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D9F8DDC">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816" w:type="dxa"/>
            <w:vAlign w:val="center"/>
          </w:tcPr>
          <w:p w14:paraId="5D12047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28</w:t>
            </w:r>
          </w:p>
        </w:tc>
        <w:tc>
          <w:tcPr>
            <w:tcW w:w="1324" w:type="dxa"/>
            <w:vAlign w:val="center"/>
          </w:tcPr>
          <w:p w14:paraId="1742376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履约保证金</w:t>
            </w:r>
          </w:p>
        </w:tc>
        <w:tc>
          <w:tcPr>
            <w:tcW w:w="6586" w:type="dxa"/>
            <w:vAlign w:val="center"/>
          </w:tcPr>
          <w:p w14:paraId="62533829">
            <w:pPr>
              <w:snapToGrid w:val="0"/>
              <w:spacing w:line="380" w:lineRule="exact"/>
              <w:ind w:firstLine="0" w:firstLineChars="0"/>
              <w:outlineLvl w:val="4"/>
              <w:rPr>
                <w:rFonts w:ascii="宋体" w:hAnsi="宋体" w:cs="宋体"/>
                <w:b/>
                <w:color w:val="auto"/>
                <w:sz w:val="21"/>
                <w:szCs w:val="21"/>
                <w:highlight w:val="none"/>
              </w:rPr>
            </w:pPr>
            <w:r>
              <w:rPr>
                <w:rFonts w:hint="eastAsia" w:ascii="宋体" w:hAnsi="宋体" w:cs="宋体"/>
                <w:color w:val="auto"/>
                <w:kern w:val="0"/>
                <w:sz w:val="21"/>
                <w:szCs w:val="21"/>
                <w:highlight w:val="none"/>
              </w:rPr>
              <w:t>本项目专门面向小微企业采购，不收取履约保证金。</w:t>
            </w:r>
          </w:p>
        </w:tc>
      </w:tr>
      <w:tr w14:paraId="0BC7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37CE1E7">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816" w:type="dxa"/>
            <w:vAlign w:val="center"/>
          </w:tcPr>
          <w:p w14:paraId="58F32B64">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1324" w:type="dxa"/>
            <w:vAlign w:val="center"/>
          </w:tcPr>
          <w:p w14:paraId="03D4785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6586" w:type="dxa"/>
            <w:vAlign w:val="center"/>
          </w:tcPr>
          <w:p w14:paraId="09187EDD">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成交通知书发出之日起8个工作日内。供应商应按规定与采购人签订合同。</w:t>
            </w:r>
          </w:p>
        </w:tc>
      </w:tr>
      <w:tr w14:paraId="0398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5D345F6">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816" w:type="dxa"/>
            <w:vAlign w:val="center"/>
          </w:tcPr>
          <w:p w14:paraId="152F994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1324" w:type="dxa"/>
            <w:vAlign w:val="center"/>
          </w:tcPr>
          <w:p w14:paraId="5E18FBE2">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政府采购合同公告</w:t>
            </w:r>
          </w:p>
        </w:tc>
        <w:tc>
          <w:tcPr>
            <w:tcW w:w="6586" w:type="dxa"/>
            <w:vAlign w:val="center"/>
          </w:tcPr>
          <w:p w14:paraId="7F83EFEE">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采购人应当自政府采购合同签订之日起2个工作日内，将政府采购合同在省级以上人民政府财政部门指定的媒体上公告，但政府采购合同中涉及国家秘密、商业秘密的内容除外。</w:t>
            </w:r>
          </w:p>
        </w:tc>
      </w:tr>
      <w:tr w14:paraId="1189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9B57021">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816" w:type="dxa"/>
            <w:vAlign w:val="center"/>
          </w:tcPr>
          <w:p w14:paraId="109B5E62">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30</w:t>
            </w:r>
          </w:p>
        </w:tc>
        <w:tc>
          <w:tcPr>
            <w:tcW w:w="1324" w:type="dxa"/>
            <w:vAlign w:val="center"/>
          </w:tcPr>
          <w:p w14:paraId="3380988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6586" w:type="dxa"/>
          </w:tcPr>
          <w:p w14:paraId="6767BB4B">
            <w:pPr>
              <w:snapToGrid w:val="0"/>
              <w:spacing w:line="380" w:lineRule="exact"/>
              <w:ind w:firstLine="0" w:firstLineChars="0"/>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采购</w:t>
            </w:r>
            <w:r>
              <w:rPr>
                <w:rFonts w:hint="eastAsia" w:ascii="宋体" w:hAnsi="宋体" w:cs="宋体"/>
                <w:color w:val="auto"/>
                <w:kern w:val="0"/>
                <w:sz w:val="21"/>
                <w:szCs w:val="21"/>
                <w:highlight w:val="none"/>
              </w:rPr>
              <w:t>代理服务费为人民币</w:t>
            </w:r>
            <w:r>
              <w:rPr>
                <w:rFonts w:hint="eastAsia" w:ascii="宋体" w:hAnsi="宋体" w:cs="宋体"/>
                <w:color w:val="auto"/>
                <w:kern w:val="0"/>
                <w:sz w:val="21"/>
                <w:szCs w:val="21"/>
                <w:highlight w:val="none"/>
                <w:lang w:eastAsia="zh-CN"/>
              </w:rPr>
              <w:t>壹万陆仟元整（¥1</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lang w:eastAsia="zh-CN"/>
              </w:rPr>
              <w:t>000.00）</w:t>
            </w:r>
            <w:r>
              <w:rPr>
                <w:rFonts w:hint="eastAsia" w:ascii="宋体" w:hAnsi="宋体" w:cs="宋体"/>
                <w:color w:val="auto"/>
                <w:kern w:val="0"/>
                <w:sz w:val="21"/>
                <w:szCs w:val="21"/>
                <w:highlight w:val="none"/>
              </w:rPr>
              <w:t>，由</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向采购代理机构一次性支付。</w:t>
            </w:r>
          </w:p>
        </w:tc>
      </w:tr>
      <w:tr w14:paraId="6265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55AC12C2">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19</w:t>
            </w:r>
          </w:p>
        </w:tc>
        <w:tc>
          <w:tcPr>
            <w:tcW w:w="816" w:type="dxa"/>
            <w:vAlign w:val="center"/>
          </w:tcPr>
          <w:p w14:paraId="4558920A">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33</w:t>
            </w:r>
          </w:p>
        </w:tc>
        <w:tc>
          <w:tcPr>
            <w:tcW w:w="1324" w:type="dxa"/>
            <w:vAlign w:val="center"/>
          </w:tcPr>
          <w:p w14:paraId="71E7633F">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6586" w:type="dxa"/>
          </w:tcPr>
          <w:p w14:paraId="54D74B04">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本竞争性磋商文件是根据《中华人民共和国政府采购法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政府采购竞争性磋商采购方式管理暂行办法》和政府采购管理有关规定编制，本竞争性磋商文件的解释权属于采购代理机构。</w:t>
            </w:r>
          </w:p>
        </w:tc>
      </w:tr>
      <w:tr w14:paraId="0C9B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441A439">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20</w:t>
            </w:r>
          </w:p>
        </w:tc>
        <w:tc>
          <w:tcPr>
            <w:tcW w:w="816" w:type="dxa"/>
            <w:vAlign w:val="center"/>
          </w:tcPr>
          <w:p w14:paraId="1546174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1324" w:type="dxa"/>
            <w:vAlign w:val="center"/>
          </w:tcPr>
          <w:p w14:paraId="3CF76F95">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6586" w:type="dxa"/>
            <w:vAlign w:val="center"/>
          </w:tcPr>
          <w:p w14:paraId="7B8085D6">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桂林市财政局    联系电话：0773-2816067</w:t>
            </w:r>
          </w:p>
        </w:tc>
      </w:tr>
      <w:tr w14:paraId="2AF7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DD9CA9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21</w:t>
            </w:r>
          </w:p>
        </w:tc>
        <w:tc>
          <w:tcPr>
            <w:tcW w:w="816" w:type="dxa"/>
            <w:vAlign w:val="center"/>
          </w:tcPr>
          <w:p w14:paraId="673CBD7E">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35</w:t>
            </w:r>
          </w:p>
        </w:tc>
        <w:tc>
          <w:tcPr>
            <w:tcW w:w="1324" w:type="dxa"/>
            <w:vAlign w:val="center"/>
          </w:tcPr>
          <w:p w14:paraId="203E7A0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中小企业</w:t>
            </w:r>
          </w:p>
        </w:tc>
        <w:tc>
          <w:tcPr>
            <w:tcW w:w="6586" w:type="dxa"/>
            <w:vAlign w:val="center"/>
          </w:tcPr>
          <w:p w14:paraId="17DCC7B9">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政府采购促进中小企业发展管理办法》（财库〔2020〕46号）的规定，本磋商文件所称小微企业，是指在中华人民共和国境内依法设立，依据中小企业划分标准确定的小型企业和微型企业，但与大企业的负责人为同一人，或者与大企业存在直接控股、管理关系的除外。</w:t>
            </w:r>
          </w:p>
          <w:p w14:paraId="0BE6C1E0">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标的</w:t>
            </w:r>
            <w:r>
              <w:rPr>
                <w:rFonts w:hint="eastAsia" w:ascii="宋体" w:hAnsi="宋体" w:cs="宋体"/>
                <w:color w:val="auto"/>
                <w:kern w:val="0"/>
                <w:sz w:val="21"/>
                <w:szCs w:val="21"/>
                <w:highlight w:val="none"/>
              </w:rPr>
              <w:t>所属行业为建筑业。</w:t>
            </w:r>
          </w:p>
          <w:p w14:paraId="2EA874A9">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印发中小企业划型标准规定的通知》（工信部联企业〔2011〕300号）的规定，建筑业中小企业划型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F903969">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供应商确定自身属于上述定义的小微企业时，应按第</w:t>
            </w:r>
            <w:r>
              <w:rPr>
                <w:rFonts w:hint="eastAsia" w:ascii="宋体" w:hAnsi="宋体" w:cs="宋体"/>
                <w:color w:val="auto"/>
                <w:kern w:val="0"/>
                <w:sz w:val="21"/>
                <w:szCs w:val="21"/>
                <w:highlight w:val="none"/>
                <w:lang w:eastAsia="zh-CN"/>
              </w:rPr>
              <w:t>六</w:t>
            </w:r>
            <w:r>
              <w:rPr>
                <w:rFonts w:hint="eastAsia" w:ascii="宋体" w:hAnsi="宋体" w:cs="宋体"/>
                <w:color w:val="auto"/>
                <w:kern w:val="0"/>
                <w:sz w:val="21"/>
                <w:szCs w:val="21"/>
                <w:highlight w:val="none"/>
              </w:rPr>
              <w:t>章“响应文件格式</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提供相应的《中小企业声明函》，否则评审时不予认定。任何单位和个人不得要求供应商提供《中小企业声明函》之外的中小企业身份证明文件。</w:t>
            </w:r>
          </w:p>
        </w:tc>
      </w:tr>
      <w:tr w14:paraId="265F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66A17C0">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22</w:t>
            </w:r>
          </w:p>
        </w:tc>
        <w:tc>
          <w:tcPr>
            <w:tcW w:w="816" w:type="dxa"/>
            <w:vAlign w:val="center"/>
          </w:tcPr>
          <w:p w14:paraId="0F1E114C">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36</w:t>
            </w:r>
          </w:p>
        </w:tc>
        <w:tc>
          <w:tcPr>
            <w:tcW w:w="1324" w:type="dxa"/>
            <w:vAlign w:val="center"/>
          </w:tcPr>
          <w:p w14:paraId="0F8A3D58">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监狱企业</w:t>
            </w:r>
          </w:p>
        </w:tc>
        <w:tc>
          <w:tcPr>
            <w:tcW w:w="6586" w:type="dxa"/>
            <w:vAlign w:val="center"/>
          </w:tcPr>
          <w:p w14:paraId="45601D4E">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35105FE">
            <w:pPr>
              <w:spacing w:line="340" w:lineRule="exact"/>
              <w:ind w:firstLine="0" w:firstLineChars="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6930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3ACF0773">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23</w:t>
            </w:r>
          </w:p>
        </w:tc>
        <w:tc>
          <w:tcPr>
            <w:tcW w:w="816" w:type="dxa"/>
            <w:vAlign w:val="center"/>
          </w:tcPr>
          <w:p w14:paraId="335D9FCB">
            <w:pPr>
              <w:spacing w:line="340" w:lineRule="exact"/>
              <w:ind w:firstLine="0" w:firstLineChars="0"/>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37</w:t>
            </w:r>
          </w:p>
        </w:tc>
        <w:tc>
          <w:tcPr>
            <w:tcW w:w="1324" w:type="dxa"/>
            <w:vAlign w:val="center"/>
          </w:tcPr>
          <w:p w14:paraId="29C8007F">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残疾人福利性单位</w:t>
            </w:r>
          </w:p>
        </w:tc>
        <w:tc>
          <w:tcPr>
            <w:tcW w:w="6586" w:type="dxa"/>
            <w:vAlign w:val="center"/>
          </w:tcPr>
          <w:p w14:paraId="78C7C221">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37.1</w:t>
            </w:r>
            <w:r>
              <w:rPr>
                <w:rFonts w:hint="eastAsia" w:ascii="宋体" w:hAnsi="宋体" w:cs="宋体"/>
                <w:color w:val="auto"/>
                <w:kern w:val="0"/>
                <w:sz w:val="21"/>
                <w:szCs w:val="21"/>
                <w:highlight w:val="none"/>
              </w:rPr>
              <w:t xml:space="preserve"> 根据《关于促进残疾人就业政府采购政策的通知》（财库〔2017〕141号）的规定，享受政府采购支持政策的残疾人福利性单位应当同时满足以下条件：</w:t>
            </w:r>
          </w:p>
          <w:p w14:paraId="226F5C75">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（1）安置的残疾人占本单位在职职工人数的比例不低于25%（含25%），并且安置的残疾人人数不少于10人（含10人）；</w:t>
            </w:r>
          </w:p>
          <w:p w14:paraId="253AC0B5">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（2）依法与安置的每位残疾人签订了一年以上（含一年）的劳动合同或服务协议；</w:t>
            </w:r>
          </w:p>
          <w:p w14:paraId="59FFAF2D">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（3）为安置的每位残疾人按月足额缴纳了基本养老保险、基本医疗保险、失业保险、工伤保险和生育保险等社会保险费；</w:t>
            </w:r>
          </w:p>
          <w:p w14:paraId="40F03FDE">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（4）通过银行等金融机构向安置的每位残疾人，按月支付了不低于单位所在区县适用的经省级人民政府批准的月最低工资标准的工资；</w:t>
            </w:r>
          </w:p>
          <w:p w14:paraId="5BCEFE6A">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（5）提供本单位制造的货物、承担的工程或者服务（以下简称产品），或者提供其他残疾人福利性单位制造的货物（不包括使用非残疾人福利性单位注册商标的货物）。</w:t>
            </w:r>
          </w:p>
          <w:p w14:paraId="2F030F63">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w:t>
            </w:r>
            <w:r>
              <w:rPr>
                <w:rFonts w:hint="eastAsia" w:ascii="宋体" w:hAnsi="宋体" w:cs="宋体"/>
                <w:color w:val="auto"/>
                <w:spacing w:val="-4"/>
                <w:kern w:val="0"/>
                <w:sz w:val="21"/>
                <w:szCs w:val="21"/>
                <w:highlight w:val="none"/>
              </w:rPr>
              <w:t>福利性单位建立劳动关系并依法签订劳动合同或者服务协议的雇员人数。</w:t>
            </w:r>
          </w:p>
          <w:p w14:paraId="23720B81">
            <w:pPr>
              <w:spacing w:line="340" w:lineRule="exact"/>
              <w:ind w:firstLine="0"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37.2</w:t>
            </w:r>
            <w:r>
              <w:rPr>
                <w:rFonts w:hint="eastAsia" w:ascii="宋体" w:hAnsi="宋体" w:cs="宋体"/>
                <w:color w:val="auto"/>
                <w:kern w:val="0"/>
                <w:sz w:val="21"/>
                <w:szCs w:val="21"/>
                <w:highlight w:val="none"/>
              </w:rPr>
              <w:t>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bl>
    <w:p w14:paraId="744B529E">
      <w:pPr>
        <w:spacing w:line="380" w:lineRule="exact"/>
        <w:ind w:firstLine="0" w:firstLineChars="0"/>
        <w:jc w:val="center"/>
        <w:rPr>
          <w:rFonts w:ascii="宋体" w:hAnsi="宋体" w:cs="宋体"/>
          <w:b/>
          <w:color w:val="auto"/>
          <w:kern w:val="0"/>
          <w:sz w:val="28"/>
          <w:szCs w:val="28"/>
          <w:highlight w:val="none"/>
        </w:rPr>
      </w:pPr>
    </w:p>
    <w:p w14:paraId="08AD6A91">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7FDDF731">
      <w:pPr>
        <w:spacing w:line="380" w:lineRule="exact"/>
        <w:ind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一、总则</w:t>
      </w:r>
    </w:p>
    <w:p w14:paraId="01610DB0">
      <w:pPr>
        <w:spacing w:line="38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1.适</w:t>
      </w:r>
      <w:r>
        <w:rPr>
          <w:rFonts w:hint="eastAsia" w:ascii="宋体" w:hAnsi="宋体" w:cs="宋体"/>
          <w:b/>
          <w:color w:val="auto"/>
          <w:kern w:val="0"/>
          <w:sz w:val="21"/>
          <w:szCs w:val="21"/>
          <w:highlight w:val="none"/>
          <w:lang w:eastAsia="zh-CN"/>
        </w:rPr>
        <w:t>用</w:t>
      </w:r>
      <w:r>
        <w:rPr>
          <w:rFonts w:hint="eastAsia" w:ascii="宋体" w:hAnsi="宋体" w:cs="宋体"/>
          <w:b/>
          <w:color w:val="auto"/>
          <w:kern w:val="0"/>
          <w:sz w:val="21"/>
          <w:szCs w:val="21"/>
          <w:highlight w:val="none"/>
        </w:rPr>
        <w:t>范围</w:t>
      </w:r>
    </w:p>
    <w:p w14:paraId="0356C839">
      <w:pPr>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1.1 项目名称及项目编号：</w:t>
      </w:r>
    </w:p>
    <w:p w14:paraId="334BD76D">
      <w:pPr>
        <w:spacing w:line="380" w:lineRule="exact"/>
        <w:ind w:firstLine="435"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rPr>
        <w:t>桂林市第十三中学校园操场改造及校园硅PU篮球场项目</w:t>
      </w:r>
    </w:p>
    <w:p w14:paraId="7F942FB7">
      <w:pPr>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项目编号：GLZC2026-C2-990171-YZLZ</w:t>
      </w:r>
    </w:p>
    <w:p w14:paraId="18E05164">
      <w:pPr>
        <w:spacing w:line="380" w:lineRule="exact"/>
        <w:ind w:firstLine="435"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代理编号：YZLGL2026-C2-026-GLZC</w:t>
      </w:r>
    </w:p>
    <w:p w14:paraId="1DD4483C">
      <w:pPr>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 本竞争性磋商文件（以下简称磋商文件）适用于本磋商项目的磋商、评审、合同履约、验收、付款等行为（</w:t>
      </w:r>
      <w:r>
        <w:rPr>
          <w:rFonts w:hint="eastAsia" w:ascii="宋体" w:hAnsi="宋体" w:cs="宋体"/>
          <w:color w:val="auto"/>
          <w:kern w:val="0"/>
          <w:sz w:val="21"/>
          <w:szCs w:val="21"/>
          <w:highlight w:val="none"/>
          <w:lang w:eastAsia="zh-CN"/>
        </w:rPr>
        <w:t>法律法规</w:t>
      </w:r>
      <w:r>
        <w:rPr>
          <w:rFonts w:hint="eastAsia" w:ascii="宋体" w:hAnsi="宋体" w:cs="宋体"/>
          <w:color w:val="auto"/>
          <w:kern w:val="0"/>
          <w:sz w:val="21"/>
          <w:szCs w:val="21"/>
          <w:highlight w:val="none"/>
        </w:rPr>
        <w:t>另有规定的，从其规定）。</w:t>
      </w:r>
    </w:p>
    <w:p w14:paraId="73E3F6A4">
      <w:pPr>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0B79F169">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2.1“采购人”是指：</w:t>
      </w:r>
      <w:r>
        <w:rPr>
          <w:rFonts w:hint="eastAsia" w:ascii="宋体" w:hAnsi="宋体"/>
          <w:color w:val="auto"/>
          <w:sz w:val="21"/>
          <w:szCs w:val="24"/>
          <w:highlight w:val="none"/>
        </w:rPr>
        <w:t>桂林市第十三中学</w:t>
      </w:r>
      <w:r>
        <w:rPr>
          <w:rFonts w:hint="eastAsia" w:ascii="宋体" w:hAnsi="宋体" w:cs="宋体"/>
          <w:color w:val="auto"/>
          <w:sz w:val="21"/>
          <w:szCs w:val="24"/>
          <w:highlight w:val="none"/>
        </w:rPr>
        <w:t>。</w:t>
      </w:r>
    </w:p>
    <w:p w14:paraId="602EF81F">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2.2“采购代理机构”是指：云之龙咨询集团有限公司。</w:t>
      </w:r>
    </w:p>
    <w:p w14:paraId="04F1B932">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2.3“供应商”是指响应本文件要求，参加磋商的法人或者其他组织。如果该供应商在本次磋商中成交，即成为“</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w:t>
      </w:r>
    </w:p>
    <w:p w14:paraId="485A7746">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2.4“货物”是指各种形态和种类的物品，包括原材料、燃料、设备、产品等。</w:t>
      </w:r>
    </w:p>
    <w:p w14:paraId="519E968A">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2.5“工程”是指建设工程，包括建筑物和构筑物的新建、改建、扩建、装修、拆除、修缮等。</w:t>
      </w:r>
    </w:p>
    <w:p w14:paraId="4C020B5E">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2.6“服务”是指除货物和工程以外的其他采购对象。</w:t>
      </w:r>
    </w:p>
    <w:p w14:paraId="057AE9D2">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2.7“项目”是指供应商按竞争性磋商文件规定向采购人提供的产品</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服务</w:t>
      </w:r>
      <w:r>
        <w:rPr>
          <w:rFonts w:hint="eastAsia" w:ascii="宋体" w:hAnsi="宋体" w:cs="宋体"/>
          <w:color w:val="auto"/>
          <w:kern w:val="0"/>
          <w:sz w:val="21"/>
          <w:szCs w:val="21"/>
          <w:highlight w:val="none"/>
          <w:lang w:eastAsia="zh-CN"/>
        </w:rPr>
        <w:t>及工程</w:t>
      </w:r>
      <w:r>
        <w:rPr>
          <w:rFonts w:hint="eastAsia" w:ascii="宋体" w:hAnsi="宋体" w:cs="宋体"/>
          <w:color w:val="auto"/>
          <w:kern w:val="0"/>
          <w:sz w:val="21"/>
          <w:szCs w:val="21"/>
          <w:highlight w:val="none"/>
        </w:rPr>
        <w:t>。</w:t>
      </w:r>
    </w:p>
    <w:p w14:paraId="5768DA81">
      <w:pPr>
        <w:adjustRightInd w:val="0"/>
        <w:snapToGrid w:val="0"/>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2.8“响应文件”是指：</w:t>
      </w:r>
      <w:r>
        <w:rPr>
          <w:rFonts w:hint="eastAsia" w:ascii="宋体" w:hAnsi="宋体" w:cs="宋体"/>
          <w:b/>
          <w:color w:val="auto"/>
          <w:kern w:val="0"/>
          <w:sz w:val="21"/>
          <w:szCs w:val="21"/>
          <w:highlight w:val="none"/>
        </w:rPr>
        <w:t>本项目实行全流程电子化采购，供应商通过广西政府采购云平台参与电子竞标。响应文件特指供应商按本磋商文件规定提交的电子响应文件（包括因特殊情况无法解密或解密失败提交的电子备份响应文件）。</w:t>
      </w:r>
    </w:p>
    <w:p w14:paraId="6C93700F">
      <w:pPr>
        <w:spacing w:line="380" w:lineRule="exact"/>
        <w:ind w:firstLine="420"/>
        <w:contextualSpacing/>
        <w:rPr>
          <w:rFonts w:ascii="宋体" w:hAnsi="宋体"/>
          <w:b/>
          <w:color w:val="auto"/>
          <w:sz w:val="21"/>
          <w:szCs w:val="21"/>
          <w:highlight w:val="none"/>
        </w:rPr>
      </w:pPr>
      <w:r>
        <w:rPr>
          <w:rFonts w:hint="eastAsia" w:ascii="宋体" w:hAnsi="宋体" w:cs="宋体"/>
          <w:color w:val="auto"/>
          <w:kern w:val="0"/>
          <w:sz w:val="21"/>
          <w:szCs w:val="21"/>
          <w:highlight w:val="none"/>
        </w:rPr>
        <w:t>2.9 实质性要求</w:t>
      </w:r>
      <w:r>
        <w:rPr>
          <w:rFonts w:hint="eastAsia" w:ascii="宋体" w:hAnsi="宋体"/>
          <w:b/>
          <w:color w:val="auto"/>
          <w:sz w:val="21"/>
          <w:szCs w:val="21"/>
          <w:highlight w:val="none"/>
        </w:rPr>
        <w:t>：“实质性要求”是指磋商文件中已经指明不满足则响应文件按无效处理的条款，或者不能负偏离的条款，或者采购需求中带“▲”的条款。实质性要求若有任意一项不满足的，响应文件按无效处理。</w:t>
      </w:r>
    </w:p>
    <w:p w14:paraId="6F3EF08C">
      <w:pPr>
        <w:spacing w:line="38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2.10供应商为其他组织时，本竞争性磋商文件规定的法定代表人指其他组织的负责人本人。本竞争性磋商文件所称负责人是指参加竞标的其他组织营业执照或者执业许可证等证照上载明的负责人。</w:t>
      </w:r>
    </w:p>
    <w:p w14:paraId="5C9F29DD">
      <w:pPr>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6115D8A0">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3.1满足《中华人民共和国政府采购法》第二十二条规定。</w:t>
      </w:r>
    </w:p>
    <w:p w14:paraId="1E246E0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3.2落实政府采购政策需满足的资格要求：</w:t>
      </w:r>
      <w:r>
        <w:rPr>
          <w:rFonts w:hint="eastAsia" w:ascii="宋体" w:hAnsi="宋体" w:cs="宋体"/>
          <w:color w:val="auto"/>
          <w:sz w:val="21"/>
          <w:szCs w:val="21"/>
          <w:highlight w:val="none"/>
        </w:rPr>
        <w:t>本项目专门面向小微企业采购。供应商应符合《政府采购促进中小企业发展管理办法》（财库﹝2020﹞46号）第二条规定，根据《关于政府采购支持监狱企业发展有关问题的通知》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财库〔2014〕68号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及《关于促进残疾人就业政府采购政策的通知》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财库〔2017〕141号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规定，监狱企业、残疾人福利性单位视同小型、微型企业。</w:t>
      </w:r>
    </w:p>
    <w:p w14:paraId="3AB396AB">
      <w:pPr>
        <w:spacing w:line="400" w:lineRule="exact"/>
        <w:ind w:left="0" w:leftChars="0" w:firstLine="420" w:firstLineChars="2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3.3本项目的特定资格要求：</w:t>
      </w:r>
    </w:p>
    <w:p w14:paraId="0A29ADE7">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供应商须具备建筑工程施工总承包三级以上（含三级）资质，同时具备有效的安全生产许可证，并在人员、设备、资金等方面具有相应的履约能力。</w:t>
      </w:r>
    </w:p>
    <w:p w14:paraId="38A41D2C">
      <w:pPr>
        <w:spacing w:line="400" w:lineRule="exact"/>
        <w:ind w:firstLine="42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）供应商提供</w:t>
      </w:r>
      <w:r>
        <w:rPr>
          <w:rFonts w:hint="eastAsia" w:ascii="宋体" w:hAnsi="宋体" w:cs="宋体"/>
          <w:bCs/>
          <w:color w:val="auto"/>
          <w:sz w:val="21"/>
          <w:szCs w:val="21"/>
          <w:highlight w:val="none"/>
        </w:rPr>
        <w:t>项目管理机构组成表</w:t>
      </w:r>
      <w:r>
        <w:rPr>
          <w:rFonts w:hint="eastAsia" w:ascii="宋体" w:hAnsi="宋体" w:cs="宋体"/>
          <w:color w:val="auto"/>
          <w:sz w:val="21"/>
          <w:szCs w:val="21"/>
          <w:highlight w:val="none"/>
          <w:lang w:eastAsia="zh-CN"/>
        </w:rPr>
        <w:t>，且</w:t>
      </w:r>
      <w:r>
        <w:rPr>
          <w:rFonts w:hint="eastAsia" w:ascii="宋体" w:hAnsi="宋体" w:cs="宋体"/>
          <w:bCs/>
          <w:color w:val="auto"/>
          <w:sz w:val="21"/>
          <w:szCs w:val="21"/>
          <w:highlight w:val="none"/>
          <w:lang w:eastAsia="zh-CN"/>
        </w:rPr>
        <w:t>须满足以下最低人员配备要求</w:t>
      </w:r>
      <w:r>
        <w:rPr>
          <w:rFonts w:hint="eastAsia" w:ascii="宋体" w:hAnsi="宋体" w:cs="宋体"/>
          <w:color w:val="auto"/>
          <w:sz w:val="21"/>
          <w:szCs w:val="21"/>
          <w:highlight w:val="none"/>
          <w:lang w:eastAsia="zh-CN"/>
        </w:rPr>
        <w:t>：</w:t>
      </w:r>
    </w:p>
    <w:p w14:paraId="1C82683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项目经理必须具备建筑工程专业二级以上（含二级）注册建造师执业资格，具备有效的安全生产考核合格证书（B类）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color w:val="auto"/>
          <w:sz w:val="21"/>
          <w:szCs w:val="21"/>
          <w:highlight w:val="none"/>
        </w:rPr>
        <w:t>，且未拟派其他在建、已中标（或成交）未开工或已列为其他项目中标（或成交）候选人第一名的建造师作为项目经理（符合桂建管﹝2013﹞17号文及桂建管﹝2016﹞70号</w:t>
      </w:r>
      <w:r>
        <w:rPr>
          <w:rFonts w:hint="eastAsia" w:ascii="宋体" w:hAnsi="宋体" w:cs="宋体"/>
          <w:color w:val="auto"/>
          <w:sz w:val="21"/>
          <w:szCs w:val="21"/>
          <w:highlight w:val="none"/>
          <w:lang w:eastAsia="zh-CN"/>
        </w:rPr>
        <w:t>文</w:t>
      </w:r>
      <w:r>
        <w:rPr>
          <w:rFonts w:hint="eastAsia" w:ascii="宋体" w:hAnsi="宋体" w:cs="宋体"/>
          <w:color w:val="auto"/>
          <w:sz w:val="21"/>
          <w:szCs w:val="21"/>
          <w:highlight w:val="none"/>
        </w:rPr>
        <w:t>除外）。</w:t>
      </w:r>
    </w:p>
    <w:p w14:paraId="72FB4B71">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color w:val="auto"/>
          <w:sz w:val="21"/>
          <w:szCs w:val="21"/>
          <w:highlight w:val="none"/>
          <w:lang w:eastAsia="zh-CN"/>
        </w:rPr>
        <w:t>②</w:t>
      </w:r>
      <w:r>
        <w:rPr>
          <w:rFonts w:hint="eastAsia" w:ascii="宋体" w:hAnsi="宋体" w:cs="宋体"/>
          <w:bCs/>
          <w:color w:val="auto"/>
          <w:sz w:val="21"/>
          <w:szCs w:val="21"/>
          <w:highlight w:val="none"/>
        </w:rPr>
        <w:t>技术负责人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1人</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须具有相关专业中级及以上职称</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799E9963">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③</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w:t>
      </w:r>
      <w:r>
        <w:rPr>
          <w:rFonts w:hint="eastAsia" w:ascii="宋体" w:hAnsi="宋体" w:cs="宋体"/>
          <w:color w:val="auto"/>
          <w:sz w:val="21"/>
          <w:szCs w:val="21"/>
          <w:highlight w:val="none"/>
        </w:rPr>
        <w:t>拟投入</w:t>
      </w:r>
      <w:r>
        <w:rPr>
          <w:rFonts w:hint="eastAsia" w:ascii="宋体" w:hAnsi="宋体" w:cs="宋体"/>
          <w:color w:val="auto"/>
          <w:sz w:val="21"/>
          <w:szCs w:val="21"/>
          <w:highlight w:val="none"/>
          <w:lang w:eastAsia="zh-CN"/>
        </w:rPr>
        <w:t>的</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相应有效的专职安全员安全生产考核合格证书（C类）</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0B120025">
      <w:pPr>
        <w:spacing w:line="400" w:lineRule="exact"/>
        <w:ind w:firstLine="420"/>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④</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（各配备</w:t>
      </w:r>
      <w:r>
        <w:rPr>
          <w:rFonts w:hint="eastAsia" w:ascii="宋体" w:hAnsi="宋体" w:cs="宋体"/>
          <w:bCs/>
          <w:color w:val="auto"/>
          <w:sz w:val="21"/>
          <w:szCs w:val="21"/>
          <w:highlight w:val="none"/>
          <w:lang w:val="en-US" w:eastAsia="zh-CN"/>
        </w:rPr>
        <w:t>1人</w:t>
      </w:r>
      <w:r>
        <w:rPr>
          <w:rFonts w:hint="eastAsia" w:ascii="宋体" w:hAnsi="宋体" w:cs="宋体"/>
          <w:bCs/>
          <w:color w:val="auto"/>
          <w:sz w:val="21"/>
          <w:szCs w:val="21"/>
          <w:highlight w:val="none"/>
          <w:lang w:eastAsia="zh-CN"/>
        </w:rPr>
        <w:t>）：拟投入的</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须具有</w:t>
      </w:r>
      <w:r>
        <w:rPr>
          <w:rFonts w:hint="eastAsia" w:ascii="宋体" w:hAnsi="宋体" w:cs="宋体"/>
          <w:bCs/>
          <w:color w:val="auto"/>
          <w:sz w:val="21"/>
          <w:szCs w:val="21"/>
          <w:highlight w:val="none"/>
        </w:rPr>
        <w:t>相应有效的施工现场专业人员职业培训合格证书</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身份证</w:t>
      </w:r>
      <w:r>
        <w:rPr>
          <w:rFonts w:hint="eastAsia" w:ascii="宋体" w:hAnsi="宋体" w:cs="宋体"/>
          <w:bCs/>
          <w:color w:val="auto"/>
          <w:sz w:val="21"/>
          <w:szCs w:val="21"/>
          <w:highlight w:val="none"/>
          <w:lang w:eastAsia="zh-CN"/>
        </w:rPr>
        <w:t>。</w:t>
      </w:r>
    </w:p>
    <w:p w14:paraId="507055F8">
      <w:pPr>
        <w:tabs>
          <w:tab w:val="left" w:pos="1635"/>
        </w:tabs>
        <w:spacing w:line="380" w:lineRule="exact"/>
        <w:ind w:firstLine="435" w:firstLineChars="0"/>
        <w:rPr>
          <w:rFonts w:ascii="宋体" w:hAnsi="宋体" w:cs="宋体"/>
          <w:color w:val="auto"/>
          <w:sz w:val="21"/>
          <w:szCs w:val="21"/>
          <w:highlight w:val="none"/>
        </w:rPr>
      </w:pPr>
      <w:r>
        <w:rPr>
          <w:rFonts w:hint="eastAsia" w:ascii="宋体" w:hAnsi="宋体" w:cs="宋体"/>
          <w:bCs/>
          <w:color w:val="auto"/>
          <w:sz w:val="21"/>
          <w:szCs w:val="21"/>
          <w:highlight w:val="none"/>
          <w:lang w:eastAsia="zh-CN"/>
        </w:rPr>
        <w:t>⑤供应商具有</w:t>
      </w:r>
      <w:r>
        <w:rPr>
          <w:rFonts w:hint="eastAsia" w:ascii="宋体" w:hAnsi="宋体" w:cs="宋体"/>
          <w:bCs/>
          <w:color w:val="auto"/>
          <w:sz w:val="21"/>
          <w:szCs w:val="21"/>
          <w:highlight w:val="none"/>
        </w:rPr>
        <w:t>202</w:t>
      </w:r>
      <w:r>
        <w:rPr>
          <w:rFonts w:hint="eastAsia" w:ascii="宋体" w:hAnsi="宋体" w:cs="宋体"/>
          <w:bCs/>
          <w:color w:val="auto"/>
          <w:sz w:val="21"/>
          <w:szCs w:val="21"/>
          <w:highlight w:val="none"/>
          <w:lang w:val="en-US" w:eastAsia="zh-CN"/>
        </w:rPr>
        <w:t>6</w:t>
      </w:r>
      <w:r>
        <w:rPr>
          <w:rFonts w:hint="eastAsia" w:ascii="宋体" w:hAnsi="宋体" w:cs="宋体"/>
          <w:bCs/>
          <w:color w:val="auto"/>
          <w:sz w:val="21"/>
          <w:szCs w:val="21"/>
          <w:highlight w:val="none"/>
        </w:rPr>
        <w:t>年以来任意1个月为</w:t>
      </w:r>
      <w:r>
        <w:rPr>
          <w:rFonts w:hint="eastAsia" w:ascii="宋体" w:hAnsi="宋体" w:cs="宋体"/>
          <w:bCs/>
          <w:color w:val="auto"/>
          <w:sz w:val="21"/>
          <w:szCs w:val="21"/>
          <w:highlight w:val="none"/>
          <w:lang w:eastAsia="zh-CN"/>
        </w:rPr>
        <w:t>以上</w:t>
      </w:r>
      <w:r>
        <w:rPr>
          <w:rFonts w:hint="eastAsia" w:ascii="宋体" w:hAnsi="宋体" w:cs="宋体"/>
          <w:color w:val="auto"/>
          <w:sz w:val="21"/>
          <w:szCs w:val="21"/>
          <w:highlight w:val="none"/>
        </w:rPr>
        <w:t>项目经理</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技术负责人</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专职安全生产管理人员</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施工员、质量员、材料员</w:t>
      </w:r>
      <w:r>
        <w:rPr>
          <w:rFonts w:hint="eastAsia" w:ascii="宋体" w:hAnsi="宋体" w:cs="宋体"/>
          <w:bCs/>
          <w:color w:val="auto"/>
          <w:sz w:val="21"/>
          <w:szCs w:val="21"/>
          <w:highlight w:val="none"/>
          <w:lang w:eastAsia="zh-CN"/>
        </w:rPr>
        <w:t>缴纳</w:t>
      </w:r>
      <w:r>
        <w:rPr>
          <w:rFonts w:hint="eastAsia" w:ascii="宋体" w:hAnsi="宋体" w:cs="宋体"/>
          <w:bCs/>
          <w:color w:val="auto"/>
          <w:sz w:val="21"/>
          <w:szCs w:val="21"/>
          <w:highlight w:val="none"/>
        </w:rPr>
        <w:t>的社保证明材料或供应商与其签订的有效劳动合同</w:t>
      </w:r>
      <w:r>
        <w:rPr>
          <w:rFonts w:hint="eastAsia" w:ascii="宋体" w:hAnsi="宋体" w:cs="宋体"/>
          <w:bCs/>
          <w:color w:val="auto"/>
          <w:sz w:val="21"/>
          <w:szCs w:val="21"/>
          <w:highlight w:val="none"/>
          <w:lang w:eastAsia="zh-CN"/>
        </w:rPr>
        <w:t>。</w:t>
      </w:r>
    </w:p>
    <w:p w14:paraId="4BD8C10F">
      <w:pPr>
        <w:tabs>
          <w:tab w:val="left" w:pos="1635"/>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4.参与电子竞标的准备工作</w:t>
      </w:r>
    </w:p>
    <w:p w14:paraId="55733BAF">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4.1本项目实行全流程电子化采购，供应商通过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参与电子竞标，并应做好以下相关准备工作：①在</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w:t>
      </w:r>
      <w:r>
        <w:rPr>
          <w:rFonts w:hint="eastAsia" w:ascii="宋体" w:hAnsi="宋体" w:cs="宋体"/>
          <w:bCs/>
          <w:color w:val="auto"/>
          <w:sz w:val="21"/>
          <w:szCs w:val="21"/>
          <w:highlight w:val="none"/>
        </w:rPr>
        <w:t>以便供应商采用CA证书对其响应文件电子签章或电子签名</w:t>
      </w:r>
      <w:r>
        <w:rPr>
          <w:rFonts w:hint="eastAsia" w:ascii="宋体" w:hAnsi="宋体" w:cs="宋体"/>
          <w:color w:val="auto"/>
          <w:kern w:val="0"/>
          <w:sz w:val="21"/>
          <w:szCs w:val="21"/>
          <w:highlight w:val="none"/>
        </w:rPr>
        <w:t>；③自备计算机和网络设备并确保能接入互联网（费用由供应商自行承担，设备确保可进行视频通话和读取</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CA证书）。因供应商未做好相关准备工作等自身原因导致无法参加本项目电子竞标或竞标失败的，造成的一切后果，由供应商自行承担。</w:t>
      </w:r>
    </w:p>
    <w:p w14:paraId="40C57D3E">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4.2电子竞标具体操作流程参考《政府采购项目电子交易管理操作指南</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供应商》（详见桂林市政府采购网—采购资讯—重要通知）；如遇平台技术问题详询95763或者0771-3381253。</w:t>
      </w:r>
    </w:p>
    <w:p w14:paraId="7362971A">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4.3不论磋商结果如何，供应商均应自行承担所有与磋商有关的全部费用。</w:t>
      </w:r>
    </w:p>
    <w:p w14:paraId="284BA9A5">
      <w:pPr>
        <w:tabs>
          <w:tab w:val="left" w:pos="1635"/>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79B7F9AD">
      <w:pPr>
        <w:snapToGrid w:val="0"/>
        <w:spacing w:line="38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本项目不接受联合体参与磋商。</w:t>
      </w:r>
    </w:p>
    <w:p w14:paraId="21F260C7">
      <w:pPr>
        <w:tabs>
          <w:tab w:val="left" w:pos="2190"/>
        </w:tabs>
        <w:spacing w:line="38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6A7780BE">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6.1供应商认为磋商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0592D9AF">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6DB5CE30">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72B3E971">
      <w:pPr>
        <w:tabs>
          <w:tab w:val="left" w:pos="2190"/>
        </w:tabs>
        <w:spacing w:line="38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6.2 供应商对采购代理机构的质疑答复不满意或者采购代理机构未在规定的时间内作出答复的，可以在答复期满后十五个工作日内向桂林市政府采购监督管理机构投诉</w:t>
      </w:r>
      <w:r>
        <w:rPr>
          <w:rFonts w:hint="eastAsia" w:ascii="宋体" w:hAnsi="宋体" w:cs="宋体"/>
          <w:b/>
          <w:color w:val="auto"/>
          <w:sz w:val="21"/>
          <w:szCs w:val="21"/>
          <w:highlight w:val="none"/>
        </w:rPr>
        <w:t>（“投诉书”格式见附表2）</w:t>
      </w:r>
      <w:r>
        <w:rPr>
          <w:rFonts w:hint="eastAsia" w:ascii="宋体" w:hAnsi="宋体" w:cs="宋体"/>
          <w:color w:val="auto"/>
          <w:sz w:val="21"/>
          <w:szCs w:val="21"/>
          <w:highlight w:val="none"/>
        </w:rPr>
        <w:t>。</w:t>
      </w:r>
    </w:p>
    <w:p w14:paraId="7B0F845D">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6.3 质疑、投诉应当采用书面形式，质疑书、投诉书实行实名制，均应明确阐述磋商文件、磋商过程或成交结果中使自己合法权益受到损害的实质性内容，并提供必要的证明材料</w:t>
      </w:r>
      <w:r>
        <w:rPr>
          <w:rFonts w:hint="eastAsia" w:ascii="宋体" w:hAnsi="宋体" w:cs="宋体"/>
          <w:color w:val="auto"/>
          <w:kern w:val="0"/>
          <w:sz w:val="21"/>
          <w:szCs w:val="21"/>
          <w:highlight w:val="none"/>
        </w:rPr>
        <w:t>。</w:t>
      </w:r>
    </w:p>
    <w:p w14:paraId="1D55EEC8">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04B6200A">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59F7C7A5">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11B2DEA2">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1613B097">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0C6A4C21">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64F73519">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7ABCF93D">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w:t>
      </w:r>
    </w:p>
    <w:p w14:paraId="3EB28E59">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630BC977">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质疑联系部门及联系方式：云之龙咨询集团有限公司桂林分公司，联系人：</w:t>
      </w:r>
      <w:r>
        <w:rPr>
          <w:rFonts w:hint="eastAsia" w:ascii="宋体" w:hAnsi="宋体" w:cs="宋体"/>
          <w:color w:val="auto"/>
          <w:kern w:val="0"/>
          <w:sz w:val="21"/>
          <w:szCs w:val="21"/>
          <w:highlight w:val="none"/>
          <w:lang w:eastAsia="zh-CN"/>
        </w:rPr>
        <w:t>李贞</w:t>
      </w:r>
      <w:r>
        <w:rPr>
          <w:rFonts w:hint="eastAsia" w:ascii="宋体" w:hAnsi="宋体" w:cs="宋体"/>
          <w:color w:val="auto"/>
          <w:kern w:val="0"/>
          <w:sz w:val="21"/>
          <w:szCs w:val="21"/>
          <w:highlight w:val="none"/>
        </w:rPr>
        <w:t>，联系电话：0773-2887388、2887399。通讯地址：</w:t>
      </w:r>
      <w:r>
        <w:rPr>
          <w:rFonts w:hint="eastAsia" w:ascii="宋体" w:hAnsi="宋体" w:cs="宋体"/>
          <w:color w:val="auto"/>
          <w:kern w:val="0"/>
          <w:sz w:val="21"/>
          <w:szCs w:val="24"/>
          <w:highlight w:val="none"/>
        </w:rPr>
        <w:t>广西桂林市临桂区西城北路2号耀辉•美好家园2幢12层1号房</w:t>
      </w:r>
      <w:r>
        <w:rPr>
          <w:rFonts w:hint="eastAsia" w:ascii="宋体" w:hAnsi="宋体" w:cs="宋体"/>
          <w:color w:val="auto"/>
          <w:kern w:val="0"/>
          <w:sz w:val="21"/>
          <w:szCs w:val="21"/>
          <w:highlight w:val="none"/>
        </w:rPr>
        <w:t>云之龙咨询集团有限公司。</w:t>
      </w:r>
    </w:p>
    <w:p w14:paraId="563CD1F7">
      <w:pPr>
        <w:tabs>
          <w:tab w:val="left" w:pos="2190"/>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764FD49B">
      <w:pPr>
        <w:tabs>
          <w:tab w:val="left" w:pos="2190"/>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7.1 本项目不允许转包。</w:t>
      </w:r>
    </w:p>
    <w:p w14:paraId="6F9C4361">
      <w:pPr>
        <w:spacing w:line="400" w:lineRule="exact"/>
        <w:ind w:firstLine="420"/>
        <w:rPr>
          <w:rFonts w:ascii="宋体" w:hAnsi="宋体" w:cs="宋体"/>
          <w:color w:val="auto"/>
          <w:sz w:val="21"/>
          <w:szCs w:val="24"/>
          <w:highlight w:val="none"/>
        </w:rPr>
      </w:pPr>
      <w:r>
        <w:rPr>
          <w:rFonts w:hint="eastAsia" w:ascii="宋体" w:hAnsi="宋体" w:cs="宋体"/>
          <w:color w:val="auto"/>
          <w:kern w:val="0"/>
          <w:sz w:val="21"/>
          <w:szCs w:val="21"/>
          <w:highlight w:val="none"/>
        </w:rPr>
        <w:t>7.2 本项目不可以分包。</w:t>
      </w:r>
    </w:p>
    <w:p w14:paraId="58D1D0DB">
      <w:pPr>
        <w:tabs>
          <w:tab w:val="left" w:pos="1635"/>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8. 特别说明</w:t>
      </w:r>
    </w:p>
    <w:p w14:paraId="04463BB4">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关联供应商不得参加同一合同项下政府采购活动，否则响应文件将被视为无效：</w:t>
      </w:r>
    </w:p>
    <w:p w14:paraId="156D0936">
      <w:pPr>
        <w:tabs>
          <w:tab w:val="left" w:pos="163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（1）单位负责人为同一人或者存在直接控股、管理关系的不同供应商，不得参加同一合同项下的政府采购活动。</w:t>
      </w:r>
    </w:p>
    <w:p w14:paraId="13072587">
      <w:pPr>
        <w:tabs>
          <w:tab w:val="left" w:pos="1635"/>
        </w:tabs>
        <w:spacing w:line="38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（2）为本采购项目提供整体设计、规范编制或者项目管理、监理、检测等服务的供应商，不得再参加本次采购活动。</w:t>
      </w:r>
    </w:p>
    <w:p w14:paraId="14375568">
      <w:pPr>
        <w:tabs>
          <w:tab w:val="left" w:pos="2190"/>
        </w:tabs>
        <w:spacing w:line="380" w:lineRule="exact"/>
        <w:ind w:firstLine="435" w:firstLineChars="0"/>
        <w:jc w:val="center"/>
        <w:rPr>
          <w:rFonts w:ascii="宋体" w:hAnsi="宋体" w:cs="宋体"/>
          <w:b/>
          <w:color w:val="auto"/>
          <w:kern w:val="0"/>
          <w:sz w:val="28"/>
          <w:szCs w:val="28"/>
          <w:highlight w:val="none"/>
        </w:rPr>
      </w:pPr>
    </w:p>
    <w:p w14:paraId="29D43473">
      <w:pPr>
        <w:tabs>
          <w:tab w:val="left" w:pos="2190"/>
        </w:tabs>
        <w:spacing w:line="38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二、磋商文件</w:t>
      </w:r>
    </w:p>
    <w:p w14:paraId="4CECE60F">
      <w:pPr>
        <w:tabs>
          <w:tab w:val="left" w:pos="2190"/>
        </w:tabs>
        <w:spacing w:line="38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9.磋商文件的构成</w:t>
      </w:r>
    </w:p>
    <w:p w14:paraId="3742B5D3">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（1）竞争性磋商公告；</w:t>
      </w:r>
    </w:p>
    <w:p w14:paraId="15463A78">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423DC6C4">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56FF1762">
      <w:pPr>
        <w:tabs>
          <w:tab w:val="left" w:pos="2190"/>
        </w:tabs>
        <w:spacing w:line="380" w:lineRule="exact"/>
        <w:ind w:firstLine="437"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（4）工程量清单及图纸</w:t>
      </w:r>
      <w:r>
        <w:rPr>
          <w:rFonts w:hint="eastAsia" w:ascii="宋体" w:hAnsi="宋体" w:cs="宋体"/>
          <w:color w:val="auto"/>
          <w:kern w:val="0"/>
          <w:sz w:val="21"/>
          <w:szCs w:val="21"/>
          <w:highlight w:val="none"/>
          <w:lang w:eastAsia="zh-CN"/>
        </w:rPr>
        <w:t>；</w:t>
      </w:r>
    </w:p>
    <w:p w14:paraId="1330DDB3">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（5）评审方法；</w:t>
      </w:r>
    </w:p>
    <w:p w14:paraId="54B5E05C">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606D1C6F">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（7）合同主要条款。</w:t>
      </w:r>
    </w:p>
    <w:p w14:paraId="54E8C78F">
      <w:pPr>
        <w:tabs>
          <w:tab w:val="left" w:pos="2190"/>
        </w:tabs>
        <w:spacing w:line="38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10.磋商文件的澄清与修改</w:t>
      </w:r>
    </w:p>
    <w:p w14:paraId="013C8EBF">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磋商文件进行必要澄清或者修改，澄清或者修改的内容可能影响响应文件编制的，采购代理机构应当在提交首次响应文件提交截止时间3个工作日前在本项目竞争性磋商公告发布的同一媒体上发布更正公告，不足3个工作日的，应当顺延首次响应文件提交截止时间。</w:t>
      </w:r>
    </w:p>
    <w:p w14:paraId="0B3CE80B">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3A9E9962">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10.3澄清或者修改的内容为磋商文件的组成部分。当澄清或者修改通知就同一内容的表述不一致时，以最后发出的书面文件为准。</w:t>
      </w:r>
    </w:p>
    <w:p w14:paraId="716F0A18">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10.4 磋商文件的澄清或者修改都应该通过本项目采购代理机构以法定形式发布，采购人非通过本机构，不得擅自澄清、答复、修改或补充磋商文件。</w:t>
      </w:r>
    </w:p>
    <w:p w14:paraId="4BE339CC">
      <w:pPr>
        <w:tabs>
          <w:tab w:val="left" w:pos="2190"/>
        </w:tabs>
        <w:spacing w:line="38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采购代理机构可以视采购具体情况，延长响应文件提交截止时间和磋商时间，并在本项目竞争性磋商公告发布的同一媒体上发布变更公告。</w:t>
      </w:r>
    </w:p>
    <w:p w14:paraId="672D2358">
      <w:pPr>
        <w:tabs>
          <w:tab w:val="left" w:pos="2190"/>
        </w:tabs>
        <w:spacing w:line="380" w:lineRule="exact"/>
        <w:ind w:firstLine="435" w:firstLineChars="0"/>
        <w:rPr>
          <w:rFonts w:ascii="宋体" w:hAnsi="宋体" w:cs="宋体"/>
          <w:color w:val="auto"/>
          <w:kern w:val="0"/>
          <w:sz w:val="21"/>
          <w:szCs w:val="21"/>
          <w:highlight w:val="none"/>
        </w:rPr>
      </w:pPr>
    </w:p>
    <w:p w14:paraId="49B1D7CF">
      <w:pPr>
        <w:tabs>
          <w:tab w:val="left" w:pos="2190"/>
        </w:tabs>
        <w:spacing w:line="38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46B10F2B">
      <w:pPr>
        <w:tabs>
          <w:tab w:val="left" w:pos="2190"/>
        </w:tabs>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119FBED7">
      <w:pPr>
        <w:tabs>
          <w:tab w:val="left" w:pos="1305"/>
        </w:tabs>
        <w:spacing w:line="38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w:t>
      </w:r>
      <w:r>
        <w:rPr>
          <w:rFonts w:hint="eastAsia" w:ascii="宋体" w:hAnsi="宋体" w:cs="宋体"/>
          <w:b/>
          <w:color w:val="auto"/>
          <w:kern w:val="0"/>
          <w:sz w:val="21"/>
          <w:szCs w:val="21"/>
          <w:highlight w:val="none"/>
          <w:lang w:eastAsia="zh-CN"/>
        </w:rPr>
        <w:t>六</w:t>
      </w:r>
      <w:r>
        <w:rPr>
          <w:rFonts w:hint="eastAsia" w:ascii="宋体" w:hAnsi="宋体" w:cs="宋体"/>
          <w:b/>
          <w:color w:val="auto"/>
          <w:kern w:val="0"/>
          <w:sz w:val="21"/>
          <w:szCs w:val="21"/>
          <w:highlight w:val="none"/>
        </w:rPr>
        <w:t>章“响应文件（格式）”】</w:t>
      </w:r>
    </w:p>
    <w:p w14:paraId="3868E5E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响应文件应分为资格证明文件、商务证明文件、技术证明文件三个部分组成：</w:t>
      </w:r>
    </w:p>
    <w:p w14:paraId="2B4846FA">
      <w:pPr>
        <w:spacing w:line="400" w:lineRule="exact"/>
        <w:ind w:firstLine="420"/>
        <w:rPr>
          <w:rFonts w:ascii="宋体" w:hAnsi="宋体" w:cs="宋体"/>
          <w:b/>
          <w:bCs/>
          <w:color w:val="auto"/>
          <w:sz w:val="21"/>
          <w:szCs w:val="21"/>
          <w:highlight w:val="none"/>
        </w:rPr>
      </w:pPr>
      <w:r>
        <w:rPr>
          <w:rFonts w:hint="eastAsia" w:ascii="宋体" w:hAnsi="宋体" w:cs="宋体"/>
          <w:color w:val="auto"/>
          <w:sz w:val="21"/>
          <w:szCs w:val="21"/>
          <w:highlight w:val="none"/>
        </w:rPr>
        <w:t>11.1.1资格证明文件</w:t>
      </w:r>
      <w:r>
        <w:rPr>
          <w:rFonts w:hint="eastAsia" w:ascii="宋体" w:hAnsi="宋体" w:cs="宋体"/>
          <w:color w:val="auto"/>
          <w:sz w:val="21"/>
          <w:szCs w:val="21"/>
          <w:highlight w:val="none"/>
          <w:lang w:eastAsia="zh-CN"/>
        </w:rPr>
        <w:t>：</w:t>
      </w:r>
    </w:p>
    <w:p w14:paraId="0ED7B4EC">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（1）</w:t>
      </w:r>
      <w:bookmarkStart w:id="45" w:name="OLE_LINK16"/>
      <w:bookmarkStart w:id="46" w:name="OLE_LINK17"/>
      <w:r>
        <w:rPr>
          <w:rFonts w:hint="eastAsia" w:ascii="宋体" w:hAnsi="宋体" w:cs="宋体"/>
          <w:bCs/>
          <w:color w:val="auto"/>
          <w:sz w:val="21"/>
          <w:szCs w:val="21"/>
          <w:highlight w:val="none"/>
        </w:rPr>
        <w:t>供应商的“磋商书”</w:t>
      </w:r>
      <w:bookmarkEnd w:id="45"/>
      <w:bookmarkEnd w:id="46"/>
      <w:r>
        <w:rPr>
          <w:rFonts w:hint="eastAsia" w:ascii="宋体" w:hAnsi="宋体" w:cs="宋体"/>
          <w:b/>
          <w:color w:val="auto"/>
          <w:sz w:val="21"/>
          <w:szCs w:val="21"/>
          <w:highlight w:val="none"/>
        </w:rPr>
        <w:t>（</w:t>
      </w:r>
      <w:bookmarkStart w:id="47" w:name="OLE_LINK19"/>
      <w:bookmarkStart w:id="48" w:name="OLE_LINK18"/>
      <w:r>
        <w:rPr>
          <w:rFonts w:hint="eastAsia" w:ascii="宋体" w:hAnsi="宋体" w:cs="宋体"/>
          <w:b/>
          <w:color w:val="auto"/>
          <w:sz w:val="21"/>
          <w:szCs w:val="21"/>
          <w:highlight w:val="none"/>
        </w:rPr>
        <w:t>必须提供</w:t>
      </w:r>
      <w:bookmarkEnd w:id="47"/>
      <w:bookmarkEnd w:id="48"/>
      <w:r>
        <w:rPr>
          <w:rFonts w:hint="eastAsia" w:ascii="宋体" w:hAnsi="宋体" w:cs="宋体"/>
          <w:b/>
          <w:color w:val="auto"/>
          <w:sz w:val="21"/>
          <w:szCs w:val="21"/>
          <w:highlight w:val="none"/>
        </w:rPr>
        <w:t>）；</w:t>
      </w:r>
    </w:p>
    <w:p w14:paraId="04447BE2">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 xml:space="preserve">（2）供应商的“参加本项目无围标串标行为的承诺函” </w:t>
      </w:r>
      <w:r>
        <w:rPr>
          <w:rFonts w:hint="eastAsia" w:ascii="宋体" w:hAnsi="宋体" w:cs="宋体"/>
          <w:b/>
          <w:color w:val="auto"/>
          <w:sz w:val="21"/>
          <w:szCs w:val="21"/>
          <w:highlight w:val="none"/>
        </w:rPr>
        <w:t>（必须提供）；</w:t>
      </w:r>
    </w:p>
    <w:p w14:paraId="52513EC7">
      <w:pPr>
        <w:tabs>
          <w:tab w:val="left" w:pos="1305"/>
        </w:tabs>
        <w:spacing w:line="380" w:lineRule="exact"/>
        <w:ind w:firstLine="420"/>
        <w:rPr>
          <w:rFonts w:ascii="宋体" w:hAnsi="宋体" w:cs="宋体"/>
          <w:color w:val="auto"/>
          <w:sz w:val="21"/>
          <w:szCs w:val="21"/>
          <w:highlight w:val="none"/>
        </w:rPr>
      </w:pPr>
      <w:r>
        <w:rPr>
          <w:rFonts w:hint="eastAsia" w:ascii="宋体" w:hAnsi="宋体" w:cs="宋体"/>
          <w:bCs/>
          <w:color w:val="auto"/>
          <w:sz w:val="21"/>
          <w:szCs w:val="21"/>
          <w:highlight w:val="none"/>
        </w:rPr>
        <w:t>（3）</w:t>
      </w:r>
      <w:r>
        <w:rPr>
          <w:rFonts w:hint="eastAsia" w:ascii="宋体" w:hAnsi="宋体" w:cs="宋体"/>
          <w:color w:val="auto"/>
          <w:sz w:val="21"/>
          <w:szCs w:val="21"/>
          <w:highlight w:val="none"/>
        </w:rPr>
        <w:t>供应商的法人或者其他组织营业执照等证明文件</w:t>
      </w:r>
      <w:r>
        <w:rPr>
          <w:rFonts w:hint="eastAsia" w:ascii="宋体" w:hAnsi="宋体" w:cs="宋体"/>
          <w:b/>
          <w:color w:val="auto"/>
          <w:sz w:val="21"/>
          <w:szCs w:val="21"/>
          <w:highlight w:val="none"/>
        </w:rPr>
        <w:t>（</w:t>
      </w:r>
      <w:bookmarkStart w:id="49" w:name="OLE_LINK20"/>
      <w:bookmarkStart w:id="50" w:name="OLE_LINK21"/>
      <w:r>
        <w:rPr>
          <w:rFonts w:hint="eastAsia" w:ascii="宋体" w:hAnsi="宋体" w:cs="宋体"/>
          <w:b/>
          <w:color w:val="auto"/>
          <w:sz w:val="21"/>
          <w:szCs w:val="21"/>
          <w:highlight w:val="none"/>
        </w:rPr>
        <w:t>必须提供）；</w:t>
      </w:r>
    </w:p>
    <w:p w14:paraId="11E2428B">
      <w:pPr>
        <w:tabs>
          <w:tab w:val="left" w:pos="1305"/>
        </w:tabs>
        <w:spacing w:line="38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③如供应商为企业法人的分支机构的，除应提供营业执照外，还应提供其所属的总公司授权其参加政府采购活动的授权文件或授权其独立开展经营业务活动的证明材料</w:t>
      </w:r>
      <w:bookmarkEnd w:id="49"/>
      <w:bookmarkEnd w:id="50"/>
      <w:r>
        <w:rPr>
          <w:rFonts w:hint="eastAsia" w:ascii="宋体" w:hAnsi="宋体" w:cs="宋体"/>
          <w:b/>
          <w:color w:val="auto"/>
          <w:sz w:val="21"/>
          <w:szCs w:val="21"/>
          <w:highlight w:val="none"/>
        </w:rPr>
        <w:t>。</w:t>
      </w:r>
    </w:p>
    <w:p w14:paraId="301F97B4">
      <w:pPr>
        <w:adjustRightInd w:val="0"/>
        <w:snapToGrid w:val="0"/>
        <w:spacing w:line="360" w:lineRule="exact"/>
        <w:ind w:firstLine="420"/>
        <w:jc w:val="left"/>
        <w:textAlignment w:val="center"/>
        <w:rPr>
          <w:b/>
          <w:color w:val="auto"/>
          <w:sz w:val="21"/>
          <w:szCs w:val="21"/>
          <w:highlight w:val="none"/>
        </w:rPr>
      </w:pPr>
      <w:r>
        <w:rPr>
          <w:rFonts w:hint="eastAsia"/>
          <w:color w:val="auto"/>
          <w:sz w:val="21"/>
          <w:szCs w:val="21"/>
          <w:highlight w:val="none"/>
        </w:rPr>
        <w:t>（4）供应商202</w:t>
      </w:r>
      <w:r>
        <w:rPr>
          <w:color w:val="auto"/>
          <w:sz w:val="21"/>
          <w:szCs w:val="21"/>
          <w:highlight w:val="none"/>
        </w:rPr>
        <w:t>4</w:t>
      </w:r>
      <w:r>
        <w:rPr>
          <w:rFonts w:hint="eastAsia"/>
          <w:color w:val="auto"/>
          <w:sz w:val="21"/>
          <w:szCs w:val="21"/>
          <w:highlight w:val="none"/>
        </w:rPr>
        <w:t>年度</w:t>
      </w:r>
      <w:r>
        <w:rPr>
          <w:rFonts w:hint="eastAsia"/>
          <w:color w:val="auto"/>
          <w:sz w:val="21"/>
          <w:szCs w:val="21"/>
          <w:highlight w:val="none"/>
          <w:lang w:eastAsia="zh-CN"/>
        </w:rPr>
        <w:t>或</w:t>
      </w:r>
      <w:r>
        <w:rPr>
          <w:rFonts w:hint="eastAsia"/>
          <w:color w:val="auto"/>
          <w:sz w:val="21"/>
          <w:szCs w:val="21"/>
          <w:highlight w:val="none"/>
          <w:lang w:val="en-US" w:eastAsia="zh-CN"/>
        </w:rPr>
        <w:t>2025年度</w:t>
      </w:r>
      <w:r>
        <w:rPr>
          <w:rFonts w:hint="eastAsia"/>
          <w:color w:val="auto"/>
          <w:sz w:val="21"/>
          <w:szCs w:val="21"/>
          <w:highlight w:val="none"/>
        </w:rPr>
        <w:t>的财务状况报告</w:t>
      </w:r>
      <w:r>
        <w:rPr>
          <w:rFonts w:hint="eastAsia" w:ascii="宋体" w:hAnsi="宋体" w:cs="宋体"/>
          <w:color w:val="auto"/>
          <w:kern w:val="0"/>
          <w:sz w:val="21"/>
          <w:szCs w:val="21"/>
          <w:highlight w:val="none"/>
        </w:rPr>
        <w:t>（如供应商为参加本项目当年新成立公司的，可提供公司成立之日后的财务报表）</w:t>
      </w:r>
      <w:r>
        <w:rPr>
          <w:rFonts w:hint="eastAsia"/>
          <w:color w:val="auto"/>
          <w:sz w:val="21"/>
          <w:szCs w:val="21"/>
          <w:highlight w:val="none"/>
        </w:rPr>
        <w:t>或202</w:t>
      </w:r>
      <w:r>
        <w:rPr>
          <w:rFonts w:hint="eastAsia"/>
          <w:color w:val="auto"/>
          <w:sz w:val="21"/>
          <w:szCs w:val="21"/>
          <w:highlight w:val="none"/>
          <w:lang w:val="en-US" w:eastAsia="zh-CN"/>
        </w:rPr>
        <w:t>6</w:t>
      </w:r>
      <w:r>
        <w:rPr>
          <w:rFonts w:hint="eastAsia"/>
          <w:color w:val="auto"/>
          <w:sz w:val="21"/>
          <w:szCs w:val="21"/>
          <w:highlight w:val="none"/>
        </w:rPr>
        <w:t>年以来银行出具的资信证明或202</w:t>
      </w:r>
      <w:r>
        <w:rPr>
          <w:rFonts w:hint="eastAsia"/>
          <w:color w:val="auto"/>
          <w:sz w:val="21"/>
          <w:szCs w:val="21"/>
          <w:highlight w:val="none"/>
          <w:lang w:val="en-US" w:eastAsia="zh-CN"/>
        </w:rPr>
        <w:t>6</w:t>
      </w:r>
      <w:r>
        <w:rPr>
          <w:rFonts w:hint="eastAsia"/>
          <w:color w:val="auto"/>
          <w:sz w:val="21"/>
          <w:szCs w:val="21"/>
          <w:highlight w:val="none"/>
        </w:rPr>
        <w:t>年以来中国人民银行征信中心出具的征信报告</w:t>
      </w:r>
      <w:r>
        <w:rPr>
          <w:rFonts w:hint="eastAsia"/>
          <w:b/>
          <w:color w:val="auto"/>
          <w:sz w:val="21"/>
          <w:szCs w:val="21"/>
          <w:highlight w:val="none"/>
        </w:rPr>
        <w:t>（必须提供）；</w:t>
      </w:r>
    </w:p>
    <w:p w14:paraId="470B99A0">
      <w:pPr>
        <w:adjustRightInd w:val="0"/>
        <w:snapToGrid w:val="0"/>
        <w:spacing w:line="360" w:lineRule="exact"/>
        <w:ind w:firstLine="420"/>
        <w:jc w:val="left"/>
        <w:textAlignment w:val="center"/>
        <w:rPr>
          <w:color w:val="auto"/>
          <w:sz w:val="21"/>
          <w:szCs w:val="21"/>
          <w:highlight w:val="none"/>
        </w:rPr>
      </w:pPr>
      <w:r>
        <w:rPr>
          <w:rFonts w:hint="eastAsia"/>
          <w:color w:val="auto"/>
          <w:sz w:val="21"/>
          <w:szCs w:val="21"/>
          <w:highlight w:val="none"/>
        </w:rPr>
        <w:t>（5）</w:t>
      </w:r>
      <w:bookmarkStart w:id="51" w:name="OLE_LINK22"/>
      <w:r>
        <w:rPr>
          <w:rFonts w:hint="eastAsia"/>
          <w:color w:val="auto"/>
          <w:sz w:val="21"/>
          <w:szCs w:val="21"/>
          <w:highlight w:val="none"/>
        </w:rPr>
        <w:t>供应商202</w:t>
      </w:r>
      <w:r>
        <w:rPr>
          <w:rFonts w:hint="eastAsia"/>
          <w:color w:val="auto"/>
          <w:sz w:val="21"/>
          <w:szCs w:val="21"/>
          <w:highlight w:val="none"/>
          <w:lang w:val="en-US" w:eastAsia="zh-CN"/>
        </w:rPr>
        <w:t>6</w:t>
      </w:r>
      <w:r>
        <w:rPr>
          <w:rFonts w:hint="eastAsia"/>
          <w:color w:val="auto"/>
          <w:sz w:val="21"/>
          <w:szCs w:val="21"/>
          <w:highlight w:val="none"/>
        </w:rPr>
        <w:t>年以来任意1个月依法缴纳社会保障资金的相关材料（</w:t>
      </w:r>
      <w:r>
        <w:rPr>
          <w:rFonts w:hint="eastAsia" w:ascii="宋体" w:hAnsi="宋体" w:cs="宋体"/>
          <w:color w:val="auto"/>
          <w:kern w:val="0"/>
          <w:sz w:val="21"/>
          <w:szCs w:val="21"/>
          <w:highlight w:val="none"/>
        </w:rPr>
        <w:t>供应商无缴费记录或为新成立公司，应提供由供应商所在地社保部门或税务部门出具的《依法缴纳或依法免缴社保费证明》</w:t>
      </w:r>
      <w:r>
        <w:rPr>
          <w:rFonts w:hint="eastAsia"/>
          <w:color w:val="auto"/>
          <w:sz w:val="21"/>
          <w:szCs w:val="21"/>
          <w:highlight w:val="none"/>
        </w:rPr>
        <w:t>）</w:t>
      </w:r>
      <w:bookmarkEnd w:id="51"/>
      <w:r>
        <w:rPr>
          <w:rFonts w:hint="eastAsia"/>
          <w:b/>
          <w:color w:val="auto"/>
          <w:sz w:val="21"/>
          <w:szCs w:val="21"/>
          <w:highlight w:val="none"/>
        </w:rPr>
        <w:t>（</w:t>
      </w:r>
      <w:bookmarkStart w:id="52" w:name="OLE_LINK23"/>
      <w:r>
        <w:rPr>
          <w:rFonts w:hint="eastAsia"/>
          <w:b/>
          <w:color w:val="auto"/>
          <w:sz w:val="21"/>
          <w:szCs w:val="21"/>
          <w:highlight w:val="none"/>
        </w:rPr>
        <w:t>必须提供</w:t>
      </w:r>
      <w:bookmarkEnd w:id="52"/>
      <w:r>
        <w:rPr>
          <w:rFonts w:hint="eastAsia"/>
          <w:b/>
          <w:color w:val="auto"/>
          <w:sz w:val="21"/>
          <w:szCs w:val="21"/>
          <w:highlight w:val="none"/>
        </w:rPr>
        <w:t>）；</w:t>
      </w:r>
      <w:r>
        <w:rPr>
          <w:color w:val="auto"/>
          <w:sz w:val="21"/>
          <w:szCs w:val="21"/>
          <w:highlight w:val="none"/>
        </w:rPr>
        <w:t xml:space="preserve"> </w:t>
      </w:r>
    </w:p>
    <w:p w14:paraId="231162AC">
      <w:pPr>
        <w:pStyle w:val="23"/>
        <w:spacing w:line="360" w:lineRule="exact"/>
        <w:ind w:left="0" w:right="34" w:firstLine="420" w:firstLineChars="200"/>
        <w:rPr>
          <w:color w:val="auto"/>
          <w:highlight w:val="none"/>
        </w:rPr>
      </w:pPr>
      <w:r>
        <w:rPr>
          <w:rFonts w:hint="eastAsia" w:asciiTheme="majorEastAsia" w:hAnsiTheme="majorEastAsia" w:eastAsiaTheme="majorEastAsia"/>
          <w:color w:val="auto"/>
          <w:kern w:val="2"/>
          <w:sz w:val="21"/>
          <w:szCs w:val="21"/>
          <w:highlight w:val="none"/>
        </w:rPr>
        <w:t>（6）</w:t>
      </w:r>
      <w:r>
        <w:rPr>
          <w:rFonts w:hint="eastAsia"/>
          <w:color w:val="auto"/>
          <w:kern w:val="2"/>
          <w:sz w:val="21"/>
          <w:szCs w:val="21"/>
          <w:highlight w:val="none"/>
        </w:rPr>
        <w:t>供应商202</w:t>
      </w:r>
      <w:r>
        <w:rPr>
          <w:rFonts w:hint="eastAsia"/>
          <w:color w:val="auto"/>
          <w:kern w:val="2"/>
          <w:sz w:val="21"/>
          <w:szCs w:val="21"/>
          <w:highlight w:val="none"/>
          <w:lang w:val="en-US" w:eastAsia="zh-CN"/>
        </w:rPr>
        <w:t>6</w:t>
      </w:r>
      <w:r>
        <w:rPr>
          <w:rFonts w:hint="eastAsia"/>
          <w:color w:val="auto"/>
          <w:kern w:val="2"/>
          <w:sz w:val="21"/>
          <w:szCs w:val="21"/>
          <w:highlight w:val="none"/>
        </w:rPr>
        <w:t>年以来任意1个月依法缴纳税收的相关材料</w:t>
      </w:r>
      <w:r>
        <w:rPr>
          <w:rFonts w:hint="eastAsia"/>
          <w:color w:val="auto"/>
          <w:sz w:val="21"/>
          <w:szCs w:val="21"/>
          <w:highlight w:val="none"/>
        </w:rPr>
        <w:t>（</w:t>
      </w:r>
      <w:r>
        <w:rPr>
          <w:rFonts w:hint="eastAsia" w:ascii="宋体" w:hAnsi="宋体" w:cs="宋体"/>
          <w:color w:val="auto"/>
          <w:sz w:val="21"/>
          <w:szCs w:val="21"/>
          <w:highlight w:val="none"/>
        </w:rPr>
        <w:t>供应商无纳税记录或为新成立公司，应提供由供应商所在地主管税务部门出具的《依法纳税或依法免税证明》</w:t>
      </w:r>
      <w:r>
        <w:rPr>
          <w:rFonts w:hint="eastAsia"/>
          <w:color w:val="auto"/>
          <w:sz w:val="21"/>
          <w:szCs w:val="21"/>
          <w:highlight w:val="none"/>
        </w:rPr>
        <w:t>）</w:t>
      </w:r>
      <w:r>
        <w:rPr>
          <w:rFonts w:hint="eastAsia"/>
          <w:b/>
          <w:color w:val="auto"/>
          <w:sz w:val="21"/>
          <w:szCs w:val="21"/>
          <w:highlight w:val="none"/>
        </w:rPr>
        <w:t>（必须提供）；</w:t>
      </w:r>
    </w:p>
    <w:p w14:paraId="6D032843">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（7）</w:t>
      </w:r>
      <w:bookmarkStart w:id="53" w:name="OLE_LINK24"/>
      <w:r>
        <w:rPr>
          <w:rFonts w:hint="eastAsia" w:ascii="宋体" w:hAnsi="宋体" w:cs="宋体"/>
          <w:bCs/>
          <w:color w:val="auto"/>
          <w:sz w:val="21"/>
          <w:szCs w:val="21"/>
          <w:highlight w:val="none"/>
        </w:rPr>
        <w:t>供应商的直接控股、管理关系信息表</w:t>
      </w:r>
      <w:bookmarkEnd w:id="53"/>
      <w:r>
        <w:rPr>
          <w:rFonts w:hint="eastAsia" w:ascii="宋体" w:hAnsi="宋体" w:cs="宋体"/>
          <w:b/>
          <w:color w:val="auto"/>
          <w:sz w:val="21"/>
          <w:szCs w:val="21"/>
          <w:highlight w:val="none"/>
        </w:rPr>
        <w:t>（</w:t>
      </w:r>
      <w:bookmarkStart w:id="54" w:name="OLE_LINK26"/>
      <w:bookmarkStart w:id="55" w:name="OLE_LINK27"/>
      <w:r>
        <w:rPr>
          <w:rFonts w:hint="eastAsia" w:ascii="宋体" w:hAnsi="宋体" w:cs="宋体"/>
          <w:b/>
          <w:color w:val="auto"/>
          <w:sz w:val="21"/>
          <w:szCs w:val="21"/>
          <w:highlight w:val="none"/>
        </w:rPr>
        <w:t>必须提供</w:t>
      </w:r>
      <w:bookmarkEnd w:id="54"/>
      <w:bookmarkEnd w:id="55"/>
      <w:r>
        <w:rPr>
          <w:rFonts w:hint="eastAsia" w:ascii="宋体" w:hAnsi="宋体" w:cs="宋体"/>
          <w:b/>
          <w:color w:val="auto"/>
          <w:sz w:val="21"/>
          <w:szCs w:val="21"/>
          <w:highlight w:val="none"/>
        </w:rPr>
        <w:t>）；</w:t>
      </w:r>
    </w:p>
    <w:p w14:paraId="2D2C92FE">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（8）供应商的法定代表人身份证明及法定代表人身份证正反面复印件</w:t>
      </w:r>
      <w:r>
        <w:rPr>
          <w:rFonts w:hint="eastAsia" w:ascii="宋体" w:hAnsi="宋体" w:cs="宋体"/>
          <w:b/>
          <w:color w:val="auto"/>
          <w:sz w:val="21"/>
          <w:szCs w:val="21"/>
          <w:highlight w:val="none"/>
        </w:rPr>
        <w:t>（必须提供）；</w:t>
      </w:r>
    </w:p>
    <w:p w14:paraId="220FEF78">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（9）供应商的“授权委托书”、委托代理人身份证正反面复印件</w:t>
      </w:r>
      <w:r>
        <w:rPr>
          <w:rFonts w:hint="eastAsia" w:ascii="宋体" w:hAnsi="宋体" w:cs="宋体"/>
          <w:b/>
          <w:color w:val="auto"/>
          <w:sz w:val="21"/>
          <w:szCs w:val="21"/>
          <w:highlight w:val="none"/>
        </w:rPr>
        <w:t>（委托代理时必须提供）；</w:t>
      </w:r>
    </w:p>
    <w:p w14:paraId="727E2A64">
      <w:pPr>
        <w:spacing w:line="400" w:lineRule="exact"/>
        <w:ind w:firstLine="420"/>
        <w:rPr>
          <w:rFonts w:hint="eastAsia" w:ascii="宋体" w:hAnsi="宋体" w:eastAsia="宋体" w:cs="宋体"/>
          <w:bCs/>
          <w:color w:val="auto"/>
          <w:sz w:val="21"/>
          <w:szCs w:val="21"/>
          <w:highlight w:val="none"/>
          <w:lang w:eastAsia="zh-CN"/>
        </w:rPr>
      </w:pPr>
      <w:r>
        <w:rPr>
          <w:rFonts w:hint="eastAsia" w:ascii="宋体" w:hAnsi="宋体" w:cs="宋体"/>
          <w:bCs/>
          <w:color w:val="auto"/>
          <w:sz w:val="21"/>
          <w:szCs w:val="21"/>
          <w:highlight w:val="none"/>
        </w:rPr>
        <w:t>（10）</w:t>
      </w:r>
      <w:r>
        <w:rPr>
          <w:rFonts w:hint="eastAsia" w:ascii="宋体" w:hAnsi="宋体" w:cs="宋体"/>
          <w:bCs/>
          <w:color w:val="auto"/>
          <w:sz w:val="21"/>
          <w:szCs w:val="21"/>
          <w:highlight w:val="none"/>
          <w:lang w:eastAsia="zh-CN"/>
        </w:rPr>
        <w:t>特定资格要求证明材料</w:t>
      </w:r>
      <w:r>
        <w:rPr>
          <w:rFonts w:hint="eastAsia" w:ascii="宋体" w:hAnsi="宋体" w:cs="宋体"/>
          <w:b/>
          <w:color w:val="auto"/>
          <w:sz w:val="21"/>
          <w:szCs w:val="21"/>
          <w:highlight w:val="none"/>
        </w:rPr>
        <w:t>（必须提供）</w:t>
      </w:r>
      <w:r>
        <w:rPr>
          <w:rFonts w:hint="eastAsia" w:ascii="宋体" w:hAnsi="宋体" w:cs="宋体"/>
          <w:bCs/>
          <w:color w:val="auto"/>
          <w:sz w:val="21"/>
          <w:szCs w:val="21"/>
          <w:highlight w:val="none"/>
          <w:lang w:eastAsia="zh-CN"/>
        </w:rPr>
        <w:t>：</w:t>
      </w:r>
    </w:p>
    <w:p w14:paraId="54897446">
      <w:pPr>
        <w:spacing w:line="400" w:lineRule="exact"/>
        <w:ind w:firstLine="630" w:firstLineChars="300"/>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w:t>
      </w:r>
      <w:r>
        <w:rPr>
          <w:rFonts w:hint="eastAsia" w:ascii="宋体" w:hAnsi="宋体" w:cs="宋体"/>
          <w:color w:val="auto"/>
          <w:sz w:val="21"/>
          <w:szCs w:val="21"/>
          <w:highlight w:val="none"/>
        </w:rPr>
        <w:t>供应商具备建筑工程施工总承包三级以上（含三级）资质</w:t>
      </w:r>
      <w:r>
        <w:rPr>
          <w:rFonts w:hint="eastAsia" w:ascii="宋体" w:hAnsi="宋体" w:cs="宋体"/>
          <w:color w:val="auto"/>
          <w:sz w:val="21"/>
          <w:szCs w:val="21"/>
          <w:highlight w:val="none"/>
          <w:lang w:eastAsia="zh-CN"/>
        </w:rPr>
        <w:t>证书复印件及</w:t>
      </w:r>
      <w:r>
        <w:rPr>
          <w:rFonts w:hint="eastAsia" w:ascii="宋体" w:hAnsi="宋体" w:cs="宋体"/>
          <w:color w:val="auto"/>
          <w:sz w:val="21"/>
          <w:szCs w:val="21"/>
          <w:highlight w:val="none"/>
        </w:rPr>
        <w:t>有效的安全生产许可证</w:t>
      </w:r>
      <w:r>
        <w:rPr>
          <w:rFonts w:hint="eastAsia" w:ascii="宋体" w:hAnsi="宋体" w:cs="宋体"/>
          <w:color w:val="auto"/>
          <w:sz w:val="21"/>
          <w:szCs w:val="21"/>
          <w:highlight w:val="none"/>
          <w:lang w:eastAsia="zh-CN"/>
        </w:rPr>
        <w:t>书复印件。</w:t>
      </w:r>
    </w:p>
    <w:p w14:paraId="5B5AAA36">
      <w:pPr>
        <w:tabs>
          <w:tab w:val="left" w:pos="1635"/>
        </w:tabs>
        <w:spacing w:line="380" w:lineRule="exact"/>
        <w:ind w:firstLine="590" w:firstLineChars="281"/>
        <w:rPr>
          <w:rFonts w:hint="eastAsia" w:ascii="宋体" w:hAnsi="宋体" w:cs="宋体"/>
          <w:color w:val="auto"/>
          <w:sz w:val="21"/>
          <w:szCs w:val="21"/>
          <w:highlight w:val="none"/>
        </w:rPr>
      </w:pP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bookmarkStart w:id="56" w:name="_Hlk120612644"/>
      <w:r>
        <w:rPr>
          <w:rFonts w:hint="eastAsia" w:ascii="宋体" w:hAnsi="宋体" w:cs="宋体"/>
          <w:color w:val="auto"/>
          <w:sz w:val="21"/>
          <w:szCs w:val="21"/>
          <w:highlight w:val="none"/>
        </w:rPr>
        <w:t>供应商提供项目管理机构组成表，同时于响应文件中</w:t>
      </w:r>
      <w:r>
        <w:rPr>
          <w:rFonts w:hint="eastAsia" w:ascii="宋体" w:hAnsi="宋体" w:cs="宋体"/>
          <w:color w:val="auto"/>
          <w:sz w:val="21"/>
          <w:szCs w:val="21"/>
          <w:highlight w:val="none"/>
          <w:lang w:eastAsia="zh-CN"/>
        </w:rPr>
        <w:t>提供以下证明材料</w:t>
      </w:r>
      <w:r>
        <w:rPr>
          <w:rFonts w:hint="eastAsia" w:ascii="宋体" w:hAnsi="宋体" w:cs="宋体"/>
          <w:color w:val="auto"/>
          <w:sz w:val="21"/>
          <w:szCs w:val="21"/>
          <w:highlight w:val="none"/>
        </w:rPr>
        <w:t>：</w:t>
      </w:r>
    </w:p>
    <w:p w14:paraId="1EE290C4">
      <w:pPr>
        <w:tabs>
          <w:tab w:val="left" w:pos="1635"/>
        </w:tabs>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①项目经理（1人）：</w:t>
      </w:r>
      <w:r>
        <w:rPr>
          <w:rFonts w:hint="eastAsia" w:ascii="宋体" w:hAnsi="宋体" w:cs="宋体"/>
          <w:color w:val="auto"/>
          <w:sz w:val="21"/>
          <w:szCs w:val="21"/>
          <w:highlight w:val="none"/>
          <w:lang w:eastAsia="zh-CN"/>
        </w:rPr>
        <w:t>提供</w:t>
      </w:r>
      <w:r>
        <w:rPr>
          <w:rFonts w:hint="eastAsia" w:ascii="宋体" w:hAnsi="宋体" w:cs="宋体"/>
          <w:color w:val="auto"/>
          <w:sz w:val="21"/>
          <w:szCs w:val="21"/>
          <w:highlight w:val="none"/>
        </w:rPr>
        <w:t>拟投入的项目经理建筑工程专业二级以上（含二级）注册建造师执业资格</w:t>
      </w:r>
      <w:r>
        <w:rPr>
          <w:rFonts w:hint="eastAsia" w:ascii="宋体" w:hAnsi="宋体" w:cs="宋体"/>
          <w:color w:val="auto"/>
          <w:sz w:val="21"/>
          <w:szCs w:val="21"/>
          <w:highlight w:val="none"/>
          <w:lang w:eastAsia="zh-CN"/>
        </w:rPr>
        <w:t>证书复印件</w:t>
      </w:r>
      <w:r>
        <w:rPr>
          <w:rFonts w:hint="eastAsia" w:ascii="宋体" w:hAnsi="宋体" w:cs="宋体"/>
          <w:color w:val="auto"/>
          <w:sz w:val="21"/>
          <w:szCs w:val="21"/>
          <w:highlight w:val="none"/>
        </w:rPr>
        <w:t>，具备有效的安全生产考核合格证书（B类）</w:t>
      </w:r>
      <w:r>
        <w:rPr>
          <w:rFonts w:hint="eastAsia" w:ascii="宋体" w:hAnsi="宋体" w:cs="宋体"/>
          <w:color w:val="auto"/>
          <w:sz w:val="21"/>
          <w:szCs w:val="21"/>
          <w:highlight w:val="none"/>
          <w:lang w:eastAsia="zh-CN"/>
        </w:rPr>
        <w:t>证书复印件及</w:t>
      </w:r>
      <w:r>
        <w:rPr>
          <w:rFonts w:hint="eastAsia" w:ascii="宋体" w:hAnsi="宋体" w:cs="宋体"/>
          <w:color w:val="auto"/>
          <w:sz w:val="21"/>
          <w:szCs w:val="21"/>
          <w:highlight w:val="none"/>
        </w:rPr>
        <w:t>身份证</w:t>
      </w:r>
      <w:r>
        <w:rPr>
          <w:rFonts w:hint="eastAsia" w:ascii="宋体" w:hAnsi="宋体" w:cs="宋体"/>
          <w:color w:val="auto"/>
          <w:sz w:val="21"/>
          <w:szCs w:val="21"/>
          <w:highlight w:val="none"/>
          <w:lang w:eastAsia="zh-CN"/>
        </w:rPr>
        <w:t>复印件；</w:t>
      </w:r>
    </w:p>
    <w:p w14:paraId="3ADEB994">
      <w:pPr>
        <w:tabs>
          <w:tab w:val="left" w:pos="1635"/>
        </w:tabs>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②技术负责人（1人）：</w:t>
      </w:r>
      <w:r>
        <w:rPr>
          <w:rFonts w:hint="eastAsia" w:ascii="宋体" w:hAnsi="宋体" w:cs="宋体"/>
          <w:color w:val="auto"/>
          <w:sz w:val="21"/>
          <w:szCs w:val="21"/>
          <w:highlight w:val="none"/>
          <w:lang w:eastAsia="zh-CN"/>
        </w:rPr>
        <w:t>提供</w:t>
      </w:r>
      <w:r>
        <w:rPr>
          <w:rFonts w:hint="eastAsia" w:ascii="宋体" w:hAnsi="宋体" w:cs="宋体"/>
          <w:color w:val="auto"/>
          <w:sz w:val="21"/>
          <w:szCs w:val="21"/>
          <w:highlight w:val="none"/>
        </w:rPr>
        <w:t>拟投入的技术负责人相关专业中级及以上职称</w:t>
      </w:r>
      <w:r>
        <w:rPr>
          <w:rFonts w:hint="eastAsia" w:ascii="宋体" w:hAnsi="宋体" w:cs="宋体"/>
          <w:color w:val="auto"/>
          <w:sz w:val="21"/>
          <w:szCs w:val="21"/>
          <w:highlight w:val="none"/>
          <w:lang w:eastAsia="zh-CN"/>
        </w:rPr>
        <w:t>证复印件及</w:t>
      </w:r>
      <w:r>
        <w:rPr>
          <w:rFonts w:hint="eastAsia" w:ascii="宋体" w:hAnsi="宋体" w:cs="宋体"/>
          <w:color w:val="auto"/>
          <w:sz w:val="21"/>
          <w:szCs w:val="21"/>
          <w:highlight w:val="none"/>
        </w:rPr>
        <w:t>身份证</w:t>
      </w:r>
      <w:r>
        <w:rPr>
          <w:rFonts w:hint="eastAsia" w:ascii="宋体" w:hAnsi="宋体" w:cs="宋体"/>
          <w:color w:val="auto"/>
          <w:sz w:val="21"/>
          <w:szCs w:val="21"/>
          <w:highlight w:val="none"/>
          <w:lang w:eastAsia="zh-CN"/>
        </w:rPr>
        <w:t>复印件；</w:t>
      </w:r>
    </w:p>
    <w:p w14:paraId="09EDE6AE">
      <w:pPr>
        <w:tabs>
          <w:tab w:val="left" w:pos="1635"/>
        </w:tabs>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③专职安全生产管理人员（1人）：</w:t>
      </w:r>
      <w:r>
        <w:rPr>
          <w:rFonts w:hint="eastAsia" w:ascii="宋体" w:hAnsi="宋体" w:cs="宋体"/>
          <w:color w:val="auto"/>
          <w:sz w:val="21"/>
          <w:szCs w:val="21"/>
          <w:highlight w:val="none"/>
          <w:lang w:eastAsia="zh-CN"/>
        </w:rPr>
        <w:t>提供</w:t>
      </w:r>
      <w:r>
        <w:rPr>
          <w:rFonts w:hint="eastAsia" w:ascii="宋体" w:hAnsi="宋体" w:cs="宋体"/>
          <w:color w:val="auto"/>
          <w:sz w:val="21"/>
          <w:szCs w:val="21"/>
          <w:highlight w:val="none"/>
        </w:rPr>
        <w:t>拟投入的专职安全生产管理人员须具有相应有效的专职安全员安全生产考核合格证书（C类）</w:t>
      </w:r>
      <w:r>
        <w:rPr>
          <w:rFonts w:hint="eastAsia" w:ascii="宋体" w:hAnsi="宋体" w:cs="宋体"/>
          <w:color w:val="auto"/>
          <w:sz w:val="21"/>
          <w:szCs w:val="21"/>
          <w:highlight w:val="none"/>
          <w:lang w:eastAsia="zh-CN"/>
        </w:rPr>
        <w:t>复印件及</w:t>
      </w:r>
      <w:r>
        <w:rPr>
          <w:rFonts w:hint="eastAsia" w:ascii="宋体" w:hAnsi="宋体" w:cs="宋体"/>
          <w:color w:val="auto"/>
          <w:sz w:val="21"/>
          <w:szCs w:val="21"/>
          <w:highlight w:val="none"/>
        </w:rPr>
        <w:t>身份证</w:t>
      </w:r>
      <w:r>
        <w:rPr>
          <w:rFonts w:hint="eastAsia" w:ascii="宋体" w:hAnsi="宋体" w:cs="宋体"/>
          <w:color w:val="auto"/>
          <w:sz w:val="21"/>
          <w:szCs w:val="21"/>
          <w:highlight w:val="none"/>
          <w:lang w:eastAsia="zh-CN"/>
        </w:rPr>
        <w:t>复印件；</w:t>
      </w:r>
    </w:p>
    <w:p w14:paraId="47A0C2B8">
      <w:pPr>
        <w:tabs>
          <w:tab w:val="left" w:pos="1635"/>
        </w:tabs>
        <w:spacing w:line="38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④施工员、质量员、材料员（各配备1人）：</w:t>
      </w:r>
      <w:r>
        <w:rPr>
          <w:rFonts w:hint="eastAsia" w:ascii="宋体" w:hAnsi="宋体" w:cs="宋体"/>
          <w:color w:val="auto"/>
          <w:sz w:val="21"/>
          <w:szCs w:val="21"/>
          <w:highlight w:val="none"/>
          <w:lang w:eastAsia="zh-CN"/>
        </w:rPr>
        <w:t>提供</w:t>
      </w:r>
      <w:r>
        <w:rPr>
          <w:rFonts w:hint="eastAsia" w:ascii="宋体" w:hAnsi="宋体" w:cs="宋体"/>
          <w:color w:val="auto"/>
          <w:sz w:val="21"/>
          <w:szCs w:val="21"/>
          <w:highlight w:val="none"/>
        </w:rPr>
        <w:t>拟投入的施工员、质量员、材料员须具有相应有效的施工现场专业人员职业培训合格证书</w:t>
      </w:r>
      <w:r>
        <w:rPr>
          <w:rFonts w:hint="eastAsia" w:ascii="宋体" w:hAnsi="宋体" w:cs="宋体"/>
          <w:color w:val="auto"/>
          <w:sz w:val="21"/>
          <w:szCs w:val="21"/>
          <w:highlight w:val="none"/>
          <w:lang w:eastAsia="zh-CN"/>
        </w:rPr>
        <w:t>复印件及</w:t>
      </w:r>
      <w:r>
        <w:rPr>
          <w:rFonts w:hint="eastAsia" w:ascii="宋体" w:hAnsi="宋体" w:cs="宋体"/>
          <w:color w:val="auto"/>
          <w:sz w:val="21"/>
          <w:szCs w:val="21"/>
          <w:highlight w:val="none"/>
        </w:rPr>
        <w:t>身份证</w:t>
      </w:r>
      <w:r>
        <w:rPr>
          <w:rFonts w:hint="eastAsia" w:ascii="宋体" w:hAnsi="宋体" w:cs="宋体"/>
          <w:color w:val="auto"/>
          <w:sz w:val="21"/>
          <w:szCs w:val="21"/>
          <w:highlight w:val="none"/>
          <w:lang w:eastAsia="zh-CN"/>
        </w:rPr>
        <w:t>复印件；</w:t>
      </w:r>
    </w:p>
    <w:p w14:paraId="7AA3488A">
      <w:pPr>
        <w:spacing w:line="400" w:lineRule="exact"/>
        <w:ind w:firstLine="420"/>
        <w:rPr>
          <w:rFonts w:hint="default" w:ascii="宋体" w:hAnsi="宋体" w:cs="宋体"/>
          <w:color w:val="auto"/>
          <w:sz w:val="21"/>
          <w:szCs w:val="21"/>
          <w:highlight w:val="none"/>
          <w:lang w:val="en-US"/>
        </w:rPr>
      </w:pPr>
      <w:r>
        <w:rPr>
          <w:rFonts w:hint="eastAsia" w:ascii="宋体" w:hAnsi="宋体" w:cs="宋体"/>
          <w:color w:val="auto"/>
          <w:sz w:val="21"/>
          <w:szCs w:val="21"/>
          <w:highlight w:val="none"/>
        </w:rPr>
        <w:t>⑤</w:t>
      </w:r>
      <w:r>
        <w:rPr>
          <w:rFonts w:hint="eastAsia" w:ascii="宋体" w:hAnsi="宋体" w:cs="宋体"/>
          <w:color w:val="auto"/>
          <w:sz w:val="21"/>
          <w:szCs w:val="21"/>
          <w:highlight w:val="none"/>
          <w:lang w:eastAsia="zh-CN"/>
        </w:rPr>
        <w:t>提供</w:t>
      </w:r>
      <w:r>
        <w:rPr>
          <w:rFonts w:hint="eastAsia" w:ascii="宋体" w:hAnsi="宋体" w:cs="宋体"/>
          <w:color w:val="auto"/>
          <w:sz w:val="21"/>
          <w:szCs w:val="21"/>
          <w:highlight w:val="none"/>
        </w:rPr>
        <w:t>供应商2026年以来任意1个月为以上项目经理、技术负责人、专职安全生产管理人员、施工员、质量员、材料员缴纳的社保证明材料或供应商与其签订的有效劳动合同</w:t>
      </w:r>
      <w:r>
        <w:rPr>
          <w:rFonts w:hint="eastAsia" w:ascii="宋体" w:hAnsi="宋体" w:cs="宋体"/>
          <w:color w:val="auto"/>
          <w:sz w:val="21"/>
          <w:szCs w:val="21"/>
          <w:highlight w:val="none"/>
          <w:lang w:eastAsia="zh-CN"/>
        </w:rPr>
        <w:t>复印件</w:t>
      </w:r>
      <w:bookmarkEnd w:id="56"/>
      <w:r>
        <w:rPr>
          <w:rFonts w:hint="eastAsia" w:ascii="宋体" w:hAnsi="宋体" w:cs="宋体"/>
          <w:color w:val="auto"/>
          <w:sz w:val="21"/>
          <w:szCs w:val="21"/>
          <w:highlight w:val="none"/>
          <w:lang w:eastAsia="zh-CN"/>
        </w:rPr>
        <w:t>。</w:t>
      </w:r>
    </w:p>
    <w:p w14:paraId="3A9F3B98">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供应商的“承诺函”【①在人员、设备、资金等方面具有相应的履约能力；②未拟派其他在建、已中标（或成交）未开工或已列为其他项目中标（或成交）候选人第一名的建造师作为项目经理（符合桂建管﹝2013﹞17号文及桂建管﹝2016﹞70号</w:t>
      </w:r>
      <w:r>
        <w:rPr>
          <w:rFonts w:hint="eastAsia" w:ascii="宋体" w:hAnsi="宋体" w:cs="宋体"/>
          <w:color w:val="auto"/>
          <w:sz w:val="21"/>
          <w:szCs w:val="21"/>
          <w:highlight w:val="none"/>
          <w:lang w:eastAsia="zh-CN"/>
        </w:rPr>
        <w:t>文</w:t>
      </w:r>
      <w:r>
        <w:rPr>
          <w:rFonts w:hint="eastAsia" w:ascii="宋体" w:hAnsi="宋体" w:cs="宋体"/>
          <w:color w:val="auto"/>
          <w:sz w:val="21"/>
          <w:szCs w:val="21"/>
          <w:highlight w:val="none"/>
        </w:rPr>
        <w:t>除外）】</w:t>
      </w:r>
      <w:r>
        <w:rPr>
          <w:rFonts w:hint="eastAsia" w:ascii="宋体" w:hAnsi="宋体" w:cs="宋体"/>
          <w:color w:val="auto"/>
          <w:sz w:val="21"/>
          <w:szCs w:val="21"/>
          <w:highlight w:val="none"/>
          <w:lang w:val="en-US" w:eastAsia="zh-CN"/>
        </w:rPr>
        <w:t>。</w:t>
      </w:r>
    </w:p>
    <w:p w14:paraId="09BE1C80">
      <w:pPr>
        <w:spacing w:line="400" w:lineRule="exact"/>
        <w:ind w:left="120" w:leftChars="50" w:firstLine="315" w:firstLineChars="150"/>
        <w:rPr>
          <w:rFonts w:ascii="宋体" w:hAnsi="宋体" w:cs="宋体"/>
          <w:color w:val="auto"/>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11</w:t>
      </w:r>
      <w:r>
        <w:rPr>
          <w:rFonts w:hint="eastAsia" w:ascii="宋体" w:hAnsi="宋体" w:cs="宋体"/>
          <w:bCs/>
          <w:color w:val="auto"/>
          <w:sz w:val="21"/>
          <w:szCs w:val="21"/>
          <w:highlight w:val="none"/>
        </w:rPr>
        <w:t>）</w:t>
      </w:r>
      <w:r>
        <w:rPr>
          <w:rFonts w:ascii="宋体" w:hAnsi="宋体" w:cs="宋体"/>
          <w:color w:val="auto"/>
          <w:sz w:val="21"/>
          <w:szCs w:val="21"/>
          <w:highlight w:val="none"/>
        </w:rPr>
        <w:t>供应商为</w:t>
      </w:r>
      <w:r>
        <w:rPr>
          <w:rFonts w:hint="eastAsia" w:ascii="宋体" w:hAnsi="宋体" w:cs="宋体"/>
          <w:color w:val="auto"/>
          <w:sz w:val="21"/>
          <w:szCs w:val="21"/>
          <w:highlight w:val="none"/>
        </w:rPr>
        <w:t>小微</w:t>
      </w:r>
      <w:r>
        <w:rPr>
          <w:rFonts w:ascii="宋体" w:hAnsi="宋体" w:cs="宋体"/>
          <w:color w:val="auto"/>
          <w:sz w:val="21"/>
          <w:szCs w:val="21"/>
          <w:highlight w:val="none"/>
        </w:rPr>
        <w:t>企业的相关有效证明材料</w:t>
      </w:r>
      <w:r>
        <w:rPr>
          <w:rFonts w:ascii="宋体" w:hAnsi="宋体" w:cs="宋体"/>
          <w:b/>
          <w:color w:val="auto"/>
          <w:sz w:val="21"/>
          <w:szCs w:val="21"/>
          <w:highlight w:val="none"/>
        </w:rPr>
        <w:t>（必须提供）</w:t>
      </w:r>
      <w:r>
        <w:rPr>
          <w:rFonts w:ascii="宋体" w:hAnsi="宋体" w:cs="宋体"/>
          <w:color w:val="auto"/>
          <w:sz w:val="21"/>
          <w:szCs w:val="21"/>
          <w:highlight w:val="none"/>
        </w:rPr>
        <w:t>；</w:t>
      </w:r>
    </w:p>
    <w:p w14:paraId="5D580BA7">
      <w:pPr>
        <w:spacing w:line="400" w:lineRule="exact"/>
        <w:ind w:left="120" w:leftChars="50" w:firstLine="420"/>
        <w:rPr>
          <w:rFonts w:hint="eastAsia" w:ascii="宋体" w:hAnsi="宋体" w:eastAsia="宋体" w:cs="宋体"/>
          <w:bCs/>
          <w:color w:val="auto"/>
          <w:sz w:val="21"/>
          <w:szCs w:val="21"/>
          <w:highlight w:val="none"/>
          <w:lang w:eastAsia="zh-CN"/>
        </w:rPr>
      </w:pPr>
      <w:r>
        <w:rPr>
          <w:rFonts w:ascii="宋体" w:hAnsi="宋体" w:cs="宋体"/>
          <w:color w:val="auto"/>
          <w:sz w:val="21"/>
          <w:szCs w:val="21"/>
          <w:highlight w:val="none"/>
        </w:rPr>
        <w:t>注：本项目专门面向</w:t>
      </w:r>
      <w:r>
        <w:rPr>
          <w:rFonts w:hint="eastAsia" w:ascii="宋体" w:hAnsi="宋体" w:cs="宋体"/>
          <w:color w:val="auto"/>
          <w:sz w:val="21"/>
          <w:szCs w:val="21"/>
          <w:highlight w:val="none"/>
        </w:rPr>
        <w:t>小微</w:t>
      </w:r>
      <w:r>
        <w:rPr>
          <w:rFonts w:ascii="宋体" w:hAnsi="宋体" w:cs="宋体"/>
          <w:color w:val="auto"/>
          <w:sz w:val="21"/>
          <w:szCs w:val="21"/>
          <w:highlight w:val="none"/>
        </w:rPr>
        <w:t>企业采购</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供应商须满足《政府采购促进中小企业发展管理办法》</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财库〔2020〕46号</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第二条规定。监狱企业、残疾人福利</w:t>
      </w:r>
      <w:r>
        <w:rPr>
          <w:rFonts w:hint="eastAsia" w:ascii="宋体" w:hAnsi="宋体" w:cs="宋体"/>
          <w:color w:val="auto"/>
          <w:sz w:val="21"/>
          <w:szCs w:val="21"/>
          <w:highlight w:val="none"/>
          <w:lang w:eastAsia="zh-CN"/>
        </w:rPr>
        <w:t>性</w:t>
      </w:r>
      <w:r>
        <w:rPr>
          <w:rFonts w:ascii="宋体" w:hAnsi="宋体" w:cs="宋体"/>
          <w:color w:val="auto"/>
          <w:sz w:val="21"/>
          <w:szCs w:val="21"/>
          <w:highlight w:val="none"/>
        </w:rPr>
        <w:t>单位视同小型、微型企业。供应商根据自身情况，相应提供以下证明材料：</w:t>
      </w:r>
      <w:r>
        <w:rPr>
          <w:rFonts w:hint="eastAsia" w:ascii="宋体" w:hAnsi="宋体" w:cs="宋体"/>
          <w:color w:val="auto"/>
          <w:sz w:val="21"/>
          <w:szCs w:val="21"/>
          <w:highlight w:val="none"/>
        </w:rPr>
        <w:t>①</w:t>
      </w:r>
      <w:r>
        <w:rPr>
          <w:rFonts w:ascii="宋体" w:hAnsi="宋体" w:cs="宋体"/>
          <w:color w:val="auto"/>
          <w:sz w:val="21"/>
          <w:szCs w:val="21"/>
          <w:highlight w:val="none"/>
        </w:rPr>
        <w:t>供应商如为符合政策要求的</w:t>
      </w:r>
      <w:r>
        <w:rPr>
          <w:rFonts w:hint="eastAsia" w:ascii="宋体" w:hAnsi="宋体" w:cs="宋体"/>
          <w:color w:val="auto"/>
          <w:sz w:val="21"/>
          <w:szCs w:val="21"/>
          <w:highlight w:val="none"/>
        </w:rPr>
        <w:t>小微</w:t>
      </w:r>
      <w:r>
        <w:rPr>
          <w:rFonts w:ascii="宋体" w:hAnsi="宋体" w:cs="宋体"/>
          <w:color w:val="auto"/>
          <w:sz w:val="21"/>
          <w:szCs w:val="21"/>
          <w:highlight w:val="none"/>
        </w:rPr>
        <w:t>企业且承接本项目全部工程的，提供《中小企业声明函》。</w:t>
      </w:r>
      <w:r>
        <w:rPr>
          <w:rFonts w:hint="eastAsia" w:ascii="宋体" w:hAnsi="宋体" w:cs="宋体"/>
          <w:color w:val="auto"/>
          <w:sz w:val="21"/>
          <w:szCs w:val="21"/>
          <w:highlight w:val="none"/>
        </w:rPr>
        <w:t>②</w:t>
      </w:r>
      <w:r>
        <w:rPr>
          <w:rFonts w:ascii="宋体" w:hAnsi="宋体" w:cs="宋体"/>
          <w:color w:val="auto"/>
          <w:sz w:val="21"/>
          <w:szCs w:val="21"/>
          <w:highlight w:val="none"/>
        </w:rPr>
        <w:t>供应商如属于监狱企业且承接本项目全部工程的，提供由省级以上监狱管理局、戒毒管理局</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含新疆生产建设兵团</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出具的属于监狱企业的证明文件。</w:t>
      </w:r>
      <w:r>
        <w:rPr>
          <w:rFonts w:hint="eastAsia" w:ascii="宋体" w:hAnsi="宋体" w:cs="宋体"/>
          <w:color w:val="auto"/>
          <w:sz w:val="21"/>
          <w:szCs w:val="21"/>
          <w:highlight w:val="none"/>
        </w:rPr>
        <w:t>③</w:t>
      </w:r>
      <w:r>
        <w:rPr>
          <w:rFonts w:ascii="宋体" w:hAnsi="宋体" w:cs="宋体"/>
          <w:color w:val="auto"/>
          <w:sz w:val="21"/>
          <w:szCs w:val="21"/>
          <w:highlight w:val="none"/>
        </w:rPr>
        <w:t>供应商如属于符合条件的残疾人福利性单位且承接本项目全部工程的，提供《残疾人福利性单位声明函》（并对声明的真实性负责）</w:t>
      </w:r>
      <w:r>
        <w:rPr>
          <w:rFonts w:hint="eastAsia" w:ascii="宋体" w:hAnsi="宋体" w:cs="宋体"/>
          <w:bCs/>
          <w:color w:val="auto"/>
          <w:sz w:val="21"/>
          <w:szCs w:val="21"/>
          <w:highlight w:val="none"/>
          <w:lang w:eastAsia="zh-CN"/>
        </w:rPr>
        <w:t>。</w:t>
      </w:r>
    </w:p>
    <w:p w14:paraId="1748458E">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12</w:t>
      </w:r>
      <w:r>
        <w:rPr>
          <w:rFonts w:hint="eastAsia" w:ascii="宋体" w:hAnsi="宋体" w:cs="宋体"/>
          <w:bCs/>
          <w:color w:val="auto"/>
          <w:sz w:val="21"/>
          <w:szCs w:val="21"/>
          <w:highlight w:val="none"/>
        </w:rPr>
        <w:t>）供应商参加政府采购活动前3年内在经营活动中没有重大违法记录及有关信用信息的书面声明或专项信用报告</w:t>
      </w:r>
      <w:r>
        <w:rPr>
          <w:rFonts w:hint="eastAsia" w:ascii="宋体" w:hAnsi="宋体" w:cs="宋体"/>
          <w:b/>
          <w:color w:val="auto"/>
          <w:sz w:val="21"/>
          <w:szCs w:val="21"/>
          <w:highlight w:val="none"/>
        </w:rPr>
        <w:t>（</w:t>
      </w:r>
      <w:bookmarkStart w:id="57" w:name="OLE_LINK29"/>
      <w:bookmarkStart w:id="58" w:name="OLE_LINK28"/>
      <w:r>
        <w:rPr>
          <w:rFonts w:hint="eastAsia" w:ascii="宋体" w:hAnsi="宋体" w:cs="宋体"/>
          <w:b/>
          <w:color w:val="auto"/>
          <w:sz w:val="21"/>
          <w:szCs w:val="21"/>
          <w:highlight w:val="none"/>
        </w:rPr>
        <w:t>必须提供）。</w:t>
      </w:r>
    </w:p>
    <w:p w14:paraId="4AA11B32">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注：供应商为广西经营主体的，可通过信用中国</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广西</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网站</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http://xygx.fgw.gxzf.gov.cn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根据注册地信用中国网站的要求获取。</w:t>
      </w:r>
    </w:p>
    <w:bookmarkEnd w:id="57"/>
    <w:bookmarkEnd w:id="58"/>
    <w:p w14:paraId="219D395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11.1.2商务证明文件</w:t>
      </w:r>
    </w:p>
    <w:p w14:paraId="27AE635A">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（1）供应商必须按要求提供“</w:t>
      </w:r>
      <w:r>
        <w:rPr>
          <w:rFonts w:hint="eastAsia" w:ascii="宋体" w:hAnsi="宋体" w:cs="宋体"/>
          <w:bCs/>
          <w:color w:val="auto"/>
          <w:sz w:val="21"/>
          <w:szCs w:val="21"/>
          <w:highlight w:val="none"/>
          <w:lang w:eastAsia="zh-CN"/>
        </w:rPr>
        <w:t>技术及商务要求响应表</w:t>
      </w:r>
      <w:r>
        <w:rPr>
          <w:rFonts w:hint="eastAsia" w:ascii="宋体" w:hAnsi="宋体" w:cs="宋体"/>
          <w:bCs/>
          <w:color w:val="auto"/>
          <w:sz w:val="21"/>
          <w:szCs w:val="21"/>
          <w:highlight w:val="none"/>
        </w:rPr>
        <w:t>”（</w:t>
      </w:r>
      <w:bookmarkStart w:id="59" w:name="OLE_LINK30"/>
      <w:r>
        <w:rPr>
          <w:rFonts w:hint="eastAsia" w:ascii="宋体" w:hAnsi="宋体" w:cs="宋体"/>
          <w:b/>
          <w:color w:val="auto"/>
          <w:sz w:val="21"/>
          <w:szCs w:val="21"/>
          <w:highlight w:val="none"/>
        </w:rPr>
        <w:t>必须提供</w:t>
      </w:r>
      <w:bookmarkEnd w:id="59"/>
      <w:r>
        <w:rPr>
          <w:rFonts w:hint="eastAsia" w:ascii="宋体" w:hAnsi="宋体" w:cs="宋体"/>
          <w:bCs/>
          <w:color w:val="auto"/>
          <w:sz w:val="21"/>
          <w:szCs w:val="21"/>
          <w:highlight w:val="none"/>
        </w:rPr>
        <w:t>）</w:t>
      </w:r>
      <w:r>
        <w:rPr>
          <w:rFonts w:hint="eastAsia" w:ascii="宋体" w:hAnsi="宋体" w:cs="宋体"/>
          <w:b/>
          <w:color w:val="auto"/>
          <w:sz w:val="21"/>
          <w:szCs w:val="21"/>
          <w:highlight w:val="none"/>
        </w:rPr>
        <w:t>；</w:t>
      </w:r>
    </w:p>
    <w:p w14:paraId="682640DF">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（2）供应商必须按格式填写“</w:t>
      </w:r>
      <w:bookmarkStart w:id="60" w:name="OLE_LINK32"/>
      <w:bookmarkStart w:id="61" w:name="OLE_LINK31"/>
      <w:r>
        <w:rPr>
          <w:rFonts w:hint="eastAsia" w:ascii="宋体" w:hAnsi="宋体" w:cs="宋体"/>
          <w:bCs/>
          <w:color w:val="auto"/>
          <w:sz w:val="21"/>
          <w:szCs w:val="21"/>
          <w:highlight w:val="none"/>
        </w:rPr>
        <w:t>工程报价汇总表</w:t>
      </w:r>
      <w:bookmarkEnd w:id="60"/>
      <w:bookmarkEnd w:id="61"/>
      <w:r>
        <w:rPr>
          <w:rFonts w:hint="eastAsia" w:ascii="宋体" w:hAnsi="宋体" w:cs="宋体"/>
          <w:bCs/>
          <w:color w:val="auto"/>
          <w:sz w:val="21"/>
          <w:szCs w:val="21"/>
          <w:highlight w:val="none"/>
        </w:rPr>
        <w:t>”</w:t>
      </w:r>
      <w:r>
        <w:rPr>
          <w:rFonts w:hint="eastAsia" w:ascii="宋体" w:hAnsi="宋体" w:cs="宋体"/>
          <w:b/>
          <w:color w:val="auto"/>
          <w:sz w:val="21"/>
          <w:szCs w:val="21"/>
          <w:highlight w:val="none"/>
        </w:rPr>
        <w:t>（必须提供）</w:t>
      </w:r>
      <w:r>
        <w:rPr>
          <w:rFonts w:hint="eastAsia" w:ascii="宋体" w:hAnsi="宋体" w:cs="宋体"/>
          <w:bCs/>
          <w:color w:val="auto"/>
          <w:sz w:val="21"/>
          <w:szCs w:val="21"/>
          <w:highlight w:val="none"/>
        </w:rPr>
        <w:t>；</w:t>
      </w:r>
    </w:p>
    <w:p w14:paraId="1E93884D">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（3）供应商必须按要求提供“工程量清单报价表”</w:t>
      </w:r>
      <w:r>
        <w:rPr>
          <w:rFonts w:hint="eastAsia" w:ascii="宋体" w:hAnsi="宋体" w:cs="宋体"/>
          <w:b/>
          <w:color w:val="auto"/>
          <w:sz w:val="21"/>
          <w:szCs w:val="21"/>
          <w:highlight w:val="none"/>
        </w:rPr>
        <w:t>（</w:t>
      </w:r>
      <w:bookmarkStart w:id="62" w:name="OLE_LINK34"/>
      <w:bookmarkStart w:id="63" w:name="OLE_LINK33"/>
      <w:r>
        <w:rPr>
          <w:rFonts w:hint="eastAsia" w:ascii="宋体" w:hAnsi="宋体" w:cs="宋体"/>
          <w:b/>
          <w:color w:val="auto"/>
          <w:sz w:val="21"/>
          <w:szCs w:val="21"/>
          <w:highlight w:val="none"/>
        </w:rPr>
        <w:t>必须提供</w:t>
      </w:r>
      <w:bookmarkEnd w:id="62"/>
      <w:bookmarkEnd w:id="63"/>
      <w:r>
        <w:rPr>
          <w:rFonts w:hint="eastAsia" w:ascii="宋体" w:hAnsi="宋体" w:cs="宋体"/>
          <w:b/>
          <w:color w:val="auto"/>
          <w:sz w:val="21"/>
          <w:szCs w:val="21"/>
          <w:highlight w:val="none"/>
        </w:rPr>
        <w:t>）；</w:t>
      </w:r>
    </w:p>
    <w:p w14:paraId="1CE0AAEC">
      <w:pPr>
        <w:spacing w:line="400" w:lineRule="exact"/>
        <w:ind w:firstLine="420"/>
        <w:rPr>
          <w:rFonts w:ascii="宋体" w:hAnsi="宋体" w:cs="宋体"/>
          <w:b/>
          <w:color w:val="auto"/>
          <w:sz w:val="21"/>
          <w:szCs w:val="21"/>
          <w:highlight w:val="none"/>
        </w:rPr>
      </w:pPr>
      <w:r>
        <w:rPr>
          <w:rFonts w:hint="eastAsia" w:ascii="宋体" w:hAnsi="宋体" w:cs="宋体"/>
          <w:bCs/>
          <w:color w:val="auto"/>
          <w:sz w:val="21"/>
          <w:szCs w:val="21"/>
          <w:highlight w:val="none"/>
        </w:rPr>
        <w:t>（4）供应商202</w:t>
      </w:r>
      <w:r>
        <w:rPr>
          <w:rFonts w:ascii="宋体" w:hAnsi="宋体" w:cs="宋体"/>
          <w:bCs/>
          <w:color w:val="auto"/>
          <w:sz w:val="21"/>
          <w:szCs w:val="21"/>
          <w:highlight w:val="none"/>
        </w:rPr>
        <w:t>2</w:t>
      </w:r>
      <w:r>
        <w:rPr>
          <w:rFonts w:hint="eastAsia" w:ascii="宋体" w:hAnsi="宋体" w:cs="宋体"/>
          <w:bCs/>
          <w:color w:val="auto"/>
          <w:sz w:val="21"/>
          <w:szCs w:val="21"/>
          <w:highlight w:val="none"/>
        </w:rPr>
        <w:t>年1月1日以来承建或经竣工验收的类似工程</w:t>
      </w:r>
      <w:r>
        <w:rPr>
          <w:rFonts w:hint="eastAsia" w:ascii="宋体" w:hAnsi="宋体" w:cs="宋体"/>
          <w:bCs/>
          <w:color w:val="auto"/>
          <w:sz w:val="21"/>
          <w:szCs w:val="21"/>
          <w:highlight w:val="none"/>
          <w:lang w:eastAsia="zh-CN"/>
        </w:rPr>
        <w:t>业绩</w:t>
      </w:r>
      <w:r>
        <w:rPr>
          <w:rFonts w:hint="eastAsia" w:ascii="宋体" w:hAnsi="宋体" w:cs="宋体"/>
          <w:bCs/>
          <w:color w:val="auto"/>
          <w:sz w:val="21"/>
          <w:szCs w:val="21"/>
          <w:highlight w:val="none"/>
        </w:rPr>
        <w:t>的相关证明材料</w:t>
      </w:r>
      <w:r>
        <w:rPr>
          <w:rFonts w:hint="eastAsia" w:ascii="宋体" w:hAnsi="宋体" w:cs="宋体"/>
          <w:b/>
          <w:color w:val="auto"/>
          <w:sz w:val="21"/>
          <w:szCs w:val="21"/>
          <w:highlight w:val="none"/>
        </w:rPr>
        <w:t>（如有，请提供）；</w:t>
      </w:r>
    </w:p>
    <w:p w14:paraId="7209D501">
      <w:pPr>
        <w:spacing w:line="400" w:lineRule="exact"/>
        <w:ind w:firstLine="420"/>
        <w:rPr>
          <w:rFonts w:ascii="宋体" w:hAnsi="宋体" w:cs="宋体"/>
          <w:color w:val="auto"/>
          <w:sz w:val="21"/>
          <w:szCs w:val="21"/>
          <w:highlight w:val="none"/>
        </w:rPr>
      </w:pPr>
      <w:r>
        <w:rPr>
          <w:rFonts w:hint="eastAsia" w:ascii="宋体" w:hAnsi="宋体" w:cs="宋体"/>
          <w:bCs/>
          <w:color w:val="auto"/>
          <w:sz w:val="21"/>
          <w:szCs w:val="21"/>
          <w:highlight w:val="none"/>
        </w:rPr>
        <w:t>（5）</w:t>
      </w:r>
      <w:r>
        <w:rPr>
          <w:rFonts w:hint="eastAsia" w:ascii="宋体" w:hAnsi="宋体" w:cs="宋体"/>
          <w:color w:val="auto"/>
          <w:sz w:val="21"/>
          <w:szCs w:val="21"/>
          <w:highlight w:val="none"/>
        </w:rPr>
        <w:t>供应商相关获奖证书、认证证书等</w:t>
      </w:r>
      <w:r>
        <w:rPr>
          <w:rFonts w:hint="eastAsia" w:ascii="宋体" w:hAnsi="宋体" w:cs="宋体"/>
          <w:b/>
          <w:color w:val="auto"/>
          <w:sz w:val="21"/>
          <w:szCs w:val="21"/>
          <w:highlight w:val="none"/>
        </w:rPr>
        <w:t>（如有，请提供）；</w:t>
      </w:r>
    </w:p>
    <w:p w14:paraId="7E3D8D2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（6）供应商可结合本项目的评审办法视自身情况自行提交相关证明材料</w:t>
      </w:r>
      <w:r>
        <w:rPr>
          <w:rFonts w:hint="eastAsia" w:ascii="宋体" w:hAnsi="宋体" w:cs="宋体"/>
          <w:b/>
          <w:color w:val="auto"/>
          <w:sz w:val="21"/>
          <w:szCs w:val="21"/>
          <w:highlight w:val="none"/>
        </w:rPr>
        <w:t>（如有，请提供）。</w:t>
      </w:r>
    </w:p>
    <w:p w14:paraId="1A5E2DCD">
      <w:pPr>
        <w:spacing w:line="40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11.1.3技术证明文件</w:t>
      </w:r>
      <w:r>
        <w:rPr>
          <w:rFonts w:hint="eastAsia" w:ascii="宋体" w:hAnsi="宋体" w:cs="宋体"/>
          <w:color w:val="auto"/>
          <w:sz w:val="21"/>
          <w:szCs w:val="21"/>
          <w:highlight w:val="none"/>
          <w:lang w:eastAsia="zh-CN"/>
        </w:rPr>
        <w:t>：</w:t>
      </w:r>
    </w:p>
    <w:p w14:paraId="2A0FD057">
      <w:pPr>
        <w:spacing w:line="40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（1）施工组织设计</w:t>
      </w:r>
      <w:r>
        <w:rPr>
          <w:rFonts w:hint="eastAsia" w:ascii="宋体" w:hAnsi="宋体" w:cs="宋体"/>
          <w:b/>
          <w:color w:val="auto"/>
          <w:sz w:val="21"/>
          <w:szCs w:val="21"/>
          <w:highlight w:val="none"/>
        </w:rPr>
        <w:t>（如有，请提供）</w:t>
      </w:r>
    </w:p>
    <w:p w14:paraId="3BB85C4B">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 xml:space="preserve"> </w:t>
      </w:r>
      <w:r>
        <w:rPr>
          <w:rFonts w:hint="eastAsia" w:ascii="宋体" w:hAnsi="宋体" w:cs="宋体"/>
          <w:color w:val="auto"/>
          <w:sz w:val="21"/>
          <w:szCs w:val="21"/>
          <w:highlight w:val="none"/>
        </w:rPr>
        <w:t>包括但不限于： ①主要施工方法；②关键施工技术、工艺及工程实施的重点、难点和解决方案；③确保安全生产的技术组织措施；④确保工程质量的技术组织措施；⑤确保工期的技术组织措施；⑥确保文明施工的技术组织措施；⑦拟投入的主要物资计划；⑧施工平面布置和临时设施布置；⑨劳动力安排计划；⑩项目风险预测与防范，事故应急预案。</w:t>
      </w:r>
    </w:p>
    <w:p w14:paraId="2AB9760D">
      <w:pPr>
        <w:spacing w:line="40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（2）供应商可结合本项目的评审办法视自身情况自行提交相关证明材料</w:t>
      </w:r>
      <w:r>
        <w:rPr>
          <w:rFonts w:hint="eastAsia" w:ascii="宋体" w:hAnsi="宋体" w:cs="宋体"/>
          <w:b/>
          <w:color w:val="auto"/>
          <w:sz w:val="21"/>
          <w:szCs w:val="21"/>
          <w:highlight w:val="none"/>
        </w:rPr>
        <w:t>（如有，请提供）。</w:t>
      </w:r>
    </w:p>
    <w:p w14:paraId="27F28B2B">
      <w:pPr>
        <w:spacing w:line="400" w:lineRule="exact"/>
        <w:ind w:firstLine="422"/>
        <w:rPr>
          <w:rFonts w:ascii="宋体" w:hAnsi="宋体"/>
          <w:b/>
          <w:color w:val="auto"/>
          <w:sz w:val="21"/>
          <w:szCs w:val="21"/>
          <w:highlight w:val="none"/>
        </w:rPr>
      </w:pPr>
      <w:r>
        <w:rPr>
          <w:rFonts w:hint="eastAsia" w:ascii="宋体" w:hAnsi="宋体"/>
          <w:b/>
          <w:color w:val="auto"/>
          <w:sz w:val="21"/>
          <w:szCs w:val="21"/>
          <w:highlight w:val="none"/>
        </w:rPr>
        <w:t>供应商提供第11.1条规定的相关证明材料必须真实有效，属于“必须提供”的材料应加盖供应商电子签章，否则，响应文件按无效处理； “第六章 响应文件（格式）”中有要求法定代表人或相应的授权委托代理人在规定位置签字（或电子签名）的，必须按要求签字（或电子签名），否则，响应文件按无效处理。</w:t>
      </w:r>
    </w:p>
    <w:p w14:paraId="1ED1BE2D">
      <w:pPr>
        <w:spacing w:line="38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11.2供应商应按竞争性磋商文件第</w:t>
      </w:r>
      <w:r>
        <w:rPr>
          <w:rFonts w:hint="eastAsia" w:ascii="宋体" w:hAnsi="宋体" w:cs="宋体"/>
          <w:color w:val="auto"/>
          <w:kern w:val="0"/>
          <w:sz w:val="21"/>
          <w:szCs w:val="20"/>
          <w:highlight w:val="none"/>
          <w:lang w:eastAsia="zh-CN"/>
        </w:rPr>
        <w:t>六</w:t>
      </w:r>
      <w:r>
        <w:rPr>
          <w:rFonts w:hint="eastAsia" w:ascii="宋体" w:hAnsi="宋体" w:cs="宋体"/>
          <w:color w:val="auto"/>
          <w:kern w:val="0"/>
          <w:sz w:val="21"/>
          <w:szCs w:val="20"/>
          <w:highlight w:val="none"/>
        </w:rPr>
        <w:t>章“响应文件（格式）”编制响应文件。</w:t>
      </w:r>
    </w:p>
    <w:p w14:paraId="6F7977BF">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21F3CB75">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准。</w:t>
      </w:r>
    </w:p>
    <w:p w14:paraId="20D0FEBA">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响应计量单位，磋商文件已有明确规定的，使用磋商文件规定的计量单位；磋商文件没有规定的，必须采用中华人民共和国法定计量单位（货币单位：人民币元），否则视同未响应。</w:t>
      </w:r>
    </w:p>
    <w:p w14:paraId="0CC8FA65">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13.磋商报价及采购预算金额</w:t>
      </w:r>
    </w:p>
    <w:p w14:paraId="153A997C">
      <w:pPr>
        <w:tabs>
          <w:tab w:val="left" w:pos="1305"/>
        </w:tabs>
        <w:spacing w:line="38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13.1磋商报价应按磋商文件中相关附件格式填写。</w:t>
      </w:r>
    </w:p>
    <w:p w14:paraId="041EE4A5">
      <w:pPr>
        <w:tabs>
          <w:tab w:val="left" w:pos="1305"/>
        </w:tabs>
        <w:spacing w:line="38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13.2</w:t>
      </w:r>
      <w:r>
        <w:rPr>
          <w:rFonts w:hint="eastAsia" w:ascii="宋体" w:hAnsi="宋体" w:cs="宋体"/>
          <w:color w:val="auto"/>
          <w:sz w:val="21"/>
          <w:szCs w:val="21"/>
          <w:highlight w:val="none"/>
        </w:rPr>
        <w:t>报价</w:t>
      </w:r>
      <w:r>
        <w:rPr>
          <w:rFonts w:hint="eastAsia" w:ascii="宋体" w:hAnsi="宋体" w:cs="宋体"/>
          <w:bCs/>
          <w:color w:val="auto"/>
          <w:sz w:val="21"/>
          <w:szCs w:val="21"/>
          <w:highlight w:val="none"/>
        </w:rPr>
        <w:t>包括施工设备、主要材料、辅助材料、铺装、垃圾清运、劳务、管理、维护、保险、利润、增值税、政策性文件规定及合同包含的所有风险、责任等各项应有费用。</w:t>
      </w:r>
    </w:p>
    <w:p w14:paraId="586C6C7E">
      <w:pPr>
        <w:tabs>
          <w:tab w:val="left" w:pos="1305"/>
        </w:tabs>
        <w:spacing w:line="38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13.</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磋商货币：响应文件报价中的单价和合价全部采用人民币表示。</w:t>
      </w:r>
    </w:p>
    <w:p w14:paraId="528AF045">
      <w:pPr>
        <w:tabs>
          <w:tab w:val="left" w:pos="1305"/>
        </w:tabs>
        <w:spacing w:line="380" w:lineRule="exact"/>
        <w:ind w:firstLine="420"/>
        <w:rPr>
          <w:rFonts w:hint="eastAsia" w:ascii="宋体" w:hAnsi="宋体" w:eastAsia="宋体" w:cs="宋体"/>
          <w:b/>
          <w:bCs w:val="0"/>
          <w:color w:val="auto"/>
          <w:sz w:val="21"/>
          <w:szCs w:val="21"/>
          <w:highlight w:val="none"/>
          <w:lang w:eastAsia="zh-CN"/>
        </w:rPr>
      </w:pPr>
      <w:r>
        <w:rPr>
          <w:rFonts w:hint="eastAsia" w:ascii="宋体" w:hAnsi="宋体" w:cs="宋体"/>
          <w:b/>
          <w:bCs w:val="0"/>
          <w:color w:val="auto"/>
          <w:sz w:val="21"/>
          <w:szCs w:val="21"/>
          <w:highlight w:val="none"/>
        </w:rPr>
        <w:t>13.</w:t>
      </w:r>
      <w:r>
        <w:rPr>
          <w:rFonts w:hint="eastAsia" w:ascii="宋体" w:hAnsi="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rPr>
        <w:t>本项目预算金额</w:t>
      </w:r>
      <w:r>
        <w:rPr>
          <w:rFonts w:hint="eastAsia" w:ascii="宋体" w:hAnsi="宋体" w:eastAsia="宋体" w:cs="宋体"/>
          <w:b/>
          <w:bCs w:val="0"/>
          <w:color w:val="auto"/>
          <w:sz w:val="21"/>
          <w:szCs w:val="21"/>
          <w:highlight w:val="none"/>
          <w:lang w:eastAsia="zh-CN"/>
        </w:rPr>
        <w:t>及最高限价</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本项目预算金额为贰佰万元整（¥</w:t>
      </w:r>
      <w:r>
        <w:rPr>
          <w:rFonts w:hint="eastAsia" w:ascii="宋体" w:hAnsi="宋体" w:eastAsia="宋体" w:cs="宋体"/>
          <w:b/>
          <w:bCs w:val="0"/>
          <w:color w:val="auto"/>
          <w:sz w:val="21"/>
          <w:szCs w:val="21"/>
          <w:highlight w:val="none"/>
          <w:lang w:val="en-US" w:eastAsia="zh-CN"/>
        </w:rPr>
        <w:t>2000000.00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，最高限价为：人民币壹</w:t>
      </w:r>
      <w:r>
        <w:rPr>
          <w:rFonts w:hint="eastAsia" w:ascii="宋体" w:hAnsi="宋体" w:eastAsia="宋体" w:cs="宋体"/>
          <w:b/>
          <w:bCs w:val="0"/>
          <w:color w:val="auto"/>
          <w:sz w:val="21"/>
          <w:szCs w:val="21"/>
          <w:highlight w:val="none"/>
          <w:lang w:eastAsia="zh-CN"/>
        </w:rPr>
        <w:t>佰</w:t>
      </w:r>
      <w:r>
        <w:rPr>
          <w:rFonts w:hint="eastAsia" w:ascii="宋体" w:hAnsi="宋体" w:cs="宋体"/>
          <w:b/>
          <w:bCs w:val="0"/>
          <w:color w:val="auto"/>
          <w:sz w:val="21"/>
          <w:szCs w:val="21"/>
          <w:highlight w:val="none"/>
          <w:lang w:eastAsia="zh-CN"/>
        </w:rPr>
        <w:t>玖拾肆</w:t>
      </w:r>
      <w:r>
        <w:rPr>
          <w:rFonts w:hint="eastAsia" w:ascii="宋体" w:hAnsi="宋体" w:eastAsia="宋体" w:cs="宋体"/>
          <w:b/>
          <w:bCs w:val="0"/>
          <w:color w:val="auto"/>
          <w:sz w:val="21"/>
          <w:szCs w:val="21"/>
          <w:highlight w:val="none"/>
          <w:lang w:eastAsia="zh-CN"/>
        </w:rPr>
        <w:t>万元整（¥</w:t>
      </w:r>
      <w:r>
        <w:rPr>
          <w:rFonts w:hint="eastAsia" w:ascii="宋体" w:hAnsi="宋体" w:cs="宋体"/>
          <w:b/>
          <w:bCs w:val="0"/>
          <w:color w:val="auto"/>
          <w:sz w:val="21"/>
          <w:szCs w:val="21"/>
          <w:highlight w:val="none"/>
          <w:lang w:val="en-US" w:eastAsia="zh-CN"/>
        </w:rPr>
        <w:t>194</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其中：</w:t>
      </w:r>
      <w:r>
        <w:rPr>
          <w:rFonts w:hint="eastAsia" w:ascii="宋体" w:hAnsi="宋体" w:eastAsia="宋体" w:cs="宋体"/>
          <w:b/>
          <w:bCs w:val="0"/>
          <w:color w:val="auto"/>
          <w:sz w:val="21"/>
          <w:szCs w:val="21"/>
          <w:highlight w:val="none"/>
          <w:lang w:eastAsia="zh-CN"/>
        </w:rPr>
        <w:t>桂林市第十三中学校园操场改造最高限价为壹佰伍拾叁万元整（¥</w:t>
      </w:r>
      <w:r>
        <w:rPr>
          <w:rFonts w:hint="eastAsia" w:ascii="宋体" w:hAnsi="宋体" w:eastAsia="宋体" w:cs="宋体"/>
          <w:b/>
          <w:bCs w:val="0"/>
          <w:color w:val="auto"/>
          <w:sz w:val="21"/>
          <w:szCs w:val="21"/>
          <w:highlight w:val="none"/>
          <w:lang w:val="en-US" w:eastAsia="zh-CN"/>
        </w:rPr>
        <w:t>15</w:t>
      </w:r>
      <w:r>
        <w:rPr>
          <w:rFonts w:hint="eastAsia" w:ascii="宋体" w:hAnsi="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）；桂林市第十三中学校园硅PU篮球场最高限价为肆拾壹万元整（¥</w:t>
      </w:r>
      <w:r>
        <w:rPr>
          <w:rFonts w:hint="eastAsia" w:ascii="宋体" w:hAnsi="宋体" w:eastAsia="宋体" w:cs="宋体"/>
          <w:b/>
          <w:bCs w:val="0"/>
          <w:color w:val="auto"/>
          <w:sz w:val="21"/>
          <w:szCs w:val="21"/>
          <w:highlight w:val="none"/>
          <w:lang w:val="en-US" w:eastAsia="zh-CN"/>
        </w:rPr>
        <w:t>4</w:t>
      </w:r>
      <w:r>
        <w:rPr>
          <w:rFonts w:hint="eastAsia" w:ascii="宋体" w:hAnsi="宋体" w:cs="宋体"/>
          <w:b/>
          <w:bCs w:val="0"/>
          <w:color w:val="auto"/>
          <w:sz w:val="21"/>
          <w:szCs w:val="21"/>
          <w:highlight w:val="none"/>
          <w:lang w:val="en-US" w:eastAsia="zh-CN"/>
        </w:rPr>
        <w:t>1</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eastAsia="zh-CN"/>
        </w:rPr>
        <w:t>供应商的磋商报价</w:t>
      </w:r>
      <w:r>
        <w:rPr>
          <w:rFonts w:hint="eastAsia" w:ascii="宋体" w:hAnsi="宋体" w:cs="宋体"/>
          <w:b/>
          <w:bCs w:val="0"/>
          <w:color w:val="auto"/>
          <w:sz w:val="21"/>
          <w:szCs w:val="21"/>
          <w:highlight w:val="none"/>
          <w:lang w:eastAsia="zh-CN"/>
        </w:rPr>
        <w:t>及相应采购标的报价</w:t>
      </w:r>
      <w:r>
        <w:rPr>
          <w:rFonts w:hint="eastAsia" w:ascii="宋体" w:hAnsi="宋体" w:eastAsia="宋体" w:cs="宋体"/>
          <w:b/>
          <w:bCs w:val="0"/>
          <w:color w:val="auto"/>
          <w:sz w:val="21"/>
          <w:szCs w:val="21"/>
          <w:highlight w:val="none"/>
          <w:lang w:eastAsia="zh-CN"/>
        </w:rPr>
        <w:t>不得高于</w:t>
      </w:r>
      <w:r>
        <w:rPr>
          <w:rFonts w:hint="eastAsia" w:ascii="宋体" w:hAnsi="宋体" w:cs="宋体"/>
          <w:b/>
          <w:bCs w:val="0"/>
          <w:color w:val="auto"/>
          <w:sz w:val="21"/>
          <w:szCs w:val="21"/>
          <w:highlight w:val="none"/>
          <w:lang w:eastAsia="zh-CN"/>
        </w:rPr>
        <w:t>上述相应</w:t>
      </w:r>
      <w:r>
        <w:rPr>
          <w:rFonts w:hint="eastAsia" w:ascii="宋体" w:hAnsi="宋体" w:eastAsia="宋体" w:cs="宋体"/>
          <w:b/>
          <w:bCs w:val="0"/>
          <w:color w:val="auto"/>
          <w:sz w:val="21"/>
          <w:szCs w:val="21"/>
          <w:highlight w:val="none"/>
          <w:lang w:eastAsia="zh-CN"/>
        </w:rPr>
        <w:t>最高限价，否则响应文件按无效处理。</w:t>
      </w:r>
    </w:p>
    <w:p w14:paraId="37306062">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55EE56DB">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响应文件有效期：自响应文件提交截止时间之日起90天，有效期不足的响应文件将被拒绝。</w:t>
      </w:r>
    </w:p>
    <w:p w14:paraId="338705CC">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5DF62EB6">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486AE085">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15.2供应商下载或获取竞争性磋商文件后，登录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，按照本磋商文件规定的响应文件格式、顺序以及</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的要求，通过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编制电子响应文件。</w:t>
      </w:r>
    </w:p>
    <w:p w14:paraId="47343771">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广西政府采购云平台</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393FBDD2">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15.4</w:t>
      </w:r>
      <w:r>
        <w:rPr>
          <w:rFonts w:hint="eastAsia" w:ascii="宋体" w:hAnsi="宋体" w:cs="宋体"/>
          <w:color w:val="auto"/>
          <w:sz w:val="21"/>
          <w:szCs w:val="21"/>
          <w:highlight w:val="none"/>
        </w:rPr>
        <w:t>电子响应文件不得涂改，若有修改错漏处，须由法定代表人或授权委托代理人签字（或电子签名）。因响应文件字迹潦草、表达不清、内容不完整、编排混乱导致响应文件被误读、漏读，或者在按竞争性磋商文件规定的部位查找不到相关内容的，其不利后果由供应商自行承担</w:t>
      </w:r>
      <w:r>
        <w:rPr>
          <w:rFonts w:hint="eastAsia" w:ascii="宋体" w:hAnsi="宋体" w:cs="宋体"/>
          <w:color w:val="auto"/>
          <w:sz w:val="21"/>
          <w:szCs w:val="24"/>
          <w:highlight w:val="none"/>
        </w:rPr>
        <w:t>。</w:t>
      </w:r>
    </w:p>
    <w:p w14:paraId="5D61FDF9">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将予以拒收。</w:t>
      </w:r>
    </w:p>
    <w:p w14:paraId="13592DC0">
      <w:pPr>
        <w:snapToGrid w:val="0"/>
        <w:spacing w:line="38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color w:val="auto"/>
          <w:kern w:val="0"/>
          <w:sz w:val="21"/>
          <w:szCs w:val="21"/>
          <w:highlight w:val="none"/>
        </w:rPr>
        <w:t>供应商公章及签字</w:t>
      </w:r>
    </w:p>
    <w:p w14:paraId="5F3CCEA1">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15.6.1本竞争性磋商文件中描述供应商的“公章”是指根据我国对公章的管理规定，用供应商法定主体行为名称制作的印章，除本竞争性磋商文件有特殊规定外，供应商的其他形式印章均不能代替公章。</w:t>
      </w:r>
    </w:p>
    <w:p w14:paraId="3ACFD2F3">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15.6.2本竞争性磋商文件中描述供应商的“签字”是指供应商的法定代表人或者委托代理人亲自在文件规定签字处亲笔写上个人的名字的行为，私章、签字章、印鉴、影印等其他形式均不能代替亲笔签字。</w:t>
      </w:r>
    </w:p>
    <w:p w14:paraId="51DC93A9">
      <w:pPr>
        <w:snapToGrid w:val="0"/>
        <w:spacing w:line="38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15.6.3本竞争性磋商文件所称的“电子签章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4"/>
          <w:highlight w:val="none"/>
        </w:rPr>
        <w:t>认可的CA认证的电子签名数据为表现形式的印章，可用于签署电子响应文件，电子签章与实物印章、电子签名与手写签名具有同等法律效力，不因其采用电子化表现形式而否定其法律效力。</w:t>
      </w:r>
    </w:p>
    <w:p w14:paraId="16199D01">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6FA8E456">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color w:val="auto"/>
          <w:sz w:val="21"/>
          <w:szCs w:val="21"/>
          <w:highlight w:val="none"/>
          <w:u w:val="single"/>
          <w:lang w:eastAsia="zh-CN"/>
        </w:rPr>
        <w:t>2026年</w:t>
      </w:r>
      <w:r>
        <w:rPr>
          <w:rFonts w:hint="eastAsia" w:ascii="宋体" w:hAnsi="宋体" w:cs="宋体"/>
          <w:color w:val="auto"/>
          <w:sz w:val="21"/>
          <w:szCs w:val="21"/>
          <w:highlight w:val="none"/>
          <w:u w:val="single"/>
          <w:lang w:val="en-US" w:eastAsia="zh-CN"/>
        </w:rPr>
        <w:t>5</w:t>
      </w:r>
      <w:r>
        <w:rPr>
          <w:rFonts w:hint="eastAsia" w:ascii="宋体" w:hAnsi="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29</w:t>
      </w:r>
      <w:r>
        <w:rPr>
          <w:rFonts w:hint="eastAsia" w:ascii="宋体" w:hAnsi="宋体" w:cs="宋体"/>
          <w:color w:val="auto"/>
          <w:sz w:val="21"/>
          <w:szCs w:val="21"/>
          <w:highlight w:val="none"/>
          <w:u w:val="single"/>
          <w:lang w:eastAsia="zh-CN"/>
        </w:rPr>
        <w:t>日</w:t>
      </w:r>
      <w:r>
        <w:rPr>
          <w:rFonts w:hint="eastAsia" w:ascii="宋体" w:hAnsi="宋体" w:cs="宋体"/>
          <w:color w:val="auto"/>
          <w:sz w:val="21"/>
          <w:szCs w:val="21"/>
          <w:highlight w:val="none"/>
          <w:u w:val="single"/>
        </w:rPr>
        <w:t>上午9</w:t>
      </w:r>
      <w:r>
        <w:rPr>
          <w:rFonts w:hint="eastAsia" w:ascii="宋体" w:hAnsi="宋体" w:cs="宋体"/>
          <w:bCs/>
          <w:color w:val="auto"/>
          <w:sz w:val="21"/>
          <w:szCs w:val="21"/>
          <w:highlight w:val="none"/>
          <w:u w:val="single"/>
        </w:rPr>
        <w:t>时30分</w:t>
      </w:r>
      <w:r>
        <w:rPr>
          <w:rFonts w:hint="eastAsia" w:ascii="宋体" w:hAnsi="宋体" w:cs="宋体"/>
          <w:bCs/>
          <w:color w:val="auto"/>
          <w:sz w:val="21"/>
          <w:szCs w:val="21"/>
          <w:highlight w:val="none"/>
        </w:rPr>
        <w:t>（北京时间）</w:t>
      </w:r>
    </w:p>
    <w:p w14:paraId="3D4CA13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16.2地点：通过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在线提交。</w:t>
      </w:r>
    </w:p>
    <w:p w14:paraId="3FD0A8A5">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42E2A599">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16.4除竞争性磋商文件另有规定外，供应商所提交的响应文件不予退还。</w:t>
      </w:r>
    </w:p>
    <w:p w14:paraId="0BF7A864">
      <w:pPr>
        <w:tabs>
          <w:tab w:val="left" w:pos="1305"/>
        </w:tabs>
        <w:spacing w:line="380" w:lineRule="exact"/>
        <w:ind w:firstLine="422"/>
        <w:rPr>
          <w:rFonts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3703B495">
      <w:pPr>
        <w:tabs>
          <w:tab w:val="left" w:pos="1305"/>
        </w:tabs>
        <w:spacing w:line="380" w:lineRule="exact"/>
        <w:ind w:firstLine="420"/>
        <w:rPr>
          <w:rFonts w:ascii="宋体" w:hAnsi="宋体" w:cs="宋体"/>
          <w:color w:val="auto"/>
          <w:kern w:val="0"/>
          <w:sz w:val="21"/>
          <w:szCs w:val="21"/>
          <w:highlight w:val="none"/>
        </w:rPr>
      </w:pPr>
      <w:r>
        <w:rPr>
          <w:rFonts w:ascii="宋体" w:hAnsi="宋体" w:cs="宋体"/>
          <w:color w:val="auto"/>
          <w:kern w:val="0"/>
          <w:sz w:val="21"/>
          <w:szCs w:val="21"/>
          <w:highlight w:val="none"/>
        </w:rPr>
        <w:t>响应文件提交截止时间后，采购代理机构开启解密响应文件操作，</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向各供应商发出电子加密响应文件解密通知，由供应商在系统发出解密通知后30分钟内自行使用加密时的CA通过“项目采购</w:t>
      </w:r>
      <w:r>
        <w:rPr>
          <w:rFonts w:hint="eastAsia" w:ascii="宋体" w:hAnsi="宋体" w:cs="宋体"/>
          <w:color w:val="auto"/>
          <w:kern w:val="0"/>
          <w:sz w:val="21"/>
          <w:szCs w:val="21"/>
          <w:highlight w:val="none"/>
          <w:lang w:eastAsia="zh-CN"/>
        </w:rPr>
        <w:t>－</w:t>
      </w:r>
      <w:r>
        <w:rPr>
          <w:rFonts w:ascii="宋体" w:hAnsi="宋体" w:cs="宋体"/>
          <w:color w:val="auto"/>
          <w:kern w:val="0"/>
          <w:sz w:val="21"/>
          <w:szCs w:val="21"/>
          <w:highlight w:val="none"/>
        </w:rPr>
        <w:t>开标评标”功能对响应文件进行解密。若供应商在上述规定的时间内无法解密或解密失败的，可以在响应文件解密截止时间后30分钟内向采购代理机构现场提交电子备份响应文件（接收电子备份响应文件的电子邮箱为：guilinyl@vip.sina.com）</w:t>
      </w:r>
      <w:r>
        <w:rPr>
          <w:rFonts w:hint="eastAsia" w:ascii="宋体" w:hAnsi="宋体" w:cs="宋体"/>
          <w:color w:val="auto"/>
          <w:kern w:val="0"/>
          <w:sz w:val="21"/>
          <w:szCs w:val="21"/>
          <w:highlight w:val="none"/>
        </w:rPr>
        <w:t>；供应商未在上述规定的时间、电子邮箱提交的电子备份响应文件，采购代理机构不予接收或承认。</w:t>
      </w:r>
      <w:r>
        <w:rPr>
          <w:rFonts w:ascii="宋体" w:hAnsi="宋体" w:cs="宋体"/>
          <w:color w:val="auto"/>
          <w:kern w:val="0"/>
          <w:sz w:val="21"/>
          <w:szCs w:val="21"/>
          <w:highlight w:val="none"/>
        </w:rPr>
        <w:t>采购代理机构收到电子备份响应文件后按“政府采购云平台”操作规范上传至</w:t>
      </w:r>
      <w:r>
        <w:rPr>
          <w:rFonts w:hint="eastAsia" w:ascii="宋体" w:hAnsi="宋体" w:cs="宋体"/>
          <w:bCs/>
          <w:color w:val="auto"/>
          <w:sz w:val="21"/>
          <w:szCs w:val="21"/>
          <w:highlight w:val="none"/>
        </w:rPr>
        <w:t>广西政府采购云平台</w:t>
      </w:r>
      <w:r>
        <w:rPr>
          <w:rFonts w:ascii="宋体" w:hAnsi="宋体" w:cs="宋体"/>
          <w:color w:val="auto"/>
          <w:kern w:val="0"/>
          <w:sz w:val="21"/>
          <w:szCs w:val="21"/>
          <w:highlight w:val="none"/>
        </w:rPr>
        <w:t>，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w:t>
      </w:r>
      <w:r>
        <w:rPr>
          <w:rFonts w:hint="eastAsia" w:ascii="宋体" w:hAnsi="宋体" w:cs="宋体"/>
          <w:color w:val="auto"/>
          <w:kern w:val="0"/>
          <w:sz w:val="21"/>
          <w:szCs w:val="21"/>
          <w:highlight w:val="none"/>
        </w:rPr>
        <w:t>磋商。</w:t>
      </w:r>
    </w:p>
    <w:p w14:paraId="24339112">
      <w:pPr>
        <w:tabs>
          <w:tab w:val="left" w:pos="1305"/>
        </w:tabs>
        <w:spacing w:line="380" w:lineRule="exact"/>
        <w:ind w:firstLine="420"/>
        <w:rPr>
          <w:rFonts w:ascii="宋体" w:hAnsi="宋体" w:cs="宋体"/>
          <w:color w:val="auto"/>
          <w:kern w:val="0"/>
          <w:sz w:val="21"/>
          <w:szCs w:val="21"/>
          <w:highlight w:val="none"/>
        </w:rPr>
      </w:pPr>
    </w:p>
    <w:p w14:paraId="69512A51">
      <w:pPr>
        <w:tabs>
          <w:tab w:val="left" w:pos="1305"/>
        </w:tabs>
        <w:spacing w:line="380" w:lineRule="exact"/>
        <w:ind w:firstLine="562"/>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四、竞争性磋商（简称磋商）与评审</w:t>
      </w:r>
    </w:p>
    <w:p w14:paraId="69D149E7">
      <w:pPr>
        <w:tabs>
          <w:tab w:val="center" w:pos="4411"/>
          <w:tab w:val="left" w:pos="5475"/>
        </w:tabs>
        <w:spacing w:line="38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18.磋商小组组成及磋商时间、地点、人员</w:t>
      </w:r>
    </w:p>
    <w:p w14:paraId="1D0D1303">
      <w:pPr>
        <w:spacing w:line="38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18.1 磋商小组组成：</w:t>
      </w:r>
    </w:p>
    <w:p w14:paraId="199F29BE">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磋商及评审组织工作由采购代理机构负责，具体磋商、评审工作由依法组建的磋商小组负责，磋商小组由采购人代表和</w:t>
      </w:r>
      <w:r>
        <w:rPr>
          <w:rFonts w:hint="eastAsia" w:ascii="宋体" w:hAnsi="宋体" w:cs="宋体"/>
          <w:color w:val="auto"/>
          <w:kern w:val="0"/>
          <w:sz w:val="21"/>
          <w:szCs w:val="21"/>
          <w:highlight w:val="none"/>
          <w:lang w:eastAsia="zh-CN"/>
        </w:rPr>
        <w:t>评审专家</w:t>
      </w:r>
      <w:r>
        <w:rPr>
          <w:rFonts w:hint="eastAsia" w:ascii="宋体" w:hAnsi="宋体" w:cs="宋体"/>
          <w:color w:val="auto"/>
          <w:kern w:val="0"/>
          <w:sz w:val="21"/>
          <w:szCs w:val="21"/>
          <w:highlight w:val="none"/>
        </w:rPr>
        <w:t>3人组成，其中评审专家人数不得少于磋商小组成员总数的2/3。</w:t>
      </w:r>
    </w:p>
    <w:p w14:paraId="0A1114BA">
      <w:pPr>
        <w:tabs>
          <w:tab w:val="left" w:pos="1305"/>
        </w:tabs>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18.2 磋商时间、地点、人员：</w:t>
      </w:r>
    </w:p>
    <w:p w14:paraId="4C54C79C">
      <w:pPr>
        <w:spacing w:line="380" w:lineRule="exact"/>
        <w:ind w:left="360" w:leftChars="150" w:firstLine="105" w:firstLineChars="5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 磋商时间：首次响应文件提交截止时间后。</w:t>
      </w:r>
    </w:p>
    <w:p w14:paraId="6B7A93AC">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18.2.2 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58800BD1">
      <w:pPr>
        <w:tabs>
          <w:tab w:val="left" w:pos="1140"/>
        </w:tabs>
        <w:spacing w:line="380" w:lineRule="exact"/>
        <w:ind w:firstLine="407" w:firstLineChars="194"/>
        <w:rPr>
          <w:rFonts w:ascii="宋体" w:hAnsi="宋体" w:cs="宋体"/>
          <w:color w:val="auto"/>
          <w:sz w:val="21"/>
          <w:szCs w:val="21"/>
          <w:highlight w:val="none"/>
        </w:rPr>
      </w:pPr>
      <w:r>
        <w:rPr>
          <w:rFonts w:hint="eastAsia" w:ascii="宋体" w:hAnsi="宋体" w:cs="宋体"/>
          <w:color w:val="auto"/>
          <w:kern w:val="0"/>
          <w:sz w:val="21"/>
          <w:szCs w:val="21"/>
          <w:highlight w:val="none"/>
        </w:rPr>
        <w:t>18.2.3 磋商参加人员：</w:t>
      </w:r>
      <w:r>
        <w:rPr>
          <w:rFonts w:hint="eastAsia" w:ascii="宋体" w:hAnsi="宋体" w:cs="宋体"/>
          <w:color w:val="auto"/>
          <w:sz w:val="21"/>
          <w:szCs w:val="21"/>
          <w:highlight w:val="none"/>
        </w:rPr>
        <w:t>供应商法定代表人或相应的委托代理人参加磋商。请供应商</w:t>
      </w:r>
      <w:r>
        <w:rPr>
          <w:rFonts w:hint="eastAsia" w:ascii="宋体" w:hAnsi="宋体" w:cs="宋体"/>
          <w:bCs/>
          <w:color w:val="auto"/>
          <w:sz w:val="21"/>
          <w:szCs w:val="21"/>
          <w:highlight w:val="none"/>
        </w:rPr>
        <w:t>实时登录广西政府采购云平台</w:t>
      </w:r>
      <w:r>
        <w:rPr>
          <w:rFonts w:hint="eastAsia" w:ascii="宋体" w:hAnsi="宋体" w:cs="宋体"/>
          <w:color w:val="auto"/>
          <w:sz w:val="21"/>
          <w:szCs w:val="21"/>
          <w:highlight w:val="none"/>
        </w:rPr>
        <w:t>等候在线磋商。</w:t>
      </w:r>
    </w:p>
    <w:p w14:paraId="43524524">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18.2.4 首次响应文件提交截止时间后，登录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在线解密开启。</w:t>
      </w:r>
    </w:p>
    <w:p w14:paraId="4633455A">
      <w:pPr>
        <w:tabs>
          <w:tab w:val="left" w:pos="1140"/>
        </w:tabs>
        <w:spacing w:line="38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37F86E47">
      <w:pPr>
        <w:tabs>
          <w:tab w:val="left" w:pos="1140"/>
        </w:tabs>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0"/>
          <w:highlight w:val="none"/>
        </w:rPr>
        <w:t xml:space="preserve">19.1 </w:t>
      </w:r>
      <w:r>
        <w:rPr>
          <w:rFonts w:hint="eastAsia" w:ascii="宋体" w:hAnsi="宋体" w:cs="宋体"/>
          <w:color w:val="auto"/>
          <w:kern w:val="0"/>
          <w:sz w:val="21"/>
          <w:szCs w:val="21"/>
          <w:highlight w:val="none"/>
        </w:rPr>
        <w:t>磋商小组必须坚持公平、公正、科学和择优的原则。</w:t>
      </w:r>
    </w:p>
    <w:p w14:paraId="50AB78CD">
      <w:pPr>
        <w:spacing w:line="38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19.2综合评分法，具体详见“第</w:t>
      </w: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rPr>
        <w:t>章 评审办法”。</w:t>
      </w:r>
    </w:p>
    <w:p w14:paraId="5D463699">
      <w:pPr>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19.3 磋商小组应按磋商文件进行评审，不得擅自更改评审办法。</w:t>
      </w:r>
    </w:p>
    <w:p w14:paraId="69A97B86">
      <w:pPr>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19.4 在评审过程中，磋商小组任何人不得对某个供应商发表任何倾向性意见，不得向其他磋商小组成员明示或者暗示自己的评审意见。</w:t>
      </w:r>
    </w:p>
    <w:p w14:paraId="25F4ABC2">
      <w:pPr>
        <w:tabs>
          <w:tab w:val="left" w:pos="1140"/>
        </w:tabs>
        <w:spacing w:line="380" w:lineRule="exact"/>
        <w:ind w:firstLine="359" w:firstLineChars="171"/>
        <w:rPr>
          <w:rFonts w:ascii="宋体" w:hAnsi="宋体" w:cs="宋体"/>
          <w:color w:val="auto"/>
          <w:kern w:val="0"/>
          <w:sz w:val="21"/>
          <w:szCs w:val="21"/>
          <w:highlight w:val="none"/>
        </w:rPr>
      </w:pPr>
      <w:r>
        <w:rPr>
          <w:rFonts w:hint="eastAsia" w:ascii="宋体" w:hAnsi="宋体" w:cs="宋体"/>
          <w:color w:val="auto"/>
          <w:kern w:val="0"/>
          <w:sz w:val="21"/>
          <w:szCs w:val="21"/>
          <w:highlight w:val="none"/>
        </w:rPr>
        <w:t>19.5磋商小组成员对需要共同认定的事项存在争议的，按照少数服从多数的原则作出结论。持不同意见的磋商小组成员应当在评审报告上签署不同意见并说明理由，否则视为同意。</w:t>
      </w:r>
    </w:p>
    <w:p w14:paraId="366DF06B">
      <w:pPr>
        <w:tabs>
          <w:tab w:val="left" w:pos="1140"/>
        </w:tabs>
        <w:spacing w:line="38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20.评审程序及磋商要求</w:t>
      </w:r>
    </w:p>
    <w:p w14:paraId="32AD0287">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20.1磋商小组成员的通讯工具或相关电子设备交由桂林市公共资源交易中心统一保管后到达评标室，采购代理机构核实磋商小组成员身份，告知回避要求，宣布评审工作纪律和程序，推选磋商小组组长。</w:t>
      </w:r>
    </w:p>
    <w:p w14:paraId="3246BDB9">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 磋商小组应当审查供应商的响应文件并作出评价；要求供应商解释或者澄清其响应文件；编写评审报告；告知采购人、采购代理机构在评审过程中发现的供应商的违法违规行为。</w:t>
      </w:r>
    </w:p>
    <w:p w14:paraId="5EE94363">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 磋商小组依据法律法规和竞争性磋商文件的规定，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以确定供应商是否具备本项目供应商资格；再对通过资格性审查的供应商响应文件的有效性、完整性和对磋商文件的响应程度进行符合性审查，以确定是否对磋商文件的实质性要求做出响应。</w:t>
      </w:r>
    </w:p>
    <w:p w14:paraId="77655E75">
      <w:pPr>
        <w:spacing w:line="380" w:lineRule="exact"/>
        <w:ind w:firstLine="420"/>
        <w:rPr>
          <w:rFonts w:hint="eastAsia" w:ascii="宋体" w:hAnsi="宋体" w:cs="宋体"/>
          <w:b/>
          <w:bCs/>
          <w:color w:val="auto"/>
          <w:kern w:val="0"/>
          <w:sz w:val="21"/>
          <w:szCs w:val="21"/>
          <w:highlight w:val="none"/>
          <w:lang w:eastAsia="zh-CN"/>
        </w:rPr>
      </w:pPr>
      <w:r>
        <w:rPr>
          <w:rFonts w:hint="eastAsia" w:ascii="宋体" w:hAnsi="宋体" w:cs="宋体"/>
          <w:b/>
          <w:bCs/>
          <w:color w:val="auto"/>
          <w:kern w:val="0"/>
          <w:sz w:val="21"/>
          <w:szCs w:val="21"/>
          <w:highlight w:val="none"/>
        </w:rPr>
        <w:t>20.4</w:t>
      </w:r>
      <w:r>
        <w:rPr>
          <w:rFonts w:hint="eastAsia" w:ascii="宋体" w:hAnsi="宋体" w:cs="宋体"/>
          <w:b/>
          <w:bCs/>
          <w:color w:val="auto"/>
          <w:kern w:val="0"/>
          <w:sz w:val="21"/>
          <w:szCs w:val="21"/>
          <w:highlight w:val="none"/>
          <w:lang w:eastAsia="zh-CN"/>
        </w:rPr>
        <w:t>信用查询及股东查询</w:t>
      </w:r>
    </w:p>
    <w:p w14:paraId="7C82C050">
      <w:pPr>
        <w:spacing w:line="380" w:lineRule="exact"/>
        <w:ind w:firstLine="420"/>
        <w:rPr>
          <w:rFonts w:hint="eastAsia" w:ascii="宋体" w:hAnsi="宋体" w:cs="宋体"/>
          <w:b/>
          <w:bCs/>
          <w:color w:val="auto"/>
          <w:kern w:val="0"/>
          <w:sz w:val="21"/>
          <w:szCs w:val="21"/>
          <w:highlight w:val="none"/>
          <w:lang w:eastAsia="zh-CN"/>
        </w:rPr>
      </w:pPr>
      <w:r>
        <w:rPr>
          <w:rFonts w:hint="eastAsia" w:ascii="宋体" w:hAnsi="宋体" w:cs="宋体"/>
          <w:b/>
          <w:bCs/>
          <w:color w:val="auto"/>
          <w:kern w:val="0"/>
          <w:sz w:val="21"/>
          <w:szCs w:val="21"/>
          <w:highlight w:val="none"/>
        </w:rPr>
        <w:t>20.4</w:t>
      </w:r>
      <w:r>
        <w:rPr>
          <w:rFonts w:hint="eastAsia" w:ascii="宋体" w:hAnsi="宋体" w:cs="宋体"/>
          <w:b/>
          <w:bCs/>
          <w:color w:val="auto"/>
          <w:kern w:val="0"/>
          <w:sz w:val="21"/>
          <w:szCs w:val="21"/>
          <w:highlight w:val="none"/>
          <w:lang w:val="en-US" w:eastAsia="zh-CN"/>
        </w:rPr>
        <w:t>.1</w:t>
      </w:r>
      <w:r>
        <w:rPr>
          <w:rFonts w:hint="eastAsia" w:ascii="宋体" w:hAnsi="宋体" w:cs="宋体"/>
          <w:b/>
          <w:bCs/>
          <w:color w:val="auto"/>
          <w:kern w:val="0"/>
          <w:sz w:val="21"/>
          <w:szCs w:val="21"/>
          <w:highlight w:val="none"/>
          <w:lang w:eastAsia="zh-CN"/>
        </w:rPr>
        <w:t>信用查询</w:t>
      </w:r>
    </w:p>
    <w:p w14:paraId="501F5731">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磋商小组在资格审查结束前，对</w:t>
      </w:r>
      <w:r>
        <w:rPr>
          <w:rFonts w:hint="eastAsia" w:ascii="宋体" w:hAnsi="宋体" w:cs="宋体"/>
          <w:color w:val="auto"/>
          <w:kern w:val="0"/>
          <w:sz w:val="21"/>
          <w:szCs w:val="21"/>
          <w:highlight w:val="none"/>
          <w:lang w:eastAsia="zh-CN"/>
        </w:rPr>
        <w:t>供应商</w:t>
      </w:r>
      <w:r>
        <w:rPr>
          <w:rFonts w:hint="eastAsia" w:ascii="宋体" w:hAnsi="宋体" w:cs="宋体"/>
          <w:color w:val="auto"/>
          <w:kern w:val="0"/>
          <w:sz w:val="21"/>
          <w:szCs w:val="21"/>
          <w:highlight w:val="none"/>
        </w:rPr>
        <w:t>进行信用查询。</w:t>
      </w:r>
    </w:p>
    <w:p w14:paraId="5D60E357">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查询渠道：“信用中国”网站（www.creditchina.gov.cn） 、中国政府采购网（www.ccgp.gov.cn）。</w:t>
      </w:r>
    </w:p>
    <w:p w14:paraId="68FE7A10">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信用查询截止时点：资格审查结束前</w:t>
      </w:r>
    </w:p>
    <w:p w14:paraId="059DA284">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查询记录和证据留存方式：作为评审资料打印留存</w:t>
      </w:r>
    </w:p>
    <w:p w14:paraId="5C34D15B">
      <w:pPr>
        <w:spacing w:line="38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w:t>
      </w:r>
      <w:r>
        <w:rPr>
          <w:rFonts w:hint="eastAsia" w:ascii="宋体" w:hAnsi="宋体" w:cs="宋体"/>
          <w:color w:val="auto"/>
          <w:kern w:val="0"/>
          <w:sz w:val="21"/>
          <w:szCs w:val="21"/>
          <w:highlight w:val="none"/>
          <w:lang w:eastAsia="zh-CN"/>
        </w:rPr>
        <w:t>磋商小组</w:t>
      </w:r>
      <w:r>
        <w:rPr>
          <w:rFonts w:hint="eastAsia" w:ascii="宋体" w:hAnsi="宋体" w:cs="宋体"/>
          <w:color w:val="auto"/>
          <w:kern w:val="0"/>
          <w:sz w:val="21"/>
          <w:szCs w:val="21"/>
          <w:highlight w:val="none"/>
        </w:rPr>
        <w:t>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29A99A20">
      <w:pPr>
        <w:spacing w:line="380" w:lineRule="exact"/>
        <w:ind w:firstLine="422"/>
        <w:rPr>
          <w:rFonts w:hint="eastAsia" w:ascii="宋体" w:hAnsi="宋体" w:eastAsia="宋体" w:cs="宋体"/>
          <w:b/>
          <w:color w:val="auto"/>
          <w:kern w:val="0"/>
          <w:sz w:val="21"/>
          <w:szCs w:val="21"/>
          <w:highlight w:val="none"/>
          <w:lang w:val="en-US" w:eastAsia="zh-CN"/>
        </w:rPr>
      </w:pPr>
      <w:r>
        <w:rPr>
          <w:rFonts w:hint="eastAsia" w:ascii="宋体" w:hAnsi="宋体" w:cs="宋体"/>
          <w:b/>
          <w:color w:val="auto"/>
          <w:kern w:val="0"/>
          <w:sz w:val="21"/>
          <w:szCs w:val="21"/>
          <w:highlight w:val="none"/>
          <w:lang w:val="en-US" w:eastAsia="zh-CN"/>
        </w:rPr>
        <w:t>20.4.2</w:t>
      </w:r>
      <w:r>
        <w:rPr>
          <w:rFonts w:hint="eastAsia" w:ascii="宋体" w:hAnsi="宋体" w:cs="宋体"/>
          <w:b/>
          <w:color w:val="auto"/>
          <w:kern w:val="0"/>
          <w:sz w:val="21"/>
          <w:szCs w:val="21"/>
          <w:highlight w:val="none"/>
        </w:rPr>
        <w:t>供应商企业股东及出资等信息</w:t>
      </w:r>
      <w:r>
        <w:rPr>
          <w:rFonts w:hint="eastAsia" w:ascii="宋体" w:hAnsi="宋体" w:cs="宋体"/>
          <w:b/>
          <w:color w:val="auto"/>
          <w:kern w:val="0"/>
          <w:sz w:val="21"/>
          <w:szCs w:val="21"/>
          <w:highlight w:val="none"/>
          <w:lang w:eastAsia="zh-CN"/>
        </w:rPr>
        <w:t>查询</w:t>
      </w:r>
    </w:p>
    <w:p w14:paraId="35CB1D5C">
      <w:pPr>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磋商小组在资格审查结束前，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4C321795">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20.4.</w:t>
      </w:r>
      <w:r>
        <w:rPr>
          <w:rFonts w:hint="eastAsia" w:ascii="宋体" w:hAnsi="宋体" w:cs="宋体"/>
          <w:color w:val="auto"/>
          <w:kern w:val="0"/>
          <w:sz w:val="21"/>
          <w:szCs w:val="21"/>
          <w:highlight w:val="none"/>
          <w:lang w:val="en-US" w:eastAsia="zh-CN"/>
        </w:rPr>
        <w:t>2.1</w:t>
      </w:r>
      <w:r>
        <w:rPr>
          <w:rFonts w:hint="eastAsia" w:ascii="宋体" w:hAnsi="宋体" w:cs="宋体"/>
          <w:color w:val="auto"/>
          <w:kern w:val="0"/>
          <w:sz w:val="21"/>
          <w:szCs w:val="21"/>
          <w:highlight w:val="none"/>
        </w:rPr>
        <w:t>查询渠道：《国家企业信用信息公示系统》（网址：</w:t>
      </w:r>
      <w:r>
        <w:rPr>
          <w:rFonts w:hint="eastAsia" w:ascii="宋体" w:hAnsi="Courier New"/>
          <w:color w:val="auto"/>
          <w:sz w:val="21"/>
          <w:szCs w:val="21"/>
          <w:highlight w:val="none"/>
        </w:rPr>
        <w:t>www.gsxt.gov.cn/index.html</w:t>
      </w:r>
      <w:r>
        <w:rPr>
          <w:rFonts w:hint="eastAsia" w:ascii="宋体" w:hAnsi="宋体" w:cs="宋体"/>
          <w:color w:val="auto"/>
          <w:kern w:val="0"/>
          <w:sz w:val="21"/>
          <w:szCs w:val="21"/>
          <w:highlight w:val="none"/>
        </w:rPr>
        <w:t>）</w:t>
      </w:r>
    </w:p>
    <w:p w14:paraId="38BF7BB5">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20.4.</w:t>
      </w:r>
      <w:r>
        <w:rPr>
          <w:rFonts w:hint="eastAsia" w:ascii="宋体" w:hAnsi="宋体" w:cs="宋体"/>
          <w:color w:val="auto"/>
          <w:kern w:val="0"/>
          <w:sz w:val="21"/>
          <w:szCs w:val="21"/>
          <w:highlight w:val="none"/>
          <w:lang w:val="en-US" w:eastAsia="zh-CN"/>
        </w:rPr>
        <w:t>2.2</w:t>
      </w:r>
      <w:r>
        <w:rPr>
          <w:rFonts w:hint="eastAsia" w:ascii="宋体" w:hAnsi="宋体" w:cs="宋体"/>
          <w:color w:val="auto"/>
          <w:kern w:val="0"/>
          <w:sz w:val="21"/>
          <w:szCs w:val="21"/>
          <w:highlight w:val="none"/>
        </w:rPr>
        <w:t>审查流程：</w:t>
      </w:r>
    </w:p>
    <w:p w14:paraId="24F99AA9">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（1）进入《国家企业信用信息公示系统》（网址：www.gsxt.gov.cn/index.html），输入企业名称，进入企业信息主页面；</w:t>
      </w:r>
    </w:p>
    <w:p w14:paraId="16AEF8F3">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5191348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4A9A00DB">
      <w:pPr>
        <w:snapToGrid w:val="0"/>
        <w:spacing w:line="38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111FA029">
      <w:pPr>
        <w:spacing w:line="38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05500D21">
      <w:pPr>
        <w:spacing w:line="38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20.5磋商小组在对响应文件的有效性、完整性和响应程度进行审查时，可以要求供应商对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采用在线书面形式，澄清、说明或者补正应当加盖供应商电子签章，或者由法定代表人或其授权委托代理人签字（或者电子签名）。</w:t>
      </w:r>
    </w:p>
    <w:p w14:paraId="6B14625C">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根据磋商文件规定的程序、评定成交的标准等事项与实质性响应竞争性磋商文件要求的供应商进行磋商。未实质性响应磋商文件的响应文件按无效处理，磋商小组应当告知有关供应商。</w:t>
      </w:r>
    </w:p>
    <w:p w14:paraId="080E462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磋商小组所有成员应当按已确定的磋商顺序集中与单一供应商分别进行磋商，并给予所有实质性响应竞争性磋商文件要求的供应商平等的磋商机会。</w:t>
      </w:r>
    </w:p>
    <w:p w14:paraId="26A715C6">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磋商中，磋商小组不得透露与磋商有关的其他供应商的技术资料、价格和其他信息。</w:t>
      </w:r>
    </w:p>
    <w:p w14:paraId="72FB1635">
      <w:pPr>
        <w:widowControl/>
        <w:tabs>
          <w:tab w:val="left" w:pos="540"/>
        </w:tabs>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采购代理机构（磋商小组）对磋商过程和重要磋商内容进行记录。</w:t>
      </w:r>
    </w:p>
    <w:p w14:paraId="258FE1D2">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20.6在磋商过程中，磋商小组可以根据磋商文件和磋商情况实质性变动采购需求中的技术、服务要求以及合同草案条款，但不得变动磋商文件中的其他内容。实质性变动的内容，须经采购人代表确认。</w:t>
      </w:r>
    </w:p>
    <w:p w14:paraId="1BD704CA">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对磋商文件作出的实质性变动是磋商文件的有效组成部分，磋商小组应当及时通过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以书面形式同时通知所有参加磋商的供应商。</w:t>
      </w:r>
    </w:p>
    <w:p w14:paraId="22DF8882">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供应商必须按照磋商文件的变动情况和磋商小组的要求重新提交响应文件，并由其法定代表人相应的授权委托代表签字（或电子签名）或者加盖供应商电子签章。逾时不交的，视同放弃磋商。</w:t>
      </w:r>
    </w:p>
    <w:p w14:paraId="7484B5DF">
      <w:pPr>
        <w:widowControl/>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20.7最后报价</w:t>
      </w:r>
    </w:p>
    <w:p w14:paraId="22421344">
      <w:pPr>
        <w:spacing w:line="380" w:lineRule="exact"/>
        <w:ind w:firstLine="420"/>
        <w:rPr>
          <w:rFonts w:hint="eastAsia" w:ascii="宋体" w:hAnsi="宋体" w:cs="宋体"/>
          <w:b/>
          <w:color w:val="auto"/>
          <w:sz w:val="21"/>
          <w:szCs w:val="21"/>
          <w:highlight w:val="none"/>
        </w:rPr>
      </w:pPr>
      <w:r>
        <w:rPr>
          <w:rFonts w:hint="eastAsia" w:ascii="宋体" w:hAnsi="宋体" w:cs="宋体"/>
          <w:color w:val="auto"/>
          <w:kern w:val="0"/>
          <w:sz w:val="21"/>
          <w:szCs w:val="21"/>
          <w:highlight w:val="none"/>
        </w:rPr>
        <w:t>20.7.1磋商文件能够详细列明采购标的的技术、服务要求的，磋商结束后，磋商小组应当要求所有实质响应磋商文件要求的供应商在规定时间内通过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w:t>
      </w:r>
      <w:r>
        <w:rPr>
          <w:rFonts w:hint="eastAsia" w:ascii="宋体" w:hAnsi="宋体" w:cs="宋体"/>
          <w:b/>
          <w:color w:val="auto"/>
          <w:spacing w:val="-4"/>
          <w:sz w:val="21"/>
          <w:szCs w:val="21"/>
          <w:highlight w:val="none"/>
        </w:rPr>
        <w:t>如供应商维持磋商报价不变，以原磋商报价作为供应商最后报价</w:t>
      </w:r>
      <w:r>
        <w:rPr>
          <w:rFonts w:hint="eastAsia" w:ascii="宋体" w:hAnsi="宋体" w:cs="宋体"/>
          <w:b/>
          <w:bCs/>
          <w:color w:val="auto"/>
          <w:sz w:val="21"/>
          <w:szCs w:val="21"/>
          <w:highlight w:val="none"/>
        </w:rPr>
        <w:t>；如供应商需要改变原磋商报价时，</w:t>
      </w:r>
      <w:r>
        <w:rPr>
          <w:rFonts w:hint="eastAsia" w:ascii="宋体" w:hAnsi="宋体" w:cs="宋体"/>
          <w:b/>
          <w:color w:val="auto"/>
          <w:sz w:val="21"/>
          <w:szCs w:val="21"/>
          <w:highlight w:val="none"/>
        </w:rPr>
        <w:t>供应商应采用综合单价进行工程量清单报价，不得采用总价让利或以百分比让利等形式进行报价，磋商报价格式可按《</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rPr>
        <w:t>建设工程工程量清单计价规范</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rPr>
        <w:t>（GB50500-2013）广西壮族自治区实施细则》工程量清单计价表格提供，供应商应预先准备好调整后的报价清单计价表</w:t>
      </w:r>
      <w:r>
        <w:rPr>
          <w:rFonts w:hint="eastAsia" w:ascii="宋体" w:hAnsi="宋体" w:cs="宋体"/>
          <w:b/>
          <w:color w:val="auto"/>
          <w:sz w:val="21"/>
          <w:szCs w:val="21"/>
          <w:highlight w:val="none"/>
          <w:lang w:eastAsia="zh-CN"/>
        </w:rPr>
        <w:t>上传</w:t>
      </w:r>
      <w:r>
        <w:rPr>
          <w:rFonts w:hint="eastAsia" w:ascii="宋体" w:hAnsi="宋体" w:cs="宋体"/>
          <w:b/>
          <w:color w:val="auto"/>
          <w:sz w:val="21"/>
          <w:szCs w:val="21"/>
          <w:highlight w:val="none"/>
        </w:rPr>
        <w:t>作为应答文件的一部分一并递交。如供应商在磋商过程中，改变原报价且未按竞争性磋商文件要求</w:t>
      </w:r>
      <w:r>
        <w:rPr>
          <w:rFonts w:hint="eastAsia" w:ascii="宋体" w:hAnsi="宋体" w:cs="宋体"/>
          <w:b/>
          <w:color w:val="auto"/>
          <w:sz w:val="21"/>
          <w:szCs w:val="21"/>
          <w:highlight w:val="none"/>
          <w:lang w:eastAsia="zh-CN"/>
        </w:rPr>
        <w:t>上传</w:t>
      </w:r>
      <w:r>
        <w:rPr>
          <w:rFonts w:hint="eastAsia" w:ascii="宋体" w:hAnsi="宋体" w:cs="宋体"/>
          <w:b/>
          <w:color w:val="auto"/>
          <w:sz w:val="21"/>
          <w:szCs w:val="21"/>
          <w:highlight w:val="none"/>
        </w:rPr>
        <w:t>调整后的报价清单计价表的，其报价不予认可，视供应商维持原磋商报价不变。</w:t>
      </w:r>
    </w:p>
    <w:p w14:paraId="261D8F2F">
      <w:pPr>
        <w:spacing w:line="380" w:lineRule="exact"/>
        <w:ind w:firstLine="42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rPr>
        <w:t>20.7.</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异常低价响应审查</w:t>
      </w:r>
    </w:p>
    <w:p w14:paraId="570ACE79">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小组在评审中发现下列情形之一的，应当启动异常低价响应审查程序：</w:t>
      </w:r>
    </w:p>
    <w:p w14:paraId="549FCDF9">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①响应报价低于全部通过符合性审查供应商响应报价平均值65%的，即响应报价＜全部通过符合性审查供应商响应报价平均值×65%；</w:t>
      </w:r>
    </w:p>
    <w:p w14:paraId="11ADB761">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②响应报价低于通过符合性审查的次低报价供应商响应报价65%的，即响应报价＜通过符合性审查的次低报价供应商响应报价×65%；</w:t>
      </w:r>
    </w:p>
    <w:p w14:paraId="5060C99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③响应报价低于采购项目最高限价65%的，即响应报价＜采购项目最高限价×65%；</w:t>
      </w:r>
    </w:p>
    <w:p w14:paraId="2C23BA3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④</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小组基于专业判断，认为供应商报价过低，有可能影响产品质量或者不能诚信履约的其他情形。</w:t>
      </w:r>
    </w:p>
    <w:p w14:paraId="71ACC26C">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启动异常低价响应审查后，属于前述第①项至第④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0BABAAA4">
      <w:pPr>
        <w:spacing w:line="380" w:lineRule="exact"/>
        <w:ind w:firstLine="420"/>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依据专业经验，参考同类项目中标（成交）价格、类似产品市场价格水平、行业人工费用标准、国家有关部门指导行业协会发布的行业平均成本等情况，对报价合理性进行判断。相关供应商不能提供书面说明、证明材料，或者提供的书面说明、证明材料不能证明其报价合理性的，</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小组应当将其作为无效响应处理。</w:t>
      </w:r>
    </w:p>
    <w:p w14:paraId="53BDFD5D">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采购人、采购代理机构应当为</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小组在评审现场及时获取同类项目中标（成交）价格、类似产品市场价格水平、行业人工费用标准、国家有关部门指导行业协会发布的行业平均成本等相关信息资料提供便利。</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小组借助互联网等渠道查询相关信息的，应当严格遵守评审工作纪律，不得实施影响评审公正的行为。</w:t>
      </w:r>
    </w:p>
    <w:p w14:paraId="3AADC3EF">
      <w:pPr>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异常低价响应审查的启动原因、审查意见和审查结果应当在评审报告中记录，并随供应商提供的相关书面说明及证明材料，以及</w:t>
      </w:r>
      <w:r>
        <w:rPr>
          <w:rFonts w:hint="eastAsia" w:ascii="宋体" w:hAnsi="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小组有关互联网浏览、查询历史一并归档。</w:t>
      </w:r>
    </w:p>
    <w:p w14:paraId="5BE9D6D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根据财库</w:t>
      </w:r>
      <w:r>
        <w:rPr>
          <w:rFonts w:hint="eastAsia" w:ascii="宋体" w:hAnsi="宋体" w:cs="宋体"/>
          <w:color w:val="auto"/>
          <w:kern w:val="0"/>
          <w:sz w:val="21"/>
          <w:szCs w:val="21"/>
          <w:highlight w:val="none"/>
          <w:lang w:eastAsia="zh-CN"/>
        </w:rPr>
        <w:t>〔2015〕124号</w:t>
      </w:r>
      <w:r>
        <w:rPr>
          <w:rFonts w:hint="eastAsia" w:ascii="宋体" w:hAnsi="宋体" w:cs="宋体"/>
          <w:color w:val="auto"/>
          <w:kern w:val="0"/>
          <w:sz w:val="21"/>
          <w:szCs w:val="21"/>
          <w:highlight w:val="none"/>
        </w:rPr>
        <w:t>《财政部关于政府采购竞争性磋商采购方式管理暂行办法有关问题的补充通知》的规定，如采购项目为政府购买服务项目（含政府和社会资本合作项目），在采购过程中符合要求的供应商（社会资本）只有2家的，竞争性磋商采购活动可以继续进行，并要求其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在线提交最后报价；采购过程中符合要求的供应商（社会资本）只有1家的，采购人或者采购代理机构应当终止竞争性磋商采购活动，发布项目终止公告并说明原因，重新开展采购活动。</w:t>
      </w:r>
    </w:p>
    <w:p w14:paraId="34E4E135">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最后报价是供应商响应文件的有效组成部分。</w:t>
      </w:r>
    </w:p>
    <w:p w14:paraId="4BA090EF">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20.8已提交响应文件的供应商，在提交最后报价之前，可以根据磋商情况书面退出磋商。</w:t>
      </w:r>
    </w:p>
    <w:p w14:paraId="69E50321">
      <w:pPr>
        <w:widowControl/>
        <w:tabs>
          <w:tab w:val="left" w:pos="540"/>
        </w:tabs>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未书面退出磋商的供应商必须在规定时间内通过</w:t>
      </w:r>
      <w:r>
        <w:rPr>
          <w:rFonts w:hint="eastAsia" w:ascii="宋体" w:hAnsi="宋体" w:cs="宋体"/>
          <w:bCs/>
          <w:color w:val="auto"/>
          <w:sz w:val="21"/>
          <w:szCs w:val="21"/>
          <w:highlight w:val="none"/>
        </w:rPr>
        <w:t>广西政府采购云平台</w:t>
      </w:r>
      <w:r>
        <w:rPr>
          <w:rFonts w:hint="eastAsia" w:ascii="宋体" w:hAnsi="宋体" w:cs="宋体"/>
          <w:color w:val="auto"/>
          <w:kern w:val="0"/>
          <w:sz w:val="21"/>
          <w:szCs w:val="21"/>
          <w:highlight w:val="none"/>
        </w:rPr>
        <w:t>在线提交最后报价</w:t>
      </w:r>
      <w:r>
        <w:rPr>
          <w:rFonts w:hint="eastAsia" w:ascii="宋体" w:hAnsi="宋体" w:cs="宋体"/>
          <w:bCs/>
          <w:color w:val="auto"/>
          <w:sz w:val="21"/>
          <w:szCs w:val="21"/>
          <w:highlight w:val="none"/>
        </w:rPr>
        <w:t>，其最后报价不得超出采购预算</w:t>
      </w:r>
      <w:r>
        <w:rPr>
          <w:rFonts w:hint="eastAsia" w:ascii="宋体" w:hAnsi="宋体" w:cs="宋体"/>
          <w:color w:val="auto"/>
          <w:kern w:val="0"/>
          <w:sz w:val="21"/>
          <w:szCs w:val="21"/>
          <w:highlight w:val="none"/>
        </w:rPr>
        <w:t>；磋商过程中磋商文件</w:t>
      </w:r>
      <w:r>
        <w:rPr>
          <w:rFonts w:hint="eastAsia" w:ascii="宋体" w:hAnsi="宋体" w:cs="宋体"/>
          <w:color w:val="auto"/>
          <w:kern w:val="0"/>
          <w:sz w:val="21"/>
          <w:szCs w:val="21"/>
          <w:highlight w:val="none"/>
          <w:lang w:eastAsia="zh-CN"/>
        </w:rPr>
        <w:t>未做</w:t>
      </w:r>
      <w:r>
        <w:rPr>
          <w:rFonts w:hint="eastAsia" w:ascii="宋体" w:hAnsi="宋体" w:cs="宋体"/>
          <w:color w:val="auto"/>
          <w:kern w:val="0"/>
          <w:sz w:val="21"/>
          <w:szCs w:val="21"/>
          <w:highlight w:val="none"/>
        </w:rPr>
        <w:t>实质性变动的，</w:t>
      </w:r>
      <w:r>
        <w:rPr>
          <w:rFonts w:hint="eastAsia" w:ascii="宋体" w:hAnsi="宋体"/>
          <w:color w:val="auto"/>
          <w:sz w:val="21"/>
          <w:szCs w:val="21"/>
          <w:highlight w:val="none"/>
        </w:rPr>
        <w:t>最后报价不得超过首次报价</w:t>
      </w:r>
      <w:r>
        <w:rPr>
          <w:rFonts w:hint="eastAsia" w:ascii="宋体" w:hAnsi="宋体" w:cs="宋体"/>
          <w:color w:val="auto"/>
          <w:kern w:val="0"/>
          <w:sz w:val="21"/>
          <w:szCs w:val="21"/>
          <w:highlight w:val="none"/>
        </w:rPr>
        <w:t>。</w:t>
      </w:r>
    </w:p>
    <w:p w14:paraId="11B5EED2">
      <w:pPr>
        <w:widowControl/>
        <w:tabs>
          <w:tab w:val="left" w:pos="540"/>
        </w:tabs>
        <w:spacing w:line="38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20.9综合比较与评价：</w:t>
      </w:r>
    </w:p>
    <w:p w14:paraId="0B979C00">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val="en-US" w:eastAsia="zh-CN"/>
        </w:rPr>
        <w:t>0</w:t>
      </w:r>
      <w:r>
        <w:rPr>
          <w:rFonts w:hint="eastAsia" w:ascii="宋体" w:hAnsi="宋体" w:cs="宋体"/>
          <w:color w:val="auto"/>
          <w:kern w:val="0"/>
          <w:sz w:val="21"/>
          <w:szCs w:val="21"/>
          <w:highlight w:val="none"/>
        </w:rPr>
        <w:t>.9.1 经磋商确定最终采购需求和提交最后报价的供应商后，由磋商小组采用综合评分法对提交最后报价的供应商的响应文件和最后报价进行综合评分。</w:t>
      </w:r>
    </w:p>
    <w:p w14:paraId="524857D5">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20.9.2磋商小组成员应当独立对每个供应商的响应文件进行评价，最终汇总每个供应商的得分。各供应商的得分为所有磋商小组的有效评分的算术平均数。</w:t>
      </w:r>
    </w:p>
    <w:p w14:paraId="3C5E6A2F">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20.9.3采购代理机构对评审数据进行校对、核对，对畸高、畸低的重大差异评分提示磋商小组复核或书面说明理由。</w:t>
      </w:r>
    </w:p>
    <w:p w14:paraId="0D1C64D2">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 在评审过程中出现法律法规和磋商文件均没有明确规定的情形时，由磋商小组现场协商解决，协商不一致的，由全体磋商小组投票表决，以得票率二分之一以上专家的意见为准。</w:t>
      </w:r>
    </w:p>
    <w:p w14:paraId="1554744E">
      <w:pPr>
        <w:tabs>
          <w:tab w:val="left" w:pos="1140"/>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20.11采购代理机构发现磋商小组有明显的违规倾向或歧视现象，或不按评审办法进行，或其他不正常行为的，应当及时制止。如制止无效，应及时向</w:t>
      </w:r>
      <w:r>
        <w:rPr>
          <w:rFonts w:hint="eastAsia" w:ascii="宋体" w:hAnsi="宋体" w:cs="宋体"/>
          <w:color w:val="auto"/>
          <w:sz w:val="21"/>
          <w:szCs w:val="21"/>
          <w:highlight w:val="none"/>
        </w:rPr>
        <w:t>桂林市</w:t>
      </w:r>
      <w:r>
        <w:rPr>
          <w:rFonts w:hint="eastAsia" w:ascii="宋体" w:hAnsi="宋体" w:cs="宋体"/>
          <w:color w:val="auto"/>
          <w:kern w:val="0"/>
          <w:sz w:val="21"/>
          <w:szCs w:val="21"/>
          <w:highlight w:val="none"/>
        </w:rPr>
        <w:t>政府采购监督管理机构报告。</w:t>
      </w:r>
    </w:p>
    <w:p w14:paraId="63FE87A9">
      <w:pPr>
        <w:spacing w:line="38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推荐及确定成交候选供应商原则</w:t>
      </w:r>
    </w:p>
    <w:p w14:paraId="36A7487E">
      <w:pPr>
        <w:tabs>
          <w:tab w:val="left" w:pos="1140"/>
        </w:tabs>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施工组织设计分、履约能力分由高到低顺序排列并推荐成交候选供应商。</w:t>
      </w:r>
    </w:p>
    <w:p w14:paraId="4A94EB68">
      <w:pPr>
        <w:tabs>
          <w:tab w:val="left" w:pos="1140"/>
        </w:tabs>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（2）采购代理机构在评审结束后2个工作日内将评审报告送采购人确认。采购人应当在收到评审报告后5个工作日内，从评审报告提出的成交候选供应商中，按照排序由高到低的原则确定</w:t>
      </w:r>
      <w:r>
        <w:rPr>
          <w:rFonts w:hint="eastAsia" w:ascii="宋体" w:hAnsi="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。本项目确定一名</w:t>
      </w:r>
      <w:r>
        <w:rPr>
          <w:rFonts w:hint="eastAsia" w:ascii="宋体" w:hAnsi="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w:t>
      </w:r>
    </w:p>
    <w:p w14:paraId="4E17C242">
      <w:pPr>
        <w:tabs>
          <w:tab w:val="left" w:pos="1140"/>
        </w:tabs>
        <w:spacing w:line="38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（3）排名第一的成交候选供应商放弃成交、拒绝或迟延签订合同、因不可抗力提出不能履行合同，或因失信行为被取消</w:t>
      </w:r>
      <w:r>
        <w:rPr>
          <w:rFonts w:hint="eastAsia" w:ascii="宋体" w:hAnsi="宋体" w:cs="宋体"/>
          <w:color w:val="auto"/>
          <w:kern w:val="0"/>
          <w:sz w:val="21"/>
          <w:szCs w:val="21"/>
          <w:highlight w:val="none"/>
          <w:lang w:eastAsia="zh-CN"/>
        </w:rPr>
        <w:t>成交候选供应商</w:t>
      </w:r>
      <w:r>
        <w:rPr>
          <w:rFonts w:hint="eastAsia" w:ascii="宋体" w:hAnsi="宋体" w:eastAsia="宋体" w:cs="宋体"/>
          <w:color w:val="auto"/>
          <w:kern w:val="0"/>
          <w:sz w:val="21"/>
          <w:szCs w:val="21"/>
          <w:highlight w:val="none"/>
        </w:rPr>
        <w:t>资格的，采购人可以确定排名第二的成交候选供应商为</w:t>
      </w:r>
      <w:r>
        <w:rPr>
          <w:rFonts w:hint="eastAsia" w:ascii="宋体" w:hAnsi="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。排名第二的成交候选供应商因前述规定的同样原因不能签订合同的，采购人可以确定排名第三的</w:t>
      </w:r>
      <w:r>
        <w:rPr>
          <w:rFonts w:hint="eastAsia" w:ascii="宋体" w:hAnsi="宋体" w:cs="宋体"/>
          <w:color w:val="auto"/>
          <w:kern w:val="0"/>
          <w:sz w:val="21"/>
          <w:szCs w:val="21"/>
          <w:highlight w:val="none"/>
          <w:lang w:eastAsia="zh-CN"/>
        </w:rPr>
        <w:t>成交候选供应商</w:t>
      </w:r>
      <w:r>
        <w:rPr>
          <w:rFonts w:hint="eastAsia" w:ascii="宋体" w:hAnsi="宋体" w:eastAsia="宋体" w:cs="宋体"/>
          <w:color w:val="auto"/>
          <w:kern w:val="0"/>
          <w:sz w:val="21"/>
          <w:szCs w:val="21"/>
          <w:highlight w:val="none"/>
        </w:rPr>
        <w:t>为</w:t>
      </w:r>
      <w:r>
        <w:rPr>
          <w:rFonts w:hint="eastAsia" w:ascii="宋体" w:hAnsi="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。以此类推。</w:t>
      </w:r>
    </w:p>
    <w:p w14:paraId="008430C7">
      <w:pPr>
        <w:widowControl/>
        <w:shd w:val="clear" w:color="auto" w:fill="FFFFFF"/>
        <w:spacing w:line="380" w:lineRule="exact"/>
        <w:ind w:firstLine="480" w:firstLineChars="0"/>
        <w:jc w:val="left"/>
        <w:rPr>
          <w:rFonts w:ascii="宋体" w:hAnsi="宋体" w:cs="宋体"/>
          <w:b/>
          <w:color w:val="auto"/>
          <w:kern w:val="0"/>
          <w:sz w:val="21"/>
          <w:szCs w:val="21"/>
          <w:highlight w:val="none"/>
        </w:rPr>
      </w:pPr>
      <w:r>
        <w:rPr>
          <w:rFonts w:hint="eastAsia" w:ascii="宋体" w:hAnsi="宋体" w:cs="宋体"/>
          <w:b/>
          <w:bCs/>
          <w:color w:val="auto"/>
          <w:kern w:val="0"/>
          <w:sz w:val="21"/>
          <w:szCs w:val="21"/>
          <w:highlight w:val="none"/>
        </w:rPr>
        <w:t>22.</w:t>
      </w:r>
      <w:r>
        <w:rPr>
          <w:rFonts w:hint="eastAsia" w:ascii="宋体" w:hAnsi="宋体" w:cs="宋体"/>
          <w:b/>
          <w:color w:val="auto"/>
          <w:kern w:val="0"/>
          <w:sz w:val="21"/>
          <w:szCs w:val="21"/>
          <w:highlight w:val="none"/>
        </w:rPr>
        <w:t>属于下列情况之一者，响应文件无效：</w:t>
      </w:r>
    </w:p>
    <w:p w14:paraId="6A4FEAC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（1）未按磋商文件规定完整提交响应文件或未按规定要求签字（或电子签名）、签章的，或未提供授权委托书（委托代理的）；</w:t>
      </w:r>
    </w:p>
    <w:p w14:paraId="16EDCB4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（2）不具备磋商文件规定的资格要求的</w:t>
      </w:r>
      <w:r>
        <w:rPr>
          <w:rFonts w:hint="eastAsia" w:ascii="宋体" w:hAnsi="宋体" w:cs="宋体"/>
          <w:color w:val="auto"/>
          <w:kern w:val="0"/>
          <w:sz w:val="21"/>
          <w:szCs w:val="24"/>
          <w:highlight w:val="none"/>
        </w:rPr>
        <w:t>；</w:t>
      </w:r>
    </w:p>
    <w:p w14:paraId="3B9B3316">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（3）响应文件未按磋商文件的内容和要求编制，或提供虚假材料的；</w:t>
      </w:r>
    </w:p>
    <w:p w14:paraId="4C03AEDB">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（4）响应文件有效期不能满足磋商文件要求的；</w:t>
      </w:r>
    </w:p>
    <w:p w14:paraId="4457D58F">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（5）</w:t>
      </w:r>
      <w:r>
        <w:rPr>
          <w:rFonts w:hint="eastAsia" w:ascii="宋体" w:hAnsi="宋体" w:cs="宋体"/>
          <w:color w:val="auto"/>
          <w:kern w:val="0"/>
          <w:sz w:val="21"/>
          <w:szCs w:val="21"/>
          <w:highlight w:val="none"/>
          <w:lang w:eastAsia="zh-CN"/>
        </w:rPr>
        <w:t>磋商</w:t>
      </w:r>
      <w:r>
        <w:rPr>
          <w:rFonts w:hint="eastAsia" w:ascii="宋体" w:hAnsi="宋体" w:cs="宋体"/>
          <w:color w:val="auto"/>
          <w:kern w:val="0"/>
          <w:sz w:val="21"/>
          <w:szCs w:val="21"/>
          <w:highlight w:val="none"/>
        </w:rPr>
        <w:t>报价</w:t>
      </w:r>
      <w:r>
        <w:rPr>
          <w:rFonts w:hint="eastAsia" w:ascii="宋体" w:hAnsi="宋体" w:cs="宋体"/>
          <w:color w:val="auto"/>
          <w:kern w:val="0"/>
          <w:sz w:val="21"/>
          <w:szCs w:val="21"/>
          <w:highlight w:val="none"/>
          <w:lang w:eastAsia="zh-CN"/>
        </w:rPr>
        <w:t>（即工程总造价报价）或相应采购标的报价</w:t>
      </w:r>
      <w:r>
        <w:rPr>
          <w:rFonts w:hint="eastAsia" w:ascii="宋体" w:hAnsi="宋体" w:cs="宋体"/>
          <w:color w:val="auto"/>
          <w:kern w:val="0"/>
          <w:sz w:val="21"/>
          <w:szCs w:val="21"/>
          <w:highlight w:val="none"/>
        </w:rPr>
        <w:t>超过竞争性磋商文件规定的</w:t>
      </w:r>
      <w:r>
        <w:rPr>
          <w:rFonts w:hint="eastAsia" w:ascii="宋体" w:hAnsi="宋体" w:cs="宋体"/>
          <w:color w:val="auto"/>
          <w:kern w:val="0"/>
          <w:sz w:val="21"/>
          <w:szCs w:val="21"/>
          <w:highlight w:val="none"/>
          <w:lang w:eastAsia="zh-CN"/>
        </w:rPr>
        <w:t>相应最高限价的；</w:t>
      </w:r>
    </w:p>
    <w:p w14:paraId="1B03565E">
      <w:pPr>
        <w:snapToGrid w:val="0"/>
        <w:spacing w:line="380" w:lineRule="exact"/>
        <w:ind w:firstLine="411" w:firstLineChars="196"/>
        <w:outlineLvl w:val="4"/>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工程量清单封面</w:t>
      </w:r>
      <w:r>
        <w:rPr>
          <w:rFonts w:hint="eastAsia" w:ascii="宋体" w:hAnsi="宋体" w:eastAsia="宋体" w:cs="宋体"/>
          <w:color w:val="auto"/>
          <w:kern w:val="0"/>
          <w:sz w:val="21"/>
          <w:szCs w:val="21"/>
          <w:highlight w:val="none"/>
          <w:lang w:eastAsia="zh-CN"/>
        </w:rPr>
        <w:t>未</w:t>
      </w:r>
      <w:r>
        <w:rPr>
          <w:rFonts w:hint="eastAsia" w:ascii="宋体" w:hAnsi="宋体" w:eastAsia="宋体" w:cs="宋体"/>
          <w:color w:val="auto"/>
          <w:kern w:val="0"/>
          <w:sz w:val="21"/>
          <w:szCs w:val="21"/>
          <w:highlight w:val="none"/>
        </w:rPr>
        <w:t>由编制人签字并盖专用章</w:t>
      </w:r>
      <w:r>
        <w:rPr>
          <w:rFonts w:hint="eastAsia" w:ascii="宋体" w:hAnsi="宋体" w:eastAsia="宋体" w:cs="宋体"/>
          <w:color w:val="auto"/>
          <w:kern w:val="0"/>
          <w:sz w:val="21"/>
          <w:szCs w:val="21"/>
          <w:highlight w:val="none"/>
          <w:lang w:eastAsia="zh-CN"/>
        </w:rPr>
        <w:t>的；</w:t>
      </w:r>
    </w:p>
    <w:p w14:paraId="216B6BDE">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）供应商未就本工程进行报价或者存在漏项报价；供应商未就本工程的单项内容作唯一报价；供应商未就本工程的全部内容作完整唯一总价报价；</w:t>
      </w:r>
    </w:p>
    <w:p w14:paraId="23ADB056">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）在单价合同工程中供应商采用总价优惠或以总价百分比优惠的方式进行</w:t>
      </w:r>
      <w:r>
        <w:rPr>
          <w:rFonts w:hint="eastAsia" w:ascii="宋体" w:hAnsi="宋体" w:cs="宋体"/>
          <w:color w:val="auto"/>
          <w:kern w:val="0"/>
          <w:sz w:val="21"/>
          <w:szCs w:val="21"/>
          <w:highlight w:val="none"/>
          <w:lang w:eastAsia="zh-CN"/>
        </w:rPr>
        <w:t>磋商报价</w:t>
      </w:r>
      <w:r>
        <w:rPr>
          <w:rFonts w:hint="eastAsia" w:ascii="宋体" w:hAnsi="宋体" w:eastAsia="宋体" w:cs="宋体"/>
          <w:color w:val="auto"/>
          <w:kern w:val="0"/>
          <w:sz w:val="21"/>
          <w:szCs w:val="21"/>
          <w:highlight w:val="none"/>
        </w:rPr>
        <w:t>的；</w:t>
      </w:r>
    </w:p>
    <w:p w14:paraId="3730B945">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）安全文明施工费和规费、增值税不按广西区费用定额及造价管理相关文件规定报价的（园林绿化及仿古建筑工程除外）；</w:t>
      </w:r>
    </w:p>
    <w:p w14:paraId="13A9AB56">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）供应商已标价工程量清单的项目编码（12位）、计量单位、工程量任何一处与工程量清单不一致的；</w:t>
      </w:r>
    </w:p>
    <w:p w14:paraId="02B3106D">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）供应商已标价工程量清单的项目名称或项目特征与工程量清单不一致，</w:t>
      </w:r>
      <w:r>
        <w:rPr>
          <w:rFonts w:hint="eastAsia" w:ascii="宋体" w:hAnsi="宋体" w:eastAsia="宋体" w:cs="宋体"/>
          <w:color w:val="auto"/>
          <w:kern w:val="0"/>
          <w:sz w:val="21"/>
          <w:szCs w:val="21"/>
          <w:highlight w:val="none"/>
          <w:lang w:eastAsia="zh-CN"/>
        </w:rPr>
        <w:t>磋商小组</w:t>
      </w:r>
      <w:r>
        <w:rPr>
          <w:rFonts w:hint="eastAsia" w:ascii="宋体" w:hAnsi="宋体" w:eastAsia="宋体" w:cs="宋体"/>
          <w:color w:val="auto"/>
          <w:kern w:val="0"/>
          <w:sz w:val="21"/>
          <w:szCs w:val="21"/>
          <w:highlight w:val="none"/>
        </w:rPr>
        <w:t>要求澄清、说明或补正，但供应商拒绝澄清、说明或补正的；</w:t>
      </w:r>
    </w:p>
    <w:p w14:paraId="554075D3">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）设有暂估价、暂列金额的，竞标时未按工程量清单给出的暂估价总价、暂列金额总价计入竞标总报价中的；</w:t>
      </w:r>
    </w:p>
    <w:p w14:paraId="2D69C135">
      <w:pPr>
        <w:snapToGrid w:val="0"/>
        <w:spacing w:line="380" w:lineRule="exact"/>
        <w:ind w:firstLine="411" w:firstLineChars="196"/>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13</w:t>
      </w:r>
      <w:r>
        <w:rPr>
          <w:rFonts w:hint="eastAsia" w:ascii="宋体" w:hAnsi="宋体" w:eastAsia="宋体" w:cs="宋体"/>
          <w:color w:val="auto"/>
          <w:kern w:val="0"/>
          <w:sz w:val="21"/>
          <w:szCs w:val="21"/>
          <w:highlight w:val="none"/>
        </w:rPr>
        <w:t>）供应商对工程量清单内容进行增减或对竞标范围进行调整的；</w:t>
      </w:r>
    </w:p>
    <w:p w14:paraId="59F4D2A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14</w:t>
      </w:r>
      <w:r>
        <w:rPr>
          <w:rFonts w:hint="eastAsia" w:ascii="宋体" w:hAnsi="宋体" w:cs="宋体"/>
          <w:color w:val="auto"/>
          <w:kern w:val="0"/>
          <w:sz w:val="21"/>
          <w:szCs w:val="21"/>
          <w:highlight w:val="none"/>
        </w:rPr>
        <w:t>）未满足磋商文件实质性要求的；或者响应文件有采购人不能接受的附加条件的；</w:t>
      </w:r>
    </w:p>
    <w:p w14:paraId="2041509E">
      <w:pPr>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0"/>
          <w:highlight w:val="none"/>
        </w:rPr>
        <w:t>（</w:t>
      </w:r>
      <w:r>
        <w:rPr>
          <w:rFonts w:hint="eastAsia" w:ascii="宋体" w:hAnsi="宋体" w:cs="宋体"/>
          <w:color w:val="auto"/>
          <w:kern w:val="0"/>
          <w:sz w:val="21"/>
          <w:szCs w:val="20"/>
          <w:highlight w:val="none"/>
          <w:lang w:val="en-US" w:eastAsia="zh-CN"/>
        </w:rPr>
        <w:t>15</w:t>
      </w:r>
      <w:r>
        <w:rPr>
          <w:rFonts w:hint="eastAsia" w:ascii="宋体" w:hAnsi="宋体" w:cs="宋体"/>
          <w:color w:val="auto"/>
          <w:kern w:val="0"/>
          <w:sz w:val="21"/>
          <w:szCs w:val="20"/>
          <w:highlight w:val="none"/>
        </w:rPr>
        <w:t>）</w:t>
      </w:r>
      <w:r>
        <w:rPr>
          <w:rFonts w:hint="eastAsia" w:ascii="宋体" w:hAnsi="宋体" w:cs="宋体"/>
          <w:color w:val="auto"/>
          <w:kern w:val="0"/>
          <w:sz w:val="21"/>
          <w:szCs w:val="21"/>
          <w:highlight w:val="none"/>
        </w:rPr>
        <w:t>不符合</w:t>
      </w:r>
      <w:r>
        <w:rPr>
          <w:rFonts w:hint="eastAsia" w:ascii="宋体" w:hAnsi="宋体" w:cs="宋体"/>
          <w:color w:val="auto"/>
          <w:kern w:val="0"/>
          <w:sz w:val="21"/>
          <w:szCs w:val="21"/>
          <w:highlight w:val="none"/>
          <w:lang w:eastAsia="zh-CN"/>
        </w:rPr>
        <w:t>法律法规</w:t>
      </w:r>
      <w:r>
        <w:rPr>
          <w:rFonts w:hint="eastAsia" w:ascii="宋体" w:hAnsi="宋体" w:cs="宋体"/>
          <w:color w:val="auto"/>
          <w:kern w:val="0"/>
          <w:sz w:val="21"/>
          <w:szCs w:val="21"/>
          <w:highlight w:val="none"/>
        </w:rPr>
        <w:t>和磋商文件规定的其他实质性要求和条件的。</w:t>
      </w:r>
    </w:p>
    <w:p w14:paraId="04BE86FB">
      <w:pPr>
        <w:snapToGrid w:val="0"/>
        <w:spacing w:line="380" w:lineRule="exact"/>
        <w:ind w:left="406" w:leftChars="169" w:firstLine="103" w:firstLineChars="49"/>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供应商有下列情形之一的，视为串通参与磋商，响应文件将被视为无效：</w:t>
      </w:r>
    </w:p>
    <w:p w14:paraId="1C4D0CE6">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52F4927E">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（2）不同供应商委托同一单位或者个人办理磋商事宜的；</w:t>
      </w:r>
    </w:p>
    <w:p w14:paraId="0BA4DBCB">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4E90C36D">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22A60DC8">
      <w:pPr>
        <w:snapToGrid w:val="0"/>
        <w:spacing w:line="380" w:lineRule="exact"/>
        <w:ind w:left="406" w:leftChars="169" w:firstLine="102" w:firstLineChars="49"/>
        <w:outlineLvl w:val="4"/>
        <w:rPr>
          <w:rFonts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576B7BAF">
      <w:pPr>
        <w:snapToGrid w:val="0"/>
        <w:spacing w:line="380" w:lineRule="exact"/>
        <w:ind w:left="406" w:leftChars="169" w:firstLine="102" w:firstLineChars="49"/>
        <w:outlineLvl w:val="4"/>
        <w:rPr>
          <w:rFonts w:ascii="宋体" w:hAnsi="宋体" w:cs="宋体"/>
          <w:b/>
          <w:color w:val="auto"/>
          <w:kern w:val="0"/>
          <w:szCs w:val="24"/>
          <w:highlight w:val="none"/>
        </w:rPr>
      </w:pPr>
      <w:r>
        <w:rPr>
          <w:rFonts w:hint="eastAsia" w:ascii="宋体" w:hAnsi="宋体" w:cs="宋体"/>
          <w:color w:val="auto"/>
          <w:kern w:val="0"/>
          <w:sz w:val="21"/>
          <w:szCs w:val="24"/>
          <w:highlight w:val="none"/>
        </w:rPr>
        <w:t>（6）磋商文件未作实质性变动，供应商最后报价高于首次报价的</w:t>
      </w:r>
      <w:r>
        <w:rPr>
          <w:rFonts w:hint="eastAsia" w:ascii="宋体" w:hAnsi="宋体" w:cs="宋体"/>
          <w:b/>
          <w:color w:val="auto"/>
          <w:kern w:val="0"/>
          <w:szCs w:val="24"/>
          <w:highlight w:val="none"/>
        </w:rPr>
        <w:t>。</w:t>
      </w:r>
    </w:p>
    <w:p w14:paraId="5174D418">
      <w:pPr>
        <w:snapToGrid w:val="0"/>
        <w:spacing w:line="380" w:lineRule="exact"/>
        <w:ind w:firstLine="413" w:firstLineChars="196"/>
        <w:outlineLvl w:val="4"/>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23.出现下列情形之一的，采购人或者采购代理机构应当终止竞争性磋商采购活动，发布项目终止公告并说明原因，重新开展采购活动：</w:t>
      </w:r>
    </w:p>
    <w:p w14:paraId="09F98FAA">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（1）因情况变化，不再符合规定的竞争性磋商采购方式适用情形的；</w:t>
      </w:r>
    </w:p>
    <w:p w14:paraId="4609124C">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650FC785">
      <w:pPr>
        <w:widowControl/>
        <w:spacing w:line="380" w:lineRule="exact"/>
        <w:ind w:firstLine="422" w:firstLineChars="201"/>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（3）除本须知第20.7.</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条及法律法规规定的情形外，在采购过程中符合要求的供应商或者报价未超过采购预算的供应商不足3家的。</w:t>
      </w:r>
    </w:p>
    <w:p w14:paraId="29663852">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518B770F">
      <w:pPr>
        <w:snapToGrid w:val="0"/>
        <w:spacing w:line="38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25.磋商过程的监控</w:t>
      </w:r>
    </w:p>
    <w:p w14:paraId="6E63490C">
      <w:pPr>
        <w:spacing w:line="380" w:lineRule="exact"/>
        <w:ind w:firstLine="411" w:firstLineChars="196"/>
        <w:rPr>
          <w:rFonts w:ascii="宋体" w:hAnsi="宋体" w:cs="宋体"/>
          <w:color w:val="auto"/>
          <w:kern w:val="0"/>
          <w:sz w:val="21"/>
          <w:szCs w:val="20"/>
          <w:highlight w:val="none"/>
        </w:rPr>
      </w:pPr>
      <w:r>
        <w:rPr>
          <w:rFonts w:hint="eastAsia" w:ascii="宋体" w:hAnsi="宋体" w:cs="宋体"/>
          <w:color w:val="auto"/>
          <w:kern w:val="0"/>
          <w:sz w:val="21"/>
          <w:szCs w:val="20"/>
          <w:highlight w:val="none"/>
        </w:rPr>
        <w:t>本项目磋商过程实行全程录音、录像监控，供应商在磋商过程中所进行的试图影响磋商结果的不公正活动，可能导致其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71F63FF3">
      <w:pPr>
        <w:snapToGrid w:val="0"/>
        <w:spacing w:line="380" w:lineRule="exact"/>
        <w:ind w:firstLine="422"/>
        <w:outlineLvl w:val="4"/>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 信用查询 </w:t>
      </w:r>
    </w:p>
    <w:p w14:paraId="0F00516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根据《关于做好政府采购有关信用主体标识码登记及在政府采购活动中查询使用信用记录有关问题的通知》（桂财采〔2016〕37），由采购代理机构对第一</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进行信用查询：</w:t>
      </w:r>
    </w:p>
    <w:p w14:paraId="1A3EB2B5">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⑴查询渠道：</w:t>
      </w:r>
      <w:r>
        <w:rPr>
          <w:rFonts w:hint="eastAsia" w:ascii="宋体" w:hAnsi="宋体" w:cs="宋体"/>
          <w:color w:val="auto"/>
          <w:spacing w:val="-4"/>
          <w:kern w:val="0"/>
          <w:sz w:val="21"/>
          <w:szCs w:val="21"/>
          <w:highlight w:val="none"/>
        </w:rPr>
        <w:t>“信用中国”网站</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www.creditchina.gov.cn</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、中国政府采购网</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www.ccgp.gov.cn</w:t>
      </w:r>
      <w:r>
        <w:rPr>
          <w:rFonts w:hint="eastAsia" w:ascii="宋体" w:hAnsi="宋体" w:cs="宋体"/>
          <w:color w:val="auto"/>
          <w:spacing w:val="-4"/>
          <w:kern w:val="0"/>
          <w:sz w:val="21"/>
          <w:szCs w:val="21"/>
          <w:highlight w:val="none"/>
          <w:lang w:eastAsia="zh-CN"/>
        </w:rPr>
        <w:t>）</w:t>
      </w:r>
      <w:r>
        <w:rPr>
          <w:rFonts w:hint="eastAsia" w:ascii="宋体" w:hAnsi="宋体" w:cs="宋体"/>
          <w:color w:val="auto"/>
          <w:spacing w:val="-4"/>
          <w:kern w:val="0"/>
          <w:sz w:val="21"/>
          <w:szCs w:val="21"/>
          <w:highlight w:val="none"/>
        </w:rPr>
        <w:t>等；</w:t>
      </w:r>
    </w:p>
    <w:p w14:paraId="725A93A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⑵查询截止时间：成交通知书发出前；</w:t>
      </w:r>
    </w:p>
    <w:p w14:paraId="17DE8B7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⑶信用信息查询记录和证据留存方式：在查询网站中直接打印查询记录，打印材料作为采购活动资料保存；</w:t>
      </w:r>
    </w:p>
    <w:p w14:paraId="4F981C95">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⑷信用信息使用规则：对在“信用中国”网站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等渠道列入失信被执行人、重大税收违法失信主体、政府采购严重违法失信行为记录名单及其他不符合《中华人民共和国政府采购法》第二十二条规定条件的供应商，取消其</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 xml:space="preserve">资格。    </w:t>
      </w:r>
    </w:p>
    <w:p w14:paraId="198D5241">
      <w:pPr>
        <w:spacing w:line="380" w:lineRule="exact"/>
        <w:ind w:firstLine="413" w:firstLineChars="196"/>
        <w:rPr>
          <w:rFonts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5D993E16">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 采购代理机构于评审结束后两个工作日内将评审报告送交采购人，采购人应当自收到评审报告五个工作日内在评审报告推荐的成交候选供应商中按顺序确定</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，采购代理机构在</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确定之日起两个工作日内发出成交通知书，并在指定媒体上公告成交信息。</w:t>
      </w:r>
    </w:p>
    <w:p w14:paraId="5AEFADDA">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27.2小微企业在政府采购活动过程中，请根据自己的真实情况出具《中小企业声明函》。采购人或采购代理机构在公告成交结果时，同时公告其《中小企业声明函》，接受社会监督。</w:t>
      </w:r>
    </w:p>
    <w:p w14:paraId="37ED788F">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27.3在发布成交公告的同时，采购代理机构向</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发出成交通知书。</w:t>
      </w:r>
    </w:p>
    <w:p w14:paraId="2C36E329">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27.4采购代理机构无义务向未成交的供应商解释未成交原因和退还响应文件。</w:t>
      </w:r>
    </w:p>
    <w:p w14:paraId="50B5743C">
      <w:pPr>
        <w:spacing w:line="380" w:lineRule="exact"/>
        <w:ind w:left="3" w:firstLine="0" w:firstLineChars="0"/>
        <w:jc w:val="center"/>
        <w:rPr>
          <w:rFonts w:ascii="宋体" w:hAnsi="宋体" w:cs="宋体"/>
          <w:b/>
          <w:color w:val="auto"/>
          <w:kern w:val="0"/>
          <w:sz w:val="28"/>
          <w:szCs w:val="28"/>
          <w:highlight w:val="none"/>
        </w:rPr>
      </w:pPr>
    </w:p>
    <w:p w14:paraId="5C39018E">
      <w:pPr>
        <w:spacing w:line="38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11FD83AC">
      <w:pPr>
        <w:spacing w:line="38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45B12437">
      <w:pPr>
        <w:snapToGrid w:val="0"/>
        <w:spacing w:line="380" w:lineRule="exact"/>
        <w:ind w:firstLine="420"/>
        <w:outlineLvl w:val="4"/>
        <w:rPr>
          <w:rFonts w:ascii="宋体" w:hAnsi="宋体" w:cs="宋体"/>
          <w:strike/>
          <w:color w:val="auto"/>
          <w:kern w:val="0"/>
          <w:sz w:val="21"/>
          <w:szCs w:val="21"/>
          <w:highlight w:val="none"/>
        </w:rPr>
      </w:pPr>
      <w:r>
        <w:rPr>
          <w:rFonts w:hint="eastAsia" w:ascii="宋体" w:hAnsi="宋体" w:cs="宋体"/>
          <w:color w:val="auto"/>
          <w:kern w:val="0"/>
          <w:sz w:val="21"/>
          <w:szCs w:val="21"/>
          <w:highlight w:val="none"/>
        </w:rPr>
        <w:t>本项目专门面向小微企业采购，不收取履约保证金。</w:t>
      </w:r>
    </w:p>
    <w:p w14:paraId="37C73DCE">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29.签订合同</w:t>
      </w:r>
    </w:p>
    <w:p w14:paraId="719AC9EC">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4"/>
          <w:highlight w:val="none"/>
        </w:rPr>
        <w:t xml:space="preserve">29.1 </w:t>
      </w:r>
      <w:r>
        <w:rPr>
          <w:rFonts w:hint="eastAsia" w:ascii="宋体" w:hAnsi="宋体" w:cs="宋体"/>
          <w:color w:val="auto"/>
          <w:kern w:val="0"/>
          <w:sz w:val="21"/>
          <w:szCs w:val="21"/>
          <w:highlight w:val="none"/>
        </w:rPr>
        <w:t>签订合同时间：成交通知书发出之日起8个工作日内。供应商应按规定与采购人签订合同。</w:t>
      </w:r>
    </w:p>
    <w:p w14:paraId="5A414484">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29.2 如</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有下列情形之一，情节严重的，由财政部门将其列入不良行为记录名单，在一至三年内禁止参加政府采购活动，并予以通报。采购代理机构可从磋商小组推荐的成交候选供应商中按顺序重新确定</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或重新组织采购。拒绝签订政府采购合同的</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不得参加对该项目重新开展的采购活动。</w:t>
      </w:r>
    </w:p>
    <w:p w14:paraId="14EE5772">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w:t>
      </w:r>
    </w:p>
    <w:p w14:paraId="169D5B93">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2DCEE1DB">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74BB6506">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 政府采购合同公告：</w:t>
      </w:r>
      <w:r>
        <w:rPr>
          <w:rFonts w:hint="eastAsia" w:ascii="宋体" w:hAnsi="宋体" w:cs="宋体"/>
          <w:color w:val="auto"/>
          <w:sz w:val="21"/>
          <w:szCs w:val="21"/>
          <w:highlight w:val="none"/>
        </w:rPr>
        <w:t>采购人应当自政府采购合同签订之日起2个工作日内，将政府采购合同在省级以上人民政府财政部门指定的媒体上公告，但政府采购合同中涉及国家秘密、商业秘密的内容除外</w:t>
      </w:r>
      <w:r>
        <w:rPr>
          <w:rFonts w:hint="eastAsia" w:ascii="宋体" w:hAnsi="宋体" w:cs="宋体"/>
          <w:color w:val="auto"/>
          <w:kern w:val="0"/>
          <w:sz w:val="21"/>
          <w:szCs w:val="21"/>
          <w:highlight w:val="none"/>
        </w:rPr>
        <w:t>。</w:t>
      </w:r>
    </w:p>
    <w:p w14:paraId="541F888C">
      <w:pPr>
        <w:spacing w:line="240" w:lineRule="auto"/>
        <w:ind w:left="2940" w:firstLine="0" w:firstLineChars="0"/>
        <w:rPr>
          <w:color w:val="auto"/>
          <w:sz w:val="21"/>
          <w:szCs w:val="24"/>
          <w:highlight w:val="none"/>
        </w:rPr>
      </w:pPr>
    </w:p>
    <w:p w14:paraId="58C635F4">
      <w:pPr>
        <w:spacing w:line="380" w:lineRule="exact"/>
        <w:ind w:left="3"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4710BC57">
      <w:pPr>
        <w:spacing w:line="380" w:lineRule="exact"/>
        <w:ind w:firstLine="413" w:firstLineChars="196"/>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68162241">
      <w:pPr>
        <w:snapToGrid w:val="0"/>
        <w:spacing w:line="380" w:lineRule="exact"/>
        <w:ind w:firstLine="411" w:firstLineChars="196"/>
        <w:outlineLvl w:val="4"/>
        <w:rPr>
          <w:rFonts w:ascii="宋体" w:hAnsi="宋体" w:cs="宋体"/>
          <w:color w:val="auto"/>
          <w:kern w:val="0"/>
          <w:sz w:val="21"/>
          <w:szCs w:val="21"/>
          <w:highlight w:val="none"/>
        </w:rPr>
      </w:pP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采购</w:t>
      </w:r>
      <w:r>
        <w:rPr>
          <w:rFonts w:hint="eastAsia" w:ascii="宋体" w:hAnsi="宋体" w:cs="宋体"/>
          <w:color w:val="auto"/>
          <w:kern w:val="0"/>
          <w:sz w:val="21"/>
          <w:szCs w:val="21"/>
          <w:highlight w:val="none"/>
        </w:rPr>
        <w:t>代理服务费为人民币</w:t>
      </w:r>
      <w:r>
        <w:rPr>
          <w:rFonts w:hint="eastAsia" w:ascii="宋体" w:hAnsi="宋体" w:cs="宋体"/>
          <w:color w:val="auto"/>
          <w:kern w:val="0"/>
          <w:sz w:val="21"/>
          <w:szCs w:val="21"/>
          <w:highlight w:val="none"/>
          <w:lang w:eastAsia="zh-CN"/>
        </w:rPr>
        <w:t>壹万陆仟元整（¥1</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lang w:eastAsia="zh-CN"/>
        </w:rPr>
        <w:t>000.00）</w:t>
      </w:r>
      <w:r>
        <w:rPr>
          <w:rFonts w:hint="eastAsia" w:ascii="宋体" w:hAnsi="宋体" w:cs="宋体"/>
          <w:color w:val="auto"/>
          <w:kern w:val="0"/>
          <w:sz w:val="21"/>
          <w:szCs w:val="21"/>
          <w:highlight w:val="none"/>
        </w:rPr>
        <w:t>，由</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向采购代理机构一次性支付。</w:t>
      </w:r>
    </w:p>
    <w:p w14:paraId="342D10D9">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3FEC2AA0">
      <w:pPr>
        <w:spacing w:line="400" w:lineRule="exact"/>
        <w:ind w:left="480" w:leftChars="200" w:firstLine="0" w:firstLineChars="0"/>
        <w:rPr>
          <w:rFonts w:ascii="宋体" w:hAnsi="宋体"/>
          <w:color w:val="auto"/>
          <w:sz w:val="21"/>
          <w:szCs w:val="21"/>
          <w:highlight w:val="none"/>
        </w:rPr>
      </w:pPr>
      <w:r>
        <w:rPr>
          <w:rFonts w:hint="eastAsia" w:ascii="宋体" w:hAnsi="宋体"/>
          <w:color w:val="auto"/>
          <w:sz w:val="21"/>
          <w:szCs w:val="21"/>
          <w:highlight w:val="none"/>
        </w:rPr>
        <w:t>开户名称：云之龙咨询集团有限公司桂林分公司</w:t>
      </w:r>
    </w:p>
    <w:p w14:paraId="622C1523">
      <w:pPr>
        <w:spacing w:line="400" w:lineRule="exact"/>
        <w:ind w:left="480" w:leftChars="200" w:firstLine="0" w:firstLineChars="0"/>
        <w:rPr>
          <w:rFonts w:ascii="宋体" w:hAnsi="宋体"/>
          <w:color w:val="auto"/>
          <w:sz w:val="21"/>
          <w:szCs w:val="21"/>
          <w:highlight w:val="none"/>
        </w:rPr>
      </w:pPr>
      <w:r>
        <w:rPr>
          <w:rFonts w:hint="eastAsia" w:ascii="宋体" w:hAnsi="宋体"/>
          <w:color w:val="auto"/>
          <w:sz w:val="21"/>
          <w:szCs w:val="21"/>
          <w:highlight w:val="none"/>
        </w:rPr>
        <w:t>开户银行：中信银行股份有限公司南宁</w:t>
      </w:r>
      <w:r>
        <w:rPr>
          <w:rFonts w:hint="eastAsia" w:ascii="宋体" w:hAnsi="宋体"/>
          <w:color w:val="auto"/>
          <w:sz w:val="21"/>
          <w:szCs w:val="21"/>
          <w:highlight w:val="none"/>
          <w:lang w:eastAsia="zh-CN"/>
        </w:rPr>
        <w:t>园湖</w:t>
      </w:r>
      <w:r>
        <w:rPr>
          <w:rFonts w:hint="eastAsia" w:ascii="宋体" w:hAnsi="宋体"/>
          <w:color w:val="auto"/>
          <w:sz w:val="21"/>
          <w:szCs w:val="21"/>
          <w:highlight w:val="none"/>
        </w:rPr>
        <w:t>支行</w:t>
      </w:r>
    </w:p>
    <w:p w14:paraId="5033D7D3">
      <w:pPr>
        <w:spacing w:line="400" w:lineRule="exact"/>
        <w:ind w:left="480" w:leftChars="200" w:firstLine="0" w:firstLineChars="0"/>
        <w:rPr>
          <w:rFonts w:ascii="宋体" w:hAnsi="宋体" w:cs="宋体"/>
          <w:color w:val="auto"/>
          <w:sz w:val="21"/>
          <w:szCs w:val="21"/>
          <w:highlight w:val="none"/>
        </w:rPr>
      </w:pPr>
      <w:r>
        <w:rPr>
          <w:rFonts w:hint="eastAsia" w:ascii="宋体" w:hAnsi="宋体"/>
          <w:color w:val="auto"/>
          <w:sz w:val="21"/>
          <w:szCs w:val="21"/>
          <w:highlight w:val="none"/>
        </w:rPr>
        <w:t>银行账号：8113001014300158041</w:t>
      </w:r>
    </w:p>
    <w:p w14:paraId="6FEB9A02">
      <w:pPr>
        <w:spacing w:line="34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32.广西线上“政采贷”政策详见附表4.</w:t>
      </w:r>
    </w:p>
    <w:p w14:paraId="3C802F32">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33.解释权：</w:t>
      </w:r>
      <w:r>
        <w:rPr>
          <w:rFonts w:hint="eastAsia" w:ascii="宋体" w:hAnsi="宋体" w:cs="宋体"/>
          <w:color w:val="auto"/>
          <w:kern w:val="0"/>
          <w:sz w:val="21"/>
          <w:szCs w:val="21"/>
          <w:highlight w:val="none"/>
        </w:rPr>
        <w:t>本竞争性磋商文件是根据《中华人民共和国政府采购法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政府采购竞争性磋商采购方式管理暂行办法》和政府采购管理有关规定编制，本竞争性磋商文件的解释权属于采购代理机构。</w:t>
      </w:r>
    </w:p>
    <w:p w14:paraId="1C9F5D5E">
      <w:pPr>
        <w:spacing w:line="34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34.监督管理机构：</w:t>
      </w:r>
      <w:r>
        <w:rPr>
          <w:rFonts w:hint="eastAsia" w:ascii="宋体" w:hAnsi="宋体" w:cs="宋体"/>
          <w:color w:val="auto"/>
          <w:kern w:val="0"/>
          <w:sz w:val="21"/>
          <w:szCs w:val="21"/>
          <w:highlight w:val="none"/>
        </w:rPr>
        <w:t>桂林市财政局    联系电话：0773-2816067</w:t>
      </w:r>
    </w:p>
    <w:p w14:paraId="28CDAE93">
      <w:pPr>
        <w:spacing w:line="44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35.中小企业</w:t>
      </w:r>
    </w:p>
    <w:p w14:paraId="75AF058E">
      <w:pPr>
        <w:spacing w:line="440" w:lineRule="exact"/>
        <w:ind w:firstLine="42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政府采购促进中小企业发展管理办法》（财库〔2020〕46号）的规定，本磋商文件所称中小企业，是指在中华人民共和国境内依法设立，依据中小企业划分标准确定的中型企业、小型企业和微型企业，但与大企业的负责人为同一人，或者与大企业存在直接控股、管理关系的除外。</w:t>
      </w:r>
    </w:p>
    <w:p w14:paraId="567515B7">
      <w:pPr>
        <w:spacing w:line="440" w:lineRule="exact"/>
        <w:ind w:firstLine="420"/>
        <w:rPr>
          <w:rFonts w:ascii="宋体" w:hAnsi="宋体" w:cs="宋体"/>
          <w:color w:val="auto"/>
          <w:kern w:val="0"/>
          <w:sz w:val="21"/>
          <w:szCs w:val="21"/>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标的</w:t>
      </w:r>
      <w:r>
        <w:rPr>
          <w:rFonts w:hint="eastAsia" w:ascii="宋体" w:hAnsi="宋体" w:cs="宋体"/>
          <w:color w:val="auto"/>
          <w:kern w:val="0"/>
          <w:sz w:val="21"/>
          <w:szCs w:val="21"/>
          <w:highlight w:val="none"/>
        </w:rPr>
        <w:t>所属行业为建筑业。</w:t>
      </w:r>
    </w:p>
    <w:p w14:paraId="64CEF481">
      <w:pPr>
        <w:spacing w:line="44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印发中小企业划型标准规定的通知》（工信部联企业〔2011〕300号）的规定，建筑业中小企业划型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286EFB2">
      <w:pPr>
        <w:pStyle w:val="23"/>
        <w:spacing w:line="440" w:lineRule="exact"/>
        <w:ind w:left="0" w:firstLine="420" w:firstLineChars="200"/>
        <w:rPr>
          <w:color w:val="auto"/>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w:t>
      </w:r>
      <w:r>
        <w:rPr>
          <w:rFonts w:hint="eastAsia" w:ascii="宋体" w:hAnsi="宋体" w:cs="宋体"/>
          <w:color w:val="auto"/>
          <w:sz w:val="21"/>
          <w:szCs w:val="21"/>
          <w:highlight w:val="none"/>
        </w:rPr>
        <w:t>供应商确定自身属于上述定义的小微企业时，应按第</w:t>
      </w:r>
      <w:r>
        <w:rPr>
          <w:rFonts w:hint="eastAsia" w:ascii="宋体" w:hAnsi="宋体" w:cs="宋体"/>
          <w:color w:val="auto"/>
          <w:sz w:val="21"/>
          <w:szCs w:val="21"/>
          <w:highlight w:val="none"/>
          <w:lang w:eastAsia="zh-CN"/>
        </w:rPr>
        <w:t>六</w:t>
      </w:r>
      <w:r>
        <w:rPr>
          <w:rFonts w:hint="eastAsia" w:ascii="宋体" w:hAnsi="宋体" w:cs="宋体"/>
          <w:color w:val="auto"/>
          <w:sz w:val="21"/>
          <w:szCs w:val="21"/>
          <w:highlight w:val="none"/>
        </w:rPr>
        <w:t>章“响应文件格式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提供相应的《中小企业声明函》，否则评审时不予认定。任何单位和个人不得要求供应商提供《中小企业声明函》之外的小微企业身份证明文件。</w:t>
      </w:r>
    </w:p>
    <w:p w14:paraId="3DA68304">
      <w:pPr>
        <w:spacing w:line="44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36.监狱企业</w:t>
      </w:r>
    </w:p>
    <w:p w14:paraId="37FCF3F7">
      <w:pPr>
        <w:spacing w:line="420" w:lineRule="exact"/>
        <w:ind w:firstLine="420"/>
        <w:rPr>
          <w:rFonts w:ascii="宋体" w:hAnsi="宋体" w:cs="宋体"/>
          <w:color w:val="auto"/>
          <w:kern w:val="0"/>
          <w:sz w:val="21"/>
          <w:szCs w:val="21"/>
          <w:highlight w:val="none"/>
        </w:rPr>
      </w:pPr>
      <w:r>
        <w:rPr>
          <w:rFonts w:hint="eastAsia" w:ascii="宋体" w:hAnsi="宋体" w:cs="宋体"/>
          <w:bCs/>
          <w:color w:val="auto"/>
          <w:sz w:val="21"/>
          <w:szCs w:val="21"/>
          <w:highlight w:val="none"/>
        </w:rPr>
        <w:t>（1）</w:t>
      </w:r>
      <w:r>
        <w:rPr>
          <w:rFonts w:hint="eastAsia" w:ascii="宋体" w:hAnsi="宋体" w:cs="宋体"/>
          <w:color w:val="auto"/>
          <w:kern w:val="0"/>
          <w:sz w:val="21"/>
          <w:szCs w:val="21"/>
          <w:highlight w:val="none"/>
        </w:rPr>
        <w:t>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E281774">
      <w:pPr>
        <w:pStyle w:val="23"/>
        <w:spacing w:line="420" w:lineRule="exact"/>
        <w:ind w:left="0" w:firstLine="420" w:firstLineChars="200"/>
        <w:rPr>
          <w:color w:val="auto"/>
          <w:highlight w:val="none"/>
        </w:rPr>
      </w:pP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w:t>
      </w:r>
      <w:r>
        <w:rPr>
          <w:rFonts w:hint="eastAsia" w:ascii="宋体" w:hAnsi="宋体" w:cs="宋体"/>
          <w:color w:val="auto"/>
          <w:sz w:val="21"/>
          <w:szCs w:val="21"/>
          <w:highlight w:val="none"/>
        </w:rPr>
        <w:t>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6318BD57">
      <w:pPr>
        <w:spacing w:line="42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37.残疾人福利性单位</w:t>
      </w:r>
    </w:p>
    <w:p w14:paraId="4724AAB7">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37.1</w:t>
      </w:r>
      <w:r>
        <w:rPr>
          <w:rFonts w:hint="eastAsia" w:ascii="宋体" w:hAnsi="宋体" w:cs="宋体"/>
          <w:color w:val="auto"/>
          <w:kern w:val="0"/>
          <w:sz w:val="21"/>
          <w:szCs w:val="21"/>
          <w:highlight w:val="none"/>
        </w:rPr>
        <w:t>根据《关于促进残疾人就业政府采购政策的通知》（财库〔2017〕141号）的规定，享受政府采购支持政策的残疾人福利性单位应当同时满足以下条件：</w:t>
      </w:r>
    </w:p>
    <w:p w14:paraId="64B60ED6">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（1）安置的残疾人占本单位在职职工人数的比例不低于25%（含25%），并且安置的残疾人人数不少于10人（含10人）；</w:t>
      </w:r>
    </w:p>
    <w:p w14:paraId="37641836">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（2）依法与安置的每位残疾人签订了一年以上（含一年）的劳动合同或服务协议；</w:t>
      </w:r>
    </w:p>
    <w:p w14:paraId="16019BBF">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（3）为安置的每位残疾人按月足额缴纳了基本养老保险、基本医疗保险、失业保险、工伤保险和生育保险等社会保险费；</w:t>
      </w:r>
    </w:p>
    <w:p w14:paraId="56C0B6D7">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（4）通过银行等金融机构向安置的每位残疾人，按月支付了不低于单位所在区县适用的经省级人民政府批准的月最低工资标准的工资；</w:t>
      </w:r>
    </w:p>
    <w:p w14:paraId="3A3348BF">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（5）提供本单位制造的货物、承担的工程或者服务（以下简称产品），或者提供其他残疾人福利性单位制造的货物（不包括使用非残疾人福利性单位注册商标的货物）。</w:t>
      </w:r>
    </w:p>
    <w:p w14:paraId="5C7A9DC7">
      <w:pPr>
        <w:spacing w:line="42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703C5B0">
      <w:pPr>
        <w:snapToGrid w:val="0"/>
        <w:spacing w:line="420" w:lineRule="exact"/>
        <w:ind w:firstLine="420"/>
        <w:rPr>
          <w:rFonts w:ascii="宋体" w:hAnsi="宋体" w:cs="宋体"/>
          <w:b/>
          <w:color w:val="auto"/>
          <w:szCs w:val="24"/>
          <w:highlight w:val="none"/>
        </w:rPr>
      </w:pPr>
      <w:r>
        <w:rPr>
          <w:rFonts w:hint="eastAsia" w:ascii="宋体" w:hAnsi="宋体" w:cs="宋体"/>
          <w:color w:val="auto"/>
          <w:kern w:val="0"/>
          <w:sz w:val="21"/>
          <w:szCs w:val="21"/>
          <w:highlight w:val="none"/>
          <w:lang w:val="en-US" w:eastAsia="zh-CN"/>
        </w:rPr>
        <w:t>37.2</w:t>
      </w:r>
      <w:r>
        <w:rPr>
          <w:rFonts w:hint="eastAsia" w:ascii="宋体" w:hAnsi="宋体" w:cs="宋体"/>
          <w:color w:val="auto"/>
          <w:kern w:val="0"/>
          <w:sz w:val="21"/>
          <w:szCs w:val="21"/>
          <w:highlight w:val="none"/>
        </w:rPr>
        <w:t>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6C3EE72">
      <w:pPr>
        <w:snapToGrid w:val="0"/>
        <w:spacing w:line="240" w:lineRule="auto"/>
        <w:ind w:firstLine="0" w:firstLineChars="0"/>
        <w:rPr>
          <w:rFonts w:ascii="宋体" w:hAnsi="宋体" w:cs="宋体"/>
          <w:b/>
          <w:color w:val="auto"/>
          <w:szCs w:val="24"/>
          <w:highlight w:val="none"/>
        </w:rPr>
      </w:pPr>
    </w:p>
    <w:p w14:paraId="759F4867">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7AA99213">
      <w:pPr>
        <w:snapToGrid w:val="0"/>
        <w:spacing w:line="24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附表1：</w:t>
      </w:r>
    </w:p>
    <w:p w14:paraId="5655CA14">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质疑函（格式）</w:t>
      </w:r>
    </w:p>
    <w:p w14:paraId="34363FC0">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20388477">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bCs/>
          <w:color w:val="auto"/>
          <w:sz w:val="21"/>
          <w:szCs w:val="20"/>
          <w:highlight w:val="none"/>
          <w:u w:val="single"/>
        </w:rPr>
        <w:t xml:space="preserve">                    </w:t>
      </w:r>
    </w:p>
    <w:p w14:paraId="333E894C">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0125E7B4">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2636959F">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bCs/>
          <w:color w:val="auto"/>
          <w:sz w:val="21"/>
          <w:szCs w:val="20"/>
          <w:highlight w:val="none"/>
          <w:u w:val="single"/>
        </w:rPr>
        <w:t xml:space="preserve">                      </w:t>
      </w:r>
    </w:p>
    <w:p w14:paraId="1716B534">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5D3252F5">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6EA57900">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5D1FDE0C">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2A9665AD">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66C7663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0AA9AABF">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w:t>
      </w:r>
      <w:r>
        <w:rPr>
          <w:rFonts w:hint="eastAsia" w:ascii="宋体" w:hAnsi="宋体" w:cs="宋体"/>
          <w:bCs/>
          <w:color w:val="auto"/>
          <w:sz w:val="21"/>
          <w:szCs w:val="20"/>
          <w:highlight w:val="none"/>
          <w:u w:val="single"/>
        </w:rPr>
        <w:t xml:space="preserve">                        </w:t>
      </w:r>
    </w:p>
    <w:p w14:paraId="2A08158A">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磋商文件   磋商文件获取日期：</w:t>
      </w:r>
      <w:r>
        <w:rPr>
          <w:rFonts w:hint="eastAsia" w:ascii="宋体" w:hAnsi="宋体" w:cs="宋体"/>
          <w:bCs/>
          <w:color w:val="auto"/>
          <w:sz w:val="21"/>
          <w:szCs w:val="20"/>
          <w:highlight w:val="none"/>
          <w:u w:val="single"/>
        </w:rPr>
        <w:t xml:space="preserve">                        </w:t>
      </w:r>
    </w:p>
    <w:p w14:paraId="132F12CC">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0FF0D06A">
      <w:pPr>
        <w:spacing w:line="360" w:lineRule="exact"/>
        <w:ind w:left="29" w:leftChars="12" w:firstLine="441" w:firstLineChars="147"/>
        <w:rPr>
          <w:rFonts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24781DBE">
      <w:pPr>
        <w:spacing w:line="36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2F19D472">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质疑事项1：</w:t>
      </w:r>
      <w:r>
        <w:rPr>
          <w:rFonts w:hint="eastAsia" w:ascii="宋体" w:hAnsi="宋体" w:cs="宋体"/>
          <w:bCs/>
          <w:color w:val="auto"/>
          <w:sz w:val="21"/>
          <w:szCs w:val="20"/>
          <w:highlight w:val="none"/>
          <w:u w:val="single"/>
        </w:rPr>
        <w:t xml:space="preserve">                        </w:t>
      </w:r>
    </w:p>
    <w:p w14:paraId="0CF7EBC4">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bCs/>
          <w:color w:val="auto"/>
          <w:sz w:val="21"/>
          <w:szCs w:val="20"/>
          <w:highlight w:val="none"/>
          <w:u w:val="single"/>
        </w:rPr>
        <w:t xml:space="preserve">                        </w:t>
      </w:r>
    </w:p>
    <w:p w14:paraId="1E1C633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bCs/>
          <w:color w:val="auto"/>
          <w:sz w:val="21"/>
          <w:szCs w:val="20"/>
          <w:highlight w:val="none"/>
          <w:u w:val="single"/>
        </w:rPr>
        <w:t xml:space="preserve">                        </w:t>
      </w:r>
    </w:p>
    <w:p w14:paraId="42172AD8">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质疑事项2</w:t>
      </w:r>
      <w:r>
        <w:rPr>
          <w:rFonts w:hint="eastAsia" w:ascii="宋体" w:hAnsi="宋体" w:cs="宋体"/>
          <w:bCs/>
          <w:color w:val="auto"/>
          <w:sz w:val="21"/>
          <w:szCs w:val="20"/>
          <w:highlight w:val="none"/>
          <w:u w:val="single"/>
        </w:rPr>
        <w:t xml:space="preserve">                        </w:t>
      </w:r>
    </w:p>
    <w:p w14:paraId="0DD36F99">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w:t>
      </w:r>
    </w:p>
    <w:p w14:paraId="036CECD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04C7C18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bCs/>
          <w:color w:val="auto"/>
          <w:sz w:val="21"/>
          <w:szCs w:val="20"/>
          <w:highlight w:val="none"/>
          <w:u w:val="single"/>
        </w:rPr>
        <w:t xml:space="preserve">                        </w:t>
      </w:r>
    </w:p>
    <w:p w14:paraId="7E588A25">
      <w:pPr>
        <w:spacing w:line="360" w:lineRule="exact"/>
        <w:ind w:left="29" w:leftChars="12" w:firstLine="308" w:firstLineChars="147"/>
        <w:rPr>
          <w:rFonts w:ascii="宋体" w:hAnsi="宋体" w:cs="宋体"/>
          <w:color w:val="auto"/>
          <w:sz w:val="21"/>
          <w:szCs w:val="21"/>
          <w:highlight w:val="none"/>
        </w:rPr>
      </w:pPr>
    </w:p>
    <w:p w14:paraId="25B8A46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签字（签章）：                                       公章：</w:t>
      </w:r>
    </w:p>
    <w:p w14:paraId="3788D485">
      <w:pPr>
        <w:spacing w:line="360" w:lineRule="exact"/>
        <w:ind w:left="29" w:leftChars="12" w:firstLine="308" w:firstLineChars="147"/>
        <w:rPr>
          <w:rFonts w:ascii="宋体" w:hAnsi="宋体" w:cs="宋体"/>
          <w:color w:val="auto"/>
          <w:sz w:val="21"/>
          <w:szCs w:val="21"/>
          <w:highlight w:val="none"/>
        </w:rPr>
      </w:pPr>
    </w:p>
    <w:p w14:paraId="174DD3E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1FC5FEE3">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09CFFB06">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0ADDBD45">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7B2BA5C">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1EA44167">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1E6DC823">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74A3B7A2">
      <w:pPr>
        <w:spacing w:line="240" w:lineRule="auto"/>
        <w:ind w:firstLine="0" w:firstLineChars="0"/>
        <w:rPr>
          <w:color w:val="auto"/>
          <w:sz w:val="21"/>
          <w:szCs w:val="24"/>
          <w:highlight w:val="none"/>
        </w:rPr>
      </w:pPr>
    </w:p>
    <w:p w14:paraId="47C8C8A6">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附表2：</w:t>
      </w:r>
    </w:p>
    <w:p w14:paraId="7CC65973">
      <w:pPr>
        <w:spacing w:line="240" w:lineRule="auto"/>
        <w:ind w:left="2940" w:firstLine="0" w:firstLineChars="0"/>
        <w:rPr>
          <w:color w:val="auto"/>
          <w:sz w:val="21"/>
          <w:szCs w:val="24"/>
          <w:highlight w:val="none"/>
        </w:rPr>
      </w:pPr>
    </w:p>
    <w:p w14:paraId="6062861D">
      <w:pPr>
        <w:spacing w:line="460" w:lineRule="exact"/>
        <w:ind w:firstLine="0" w:firstLineChars="0"/>
        <w:jc w:val="center"/>
        <w:rPr>
          <w:rFonts w:ascii="宋体" w:hAnsi="宋体" w:cs="宋体"/>
          <w:color w:val="auto"/>
          <w:sz w:val="44"/>
          <w:szCs w:val="24"/>
          <w:highlight w:val="none"/>
        </w:rPr>
      </w:pPr>
    </w:p>
    <w:p w14:paraId="3EBFF1C2">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投诉书（格式）</w:t>
      </w:r>
    </w:p>
    <w:p w14:paraId="64AA768B">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7A928EE1">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bCs/>
          <w:color w:val="auto"/>
          <w:sz w:val="21"/>
          <w:szCs w:val="20"/>
          <w:highlight w:val="none"/>
          <w:u w:val="single"/>
        </w:rPr>
        <w:t xml:space="preserve">                        </w:t>
      </w:r>
    </w:p>
    <w:p w14:paraId="63804C84">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4C044AAE">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bCs/>
          <w:color w:val="auto"/>
          <w:sz w:val="21"/>
          <w:szCs w:val="20"/>
          <w:highlight w:val="none"/>
          <w:u w:val="single"/>
        </w:rPr>
        <w:t xml:space="preserve">                        </w:t>
      </w:r>
    </w:p>
    <w:p w14:paraId="5BB1D02C">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4F8C1574">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授权代表：</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4C1FEB71">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7F9821E4">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被投诉人1：</w:t>
      </w:r>
      <w:r>
        <w:rPr>
          <w:rFonts w:hint="eastAsia" w:ascii="宋体" w:hAnsi="宋体" w:cs="宋体"/>
          <w:bCs/>
          <w:color w:val="auto"/>
          <w:sz w:val="21"/>
          <w:szCs w:val="20"/>
          <w:highlight w:val="none"/>
          <w:u w:val="single"/>
        </w:rPr>
        <w:t xml:space="preserve">                        </w:t>
      </w:r>
    </w:p>
    <w:p w14:paraId="0A5931DA">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1ADA1BCA">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3C68D293">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被投诉人2：</w:t>
      </w:r>
      <w:r>
        <w:rPr>
          <w:rFonts w:hint="eastAsia" w:ascii="宋体" w:hAnsi="宋体" w:cs="宋体"/>
          <w:bCs/>
          <w:color w:val="auto"/>
          <w:sz w:val="21"/>
          <w:szCs w:val="20"/>
          <w:highlight w:val="none"/>
          <w:u w:val="single"/>
        </w:rPr>
        <w:t xml:space="preserve">                        </w:t>
      </w:r>
    </w:p>
    <w:p w14:paraId="1C63221A">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22200AFA">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bCs/>
          <w:color w:val="auto"/>
          <w:sz w:val="21"/>
          <w:szCs w:val="20"/>
          <w:highlight w:val="none"/>
          <w:u w:val="single"/>
        </w:rPr>
        <w:t xml:space="preserve">                        </w:t>
      </w:r>
    </w:p>
    <w:p w14:paraId="4251CFE5">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地址：</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bCs/>
          <w:color w:val="auto"/>
          <w:sz w:val="21"/>
          <w:szCs w:val="20"/>
          <w:highlight w:val="none"/>
          <w:u w:val="single"/>
        </w:rPr>
        <w:t xml:space="preserve">                        </w:t>
      </w:r>
    </w:p>
    <w:p w14:paraId="57A14B13">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61C9EB4C">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1A54A2D2">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3BF70E75">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0FF272E0">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632DC314">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bCs/>
          <w:color w:val="auto"/>
          <w:sz w:val="21"/>
          <w:szCs w:val="20"/>
          <w:highlight w:val="none"/>
          <w:u w:val="single"/>
        </w:rPr>
        <w:t xml:space="preserve">                          </w:t>
      </w:r>
    </w:p>
    <w:p w14:paraId="6DA1CFF2">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 xml:space="preserve">是/否 </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73B37684">
      <w:pPr>
        <w:spacing w:line="400" w:lineRule="exact"/>
        <w:ind w:left="29" w:leftChars="12" w:firstLine="413" w:firstLineChars="197"/>
        <w:rPr>
          <w:rFonts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46D68CAE">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2FDFCA40">
      <w:pPr>
        <w:spacing w:line="400" w:lineRule="exact"/>
        <w:ind w:left="29" w:leftChars="12" w:firstLine="833" w:firstLineChars="397"/>
        <w:rPr>
          <w:rFonts w:ascii="宋体" w:hAnsi="宋体" w:cs="宋体"/>
          <w:color w:val="auto"/>
          <w:sz w:val="21"/>
          <w:szCs w:val="21"/>
          <w:highlight w:val="none"/>
        </w:rPr>
      </w:pPr>
      <w:r>
        <w:rPr>
          <w:rFonts w:hint="eastAsia" w:ascii="宋体" w:hAnsi="宋体" w:cs="宋体"/>
          <w:color w:val="auto"/>
          <w:sz w:val="21"/>
          <w:szCs w:val="21"/>
          <w:highlight w:val="none"/>
        </w:rPr>
        <w:t>投诉人于</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日，向提出质疑，质疑事项为：</w:t>
      </w:r>
      <w:r>
        <w:rPr>
          <w:rFonts w:hint="eastAsia" w:ascii="宋体" w:hAnsi="宋体" w:cs="宋体"/>
          <w:bCs/>
          <w:color w:val="auto"/>
          <w:sz w:val="21"/>
          <w:szCs w:val="20"/>
          <w:highlight w:val="none"/>
          <w:u w:val="single"/>
        </w:rPr>
        <w:t xml:space="preserve">                        </w:t>
      </w:r>
    </w:p>
    <w:p w14:paraId="375EC753">
      <w:pPr>
        <w:spacing w:line="400" w:lineRule="exact"/>
        <w:ind w:firstLine="0" w:firstLineChars="0"/>
        <w:rPr>
          <w:rFonts w:ascii="宋体" w:hAnsi="宋体" w:cs="宋体"/>
          <w:bCs/>
          <w:color w:val="auto"/>
          <w:sz w:val="21"/>
          <w:szCs w:val="20"/>
          <w:highlight w:val="none"/>
          <w:u w:val="single"/>
        </w:rPr>
      </w:pPr>
    </w:p>
    <w:p w14:paraId="4A119F55">
      <w:pPr>
        <w:spacing w:line="400" w:lineRule="exact"/>
        <w:ind w:firstLine="0" w:firstLineChars="0"/>
        <w:rPr>
          <w:rFonts w:ascii="宋体" w:hAnsi="宋体" w:cs="宋体"/>
          <w:bCs/>
          <w:color w:val="auto"/>
          <w:sz w:val="21"/>
          <w:szCs w:val="20"/>
          <w:highlight w:val="none"/>
          <w:u w:val="single"/>
        </w:rPr>
      </w:pPr>
    </w:p>
    <w:p w14:paraId="211A541A">
      <w:pPr>
        <w:spacing w:line="400" w:lineRule="exact"/>
        <w:ind w:firstLine="0" w:firstLineChars="0"/>
        <w:rPr>
          <w:rFonts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于</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日，</w:t>
      </w:r>
      <w:r>
        <w:rPr>
          <w:rFonts w:hint="eastAsia" w:ascii="宋体" w:hAnsi="宋体" w:cs="宋体"/>
          <w:bCs/>
          <w:color w:val="auto"/>
          <w:sz w:val="21"/>
          <w:szCs w:val="20"/>
          <w:highlight w:val="none"/>
        </w:rPr>
        <w:t xml:space="preserve">就质疑事项作出了答复/没有在法定期限内作出答复。                                                                                             </w:t>
      </w:r>
    </w:p>
    <w:p w14:paraId="0A192338">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0168D08C">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投诉事项1：</w:t>
      </w:r>
      <w:r>
        <w:rPr>
          <w:rFonts w:hint="eastAsia" w:ascii="宋体" w:hAnsi="宋体" w:cs="宋体"/>
          <w:bCs/>
          <w:color w:val="auto"/>
          <w:sz w:val="21"/>
          <w:szCs w:val="20"/>
          <w:highlight w:val="none"/>
          <w:u w:val="single"/>
        </w:rPr>
        <w:t xml:space="preserve">                               </w:t>
      </w:r>
    </w:p>
    <w:p w14:paraId="2D153CFD">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bCs/>
          <w:color w:val="auto"/>
          <w:sz w:val="21"/>
          <w:szCs w:val="20"/>
          <w:highlight w:val="none"/>
          <w:u w:val="single"/>
        </w:rPr>
        <w:t xml:space="preserve">                               </w:t>
      </w:r>
    </w:p>
    <w:p w14:paraId="22D17D3F">
      <w:pPr>
        <w:spacing w:line="400" w:lineRule="exact"/>
        <w:ind w:left="29" w:leftChars="12" w:firstLine="413" w:firstLineChars="197"/>
        <w:rPr>
          <w:rFonts w:ascii="宋体" w:hAnsi="宋体" w:cs="宋体"/>
          <w:color w:val="auto"/>
          <w:sz w:val="21"/>
          <w:szCs w:val="21"/>
          <w:highlight w:val="none"/>
        </w:rPr>
      </w:pPr>
    </w:p>
    <w:p w14:paraId="59BE95DE">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bCs/>
          <w:color w:val="auto"/>
          <w:sz w:val="21"/>
          <w:szCs w:val="20"/>
          <w:highlight w:val="none"/>
          <w:u w:val="single"/>
        </w:rPr>
        <w:t xml:space="preserve">                               </w:t>
      </w:r>
    </w:p>
    <w:p w14:paraId="7F883BC6">
      <w:pPr>
        <w:spacing w:line="400" w:lineRule="exact"/>
        <w:ind w:left="29" w:leftChars="12" w:firstLine="308" w:firstLineChars="147"/>
        <w:rPr>
          <w:rFonts w:ascii="宋体" w:hAnsi="宋体" w:cs="宋体"/>
          <w:bCs/>
          <w:color w:val="auto"/>
          <w:sz w:val="21"/>
          <w:szCs w:val="20"/>
          <w:highlight w:val="none"/>
          <w:u w:val="single"/>
        </w:rPr>
      </w:pPr>
    </w:p>
    <w:p w14:paraId="286A2673">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r>
        <w:rPr>
          <w:rFonts w:hint="eastAsia" w:ascii="宋体" w:hAnsi="宋体" w:cs="宋体"/>
          <w:bCs/>
          <w:color w:val="auto"/>
          <w:sz w:val="21"/>
          <w:szCs w:val="20"/>
          <w:highlight w:val="none"/>
          <w:u w:val="single"/>
        </w:rPr>
        <w:t xml:space="preserve">                               </w:t>
      </w:r>
    </w:p>
    <w:p w14:paraId="0B51C5A6">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5B1829CD">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490875AA">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p>
    <w:p w14:paraId="6496CC94">
      <w:pPr>
        <w:spacing w:line="400" w:lineRule="exact"/>
        <w:ind w:left="29" w:leftChars="12" w:firstLine="308" w:firstLineChars="147"/>
        <w:rPr>
          <w:rFonts w:ascii="宋体" w:hAnsi="宋体" w:cs="宋体"/>
          <w:color w:val="auto"/>
          <w:sz w:val="21"/>
          <w:szCs w:val="21"/>
          <w:highlight w:val="none"/>
        </w:rPr>
      </w:pPr>
    </w:p>
    <w:p w14:paraId="08333118">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签字（签章）：                                       公章：</w:t>
      </w:r>
    </w:p>
    <w:p w14:paraId="2EEF2BB4">
      <w:pPr>
        <w:spacing w:line="400" w:lineRule="exact"/>
        <w:ind w:left="29" w:leftChars="12" w:firstLine="308" w:firstLineChars="147"/>
        <w:rPr>
          <w:rFonts w:ascii="宋体" w:hAnsi="宋体" w:cs="宋体"/>
          <w:color w:val="auto"/>
          <w:sz w:val="21"/>
          <w:szCs w:val="21"/>
          <w:highlight w:val="none"/>
        </w:rPr>
      </w:pPr>
    </w:p>
    <w:p w14:paraId="286C64E5">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61676A20">
      <w:pPr>
        <w:spacing w:line="360" w:lineRule="exact"/>
        <w:ind w:left="29" w:leftChars="12" w:firstLine="413" w:firstLineChars="197"/>
        <w:rPr>
          <w:rFonts w:ascii="宋体" w:hAnsi="宋体" w:cs="宋体"/>
          <w:color w:val="auto"/>
          <w:sz w:val="21"/>
          <w:szCs w:val="21"/>
          <w:highlight w:val="none"/>
        </w:rPr>
      </w:pPr>
    </w:p>
    <w:p w14:paraId="575F2BA9">
      <w:pPr>
        <w:snapToGrid w:val="0"/>
        <w:spacing w:line="340" w:lineRule="exact"/>
        <w:ind w:firstLine="0" w:firstLineChars="0"/>
        <w:rPr>
          <w:rFonts w:ascii="宋体" w:hAnsi="宋体" w:cs="宋体"/>
          <w:b/>
          <w:color w:val="auto"/>
          <w:sz w:val="21"/>
          <w:szCs w:val="21"/>
          <w:highlight w:val="none"/>
        </w:rPr>
      </w:pPr>
    </w:p>
    <w:p w14:paraId="791ACAA8">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13DD8E30">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35A4845B">
      <w:pPr>
        <w:spacing w:line="340" w:lineRule="exact"/>
        <w:ind w:left="29" w:leftChars="12" w:firstLine="310" w:firstLineChars="147"/>
        <w:rPr>
          <w:rFonts w:ascii="宋体" w:hAnsi="宋体"/>
          <w:b/>
          <w:color w:val="auto"/>
          <w:sz w:val="21"/>
          <w:szCs w:val="20"/>
          <w:highlight w:val="none"/>
        </w:rPr>
      </w:pPr>
      <w:r>
        <w:rPr>
          <w:rFonts w:hint="eastAsia" w:ascii="宋体" w:hAnsi="宋体" w:cs="宋体"/>
          <w:b/>
          <w:color w:val="auto"/>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3766463">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6FF5EED2">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48D7EBB8">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1E7ACE62">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684C4597">
      <w:pPr>
        <w:spacing w:line="340" w:lineRule="exact"/>
        <w:ind w:left="29" w:leftChars="12" w:firstLine="310" w:firstLineChars="147"/>
        <w:rPr>
          <w:rFonts w:ascii="宋体" w:hAnsi="宋体" w:cs="宋体"/>
          <w:b/>
          <w:color w:val="auto"/>
          <w:kern w:val="0"/>
          <w:sz w:val="21"/>
          <w:szCs w:val="21"/>
          <w:highlight w:val="none"/>
        </w:rPr>
      </w:pPr>
    </w:p>
    <w:p w14:paraId="51169057">
      <w:pPr>
        <w:spacing w:line="340" w:lineRule="exact"/>
        <w:ind w:left="29" w:leftChars="12" w:firstLine="310" w:firstLineChars="147"/>
        <w:rPr>
          <w:rFonts w:ascii="宋体" w:hAnsi="宋体"/>
          <w:b/>
          <w:color w:val="auto"/>
          <w:kern w:val="0"/>
          <w:sz w:val="21"/>
          <w:szCs w:val="21"/>
          <w:highlight w:val="none"/>
        </w:rPr>
      </w:pPr>
    </w:p>
    <w:p w14:paraId="69AC3551">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0E864ADB">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50F272A6">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002521E6">
      <w:pPr>
        <w:spacing w:line="240" w:lineRule="auto"/>
        <w:ind w:firstLine="0" w:firstLineChars="0"/>
        <w:rPr>
          <w:rFonts w:ascii="宋体" w:hAnsi="宋体"/>
          <w:b/>
          <w:color w:val="auto"/>
          <w:kern w:val="0"/>
          <w:sz w:val="32"/>
          <w:szCs w:val="32"/>
          <w:highlight w:val="none"/>
        </w:rPr>
      </w:pPr>
    </w:p>
    <w:p w14:paraId="2B9234FF">
      <w:pPr>
        <w:spacing w:line="240" w:lineRule="auto"/>
        <w:ind w:firstLine="0" w:firstLineChars="0"/>
        <w:rPr>
          <w:rFonts w:ascii="宋体" w:hAnsi="宋体"/>
          <w:b/>
          <w:color w:val="auto"/>
          <w:kern w:val="0"/>
          <w:sz w:val="32"/>
          <w:szCs w:val="32"/>
          <w:highlight w:val="none"/>
        </w:rPr>
      </w:pPr>
    </w:p>
    <w:p w14:paraId="2307D635">
      <w:pPr>
        <w:spacing w:line="240" w:lineRule="auto"/>
        <w:ind w:firstLine="0" w:firstLineChars="0"/>
        <w:rPr>
          <w:rFonts w:ascii="宋体" w:hAnsi="宋体"/>
          <w:b/>
          <w:color w:val="auto"/>
          <w:kern w:val="0"/>
          <w:sz w:val="32"/>
          <w:szCs w:val="32"/>
          <w:highlight w:val="none"/>
        </w:rPr>
      </w:pPr>
    </w:p>
    <w:p w14:paraId="7EB1809F">
      <w:pPr>
        <w:spacing w:line="240" w:lineRule="auto"/>
        <w:ind w:firstLine="0" w:firstLineChars="0"/>
        <w:rPr>
          <w:rFonts w:ascii="宋体" w:hAnsi="宋体"/>
          <w:b/>
          <w:color w:val="auto"/>
          <w:kern w:val="0"/>
          <w:sz w:val="32"/>
          <w:szCs w:val="32"/>
          <w:highlight w:val="none"/>
        </w:rPr>
      </w:pPr>
    </w:p>
    <w:p w14:paraId="7AA05E00">
      <w:pPr>
        <w:pStyle w:val="23"/>
        <w:rPr>
          <w:color w:val="auto"/>
          <w:highlight w:val="none"/>
        </w:rPr>
      </w:pPr>
    </w:p>
    <w:p w14:paraId="75432B25">
      <w:pPr>
        <w:spacing w:line="240" w:lineRule="auto"/>
        <w:ind w:firstLine="0" w:firstLineChars="0"/>
        <w:rPr>
          <w:color w:val="auto"/>
          <w:sz w:val="21"/>
          <w:szCs w:val="24"/>
          <w:highlight w:val="none"/>
        </w:rPr>
      </w:pPr>
    </w:p>
    <w:p w14:paraId="2CDB221A">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附表3：</w:t>
      </w:r>
    </w:p>
    <w:p w14:paraId="6DB81C6E">
      <w:pPr>
        <w:spacing w:line="460" w:lineRule="exact"/>
        <w:ind w:firstLine="0" w:firstLineChars="0"/>
        <w:jc w:val="center"/>
        <w:rPr>
          <w:rFonts w:ascii="宋体" w:hAnsi="宋体" w:cs="宋体"/>
          <w:color w:val="auto"/>
          <w:sz w:val="44"/>
          <w:szCs w:val="24"/>
          <w:highlight w:val="none"/>
        </w:rPr>
      </w:pPr>
    </w:p>
    <w:p w14:paraId="4B2791C2">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桂林市政府采购项目合同验收书（格式）</w:t>
      </w:r>
    </w:p>
    <w:p w14:paraId="480FAB99">
      <w:pPr>
        <w:widowControl/>
        <w:spacing w:line="600" w:lineRule="atLeast"/>
        <w:ind w:firstLine="0" w:firstLineChars="0"/>
        <w:jc w:val="center"/>
        <w:rPr>
          <w:rFonts w:ascii="方正小标宋简体" w:hAnsi="仿宋" w:eastAsia="方正小标宋简体"/>
          <w:color w:val="auto"/>
          <w:kern w:val="0"/>
          <w:sz w:val="36"/>
          <w:szCs w:val="36"/>
          <w:highlight w:val="none"/>
        </w:rPr>
      </w:pPr>
    </w:p>
    <w:p w14:paraId="1C36EA8B">
      <w:pPr>
        <w:widowControl/>
        <w:spacing w:line="460" w:lineRule="exact"/>
        <w:ind w:firstLine="482" w:firstLineChars="0"/>
        <w:jc w:val="left"/>
        <w:rPr>
          <w:rFonts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w:t>
      </w:r>
      <w:r>
        <w:rPr>
          <w:rFonts w:hint="eastAsia" w:ascii="宋体" w:hAnsi="宋体" w:cs="仿宋"/>
          <w:color w:val="auto"/>
          <w:kern w:val="0"/>
          <w:szCs w:val="24"/>
          <w:highlight w:val="none"/>
          <w:lang w:eastAsia="zh-CN"/>
        </w:rPr>
        <w:t>成交供应商</w:t>
      </w:r>
      <w:r>
        <w:rPr>
          <w:rFonts w:hint="eastAsia" w:ascii="宋体" w:hAnsi="宋体" w:cs="仿宋"/>
          <w:color w:val="auto"/>
          <w:kern w:val="0"/>
          <w:szCs w:val="24"/>
          <w:highlight w:val="none"/>
        </w:rPr>
        <w:t>（</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）提供的服务进行了验收，验收情况如下：</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77AD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01D0A7CC">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3CC1F3A8">
            <w:pPr>
              <w:widowControl/>
              <w:spacing w:line="320" w:lineRule="atLeast"/>
              <w:ind w:firstLine="480" w:firstLineChars="0"/>
              <w:jc w:val="center"/>
              <w:rPr>
                <w:rFonts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5EDF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4FEA3D2B">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68396F37">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名</w:t>
            </w:r>
            <w:r>
              <w:rPr>
                <w:rFonts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7E6C6D97">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服务内容、标准</w:t>
            </w:r>
          </w:p>
        </w:tc>
        <w:tc>
          <w:tcPr>
            <w:tcW w:w="998" w:type="dxa"/>
            <w:gridSpan w:val="2"/>
            <w:vAlign w:val="center"/>
          </w:tcPr>
          <w:p w14:paraId="20B5272E">
            <w:pPr>
              <w:widowControl/>
              <w:spacing w:line="320" w:lineRule="atLeast"/>
              <w:ind w:firstLine="0"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60ACC3C9">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金</w:t>
            </w:r>
            <w:r>
              <w:rPr>
                <w:rFonts w:ascii="宋体"/>
                <w:color w:val="auto"/>
                <w:kern w:val="0"/>
                <w:sz w:val="21"/>
                <w:szCs w:val="24"/>
                <w:highlight w:val="none"/>
              </w:rPr>
              <w:t> </w:t>
            </w:r>
            <w:r>
              <w:rPr>
                <w:rFonts w:hint="eastAsia" w:ascii="宋体" w:hAnsi="宋体" w:cs="宋体"/>
                <w:color w:val="auto"/>
                <w:kern w:val="0"/>
                <w:sz w:val="21"/>
                <w:szCs w:val="24"/>
                <w:highlight w:val="none"/>
              </w:rPr>
              <w:t>额</w:t>
            </w:r>
          </w:p>
        </w:tc>
      </w:tr>
      <w:tr w14:paraId="271B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C978CB0">
            <w:pPr>
              <w:widowControl/>
              <w:spacing w:line="320" w:lineRule="atLeast"/>
              <w:ind w:firstLine="5"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6CFD0D28">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42EEB3D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5A75FFC4">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7BE1F90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3FF7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71458445">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12F03E2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258D5E5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3B6A342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7460C87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7082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0D169343">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361C16F4">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6EA96F85">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75283C3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239A462C">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1882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659E0CAC">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合</w:t>
            </w:r>
            <w:r>
              <w:rPr>
                <w:rFonts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7B58FE1E">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2019CAB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1900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6FA145D4">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万</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元</w:t>
            </w:r>
          </w:p>
        </w:tc>
      </w:tr>
      <w:tr w14:paraId="488F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4BA36814">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服务期限</w:t>
            </w:r>
          </w:p>
        </w:tc>
        <w:tc>
          <w:tcPr>
            <w:tcW w:w="3240" w:type="dxa"/>
            <w:gridSpan w:val="2"/>
            <w:vAlign w:val="center"/>
          </w:tcPr>
          <w:p w14:paraId="56DCAEAA">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6B25A312">
            <w:pPr>
              <w:widowControl/>
              <w:spacing w:line="320" w:lineRule="atLeast"/>
              <w:ind w:firstLine="46"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验收日期</w:t>
            </w:r>
          </w:p>
        </w:tc>
        <w:tc>
          <w:tcPr>
            <w:tcW w:w="2160" w:type="dxa"/>
            <w:gridSpan w:val="2"/>
            <w:vAlign w:val="center"/>
          </w:tcPr>
          <w:p w14:paraId="1DEDD84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4898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37E3B845">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240" w:type="dxa"/>
            <w:gridSpan w:val="2"/>
            <w:vAlign w:val="center"/>
          </w:tcPr>
          <w:p w14:paraId="362110D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2D90303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160" w:type="dxa"/>
            <w:gridSpan w:val="2"/>
            <w:vAlign w:val="center"/>
          </w:tcPr>
          <w:p w14:paraId="0F97AB7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4368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2B7B1938">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2C8347DF">
            <w:pPr>
              <w:widowControl/>
              <w:spacing w:line="320" w:lineRule="atLeast"/>
              <w:ind w:firstLine="0" w:firstLineChars="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（按</w:t>
            </w:r>
            <w:r>
              <w:rPr>
                <w:rFonts w:hint="eastAsia" w:ascii="宋体" w:hAnsi="宋体"/>
                <w:color w:val="auto"/>
                <w:sz w:val="21"/>
                <w:szCs w:val="21"/>
                <w:highlight w:val="none"/>
              </w:rPr>
              <w:t>采购文件、</w:t>
            </w:r>
            <w:r>
              <w:rPr>
                <w:rFonts w:hint="eastAsia" w:ascii="宋体" w:hAnsi="宋体"/>
                <w:color w:val="auto"/>
                <w:sz w:val="21"/>
                <w:szCs w:val="21"/>
                <w:highlight w:val="none"/>
                <w:lang w:eastAsia="zh-CN"/>
              </w:rPr>
              <w:t>成交供应商</w:t>
            </w:r>
            <w:r>
              <w:rPr>
                <w:rFonts w:hint="eastAsia" w:ascii="宋体" w:hAnsi="宋体"/>
                <w:color w:val="auto"/>
                <w:sz w:val="21"/>
                <w:szCs w:val="21"/>
                <w:highlight w:val="none"/>
              </w:rPr>
              <w:t>响应文件承诺、合同条款、国家</w:t>
            </w:r>
            <w:r>
              <w:rPr>
                <w:rFonts w:hint="eastAsia" w:ascii="宋体" w:hAnsi="宋体" w:cs="宋体"/>
                <w:color w:val="auto"/>
                <w:sz w:val="21"/>
                <w:szCs w:val="21"/>
                <w:highlight w:val="none"/>
              </w:rPr>
              <w:t>相关标准规范以及行政主管部门政策文件</w:t>
            </w:r>
            <w:r>
              <w:rPr>
                <w:rFonts w:hint="eastAsia" w:ascii="宋体" w:hAnsi="宋体"/>
                <w:color w:val="auto"/>
                <w:sz w:val="21"/>
                <w:szCs w:val="21"/>
                <w:highlight w:val="none"/>
              </w:rPr>
              <w:t>进行验收。</w:t>
            </w:r>
            <w:r>
              <w:rPr>
                <w:rFonts w:hint="eastAsia" w:ascii="宋体" w:hAnsi="宋体" w:cs="宋体"/>
                <w:color w:val="auto"/>
                <w:kern w:val="0"/>
                <w:sz w:val="21"/>
                <w:szCs w:val="24"/>
                <w:highlight w:val="none"/>
              </w:rPr>
              <w:t>可附件</w:t>
            </w:r>
            <w:r>
              <w:rPr>
                <w:rFonts w:hint="eastAsia" w:ascii="宋体" w:hAnsi="宋体" w:cs="宋体"/>
                <w:color w:val="auto"/>
                <w:kern w:val="0"/>
                <w:sz w:val="21"/>
                <w:szCs w:val="24"/>
                <w:highlight w:val="none"/>
                <w:lang w:eastAsia="zh-CN"/>
              </w:rPr>
              <w:t>）</w:t>
            </w:r>
          </w:p>
        </w:tc>
      </w:tr>
      <w:tr w14:paraId="48A7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2CE31A4A">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1F7444E7">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4A84185A">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p>
        </w:tc>
      </w:tr>
      <w:tr w14:paraId="2A41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vAlign w:val="center"/>
          </w:tcPr>
          <w:p w14:paraId="4A6A0083">
            <w:pPr>
              <w:widowControl/>
              <w:spacing w:line="240" w:lineRule="auto"/>
              <w:ind w:firstLine="0" w:firstLineChars="0"/>
              <w:jc w:val="left"/>
              <w:rPr>
                <w:rFonts w:ascii="宋体"/>
                <w:color w:val="auto"/>
                <w:kern w:val="0"/>
                <w:sz w:val="21"/>
                <w:szCs w:val="24"/>
                <w:highlight w:val="none"/>
              </w:rPr>
            </w:pPr>
          </w:p>
        </w:tc>
        <w:tc>
          <w:tcPr>
            <w:tcW w:w="8100" w:type="dxa"/>
            <w:gridSpan w:val="6"/>
            <w:vAlign w:val="center"/>
          </w:tcPr>
          <w:p w14:paraId="5FA281DF">
            <w:pPr>
              <w:widowControl/>
              <w:spacing w:line="320" w:lineRule="atLeast"/>
              <w:ind w:firstLine="96"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785D3182">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426F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24148643">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6940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4CD1E5AF">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2B65537A">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56A9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5E38AA1F">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lang w:eastAsia="zh-CN"/>
              </w:rPr>
              <w:t>成交供应商</w:t>
            </w:r>
            <w:r>
              <w:rPr>
                <w:rFonts w:hint="eastAsia" w:ascii="宋体" w:hAnsi="宋体" w:cs="宋体"/>
                <w:color w:val="auto"/>
                <w:kern w:val="0"/>
                <w:sz w:val="21"/>
                <w:szCs w:val="24"/>
                <w:highlight w:val="none"/>
              </w:rPr>
              <w:t>负责人签字或盖章：</w:t>
            </w:r>
          </w:p>
          <w:p w14:paraId="3EE35A6D">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 xml:space="preserve">月  </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3310E868">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2AB0AB55">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月</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47AA45A5">
      <w:pPr>
        <w:snapToGrid w:val="0"/>
        <w:spacing w:line="340" w:lineRule="exact"/>
        <w:ind w:firstLine="0" w:firstLineChars="0"/>
        <w:rPr>
          <w:rFonts w:ascii="宋体" w:hAnsi="宋体" w:cs="宋体"/>
          <w:b/>
          <w:color w:val="auto"/>
          <w:szCs w:val="24"/>
          <w:highlight w:val="none"/>
        </w:rPr>
      </w:pPr>
    </w:p>
    <w:p w14:paraId="6A3EA873">
      <w:pPr>
        <w:snapToGrid w:val="0"/>
        <w:spacing w:line="340" w:lineRule="exact"/>
        <w:ind w:firstLine="0" w:firstLineChars="0"/>
        <w:rPr>
          <w:rFonts w:ascii="宋体" w:hAnsi="宋体" w:cs="宋体"/>
          <w:b/>
          <w:color w:val="auto"/>
          <w:szCs w:val="24"/>
          <w:highlight w:val="none"/>
        </w:rPr>
      </w:pPr>
    </w:p>
    <w:p w14:paraId="00D137FF">
      <w:pPr>
        <w:snapToGrid w:val="0"/>
        <w:spacing w:line="340" w:lineRule="exact"/>
        <w:ind w:firstLine="0" w:firstLineChars="0"/>
        <w:rPr>
          <w:rFonts w:ascii="宋体" w:hAnsi="宋体" w:cs="宋体"/>
          <w:b/>
          <w:color w:val="auto"/>
          <w:szCs w:val="24"/>
          <w:highlight w:val="none"/>
        </w:rPr>
      </w:pPr>
    </w:p>
    <w:p w14:paraId="138E92AD">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附表4：</w:t>
      </w:r>
    </w:p>
    <w:p w14:paraId="5F9DBC88">
      <w:pPr>
        <w:snapToGrid w:val="0"/>
        <w:spacing w:line="340" w:lineRule="exact"/>
        <w:ind w:firstLine="0" w:firstLineChars="0"/>
        <w:rPr>
          <w:rFonts w:ascii="宋体" w:hAnsi="宋体" w:cs="宋体"/>
          <w:b/>
          <w:color w:val="auto"/>
          <w:szCs w:val="24"/>
          <w:highlight w:val="none"/>
        </w:rPr>
      </w:pPr>
    </w:p>
    <w:p w14:paraId="41568466">
      <w:pPr>
        <w:snapToGrid w:val="0"/>
        <w:spacing w:line="340" w:lineRule="exact"/>
        <w:ind w:firstLine="0" w:firstLineChars="0"/>
        <w:rPr>
          <w:rFonts w:ascii="宋体" w:hAnsi="宋体" w:cs="宋体"/>
          <w:b/>
          <w:color w:val="auto"/>
          <w:szCs w:val="24"/>
          <w:highlight w:val="none"/>
        </w:rPr>
      </w:pPr>
    </w:p>
    <w:p w14:paraId="2F221279">
      <w:pPr>
        <w:snapToGrid w:val="0"/>
        <w:spacing w:line="340" w:lineRule="exact"/>
        <w:ind w:firstLine="0" w:firstLineChars="0"/>
        <w:rPr>
          <w:rFonts w:ascii="宋体" w:hAnsi="宋体" w:cs="宋体"/>
          <w:b/>
          <w:color w:val="auto"/>
          <w:szCs w:val="24"/>
          <w:highlight w:val="none"/>
        </w:rPr>
      </w:pPr>
    </w:p>
    <w:p w14:paraId="492B887E">
      <w:pPr>
        <w:widowControl/>
        <w:spacing w:line="240" w:lineRule="auto"/>
        <w:ind w:firstLine="480" w:firstLineChars="0"/>
        <w:jc w:val="left"/>
        <w:rPr>
          <w:rFonts w:ascii="宋体" w:hAnsi="宋体" w:cs="宋体"/>
          <w:color w:val="auto"/>
          <w:kern w:val="0"/>
          <w:szCs w:val="24"/>
          <w:highlight w:val="none"/>
        </w:rPr>
      </w:pPr>
      <w:r>
        <w:rPr>
          <w:rFonts w:ascii="宋体" w:hAnsi="宋体" w:cs="宋体"/>
          <w:color w:val="auto"/>
          <w:kern w:val="0"/>
          <w:szCs w:val="24"/>
          <w:highlight w:val="none"/>
        </w:rPr>
        <w:drawing>
          <wp:inline distT="0" distB="0" distL="114300" distR="114300">
            <wp:extent cx="5826760" cy="5836285"/>
            <wp:effectExtent l="0" t="0" r="254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r:link="rId25" cstate="print"/>
                    <a:stretch>
                      <a:fillRect/>
                    </a:stretch>
                  </pic:blipFill>
                  <pic:spPr>
                    <a:xfrm>
                      <a:off x="0" y="0"/>
                      <a:ext cx="5826760" cy="5836285"/>
                    </a:xfrm>
                    <a:prstGeom prst="rect">
                      <a:avLst/>
                    </a:prstGeom>
                    <a:noFill/>
                    <a:ln>
                      <a:noFill/>
                    </a:ln>
                  </pic:spPr>
                </pic:pic>
              </a:graphicData>
            </a:graphic>
          </wp:inline>
        </w:drawing>
      </w:r>
    </w:p>
    <w:p w14:paraId="26203021">
      <w:pPr>
        <w:spacing w:line="360" w:lineRule="exact"/>
        <w:ind w:firstLine="643"/>
        <w:jc w:val="center"/>
        <w:rPr>
          <w:rFonts w:ascii="宋体" w:hAnsi="宋体"/>
          <w:b/>
          <w:color w:val="auto"/>
          <w:sz w:val="32"/>
          <w:szCs w:val="32"/>
          <w:highlight w:val="none"/>
        </w:rPr>
      </w:pPr>
    </w:p>
    <w:p w14:paraId="3BE31A1C">
      <w:pPr>
        <w:spacing w:line="360" w:lineRule="exact"/>
        <w:ind w:firstLine="643"/>
        <w:jc w:val="center"/>
        <w:rPr>
          <w:rFonts w:ascii="宋体" w:hAnsi="宋体"/>
          <w:b/>
          <w:color w:val="auto"/>
          <w:sz w:val="32"/>
          <w:szCs w:val="32"/>
          <w:highlight w:val="none"/>
        </w:rPr>
      </w:pPr>
    </w:p>
    <w:p w14:paraId="126D7FE3">
      <w:pPr>
        <w:spacing w:line="360" w:lineRule="exact"/>
        <w:ind w:firstLine="643"/>
        <w:jc w:val="center"/>
        <w:rPr>
          <w:rFonts w:ascii="宋体" w:hAnsi="宋体"/>
          <w:b/>
          <w:color w:val="auto"/>
          <w:sz w:val="32"/>
          <w:szCs w:val="32"/>
          <w:highlight w:val="none"/>
        </w:rPr>
      </w:pPr>
    </w:p>
    <w:p w14:paraId="0DCFE788">
      <w:pPr>
        <w:spacing w:line="360" w:lineRule="exact"/>
        <w:ind w:firstLine="643"/>
        <w:jc w:val="center"/>
        <w:rPr>
          <w:rFonts w:ascii="宋体" w:hAnsi="宋体"/>
          <w:b/>
          <w:color w:val="auto"/>
          <w:sz w:val="32"/>
          <w:szCs w:val="32"/>
          <w:highlight w:val="none"/>
        </w:rPr>
      </w:pPr>
    </w:p>
    <w:p w14:paraId="7BF20B7E">
      <w:pPr>
        <w:spacing w:line="360" w:lineRule="exact"/>
        <w:ind w:firstLine="643"/>
        <w:jc w:val="center"/>
        <w:rPr>
          <w:rFonts w:ascii="宋体" w:hAnsi="宋体"/>
          <w:b/>
          <w:color w:val="auto"/>
          <w:sz w:val="32"/>
          <w:szCs w:val="32"/>
          <w:highlight w:val="none"/>
        </w:rPr>
      </w:pPr>
    </w:p>
    <w:p w14:paraId="0FAFDEBB">
      <w:pPr>
        <w:spacing w:line="360" w:lineRule="exact"/>
        <w:ind w:firstLine="643"/>
        <w:jc w:val="center"/>
        <w:rPr>
          <w:rFonts w:ascii="宋体" w:hAnsi="宋体"/>
          <w:b/>
          <w:color w:val="auto"/>
          <w:sz w:val="32"/>
          <w:szCs w:val="32"/>
          <w:highlight w:val="none"/>
        </w:rPr>
      </w:pPr>
    </w:p>
    <w:p w14:paraId="69006C72">
      <w:pPr>
        <w:spacing w:line="360" w:lineRule="exact"/>
        <w:ind w:firstLine="643"/>
        <w:jc w:val="center"/>
        <w:rPr>
          <w:rFonts w:ascii="宋体" w:hAnsi="宋体"/>
          <w:b/>
          <w:color w:val="auto"/>
          <w:sz w:val="32"/>
          <w:szCs w:val="32"/>
          <w:highlight w:val="none"/>
        </w:rPr>
      </w:pPr>
    </w:p>
    <w:p w14:paraId="1438C025">
      <w:pPr>
        <w:spacing w:line="360" w:lineRule="exact"/>
        <w:ind w:firstLine="643"/>
        <w:jc w:val="center"/>
        <w:rPr>
          <w:rFonts w:ascii="宋体" w:hAnsi="宋体"/>
          <w:b/>
          <w:color w:val="auto"/>
          <w:sz w:val="32"/>
          <w:szCs w:val="32"/>
          <w:highlight w:val="none"/>
        </w:rPr>
      </w:pPr>
    </w:p>
    <w:p w14:paraId="7F3C9854">
      <w:pPr>
        <w:spacing w:line="360" w:lineRule="exact"/>
        <w:ind w:firstLine="643"/>
        <w:jc w:val="center"/>
        <w:rPr>
          <w:rFonts w:ascii="宋体" w:hAnsi="宋体"/>
          <w:b/>
          <w:color w:val="auto"/>
          <w:sz w:val="32"/>
          <w:szCs w:val="32"/>
          <w:highlight w:val="none"/>
        </w:rPr>
      </w:pPr>
    </w:p>
    <w:bookmarkEnd w:id="0"/>
    <w:p w14:paraId="7B22A3EE">
      <w:pPr>
        <w:pStyle w:val="26"/>
        <w:spacing w:line="340" w:lineRule="exact"/>
        <w:jc w:val="center"/>
        <w:rPr>
          <w:rFonts w:hint="eastAsia" w:hAnsi="宋体" w:cs="宋体"/>
          <w:b/>
          <w:color w:val="auto"/>
          <w:sz w:val="32"/>
          <w:szCs w:val="32"/>
          <w:highlight w:val="none"/>
        </w:rPr>
      </w:pPr>
      <w:r>
        <w:rPr>
          <w:rFonts w:hint="eastAsia" w:hAnsi="宋体" w:cs="宋体"/>
          <w:b/>
          <w:color w:val="auto"/>
          <w:sz w:val="32"/>
          <w:szCs w:val="32"/>
          <w:highlight w:val="none"/>
        </w:rPr>
        <w:t>第三章 采购需求</w:t>
      </w:r>
    </w:p>
    <w:p w14:paraId="1C86B382">
      <w:pPr>
        <w:rPr>
          <w:rFonts w:hint="eastAsia" w:ascii="宋体" w:hAnsi="宋体"/>
          <w:b/>
          <w:color w:val="auto"/>
          <w:sz w:val="21"/>
          <w:szCs w:val="21"/>
          <w:highlight w:val="none"/>
        </w:rPr>
      </w:pPr>
    </w:p>
    <w:p w14:paraId="49B71260">
      <w:pPr>
        <w:rPr>
          <w:color w:val="auto"/>
          <w:highlight w:val="none"/>
        </w:rPr>
      </w:pPr>
      <w:r>
        <w:rPr>
          <w:rFonts w:hint="eastAsia" w:ascii="宋体" w:hAnsi="宋体"/>
          <w:b/>
          <w:color w:val="auto"/>
          <w:sz w:val="21"/>
          <w:szCs w:val="21"/>
          <w:highlight w:val="none"/>
        </w:rPr>
        <w:t>“实质性要求”是指磋商文件中已经指明不满足则响应文件按无效处理的条款，或者不能负偏离的条款，或者采购需求中带“▲”的条款。实质性要求若有任意一项不满足的，响应文件按无效处理。</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9"/>
        <w:gridCol w:w="94"/>
        <w:gridCol w:w="1020"/>
        <w:gridCol w:w="732"/>
        <w:gridCol w:w="182"/>
        <w:gridCol w:w="487"/>
        <w:gridCol w:w="4915"/>
        <w:gridCol w:w="1339"/>
      </w:tblGrid>
      <w:tr w14:paraId="10A4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78" w:type="dxa"/>
            <w:gridSpan w:val="8"/>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7AF7D49F">
            <w:pPr>
              <w:spacing w:line="400" w:lineRule="exact"/>
              <w:ind w:firstLine="0" w:firstLineChars="0"/>
              <w:jc w:val="left"/>
              <w:rPr>
                <w:rFonts w:ascii="宋体" w:hAnsi="宋体" w:cs="宋体"/>
                <w:b/>
                <w:bCs/>
                <w:color w:val="auto"/>
                <w:sz w:val="21"/>
                <w:szCs w:val="21"/>
                <w:highlight w:val="none"/>
              </w:rPr>
            </w:pPr>
            <w:r>
              <w:rPr>
                <w:rFonts w:hint="eastAsia" w:ascii="宋体" w:hAnsi="宋体" w:eastAsia="宋体" w:cs="Times New Roman"/>
                <w:color w:val="auto"/>
                <w:szCs w:val="24"/>
                <w:highlight w:val="none"/>
              </w:rPr>
              <w:t>▲</w:t>
            </w:r>
            <w:r>
              <w:rPr>
                <w:rFonts w:hint="eastAsia" w:ascii="宋体" w:hAnsi="宋体" w:cs="宋体"/>
                <w:b/>
                <w:bCs/>
                <w:color w:val="auto"/>
                <w:sz w:val="21"/>
                <w:szCs w:val="21"/>
                <w:highlight w:val="none"/>
              </w:rPr>
              <w:t>一、采购需求一览表</w:t>
            </w:r>
          </w:p>
        </w:tc>
      </w:tr>
      <w:tr w14:paraId="3B7A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09"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00C2453">
            <w:pPr>
              <w:snapToGrid w:val="0"/>
              <w:spacing w:line="400" w:lineRule="exact"/>
              <w:ind w:firstLine="0" w:firstLineChars="0"/>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eastAsia="zh-CN"/>
              </w:rPr>
              <w:t>项号</w:t>
            </w:r>
          </w:p>
        </w:tc>
        <w:tc>
          <w:tcPr>
            <w:tcW w:w="1114"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5021CE4">
            <w:pPr>
              <w:snapToGrid w:val="0"/>
              <w:spacing w:line="400" w:lineRule="exact"/>
              <w:ind w:firstLine="0" w:firstLineChars="0"/>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采购标的</w:t>
            </w:r>
          </w:p>
        </w:tc>
        <w:tc>
          <w:tcPr>
            <w:tcW w:w="732"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CDA3A67">
            <w:pPr>
              <w:spacing w:line="400" w:lineRule="exact"/>
              <w:ind w:firstLine="0" w:firstLineChars="0"/>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数量</w:t>
            </w:r>
          </w:p>
        </w:tc>
        <w:tc>
          <w:tcPr>
            <w:tcW w:w="669"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AFF4860">
            <w:pPr>
              <w:snapToGrid w:val="0"/>
              <w:spacing w:line="400" w:lineRule="exact"/>
              <w:ind w:firstLine="0" w:firstLineChars="0"/>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单位</w:t>
            </w:r>
          </w:p>
        </w:tc>
        <w:tc>
          <w:tcPr>
            <w:tcW w:w="4915"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1E88653E">
            <w:pPr>
              <w:spacing w:line="400" w:lineRule="exact"/>
              <w:ind w:firstLine="0" w:firstLineChars="0"/>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eastAsia="zh-CN"/>
              </w:rPr>
              <w:t>技术要求</w:t>
            </w:r>
          </w:p>
        </w:tc>
        <w:tc>
          <w:tcPr>
            <w:tcW w:w="1339"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1DC0AD3C">
            <w:pPr>
              <w:spacing w:line="400" w:lineRule="exact"/>
              <w:ind w:firstLine="0" w:firstLineChars="0"/>
              <w:jc w:val="center"/>
              <w:rPr>
                <w:rFonts w:hint="eastAsia" w:ascii="宋体" w:hAnsi="宋体" w:eastAsia="宋体" w:cs="Times New Roman"/>
                <w:color w:val="auto"/>
                <w:szCs w:val="24"/>
                <w:highlight w:val="none"/>
                <w:lang w:eastAsia="zh-CN"/>
              </w:rPr>
            </w:pPr>
            <w:r>
              <w:rPr>
                <w:rFonts w:hint="eastAsia" w:ascii="宋体" w:hAnsi="宋体" w:cs="宋体"/>
                <w:b/>
                <w:bCs/>
                <w:color w:val="auto"/>
                <w:sz w:val="21"/>
                <w:szCs w:val="21"/>
                <w:highlight w:val="none"/>
                <w:lang w:eastAsia="zh-CN"/>
              </w:rPr>
              <w:t>最高限价（元）</w:t>
            </w:r>
          </w:p>
        </w:tc>
      </w:tr>
      <w:tr w14:paraId="4877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09"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3CBCA0CB">
            <w:pPr>
              <w:spacing w:line="400" w:lineRule="exact"/>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114"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42AB7927">
            <w:pPr>
              <w:spacing w:line="400" w:lineRule="exact"/>
              <w:ind w:firstLine="0" w:firstLineChars="0"/>
              <w:jc w:val="center"/>
              <w:rPr>
                <w:rFonts w:hint="eastAsia" w:ascii="宋体" w:hAnsi="宋体" w:cs="宋体"/>
                <w:color w:val="auto"/>
                <w:sz w:val="21"/>
                <w:szCs w:val="24"/>
                <w:highlight w:val="none"/>
                <w:lang w:eastAsia="zh-CN"/>
              </w:rPr>
            </w:pPr>
            <w:r>
              <w:rPr>
                <w:rFonts w:hint="eastAsia" w:ascii="宋体" w:hAnsi="宋体"/>
                <w:color w:val="auto"/>
                <w:sz w:val="21"/>
                <w:szCs w:val="24"/>
                <w:highlight w:val="none"/>
              </w:rPr>
              <w:t>桂林市第十三中学校园操场改造</w:t>
            </w:r>
          </w:p>
        </w:tc>
        <w:tc>
          <w:tcPr>
            <w:tcW w:w="732"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B715C98">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669"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36FA0CAF">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项</w:t>
            </w:r>
          </w:p>
        </w:tc>
        <w:tc>
          <w:tcPr>
            <w:tcW w:w="4915" w:type="dxa"/>
            <w:vMerge w:val="restart"/>
            <w:tcBorders>
              <w:top w:val="single" w:color="auto" w:sz="4" w:space="0"/>
              <w:left w:val="single" w:color="auto" w:sz="4" w:space="0"/>
              <w:right w:val="single" w:color="auto" w:sz="4" w:space="0"/>
            </w:tcBorders>
            <w:tcMar>
              <w:top w:w="13" w:type="dxa"/>
              <w:left w:w="57" w:type="dxa"/>
              <w:bottom w:w="0" w:type="dxa"/>
              <w:right w:w="57" w:type="dxa"/>
            </w:tcMar>
            <w:vAlign w:val="center"/>
          </w:tcPr>
          <w:p w14:paraId="285BEC37">
            <w:pPr>
              <w:spacing w:line="400" w:lineRule="exact"/>
              <w:ind w:firstLine="0" w:firstLineChars="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一</w:t>
            </w:r>
            <w:r>
              <w:rPr>
                <w:rFonts w:hint="eastAsia" w:ascii="宋体" w:hAnsi="宋体" w:eastAsia="宋体" w:cs="宋体"/>
                <w:b/>
                <w:bCs/>
                <w:color w:val="auto"/>
                <w:sz w:val="21"/>
                <w:szCs w:val="21"/>
                <w:highlight w:val="none"/>
              </w:rPr>
              <w:t>）工程内容</w:t>
            </w:r>
          </w:p>
          <w:p w14:paraId="415B7B6B">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olor w:val="auto"/>
                <w:sz w:val="21"/>
                <w:szCs w:val="24"/>
                <w:highlight w:val="none"/>
                <w:lang w:eastAsia="zh-CN"/>
              </w:rPr>
              <w:t>桂林市第十三中学校园操场改造1项，包含内容为原混合型塑胶跑道拆除、13mm混合型塑胶跑道敷设、80mm沥青铺装、排水沟、主席台砌筑等项目；桂林市第十三中学校园硅PU篮球场</w:t>
            </w:r>
            <w:r>
              <w:rPr>
                <w:rFonts w:hint="eastAsia" w:ascii="宋体" w:hAnsi="宋体"/>
                <w:color w:val="auto"/>
                <w:sz w:val="21"/>
                <w:szCs w:val="24"/>
                <w:highlight w:val="none"/>
                <w:lang w:val="en-US" w:eastAsia="zh-CN"/>
              </w:rPr>
              <w:t>1项</w:t>
            </w:r>
            <w:r>
              <w:rPr>
                <w:rFonts w:hint="eastAsia" w:ascii="宋体" w:hAnsi="宋体"/>
                <w:color w:val="auto"/>
                <w:sz w:val="21"/>
                <w:szCs w:val="24"/>
                <w:highlight w:val="none"/>
                <w:lang w:eastAsia="zh-CN"/>
              </w:rPr>
              <w:t>，包含内容为原硅PU拆除、8mm硅PU敷设、80mm沥青铺装等项目。具体详见工程量清单及图纸。</w:t>
            </w:r>
          </w:p>
          <w:p w14:paraId="0A8FF710">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2.建设地点：桂林市秀峰区（</w:t>
            </w:r>
            <w:r>
              <w:rPr>
                <w:rFonts w:hint="eastAsia" w:ascii="宋体" w:hAnsi="宋体" w:eastAsia="宋体" w:cs="宋体"/>
                <w:color w:val="auto"/>
                <w:sz w:val="21"/>
                <w:szCs w:val="21"/>
                <w:highlight w:val="none"/>
                <w:lang w:eastAsia="zh-CN"/>
              </w:rPr>
              <w:t>桂林市第十三中学校园内</w:t>
            </w:r>
            <w:r>
              <w:rPr>
                <w:rFonts w:hint="eastAsia" w:ascii="宋体" w:hAnsi="宋体" w:cs="宋体"/>
                <w:color w:val="auto"/>
                <w:sz w:val="21"/>
                <w:szCs w:val="21"/>
                <w:highlight w:val="none"/>
                <w:lang w:val="en-US" w:eastAsia="zh-CN"/>
              </w:rPr>
              <w:t>）</w:t>
            </w:r>
          </w:p>
          <w:p w14:paraId="32BFC61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（二）技术标准和要求</w:t>
            </w:r>
          </w:p>
          <w:p w14:paraId="383F5B0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按国家和地方现行相关规范、标准和规程执行。</w:t>
            </w:r>
          </w:p>
          <w:p w14:paraId="28242B23">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采购人将根据上述技术标准和要求进行验收，若工程完工后达不到上述技术标准和要求的，按验收不合格处理。</w:t>
            </w:r>
          </w:p>
          <w:p w14:paraId="3D8759ED">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.质量要求：达到国家施工验收规范合格标准。</w:t>
            </w:r>
          </w:p>
          <w:p w14:paraId="6B4AA2C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w:t>
            </w:r>
            <w:r>
              <w:rPr>
                <w:rFonts w:hint="eastAsia" w:ascii="宋体" w:hAnsi="宋体" w:cs="宋体"/>
                <w:b/>
                <w:bCs/>
                <w:color w:val="auto"/>
                <w:sz w:val="21"/>
                <w:szCs w:val="21"/>
                <w:highlight w:val="none"/>
                <w:lang w:eastAsia="zh-CN"/>
              </w:rPr>
              <w:t>三</w:t>
            </w:r>
            <w:r>
              <w:rPr>
                <w:rFonts w:hint="eastAsia" w:ascii="宋体" w:hAnsi="宋体" w:eastAsia="宋体" w:cs="宋体"/>
                <w:b/>
                <w:bCs/>
                <w:color w:val="auto"/>
                <w:sz w:val="21"/>
                <w:szCs w:val="21"/>
                <w:highlight w:val="none"/>
                <w:lang w:eastAsia="zh-CN"/>
              </w:rPr>
              <w:t>）产品技术要求</w:t>
            </w:r>
          </w:p>
          <w:p w14:paraId="271B781B">
            <w:pPr>
              <w:pStyle w:val="2"/>
              <w:ind w:left="0" w:leftChars="0" w:firstLine="0" w:firstLineChars="0"/>
              <w:rPr>
                <w:rFonts w:hint="default"/>
                <w:color w:val="auto"/>
                <w:highlight w:val="none"/>
                <w:lang w:val="en-US" w:eastAsia="zh-CN"/>
              </w:rPr>
            </w:pPr>
            <w:r>
              <w:rPr>
                <w:rFonts w:hint="eastAsia" w:cs="宋体"/>
                <w:b/>
                <w:bCs/>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竞</w:t>
            </w:r>
            <w:r>
              <w:rPr>
                <w:rFonts w:hint="eastAsia" w:ascii="宋体" w:hAnsi="宋体" w:eastAsia="宋体" w:cs="宋体"/>
                <w:color w:val="auto"/>
                <w:sz w:val="21"/>
                <w:szCs w:val="21"/>
                <w:highlight w:val="none"/>
                <w:lang w:eastAsia="zh-CN"/>
              </w:rPr>
              <w:t>硅PU产品</w:t>
            </w:r>
            <w:r>
              <w:rPr>
                <w:rFonts w:hint="eastAsia" w:ascii="宋体" w:hAnsi="宋体" w:cs="宋体"/>
                <w:color w:val="auto"/>
                <w:sz w:val="21"/>
                <w:szCs w:val="21"/>
                <w:highlight w:val="none"/>
                <w:lang w:eastAsia="zh-CN"/>
              </w:rPr>
              <w:t>、塑胶跑道产品</w:t>
            </w:r>
            <w:r>
              <w:rPr>
                <w:rFonts w:hint="eastAsia" w:cs="宋体"/>
                <w:color w:val="auto"/>
                <w:sz w:val="21"/>
                <w:szCs w:val="21"/>
                <w:highlight w:val="none"/>
                <w:lang w:eastAsia="zh-CN"/>
              </w:rPr>
              <w:t>技术要求</w:t>
            </w:r>
          </w:p>
          <w:p w14:paraId="22916A4D">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color w:val="auto"/>
                <w:sz w:val="21"/>
                <w:szCs w:val="21"/>
                <w:highlight w:val="none"/>
                <w:lang w:eastAsia="zh-CN"/>
              </w:rPr>
            </w:pP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供应商所竞</w:t>
            </w:r>
            <w:r>
              <w:rPr>
                <w:rFonts w:hint="eastAsia" w:ascii="宋体" w:hAnsi="宋体" w:eastAsia="宋体" w:cs="宋体"/>
                <w:color w:val="auto"/>
                <w:sz w:val="21"/>
                <w:szCs w:val="21"/>
                <w:highlight w:val="none"/>
                <w:lang w:eastAsia="zh-CN"/>
              </w:rPr>
              <w:t>硅PU产品</w:t>
            </w:r>
            <w:r>
              <w:rPr>
                <w:rFonts w:hint="eastAsia" w:ascii="宋体" w:hAnsi="宋体" w:cs="宋体"/>
                <w:color w:val="auto"/>
                <w:sz w:val="21"/>
                <w:szCs w:val="21"/>
                <w:highlight w:val="none"/>
                <w:lang w:eastAsia="zh-CN"/>
              </w:rPr>
              <w:t>、塑胶跑道产品</w:t>
            </w:r>
            <w:r>
              <w:rPr>
                <w:rFonts w:hint="eastAsia" w:ascii="宋体" w:hAnsi="宋体" w:eastAsia="宋体" w:cs="宋体"/>
                <w:color w:val="auto"/>
                <w:sz w:val="21"/>
                <w:szCs w:val="21"/>
                <w:highlight w:val="none"/>
                <w:lang w:eastAsia="zh-CN"/>
              </w:rPr>
              <w:t>符合国家强制标准GB36246-2018《中小学合成材料面层运动场地》中关于有害物质限量、释放率和物理机械性能、气味的要求【</w:t>
            </w:r>
            <w:r>
              <w:rPr>
                <w:rFonts w:hint="eastAsia" w:ascii="宋体" w:hAnsi="宋体" w:eastAsia="宋体" w:cs="宋体"/>
                <w:b/>
                <w:color w:val="auto"/>
                <w:sz w:val="21"/>
                <w:szCs w:val="21"/>
                <w:highlight w:val="none"/>
              </w:rPr>
              <w:t>供应商于响应文件中必须提供所竞产品由具有“CMA”标志的第三方检验检测机构出具的能满足</w:t>
            </w:r>
            <w:r>
              <w:rPr>
                <w:rFonts w:hint="eastAsia" w:ascii="宋体" w:hAnsi="宋体" w:cs="宋体"/>
                <w:b/>
                <w:color w:val="auto"/>
                <w:sz w:val="21"/>
                <w:szCs w:val="21"/>
                <w:highlight w:val="none"/>
                <w:lang w:eastAsia="zh-CN"/>
              </w:rPr>
              <w:t>本项</w:t>
            </w:r>
            <w:r>
              <w:rPr>
                <w:rFonts w:hint="eastAsia" w:ascii="宋体" w:hAnsi="宋体" w:eastAsia="宋体" w:cs="宋体"/>
                <w:b/>
                <w:color w:val="auto"/>
                <w:sz w:val="21"/>
                <w:szCs w:val="21"/>
                <w:highlight w:val="none"/>
              </w:rPr>
              <w:t>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color w:val="auto"/>
                <w:sz w:val="21"/>
                <w:szCs w:val="21"/>
                <w:highlight w:val="none"/>
                <w:lang w:eastAsia="zh-CN"/>
              </w:rPr>
              <w:t>】。</w:t>
            </w:r>
          </w:p>
          <w:p w14:paraId="65508915">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供应商所竞硅PU弹性层、面胶、防水底漆和划线漆</w:t>
            </w:r>
            <w:r>
              <w:rPr>
                <w:rFonts w:hint="eastAsia" w:ascii="宋体" w:hAnsi="宋体" w:cs="宋体"/>
                <w:color w:val="auto"/>
                <w:sz w:val="21"/>
                <w:szCs w:val="21"/>
                <w:highlight w:val="none"/>
                <w:lang w:val="en-US" w:eastAsia="zh-CN"/>
              </w:rPr>
              <w:t>及所竞塑胶跑道底胶、面胶、防水底漆和划线漆</w:t>
            </w:r>
            <w:r>
              <w:rPr>
                <w:rFonts w:hint="eastAsia" w:ascii="宋体" w:hAnsi="宋体" w:eastAsia="宋体" w:cs="宋体"/>
                <w:color w:val="auto"/>
                <w:sz w:val="21"/>
                <w:szCs w:val="21"/>
                <w:highlight w:val="none"/>
                <w:lang w:val="en-US" w:eastAsia="zh-CN"/>
              </w:rPr>
              <w:t>符合GB36246-2018《中小学合成材料面层运动场地》标准中关于非固体原料中有害物质含量的要求</w:t>
            </w:r>
            <w:r>
              <w:rPr>
                <w:rFonts w:hint="eastAsia" w:ascii="宋体" w:hAnsi="宋体" w:eastAsia="宋体" w:cs="宋体"/>
                <w:color w:val="auto"/>
                <w:sz w:val="21"/>
                <w:szCs w:val="21"/>
                <w:highlight w:val="none"/>
                <w:lang w:eastAsia="zh-CN"/>
              </w:rPr>
              <w:t>【</w:t>
            </w:r>
            <w:r>
              <w:rPr>
                <w:rFonts w:hint="eastAsia" w:ascii="宋体" w:hAnsi="宋体" w:eastAsia="宋体" w:cs="宋体"/>
                <w:b/>
                <w:color w:val="auto"/>
                <w:sz w:val="21"/>
                <w:szCs w:val="21"/>
                <w:highlight w:val="none"/>
              </w:rPr>
              <w:t>供应商于响应文件中必须提供所竞产品由具有“CMA”标志的第三方检验检测机构出具的能满足</w:t>
            </w:r>
            <w:r>
              <w:rPr>
                <w:rFonts w:hint="eastAsia" w:ascii="宋体" w:hAnsi="宋体" w:cs="宋体"/>
                <w:b/>
                <w:color w:val="auto"/>
                <w:sz w:val="21"/>
                <w:szCs w:val="21"/>
                <w:highlight w:val="none"/>
                <w:lang w:eastAsia="zh-CN"/>
              </w:rPr>
              <w:t>本项</w:t>
            </w:r>
            <w:r>
              <w:rPr>
                <w:rFonts w:hint="eastAsia" w:ascii="宋体" w:hAnsi="宋体" w:eastAsia="宋体" w:cs="宋体"/>
                <w:b/>
                <w:color w:val="auto"/>
                <w:sz w:val="21"/>
                <w:szCs w:val="21"/>
                <w:highlight w:val="none"/>
              </w:rPr>
              <w:t>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color w:val="auto"/>
                <w:sz w:val="21"/>
                <w:szCs w:val="21"/>
                <w:highlight w:val="none"/>
                <w:lang w:eastAsia="zh-CN"/>
              </w:rPr>
              <w:t>】。</w:t>
            </w:r>
          </w:p>
          <w:p w14:paraId="25A4CFC5">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供应商所竞硅PU面层经过外力（100kg）压缩≥100天，符合GB 36246-2018《</w:t>
            </w:r>
            <w:r>
              <w:rPr>
                <w:rFonts w:hint="eastAsia" w:ascii="宋体" w:hAnsi="宋体" w:eastAsia="宋体" w:cs="宋体"/>
                <w:i w:val="0"/>
                <w:iCs w:val="0"/>
                <w:caps w:val="0"/>
                <w:color w:val="auto"/>
                <w:spacing w:val="0"/>
                <w:sz w:val="21"/>
                <w:szCs w:val="21"/>
                <w:highlight w:val="none"/>
                <w:shd w:val="clear" w:fill="FFFFFF"/>
              </w:rPr>
              <w:t>中小学合成材料面层运动场地</w:t>
            </w:r>
            <w:r>
              <w:rPr>
                <w:rFonts w:hint="eastAsia" w:ascii="宋体" w:hAnsi="宋体" w:eastAsia="宋体" w:cs="宋体"/>
                <w:color w:val="auto"/>
                <w:sz w:val="21"/>
                <w:szCs w:val="21"/>
                <w:highlight w:val="none"/>
                <w:lang w:val="en-US" w:eastAsia="zh-CN"/>
              </w:rPr>
              <w:t>》、GB/T 14833-2020</w:t>
            </w:r>
            <w:r>
              <w:rPr>
                <w:rFonts w:hint="eastAsia" w:ascii="宋体" w:hAnsi="宋体" w:cs="宋体"/>
                <w:color w:val="auto"/>
                <w:sz w:val="21"/>
                <w:szCs w:val="21"/>
                <w:highlight w:val="none"/>
                <w:lang w:val="en-US" w:eastAsia="zh-CN"/>
              </w:rPr>
              <w:t>《合成材料运动场地面层》</w:t>
            </w:r>
            <w:r>
              <w:rPr>
                <w:rFonts w:hint="eastAsia" w:ascii="宋体" w:hAnsi="宋体" w:eastAsia="宋体" w:cs="宋体"/>
                <w:color w:val="auto"/>
                <w:sz w:val="21"/>
                <w:szCs w:val="21"/>
                <w:highlight w:val="none"/>
                <w:lang w:val="en-US" w:eastAsia="zh-CN"/>
              </w:rPr>
              <w:t>和GB/T 22517.4-2017《体育场地使用要求及检验方法 第4部分：合成面层篮球场地》标准中关于现浇非渗水型（球类场地）面层</w:t>
            </w:r>
            <w:r>
              <w:rPr>
                <w:rFonts w:hint="eastAsia" w:ascii="宋体" w:hAnsi="宋体" w:cs="宋体"/>
                <w:color w:val="auto"/>
                <w:sz w:val="21"/>
                <w:szCs w:val="21"/>
                <w:highlight w:val="none"/>
                <w:lang w:val="en-US" w:eastAsia="zh-CN"/>
              </w:rPr>
              <w:t>物理性能</w:t>
            </w:r>
            <w:r>
              <w:rPr>
                <w:rFonts w:hint="eastAsia" w:ascii="宋体" w:hAnsi="宋体" w:eastAsia="宋体" w:cs="宋体"/>
                <w:color w:val="auto"/>
                <w:sz w:val="21"/>
                <w:szCs w:val="21"/>
                <w:highlight w:val="none"/>
                <w:lang w:val="en-US" w:eastAsia="zh-CN"/>
              </w:rPr>
              <w:t>检测要求</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供应商所竞硅</w:t>
            </w:r>
            <w:r>
              <w:rPr>
                <w:rFonts w:hint="eastAsia" w:ascii="宋体" w:hAnsi="宋体" w:cs="宋体"/>
                <w:color w:val="auto"/>
                <w:sz w:val="21"/>
                <w:szCs w:val="21"/>
                <w:highlight w:val="none"/>
                <w:lang w:val="en-US" w:eastAsia="zh-CN"/>
              </w:rPr>
              <w:t>塑胶跑道面层</w:t>
            </w:r>
            <w:r>
              <w:rPr>
                <w:rFonts w:hint="eastAsia" w:ascii="宋体" w:hAnsi="宋体" w:eastAsia="宋体" w:cs="宋体"/>
                <w:color w:val="auto"/>
                <w:sz w:val="21"/>
                <w:szCs w:val="21"/>
                <w:highlight w:val="none"/>
                <w:lang w:val="en-US" w:eastAsia="zh-CN"/>
              </w:rPr>
              <w:t>经过外力（100kg）压缩≥100天，符合GB 36246-2018《</w:t>
            </w:r>
            <w:r>
              <w:rPr>
                <w:rFonts w:hint="eastAsia" w:ascii="宋体" w:hAnsi="宋体" w:eastAsia="宋体" w:cs="宋体"/>
                <w:i w:val="0"/>
                <w:iCs w:val="0"/>
                <w:caps w:val="0"/>
                <w:color w:val="auto"/>
                <w:spacing w:val="0"/>
                <w:sz w:val="21"/>
                <w:szCs w:val="21"/>
                <w:highlight w:val="none"/>
                <w:shd w:val="clear" w:fill="FFFFFF"/>
              </w:rPr>
              <w:t>中小学合成材料面层运动场地</w:t>
            </w:r>
            <w:r>
              <w:rPr>
                <w:rFonts w:hint="eastAsia" w:ascii="宋体" w:hAnsi="宋体" w:eastAsia="宋体" w:cs="宋体"/>
                <w:color w:val="auto"/>
                <w:sz w:val="21"/>
                <w:szCs w:val="21"/>
                <w:highlight w:val="none"/>
                <w:lang w:val="en-US" w:eastAsia="zh-CN"/>
              </w:rPr>
              <w:t>》、GB/T 14833-2020</w:t>
            </w:r>
            <w:r>
              <w:rPr>
                <w:rFonts w:hint="eastAsia" w:ascii="宋体" w:hAnsi="宋体" w:cs="宋体"/>
                <w:color w:val="auto"/>
                <w:sz w:val="21"/>
                <w:szCs w:val="21"/>
                <w:highlight w:val="none"/>
                <w:lang w:val="en-US" w:eastAsia="zh-CN"/>
              </w:rPr>
              <w:t>《合成材料运动场地面层》</w:t>
            </w:r>
            <w:r>
              <w:rPr>
                <w:rFonts w:hint="eastAsia" w:ascii="宋体" w:hAnsi="宋体" w:eastAsia="宋体" w:cs="宋体"/>
                <w:color w:val="auto"/>
                <w:sz w:val="21"/>
                <w:szCs w:val="21"/>
                <w:highlight w:val="none"/>
                <w:lang w:val="en-US" w:eastAsia="zh-CN"/>
              </w:rPr>
              <w:t>和GB/T 22517.6-2020《体育场地使用要求及检验方法 第6部分：田径场地》标准中关于现浇非渗水型田径运动场地面层</w:t>
            </w:r>
            <w:r>
              <w:rPr>
                <w:rFonts w:hint="eastAsia" w:ascii="宋体" w:hAnsi="宋体" w:cs="宋体"/>
                <w:color w:val="auto"/>
                <w:sz w:val="21"/>
                <w:szCs w:val="21"/>
                <w:highlight w:val="none"/>
                <w:lang w:val="en-US" w:eastAsia="zh-CN"/>
              </w:rPr>
              <w:t>的物理性能检测要</w:t>
            </w:r>
            <w:r>
              <w:rPr>
                <w:rFonts w:hint="eastAsia" w:ascii="宋体" w:hAnsi="宋体" w:eastAsia="宋体" w:cs="宋体"/>
                <w:color w:val="auto"/>
                <w:sz w:val="21"/>
                <w:szCs w:val="21"/>
                <w:highlight w:val="none"/>
                <w:lang w:val="en-US" w:eastAsia="zh-CN"/>
              </w:rPr>
              <w:t>求</w:t>
            </w:r>
            <w:r>
              <w:rPr>
                <w:rFonts w:hint="eastAsia" w:ascii="宋体" w:hAnsi="宋体" w:eastAsia="宋体" w:cs="宋体"/>
                <w:color w:val="auto"/>
                <w:sz w:val="21"/>
                <w:szCs w:val="21"/>
                <w:highlight w:val="none"/>
                <w:lang w:eastAsia="zh-CN"/>
              </w:rPr>
              <w:t>【</w:t>
            </w:r>
            <w:r>
              <w:rPr>
                <w:rFonts w:hint="eastAsia" w:ascii="宋体" w:hAnsi="宋体" w:eastAsia="宋体" w:cs="宋体"/>
                <w:b/>
                <w:color w:val="auto"/>
                <w:sz w:val="21"/>
                <w:szCs w:val="21"/>
                <w:highlight w:val="none"/>
              </w:rPr>
              <w:t>供应商于响应文件中必须提供所竞产品由具有“CMA”标志的第三方检验检测机构出具的能满足</w:t>
            </w:r>
            <w:r>
              <w:rPr>
                <w:rFonts w:hint="eastAsia" w:ascii="宋体" w:hAnsi="宋体" w:cs="宋体"/>
                <w:b/>
                <w:color w:val="auto"/>
                <w:sz w:val="21"/>
                <w:szCs w:val="21"/>
                <w:highlight w:val="none"/>
                <w:lang w:eastAsia="zh-CN"/>
              </w:rPr>
              <w:t>本项</w:t>
            </w:r>
            <w:r>
              <w:rPr>
                <w:rFonts w:hint="eastAsia" w:ascii="宋体" w:hAnsi="宋体" w:eastAsia="宋体" w:cs="宋体"/>
                <w:b/>
                <w:color w:val="auto"/>
                <w:sz w:val="21"/>
                <w:szCs w:val="21"/>
                <w:highlight w:val="none"/>
              </w:rPr>
              <w:t>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color w:val="auto"/>
                <w:sz w:val="21"/>
                <w:szCs w:val="21"/>
                <w:highlight w:val="none"/>
                <w:lang w:eastAsia="zh-CN"/>
              </w:rPr>
              <w:t>】。</w:t>
            </w:r>
          </w:p>
          <w:p w14:paraId="742E6D39">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4</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供应商所竞硅PU</w:t>
            </w:r>
            <w:r>
              <w:rPr>
                <w:rFonts w:hint="eastAsia" w:ascii="宋体" w:hAnsi="宋体" w:cs="宋体"/>
                <w:color w:val="auto"/>
                <w:sz w:val="21"/>
                <w:szCs w:val="21"/>
                <w:highlight w:val="none"/>
                <w:lang w:val="en-US" w:eastAsia="zh-CN"/>
              </w:rPr>
              <w:t>及塑胶跑道</w:t>
            </w:r>
            <w:r>
              <w:rPr>
                <w:rFonts w:hint="eastAsia" w:ascii="宋体" w:hAnsi="宋体" w:eastAsia="宋体" w:cs="宋体"/>
                <w:color w:val="auto"/>
                <w:sz w:val="21"/>
                <w:szCs w:val="21"/>
                <w:highlight w:val="none"/>
                <w:lang w:val="en-US" w:eastAsia="zh-CN"/>
              </w:rPr>
              <w:t>须满足在湿度＞90%RH，温度28℃的条件下放置≥32天后，符合金黄色葡萄球菌和大肠杆菌的抗菌率＞99.9%，耐久试验抗细菌率＞99.9%，黑曲霉、绳状青霉、球毛壳霉、宛氏拟青霉、土曲霉、出芽短梗霉抗霉菌及其耐久性能达到0级的要求（不长，即显微镜放大50倍下观察未见生长）</w:t>
            </w:r>
            <w:r>
              <w:rPr>
                <w:rFonts w:hint="eastAsia" w:ascii="宋体" w:hAnsi="宋体" w:eastAsia="宋体" w:cs="宋体"/>
                <w:color w:val="auto"/>
                <w:sz w:val="21"/>
                <w:szCs w:val="21"/>
                <w:highlight w:val="none"/>
                <w:lang w:eastAsia="zh-CN"/>
              </w:rPr>
              <w:t>【</w:t>
            </w:r>
            <w:r>
              <w:rPr>
                <w:rFonts w:hint="eastAsia" w:ascii="宋体" w:hAnsi="宋体" w:eastAsia="宋体" w:cs="宋体"/>
                <w:b/>
                <w:color w:val="auto"/>
                <w:sz w:val="21"/>
                <w:szCs w:val="21"/>
                <w:highlight w:val="none"/>
              </w:rPr>
              <w:t>供应商于响应文件中必须提供所竞产品由具有“CMA”</w:t>
            </w:r>
            <w:r>
              <w:rPr>
                <w:rFonts w:hint="eastAsia" w:ascii="宋体" w:hAnsi="宋体" w:eastAsia="宋体" w:cs="宋体"/>
                <w:b/>
                <w:color w:val="auto"/>
                <w:sz w:val="21"/>
                <w:szCs w:val="21"/>
                <w:highlight w:val="none"/>
                <w:lang w:eastAsia="zh-CN"/>
              </w:rPr>
              <w:t>和“</w:t>
            </w:r>
            <w:r>
              <w:rPr>
                <w:rFonts w:hint="eastAsia" w:ascii="宋体" w:hAnsi="宋体" w:eastAsia="宋体" w:cs="宋体"/>
                <w:b/>
                <w:color w:val="auto"/>
                <w:sz w:val="21"/>
                <w:szCs w:val="21"/>
                <w:highlight w:val="none"/>
                <w:lang w:val="en-US" w:eastAsia="zh-CN"/>
              </w:rPr>
              <w:t>CNAS</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标志的第三方检验检测机构出具的能满足</w:t>
            </w:r>
            <w:r>
              <w:rPr>
                <w:rFonts w:hint="eastAsia" w:ascii="宋体" w:hAnsi="宋体" w:cs="宋体"/>
                <w:b/>
                <w:color w:val="auto"/>
                <w:sz w:val="21"/>
                <w:szCs w:val="21"/>
                <w:highlight w:val="none"/>
                <w:lang w:eastAsia="zh-CN"/>
              </w:rPr>
              <w:t>本项</w:t>
            </w:r>
            <w:r>
              <w:rPr>
                <w:rFonts w:hint="eastAsia" w:ascii="宋体" w:hAnsi="宋体" w:eastAsia="宋体" w:cs="宋体"/>
                <w:b/>
                <w:color w:val="auto"/>
                <w:sz w:val="21"/>
                <w:szCs w:val="21"/>
                <w:highlight w:val="none"/>
              </w:rPr>
              <w:t>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b/>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p w14:paraId="68053D55">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5</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供应商所竞硅PU产品</w:t>
            </w:r>
            <w:r>
              <w:rPr>
                <w:rFonts w:hint="eastAsia" w:ascii="宋体" w:hAnsi="宋体" w:cs="宋体"/>
                <w:color w:val="auto"/>
                <w:sz w:val="21"/>
                <w:szCs w:val="21"/>
                <w:highlight w:val="none"/>
                <w:lang w:val="en-US" w:eastAsia="zh-CN"/>
              </w:rPr>
              <w:t>及塑胶跑道</w:t>
            </w:r>
            <w:r>
              <w:rPr>
                <w:rFonts w:hint="eastAsia" w:ascii="宋体" w:hAnsi="宋体" w:eastAsia="宋体" w:cs="宋体"/>
                <w:color w:val="auto"/>
                <w:sz w:val="21"/>
                <w:szCs w:val="21"/>
                <w:highlight w:val="none"/>
                <w:lang w:val="en-US" w:eastAsia="zh-CN"/>
              </w:rPr>
              <w:t>在室外自然大气环境暴露一年，满足GB 8624-2012《建筑材料及制品燃烧性能分级》标准中关于检测燃烧性能符合铺地材料燃烧性能B1（B）级</w:t>
            </w:r>
            <w:r>
              <w:rPr>
                <w:rFonts w:hint="eastAsia" w:ascii="宋体" w:hAnsi="宋体" w:cs="宋体"/>
                <w:color w:val="auto"/>
                <w:sz w:val="21"/>
                <w:szCs w:val="21"/>
                <w:highlight w:val="none"/>
                <w:lang w:val="en-US" w:eastAsia="zh-CN"/>
              </w:rPr>
              <w:t>或以上的要求</w:t>
            </w:r>
            <w:r>
              <w:rPr>
                <w:rFonts w:hint="eastAsia" w:ascii="宋体" w:hAnsi="宋体" w:eastAsia="宋体" w:cs="宋体"/>
                <w:color w:val="auto"/>
                <w:sz w:val="21"/>
                <w:szCs w:val="21"/>
                <w:highlight w:val="none"/>
                <w:lang w:eastAsia="zh-CN"/>
              </w:rPr>
              <w:t>【</w:t>
            </w:r>
            <w:r>
              <w:rPr>
                <w:rFonts w:hint="eastAsia" w:ascii="宋体" w:hAnsi="宋体" w:eastAsia="宋体" w:cs="宋体"/>
                <w:b/>
                <w:color w:val="auto"/>
                <w:sz w:val="21"/>
                <w:szCs w:val="21"/>
                <w:highlight w:val="none"/>
              </w:rPr>
              <w:t>供应商于响应文件中必须提供所竞产品由具有“CMA”标志的第三方检验检测机构出具的能满足以下检测要求的</w:t>
            </w:r>
            <w:r>
              <w:rPr>
                <w:rFonts w:hint="eastAsia" w:ascii="宋体" w:hAnsi="宋体" w:eastAsia="宋体" w:cs="宋体"/>
                <w:b/>
                <w:color w:val="auto"/>
                <w:sz w:val="21"/>
                <w:szCs w:val="21"/>
                <w:highlight w:val="none"/>
                <w:lang w:eastAsia="zh-CN"/>
              </w:rPr>
              <w:t>合格</w:t>
            </w:r>
            <w:r>
              <w:rPr>
                <w:rFonts w:hint="eastAsia" w:ascii="宋体" w:hAnsi="宋体" w:eastAsia="宋体" w:cs="宋体"/>
                <w:b/>
                <w:color w:val="auto"/>
                <w:sz w:val="21"/>
                <w:szCs w:val="21"/>
                <w:highlight w:val="none"/>
              </w:rPr>
              <w:t>有效检验检测报告复印件（报告可通过二维码或全国认证认可信息公共服务平台查询真伪）</w:t>
            </w:r>
            <w:r>
              <w:rPr>
                <w:rFonts w:hint="eastAsia" w:ascii="宋体" w:hAnsi="宋体" w:eastAsia="宋体" w:cs="宋体"/>
                <w:b/>
                <w:color w:val="auto"/>
                <w:sz w:val="21"/>
                <w:szCs w:val="21"/>
                <w:highlight w:val="none"/>
                <w:lang w:eastAsia="zh-CN"/>
              </w:rPr>
              <w:t>】。</w:t>
            </w:r>
          </w:p>
          <w:p w14:paraId="4752C32D">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6</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供应商所竞PU产品</w:t>
            </w:r>
            <w:r>
              <w:rPr>
                <w:rFonts w:hint="eastAsia" w:ascii="宋体" w:hAnsi="宋体" w:cs="宋体"/>
                <w:b w:val="0"/>
                <w:bCs/>
                <w:color w:val="auto"/>
                <w:sz w:val="21"/>
                <w:szCs w:val="21"/>
                <w:highlight w:val="none"/>
                <w:lang w:val="en-US" w:eastAsia="zh-CN"/>
              </w:rPr>
              <w:t>及塑胶跑道</w:t>
            </w:r>
            <w:r>
              <w:rPr>
                <w:rFonts w:hint="eastAsia" w:ascii="宋体" w:hAnsi="宋体" w:eastAsia="宋体" w:cs="宋体"/>
                <w:b w:val="0"/>
                <w:bCs/>
                <w:color w:val="auto"/>
                <w:sz w:val="21"/>
                <w:szCs w:val="21"/>
                <w:highlight w:val="none"/>
                <w:lang w:val="en-US" w:eastAsia="zh-CN"/>
              </w:rPr>
              <w:t>经酸雨浸泡500h后，浸泡液对八项特定可迁移元素检测结果达到未检出的结论</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rPr>
              <w:t>供应商于响应文件中必须提供所竞产品由具有“CMA”标志的第三方检验检测机构出具的能满足</w:t>
            </w:r>
            <w:r>
              <w:rPr>
                <w:rFonts w:hint="eastAsia" w:ascii="宋体" w:hAnsi="宋体" w:eastAsia="宋体" w:cs="宋体"/>
                <w:b/>
                <w:bCs w:val="0"/>
                <w:color w:val="auto"/>
                <w:sz w:val="21"/>
                <w:szCs w:val="21"/>
                <w:highlight w:val="none"/>
                <w:lang w:eastAsia="zh-CN"/>
              </w:rPr>
              <w:t>本项</w:t>
            </w:r>
            <w:r>
              <w:rPr>
                <w:rFonts w:hint="eastAsia" w:ascii="宋体" w:hAnsi="宋体" w:eastAsia="宋体" w:cs="宋体"/>
                <w:b/>
                <w:bCs w:val="0"/>
                <w:color w:val="auto"/>
                <w:sz w:val="21"/>
                <w:szCs w:val="21"/>
                <w:highlight w:val="none"/>
              </w:rPr>
              <w:t>要求的</w:t>
            </w:r>
            <w:r>
              <w:rPr>
                <w:rFonts w:hint="eastAsia" w:ascii="宋体" w:hAnsi="宋体" w:eastAsia="宋体" w:cs="宋体"/>
                <w:b/>
                <w:bCs w:val="0"/>
                <w:color w:val="auto"/>
                <w:sz w:val="21"/>
                <w:szCs w:val="21"/>
                <w:highlight w:val="none"/>
                <w:lang w:eastAsia="zh-CN"/>
              </w:rPr>
              <w:t>合格</w:t>
            </w:r>
            <w:r>
              <w:rPr>
                <w:rFonts w:hint="eastAsia" w:ascii="宋体" w:hAnsi="宋体" w:eastAsia="宋体" w:cs="宋体"/>
                <w:b/>
                <w:bCs w:val="0"/>
                <w:color w:val="auto"/>
                <w:sz w:val="21"/>
                <w:szCs w:val="21"/>
                <w:highlight w:val="none"/>
              </w:rPr>
              <w:t>有效检验检测报告复印件（报告可通过二维码或全国认证认可信息公共服务平台查询真伪）</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val="0"/>
                <w:bCs/>
                <w:color w:val="auto"/>
                <w:sz w:val="21"/>
                <w:szCs w:val="21"/>
                <w:highlight w:val="none"/>
                <w:lang w:eastAsia="zh-CN"/>
              </w:rPr>
              <w:t>。</w:t>
            </w:r>
          </w:p>
          <w:p w14:paraId="48B4F394">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bCs w:val="0"/>
                <w:color w:val="auto"/>
                <w:sz w:val="21"/>
                <w:szCs w:val="21"/>
                <w:highlight w:val="none"/>
                <w:lang w:val="en-US" w:eastAsia="zh-CN"/>
              </w:rPr>
            </w:pP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7</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非固体原料硅PU面胶依据GB/T 43565-2023《中小学合成材料面层篮球场地》和GB 36246-2018《中小学合成材料面层运动场地》标准中关于分3d、7d、14d、28d和60d的5个时间段检测有害物质释放量，总挥发性有机化合物（TVOC）≤5.0 mg/（㎡•h），甲醛≤0.1mg/（㎡•h），苯</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甲苯、二甲苯和乙苯总和均达到N.D.（即未检出）的要求</w:t>
            </w:r>
            <w:r>
              <w:rPr>
                <w:rFonts w:hint="eastAsia" w:ascii="宋体" w:hAnsi="宋体" w:cs="宋体"/>
                <w:b w:val="0"/>
                <w:bCs/>
                <w:color w:val="auto"/>
                <w:sz w:val="21"/>
                <w:szCs w:val="21"/>
                <w:highlight w:val="none"/>
                <w:lang w:val="en-US" w:eastAsia="zh-CN"/>
              </w:rPr>
              <w:t>；非固体原料塑胶跑道面胶依据GB/T 43564-2023《中小学合成材料面层田径场地》和GB 36246-2018《中小学合成材料面层运动场地》标准分3d、7d、14d、28d和60d的5个时间段检测有害物质释放量，总挥发性有机化合物（TVOC）≤5.0 mg/（</w:t>
            </w:r>
            <w:r>
              <w:rPr>
                <w:rFonts w:hint="eastAsia" w:ascii="宋体" w:hAnsi="宋体" w:eastAsia="宋体" w:cs="宋体"/>
                <w:b w:val="0"/>
                <w:bCs/>
                <w:color w:val="auto"/>
                <w:sz w:val="21"/>
                <w:szCs w:val="21"/>
                <w:highlight w:val="none"/>
                <w:lang w:val="en-US" w:eastAsia="zh-CN"/>
              </w:rPr>
              <w:t>㎡•h</w:t>
            </w:r>
            <w:r>
              <w:rPr>
                <w:rFonts w:hint="eastAsia" w:ascii="宋体" w:hAnsi="宋体" w:cs="宋体"/>
                <w:b w:val="0"/>
                <w:bCs/>
                <w:color w:val="auto"/>
                <w:sz w:val="21"/>
                <w:szCs w:val="21"/>
                <w:highlight w:val="none"/>
                <w:lang w:val="en-US" w:eastAsia="zh-CN"/>
              </w:rPr>
              <w:t>），甲醛≤0.1 mg/（</w:t>
            </w:r>
            <w:r>
              <w:rPr>
                <w:rFonts w:hint="eastAsia" w:ascii="宋体" w:hAnsi="宋体" w:eastAsia="宋体" w:cs="宋体"/>
                <w:b w:val="0"/>
                <w:bCs/>
                <w:color w:val="auto"/>
                <w:sz w:val="21"/>
                <w:szCs w:val="21"/>
                <w:highlight w:val="none"/>
                <w:lang w:val="en-US" w:eastAsia="zh-CN"/>
              </w:rPr>
              <w:t>㎡•h</w:t>
            </w:r>
            <w:r>
              <w:rPr>
                <w:rFonts w:hint="eastAsia" w:ascii="宋体" w:hAnsi="宋体" w:cs="宋体"/>
                <w:b w:val="0"/>
                <w:bCs/>
                <w:color w:val="auto"/>
                <w:sz w:val="21"/>
                <w:szCs w:val="21"/>
                <w:highlight w:val="none"/>
                <w:lang w:val="en-US" w:eastAsia="zh-CN"/>
              </w:rPr>
              <w:t>），苯、甲苯、二甲苯和乙苯总和均达到N.D.（即未检出）要求</w:t>
            </w:r>
            <w:r>
              <w:rPr>
                <w:rFonts w:hint="eastAsia" w:ascii="宋体" w:hAnsi="宋体" w:eastAsia="宋体" w:cs="宋体"/>
                <w:b/>
                <w:bCs w:val="0"/>
                <w:color w:val="auto"/>
                <w:sz w:val="21"/>
                <w:szCs w:val="21"/>
                <w:highlight w:val="none"/>
                <w:lang w:val="en-US" w:eastAsia="zh-CN"/>
              </w:rPr>
              <w:t>【供应商于响应文件中必须提供所竞产品由具有“CMA”和“CNAS”标志的第三方检验检测机构出具的能满足本项要求的合格有效检验检测报告复印件（报告可通过二维码或全国认证认可信息公共服务平台查询真伪）】。</w:t>
            </w:r>
          </w:p>
          <w:p w14:paraId="64EA4854">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2.器械区30mm免填充人造草</w:t>
            </w:r>
            <w:r>
              <w:rPr>
                <w:rFonts w:hint="eastAsia" w:ascii="宋体" w:hAnsi="宋体" w:cs="宋体"/>
                <w:b w:val="0"/>
                <w:bCs/>
                <w:color w:val="auto"/>
                <w:sz w:val="21"/>
                <w:szCs w:val="21"/>
                <w:highlight w:val="none"/>
                <w:lang w:val="en-US" w:eastAsia="zh-CN"/>
              </w:rPr>
              <w:t>要求</w:t>
            </w:r>
          </w:p>
          <w:p w14:paraId="3AB1DF81">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（1）草纤维材质：</w:t>
            </w:r>
            <w:r>
              <w:rPr>
                <w:rFonts w:hint="eastAsia" w:ascii="宋体" w:hAnsi="宋体" w:cs="宋体"/>
                <w:b w:val="0"/>
                <w:bCs/>
                <w:color w:val="auto"/>
                <w:sz w:val="21"/>
                <w:szCs w:val="21"/>
                <w:highlight w:val="none"/>
                <w:lang w:val="en-US" w:eastAsia="zh-CN"/>
              </w:rPr>
              <w:t>采用</w:t>
            </w:r>
            <w:r>
              <w:rPr>
                <w:rFonts w:hint="eastAsia" w:ascii="宋体" w:hAnsi="宋体" w:eastAsia="宋体" w:cs="宋体"/>
                <w:b w:val="0"/>
                <w:bCs/>
                <w:color w:val="auto"/>
                <w:sz w:val="21"/>
                <w:szCs w:val="21"/>
                <w:highlight w:val="none"/>
                <w:lang w:val="en-US" w:eastAsia="zh-CN"/>
              </w:rPr>
              <w:t>环保PE挤出型加筋耐磨单丝</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同簇混织</w:t>
            </w:r>
            <w:r>
              <w:rPr>
                <w:rFonts w:hint="eastAsia" w:ascii="宋体" w:hAnsi="宋体" w:cs="宋体"/>
                <w:b w:val="0"/>
                <w:bCs/>
                <w:color w:val="auto"/>
                <w:sz w:val="21"/>
                <w:szCs w:val="21"/>
                <w:highlight w:val="none"/>
                <w:lang w:val="en-US" w:eastAsia="zh-CN"/>
              </w:rPr>
              <w:t>）。</w:t>
            </w:r>
          </w:p>
          <w:p w14:paraId="07072FE3">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（2）植草高度：≥30mm</w:t>
            </w:r>
            <w:r>
              <w:rPr>
                <w:rFonts w:hint="eastAsia" w:ascii="宋体" w:hAnsi="宋体" w:cs="宋体"/>
                <w:b w:val="0"/>
                <w:bCs/>
                <w:color w:val="auto"/>
                <w:sz w:val="21"/>
                <w:szCs w:val="21"/>
                <w:highlight w:val="none"/>
                <w:lang w:val="en-US" w:eastAsia="zh-CN"/>
              </w:rPr>
              <w:t>。</w:t>
            </w:r>
          </w:p>
          <w:p w14:paraId="7FBB10C6">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（3）双层底布，人造草坪产品</w:t>
            </w:r>
            <w:r>
              <w:rPr>
                <w:rFonts w:hint="eastAsia" w:ascii="宋体" w:hAnsi="宋体" w:cs="宋体"/>
                <w:b w:val="0"/>
                <w:bCs/>
                <w:color w:val="auto"/>
                <w:sz w:val="21"/>
                <w:szCs w:val="21"/>
                <w:highlight w:val="none"/>
                <w:lang w:val="en-US" w:eastAsia="zh-CN"/>
              </w:rPr>
              <w:t>符合</w:t>
            </w:r>
            <w:r>
              <w:rPr>
                <w:rFonts w:hint="eastAsia" w:ascii="宋体" w:hAnsi="宋体" w:eastAsia="宋体" w:cs="宋体"/>
                <w:b w:val="0"/>
                <w:bCs/>
                <w:color w:val="auto"/>
                <w:sz w:val="21"/>
                <w:szCs w:val="21"/>
                <w:highlight w:val="none"/>
                <w:lang w:val="en-US" w:eastAsia="zh-CN"/>
              </w:rPr>
              <w:t>GB/T 20394-2019</w:t>
            </w:r>
            <w:r>
              <w:rPr>
                <w:rFonts w:hint="eastAsia" w:ascii="宋体" w:hAnsi="宋体" w:cs="宋体"/>
                <w:b w:val="0"/>
                <w:bCs/>
                <w:color w:val="auto"/>
                <w:sz w:val="21"/>
                <w:szCs w:val="21"/>
                <w:highlight w:val="none"/>
                <w:lang w:val="en-US" w:eastAsia="zh-CN"/>
              </w:rPr>
              <w:t>《体育用人造草》</w:t>
            </w:r>
            <w:r>
              <w:rPr>
                <w:rFonts w:hint="eastAsia" w:ascii="宋体" w:hAnsi="宋体" w:eastAsia="宋体" w:cs="宋体"/>
                <w:b w:val="0"/>
                <w:bCs/>
                <w:color w:val="auto"/>
                <w:sz w:val="21"/>
                <w:szCs w:val="21"/>
                <w:highlight w:val="none"/>
                <w:lang w:val="en-US" w:eastAsia="zh-CN"/>
              </w:rPr>
              <w:t xml:space="preserve">标准。 </w:t>
            </w:r>
          </w:p>
          <w:p w14:paraId="5C42E432">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（4）植草密度：≥23100针/㎡</w:t>
            </w:r>
            <w:r>
              <w:rPr>
                <w:rFonts w:hint="eastAsia" w:ascii="宋体" w:hAnsi="宋体" w:cs="宋体"/>
                <w:b w:val="0"/>
                <w:bCs/>
                <w:color w:val="auto"/>
                <w:sz w:val="21"/>
                <w:szCs w:val="21"/>
                <w:highlight w:val="none"/>
                <w:lang w:val="en-US" w:eastAsia="zh-CN"/>
              </w:rPr>
              <w:t>。</w:t>
            </w:r>
          </w:p>
          <w:p w14:paraId="6E38580C">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（5）透水性：≥30升/分钟/㎡</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无填充物</w:t>
            </w:r>
            <w:r>
              <w:rPr>
                <w:rFonts w:hint="eastAsia" w:ascii="宋体" w:hAnsi="宋体" w:cs="宋体"/>
                <w:b w:val="0"/>
                <w:bCs/>
                <w:color w:val="auto"/>
                <w:sz w:val="21"/>
                <w:szCs w:val="21"/>
                <w:highlight w:val="none"/>
                <w:lang w:val="en-US" w:eastAsia="zh-CN"/>
              </w:rPr>
              <w:t>）。</w:t>
            </w:r>
          </w:p>
          <w:p w14:paraId="1F4D98CF">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（6）颜色：田园绿/柠檬绿</w:t>
            </w:r>
            <w:r>
              <w:rPr>
                <w:rFonts w:hint="eastAsia" w:ascii="宋体" w:hAnsi="宋体" w:cs="宋体"/>
                <w:b w:val="0"/>
                <w:bCs/>
                <w:color w:val="auto"/>
                <w:sz w:val="21"/>
                <w:szCs w:val="21"/>
                <w:highlight w:val="none"/>
                <w:lang w:val="en-US" w:eastAsia="zh-CN"/>
              </w:rPr>
              <w:t>。</w:t>
            </w:r>
          </w:p>
          <w:p w14:paraId="40ED8E6A">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（7）人造草面层成品及草丝的物理机械性能和成品中有害物质限量要求应符合GB 36246-2018《中小学合成材料面层运动场地》</w:t>
            </w:r>
            <w:r>
              <w:rPr>
                <w:rFonts w:hint="eastAsia" w:ascii="宋体" w:hAnsi="宋体" w:cs="宋体"/>
                <w:b w:val="0"/>
                <w:bCs/>
                <w:color w:val="auto"/>
                <w:sz w:val="21"/>
                <w:szCs w:val="21"/>
                <w:highlight w:val="none"/>
                <w:lang w:val="en-US" w:eastAsia="zh-CN"/>
              </w:rPr>
              <w:t>标准</w:t>
            </w:r>
            <w:r>
              <w:rPr>
                <w:rFonts w:hint="eastAsia" w:ascii="宋体" w:hAnsi="宋体" w:eastAsia="宋体" w:cs="宋体"/>
                <w:b w:val="0"/>
                <w:bCs/>
                <w:color w:val="auto"/>
                <w:sz w:val="21"/>
                <w:szCs w:val="21"/>
                <w:highlight w:val="none"/>
                <w:lang w:val="en-US" w:eastAsia="zh-CN"/>
              </w:rPr>
              <w:t>且符合下列</w:t>
            </w:r>
            <w:r>
              <w:rPr>
                <w:rFonts w:hint="eastAsia" w:ascii="宋体" w:hAnsi="宋体" w:cs="宋体"/>
                <w:b w:val="0"/>
                <w:bCs/>
                <w:color w:val="auto"/>
                <w:sz w:val="21"/>
                <w:szCs w:val="21"/>
                <w:highlight w:val="none"/>
                <w:lang w:val="en-US" w:eastAsia="zh-CN"/>
              </w:rPr>
              <w:t>①</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⑤项</w:t>
            </w:r>
            <w:r>
              <w:rPr>
                <w:rFonts w:hint="eastAsia" w:ascii="宋体" w:hAnsi="宋体" w:eastAsia="宋体" w:cs="宋体"/>
                <w:b w:val="0"/>
                <w:bCs/>
                <w:color w:val="auto"/>
                <w:sz w:val="21"/>
                <w:szCs w:val="21"/>
                <w:highlight w:val="none"/>
                <w:lang w:val="en-US" w:eastAsia="zh-CN"/>
              </w:rPr>
              <w:t>基本要求</w:t>
            </w:r>
            <w:r>
              <w:rPr>
                <w:rFonts w:hint="eastAsia" w:ascii="宋体" w:hAnsi="宋体" w:eastAsia="宋体" w:cs="宋体"/>
                <w:b/>
                <w:bCs w:val="0"/>
                <w:color w:val="auto"/>
                <w:sz w:val="21"/>
                <w:szCs w:val="21"/>
                <w:highlight w:val="none"/>
                <w:lang w:val="en-US" w:eastAsia="zh-CN"/>
              </w:rPr>
              <w:t>【供应商于响应文件中必须提供所竞产品由具有“CMA”或“CNAS”标志的第三方检验检测机构出具的能满足以下①-⑤项要求的合格有效检验检测报告复印件（报告可通过二维码或全国认证认可信息公共服务平台查询真伪）】</w:t>
            </w:r>
            <w:r>
              <w:rPr>
                <w:rFonts w:hint="eastAsia" w:ascii="宋体" w:hAnsi="宋体" w:eastAsia="宋体" w:cs="宋体"/>
                <w:b w:val="0"/>
                <w:bCs/>
                <w:color w:val="auto"/>
                <w:sz w:val="21"/>
                <w:szCs w:val="21"/>
                <w:highlight w:val="none"/>
                <w:lang w:val="en-US" w:eastAsia="zh-CN"/>
              </w:rPr>
              <w:t>；</w:t>
            </w:r>
          </w:p>
          <w:p w14:paraId="7A16AF2C">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①</w:t>
            </w:r>
            <w:r>
              <w:rPr>
                <w:rFonts w:hint="eastAsia" w:ascii="宋体" w:hAnsi="宋体" w:eastAsia="宋体" w:cs="宋体"/>
                <w:b w:val="0"/>
                <w:bCs/>
                <w:color w:val="auto"/>
                <w:sz w:val="21"/>
                <w:szCs w:val="21"/>
                <w:highlight w:val="none"/>
                <w:lang w:val="en-US" w:eastAsia="zh-CN"/>
              </w:rPr>
              <w:t>依据GB36246-2018《中小学合成材料面层运动场地》</w:t>
            </w:r>
            <w:r>
              <w:rPr>
                <w:rFonts w:hint="eastAsia" w:ascii="宋体" w:hAnsi="宋体" w:cs="宋体"/>
                <w:b w:val="0"/>
                <w:bCs/>
                <w:color w:val="auto"/>
                <w:sz w:val="21"/>
                <w:szCs w:val="21"/>
                <w:highlight w:val="none"/>
                <w:lang w:val="en-US" w:eastAsia="zh-CN"/>
              </w:rPr>
              <w:t>进行检测且合格；</w:t>
            </w:r>
          </w:p>
          <w:p w14:paraId="5FD4E6BA">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②</w:t>
            </w:r>
            <w:r>
              <w:rPr>
                <w:rFonts w:hint="eastAsia" w:ascii="宋体" w:hAnsi="宋体" w:eastAsia="宋体" w:cs="宋体"/>
                <w:b w:val="0"/>
                <w:bCs/>
                <w:color w:val="auto"/>
                <w:sz w:val="21"/>
                <w:szCs w:val="21"/>
                <w:highlight w:val="none"/>
                <w:lang w:val="en-US" w:eastAsia="zh-CN"/>
              </w:rPr>
              <w:t xml:space="preserve">试草丝拉断力≥13N、单簇草丝拔出力≥43N，底布拉断力纵向≥1200N、底布拉断力横向≥1250N，经过氙灯老化≥168小时+雨水（3%乙酸，40℃）老化≥168小时+高低温老化7次循环（每个循环60℃ 12小时、常温1小时、－40℃ 12小时）老化测试后草丝色牢度≥7级，草丝拉断力保留率≥100%，单簇草丝拔出力保留率≥97.7%，纵向底布拉断力保留率≥97%，横向底布拉断力保留率≥97%。 </w:t>
            </w:r>
          </w:p>
          <w:p w14:paraId="18232B9E">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③</w:t>
            </w:r>
            <w:r>
              <w:rPr>
                <w:rFonts w:hint="eastAsia" w:ascii="宋体" w:hAnsi="宋体" w:eastAsia="宋体" w:cs="宋体"/>
                <w:b w:val="0"/>
                <w:bCs/>
                <w:color w:val="auto"/>
                <w:sz w:val="21"/>
                <w:szCs w:val="21"/>
                <w:highlight w:val="none"/>
                <w:lang w:val="en-US" w:eastAsia="zh-CN"/>
              </w:rPr>
              <w:t>人造草坪产品依据GB 36246-2018</w:t>
            </w:r>
            <w:r>
              <w:rPr>
                <w:rFonts w:hint="eastAsia" w:ascii="宋体" w:hAnsi="宋体" w:cs="宋体"/>
                <w:b w:val="0"/>
                <w:bCs/>
                <w:color w:val="auto"/>
                <w:sz w:val="21"/>
                <w:szCs w:val="21"/>
                <w:highlight w:val="none"/>
                <w:lang w:val="en-US" w:eastAsia="zh-CN"/>
              </w:rPr>
              <w:t>《中小学合成材料面层运动场地》</w:t>
            </w:r>
            <w:r>
              <w:rPr>
                <w:rFonts w:hint="eastAsia" w:ascii="宋体" w:hAnsi="宋体" w:eastAsia="宋体" w:cs="宋体"/>
                <w:b w:val="0"/>
                <w:bCs/>
                <w:color w:val="auto"/>
                <w:sz w:val="21"/>
                <w:szCs w:val="21"/>
                <w:highlight w:val="none"/>
                <w:lang w:val="en-US" w:eastAsia="zh-CN"/>
              </w:rPr>
              <w:t>、GB/T 14833-2020</w:t>
            </w:r>
            <w:r>
              <w:rPr>
                <w:rFonts w:hint="eastAsia" w:ascii="宋体" w:hAnsi="宋体" w:cs="宋体"/>
                <w:b w:val="0"/>
                <w:bCs/>
                <w:color w:val="auto"/>
                <w:sz w:val="21"/>
                <w:szCs w:val="21"/>
                <w:highlight w:val="none"/>
                <w:lang w:val="en-US" w:eastAsia="zh-CN"/>
              </w:rPr>
              <w:t>《合成材料运动场地面层》</w:t>
            </w:r>
            <w:r>
              <w:rPr>
                <w:rFonts w:hint="eastAsia" w:ascii="宋体" w:hAnsi="宋体" w:eastAsia="宋体" w:cs="宋体"/>
                <w:b w:val="0"/>
                <w:bCs/>
                <w:color w:val="auto"/>
                <w:sz w:val="21"/>
                <w:szCs w:val="21"/>
                <w:highlight w:val="none"/>
                <w:lang w:val="en-US" w:eastAsia="zh-CN"/>
              </w:rPr>
              <w:t>标准检测拉伸强度≥11M</w:t>
            </w:r>
            <w:r>
              <w:rPr>
                <w:rFonts w:hint="eastAsia" w:ascii="宋体" w:hAnsi="宋体" w:cs="宋体"/>
                <w:b w:val="0"/>
                <w:bCs/>
                <w:color w:val="auto"/>
                <w:sz w:val="21"/>
                <w:szCs w:val="21"/>
                <w:highlight w:val="none"/>
                <w:lang w:val="en-US" w:eastAsia="zh-CN"/>
              </w:rPr>
              <w:t>P</w:t>
            </w:r>
            <w:r>
              <w:rPr>
                <w:rFonts w:hint="eastAsia" w:ascii="宋体" w:hAnsi="宋体" w:eastAsia="宋体" w:cs="宋体"/>
                <w:b w:val="0"/>
                <w:bCs/>
                <w:color w:val="auto"/>
                <w:sz w:val="21"/>
                <w:szCs w:val="21"/>
                <w:highlight w:val="none"/>
                <w:lang w:val="en-US" w:eastAsia="zh-CN"/>
              </w:rPr>
              <w:t>a，经过氙灯老化≥500小时+雨水（3%乙酸，40℃）老化≥500小时+高低温老化20次循环（每个循环60℃ 12小时、常温1小时、－40℃ 12小时）后测试抗滑值≥85BPN、拉断伸长率≥45%、阻燃性能</w:t>
            </w:r>
            <w:r>
              <w:rPr>
                <w:rFonts w:hint="eastAsia" w:ascii="宋体" w:hAnsi="宋体" w:cs="宋体"/>
                <w:b w:val="0"/>
                <w:bCs/>
                <w:color w:val="auto"/>
                <w:sz w:val="21"/>
                <w:szCs w:val="21"/>
                <w:highlight w:val="none"/>
                <w:lang w:val="en-US" w:eastAsia="zh-CN"/>
              </w:rPr>
              <w:t>不低于</w:t>
            </w:r>
            <w:r>
              <w:rPr>
                <w:rFonts w:hint="eastAsia" w:ascii="宋体" w:hAnsi="宋体" w:eastAsia="宋体" w:cs="宋体"/>
                <w:b w:val="0"/>
                <w:bCs/>
                <w:color w:val="auto"/>
                <w:sz w:val="21"/>
                <w:szCs w:val="21"/>
                <w:highlight w:val="none"/>
                <w:lang w:val="en-US" w:eastAsia="zh-CN"/>
              </w:rPr>
              <w:t xml:space="preserve">Ⅰ级、拉伸强度保留率≥85%。 </w:t>
            </w:r>
          </w:p>
          <w:p w14:paraId="5CE7605F">
            <w:pPr>
              <w:pStyle w:val="5"/>
              <w:keepNext w:val="0"/>
              <w:keepLines w:val="0"/>
              <w:widowControl/>
              <w:numPr>
                <w:ilvl w:val="2"/>
                <w:numId w:val="0"/>
              </w:numPr>
              <w:suppressLineNumbers w:val="0"/>
              <w:shd w:val="clear" w:fill="FFFFFF"/>
              <w:ind w:leftChars="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④人造草坪产品依据GB/T 20394-2019《</w:t>
            </w:r>
            <w:r>
              <w:rPr>
                <w:rFonts w:hint="default" w:ascii="宋体" w:hAnsi="宋体" w:eastAsia="宋体" w:cs="宋体"/>
                <w:b w:val="0"/>
                <w:bCs/>
                <w:color w:val="auto"/>
                <w:sz w:val="21"/>
                <w:szCs w:val="21"/>
                <w:highlight w:val="none"/>
                <w:lang w:val="en-US" w:eastAsia="zh-CN"/>
              </w:rPr>
              <w:t>体育用人造草</w:t>
            </w:r>
            <w:r>
              <w:rPr>
                <w:rFonts w:hint="eastAsia" w:ascii="宋体" w:hAnsi="宋体" w:eastAsia="宋体" w:cs="宋体"/>
                <w:b w:val="0"/>
                <w:bCs/>
                <w:color w:val="auto"/>
                <w:sz w:val="21"/>
                <w:szCs w:val="21"/>
                <w:highlight w:val="none"/>
                <w:lang w:val="en-US" w:eastAsia="zh-CN"/>
              </w:rPr>
              <w:t xml:space="preserve">》、GB36246-2018《中小学合成材料面层运动场地》、GB/T 43566-2023《中小学人造草面层足球场地》标准进行氙灯168h+耐酸（30%硫酸）48h+耐碱（20%碳酸钠）48h+常温常湿（23℃、湿度50%）48h+高温（90℃、湿度5%）48h+低温（-40℃、湿度5%）48h老化后测试三种邻苯二甲酸酯类化合物（DBP、BBP、DEHP）总和、三种邻苯二甲酸酯类化合物（DNOP、DINP、DIDP）总和、18种多环芳烃总和、苯并[a]芘、可溶性铅、可溶性镉、可溶性铬、可溶性汞、总挥发性有机化合物（TVOC）、甲醛、苯、甲苯、二甲苯和乙苯总和检测结论均为未检出。 </w:t>
            </w:r>
          </w:p>
          <w:p w14:paraId="2CC481C8">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⑤</w:t>
            </w:r>
            <w:r>
              <w:rPr>
                <w:rFonts w:hint="eastAsia" w:ascii="宋体" w:hAnsi="宋体" w:eastAsia="宋体" w:cs="宋体"/>
                <w:b w:val="0"/>
                <w:bCs/>
                <w:color w:val="auto"/>
                <w:sz w:val="21"/>
                <w:szCs w:val="21"/>
                <w:highlight w:val="none"/>
                <w:lang w:val="en-US" w:eastAsia="zh-CN"/>
              </w:rPr>
              <w:t>人造草坪产品依据GB/T 20394-2019</w:t>
            </w:r>
            <w:r>
              <w:rPr>
                <w:rFonts w:hint="eastAsia" w:ascii="宋体" w:hAnsi="宋体" w:cs="宋体"/>
                <w:b w:val="0"/>
                <w:bCs/>
                <w:color w:val="auto"/>
                <w:sz w:val="21"/>
                <w:szCs w:val="21"/>
                <w:highlight w:val="none"/>
                <w:lang w:val="en-US" w:eastAsia="zh-CN"/>
              </w:rPr>
              <w:t>（体育用人造草）</w:t>
            </w:r>
            <w:r>
              <w:rPr>
                <w:rFonts w:hint="eastAsia" w:ascii="宋体" w:hAnsi="宋体" w:eastAsia="宋体" w:cs="宋体"/>
                <w:b w:val="0"/>
                <w:bCs/>
                <w:color w:val="auto"/>
                <w:sz w:val="21"/>
                <w:szCs w:val="21"/>
                <w:highlight w:val="none"/>
                <w:lang w:val="en-US" w:eastAsia="zh-CN"/>
              </w:rPr>
              <w:t>、GB36246-2018</w:t>
            </w:r>
            <w:r>
              <w:rPr>
                <w:rFonts w:hint="eastAsia" w:ascii="宋体" w:hAnsi="宋体" w:cs="宋体"/>
                <w:b w:val="0"/>
                <w:bCs/>
                <w:color w:val="auto"/>
                <w:sz w:val="21"/>
                <w:szCs w:val="21"/>
                <w:highlight w:val="none"/>
                <w:lang w:val="en-US" w:eastAsia="zh-CN"/>
              </w:rPr>
              <w:t>《中小学合成材料面层运动场地》</w:t>
            </w:r>
            <w:r>
              <w:rPr>
                <w:rFonts w:hint="eastAsia" w:ascii="宋体" w:hAnsi="宋体" w:eastAsia="宋体" w:cs="宋体"/>
                <w:b w:val="0"/>
                <w:bCs/>
                <w:color w:val="auto"/>
                <w:sz w:val="21"/>
                <w:szCs w:val="21"/>
                <w:highlight w:val="none"/>
                <w:lang w:val="en-US" w:eastAsia="zh-CN"/>
              </w:rPr>
              <w:t>、GB/T 43566-2023</w:t>
            </w:r>
            <w:r>
              <w:rPr>
                <w:rFonts w:hint="eastAsia" w:ascii="宋体" w:hAnsi="宋体" w:cs="宋体"/>
                <w:b w:val="0"/>
                <w:bCs/>
                <w:color w:val="auto"/>
                <w:sz w:val="21"/>
                <w:szCs w:val="21"/>
                <w:highlight w:val="none"/>
                <w:lang w:val="en-US" w:eastAsia="zh-CN"/>
              </w:rPr>
              <w:t>《中小学人造草面层足球场地》</w:t>
            </w:r>
            <w:r>
              <w:rPr>
                <w:rFonts w:hint="eastAsia" w:ascii="宋体" w:hAnsi="宋体" w:eastAsia="宋体" w:cs="宋体"/>
                <w:b w:val="0"/>
                <w:bCs/>
                <w:color w:val="auto"/>
                <w:sz w:val="21"/>
                <w:szCs w:val="21"/>
                <w:highlight w:val="none"/>
                <w:lang w:val="en-US" w:eastAsia="zh-CN"/>
              </w:rPr>
              <w:t>标准测试草丝拉断力≥25N、单簇草丝拔出力≥115N，底布拉断力（纵向）≥2200N</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底布拉断力（横向）≥2000N，经过氙灯168h+耐酸（30%硫酸）48h+耐碱（20%碳酸钠）48h+常温常湿（23℃、湿度50%）48h+高温（90℃、湿度5%）48h+低温（-40℃、湿度5%）48h老化后测试草丝色牢度≥7级、草丝拉断力保留率≥94%、单簇草丝拔出力保留率≥94%，底布拉断力保留率（纵向）≥95%</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 xml:space="preserve">底布拉断力（横向）≥95%。 </w:t>
            </w:r>
          </w:p>
          <w:p w14:paraId="5D599590">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（8）</w:t>
            </w:r>
            <w:r>
              <w:rPr>
                <w:rFonts w:hint="eastAsia" w:ascii="宋体" w:hAnsi="宋体" w:eastAsia="宋体" w:cs="宋体"/>
                <w:b w:val="0"/>
                <w:bCs/>
                <w:color w:val="auto"/>
                <w:sz w:val="21"/>
                <w:szCs w:val="21"/>
                <w:highlight w:val="none"/>
                <w:lang w:val="en-US" w:eastAsia="zh-CN"/>
              </w:rPr>
              <w:t>10mm高弹缓冲垫</w:t>
            </w:r>
            <w:r>
              <w:rPr>
                <w:rFonts w:hint="eastAsia" w:ascii="宋体" w:hAnsi="宋体" w:cs="宋体"/>
                <w:b w:val="0"/>
                <w:bCs/>
                <w:color w:val="auto"/>
                <w:sz w:val="21"/>
                <w:szCs w:val="21"/>
                <w:highlight w:val="none"/>
                <w:lang w:val="en-US" w:eastAsia="zh-CN"/>
              </w:rPr>
              <w:t>。</w:t>
            </w:r>
          </w:p>
          <w:p w14:paraId="0C12B06B">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lang w:val="en-US" w:eastAsia="zh-CN"/>
              </w:rPr>
              <w:t>供应商于成交后施工前向采购人提供</w:t>
            </w:r>
            <w:r>
              <w:rPr>
                <w:rFonts w:hint="eastAsia" w:ascii="宋体" w:hAnsi="宋体" w:cs="宋体"/>
                <w:b w:val="0"/>
                <w:bCs/>
                <w:color w:val="auto"/>
                <w:sz w:val="21"/>
                <w:szCs w:val="21"/>
                <w:highlight w:val="none"/>
                <w:lang w:val="en-US" w:eastAsia="zh-CN"/>
              </w:rPr>
              <w:t>上述</w:t>
            </w:r>
            <w:r>
              <w:rPr>
                <w:rFonts w:hint="eastAsia" w:ascii="宋体" w:hAnsi="宋体" w:eastAsia="宋体" w:cs="宋体"/>
                <w:b w:val="0"/>
                <w:bCs/>
                <w:color w:val="auto"/>
                <w:sz w:val="21"/>
                <w:szCs w:val="21"/>
                <w:highlight w:val="none"/>
                <w:lang w:val="en-US" w:eastAsia="zh-CN"/>
              </w:rPr>
              <w:t>符合要求的检测报告原件进行核查，否则按违约处理，采购人有权解除合同。</w:t>
            </w:r>
          </w:p>
          <w:p w14:paraId="173276DE">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（四）其他技术服务要求</w:t>
            </w:r>
          </w:p>
          <w:p w14:paraId="258EC429">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1.采购范围：根据采购人提供的图纸、工程量清单及工程管理相关要求，完成本工程施工、验收以及工程管理服务。</w:t>
            </w:r>
          </w:p>
          <w:p w14:paraId="5CD149FE">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供应商须按国家、地方、行业规定以及采购人要求的工程措施、安全措施、文明措施对项目进行工程管理，作为以施工为主的供应商施工单位对项目负总责，负责对施工的质量、进度、安全、投资控制、文明施工等进行全面协调管理。</w:t>
            </w:r>
          </w:p>
          <w:p w14:paraId="65B092A3">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color w:val="auto"/>
                <w:highlight w:val="none"/>
              </w:rPr>
            </w:pPr>
            <w:r>
              <w:rPr>
                <w:rFonts w:hint="eastAsia" w:ascii="宋体" w:hAnsi="宋体" w:eastAsia="宋体" w:cs="宋体"/>
                <w:b w:val="0"/>
                <w:bCs/>
                <w:color w:val="auto"/>
                <w:sz w:val="21"/>
                <w:szCs w:val="21"/>
                <w:highlight w:val="none"/>
                <w:lang w:val="en-US" w:eastAsia="zh-CN"/>
              </w:rPr>
              <w:t>3.采购人根据工程实施情况，有权对</w:t>
            </w:r>
            <w:r>
              <w:rPr>
                <w:rFonts w:hint="eastAsia" w:ascii="宋体" w:hAnsi="宋体" w:cs="宋体"/>
                <w:b w:val="0"/>
                <w:bCs/>
                <w:color w:val="auto"/>
                <w:sz w:val="21"/>
                <w:szCs w:val="21"/>
                <w:highlight w:val="none"/>
                <w:lang w:val="en-US" w:eastAsia="zh-CN"/>
              </w:rPr>
              <w:t>本项目</w:t>
            </w:r>
            <w:r>
              <w:rPr>
                <w:rFonts w:hint="eastAsia" w:ascii="宋体" w:hAnsi="宋体" w:eastAsia="宋体" w:cs="宋体"/>
                <w:b w:val="0"/>
                <w:bCs/>
                <w:color w:val="auto"/>
                <w:sz w:val="21"/>
                <w:szCs w:val="21"/>
                <w:highlight w:val="none"/>
                <w:lang w:val="en-US" w:eastAsia="zh-CN"/>
              </w:rPr>
              <w:t>的承包范围及内容进行适当调整，</w:t>
            </w:r>
            <w:r>
              <w:rPr>
                <w:rFonts w:hint="eastAsia" w:ascii="宋体" w:hAnsi="宋体" w:cs="宋体"/>
                <w:b w:val="0"/>
                <w:bCs/>
                <w:color w:val="auto"/>
                <w:sz w:val="21"/>
                <w:szCs w:val="21"/>
                <w:highlight w:val="none"/>
                <w:lang w:val="en-US" w:eastAsia="zh-CN"/>
              </w:rPr>
              <w:t>成交供应商</w:t>
            </w:r>
            <w:r>
              <w:rPr>
                <w:rFonts w:hint="eastAsia" w:ascii="宋体" w:hAnsi="宋体" w:eastAsia="宋体" w:cs="宋体"/>
                <w:b w:val="0"/>
                <w:bCs/>
                <w:color w:val="auto"/>
                <w:sz w:val="21"/>
                <w:szCs w:val="21"/>
                <w:highlight w:val="none"/>
                <w:lang w:val="en-US" w:eastAsia="zh-CN"/>
              </w:rPr>
              <w:t>无条件服从。</w:t>
            </w:r>
          </w:p>
        </w:tc>
        <w:tc>
          <w:tcPr>
            <w:tcW w:w="1339"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53AB975">
            <w:pPr>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1530000.00</w:t>
            </w:r>
          </w:p>
        </w:tc>
      </w:tr>
      <w:tr w14:paraId="5F90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09"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8097AD8">
            <w:pPr>
              <w:spacing w:line="400" w:lineRule="exact"/>
              <w:ind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114"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2645004">
            <w:pPr>
              <w:spacing w:line="400" w:lineRule="exact"/>
              <w:ind w:firstLine="0" w:firstLineChars="0"/>
              <w:jc w:val="center"/>
              <w:rPr>
                <w:rFonts w:hint="eastAsia" w:ascii="宋体" w:hAnsi="宋体"/>
                <w:color w:val="auto"/>
                <w:sz w:val="21"/>
                <w:szCs w:val="24"/>
                <w:highlight w:val="none"/>
              </w:rPr>
            </w:pPr>
            <w:r>
              <w:rPr>
                <w:rFonts w:hint="eastAsia" w:ascii="宋体" w:hAnsi="宋体"/>
                <w:color w:val="auto"/>
                <w:sz w:val="21"/>
                <w:szCs w:val="24"/>
                <w:highlight w:val="none"/>
              </w:rPr>
              <w:t>桂林市第十三中学校园硅PU篮球场</w:t>
            </w:r>
          </w:p>
        </w:tc>
        <w:tc>
          <w:tcPr>
            <w:tcW w:w="732"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72EE47D1">
            <w:pPr>
              <w:spacing w:line="40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669"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2258E1E">
            <w:pPr>
              <w:spacing w:line="40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项</w:t>
            </w:r>
          </w:p>
        </w:tc>
        <w:tc>
          <w:tcPr>
            <w:tcW w:w="4915" w:type="dxa"/>
            <w:vMerge w:val="continue"/>
            <w:tcBorders>
              <w:left w:val="single" w:color="auto" w:sz="4" w:space="0"/>
              <w:bottom w:val="single" w:color="auto" w:sz="4" w:space="0"/>
              <w:right w:val="single" w:color="auto" w:sz="4" w:space="0"/>
            </w:tcBorders>
            <w:tcMar>
              <w:top w:w="13" w:type="dxa"/>
              <w:left w:w="57" w:type="dxa"/>
              <w:bottom w:w="0" w:type="dxa"/>
              <w:right w:w="57" w:type="dxa"/>
            </w:tcMar>
            <w:vAlign w:val="center"/>
          </w:tcPr>
          <w:p w14:paraId="0DD6F958">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sz w:val="21"/>
                <w:szCs w:val="21"/>
                <w:highlight w:val="none"/>
                <w:lang w:val="en-US" w:eastAsia="zh-CN"/>
              </w:rPr>
            </w:pPr>
          </w:p>
        </w:tc>
        <w:tc>
          <w:tcPr>
            <w:tcW w:w="1339" w:type="dxa"/>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4EF08547">
            <w:pPr>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410000.00</w:t>
            </w:r>
          </w:p>
        </w:tc>
      </w:tr>
      <w:tr w14:paraId="3F48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78" w:type="dxa"/>
            <w:gridSpan w:val="8"/>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3F4E70C3">
            <w:pPr>
              <w:spacing w:line="400" w:lineRule="exact"/>
              <w:ind w:firstLine="0" w:firstLineChars="0"/>
              <w:jc w:val="left"/>
              <w:rPr>
                <w:rFonts w:ascii="宋体" w:hAnsi="宋体" w:cs="宋体"/>
                <w:b/>
                <w:color w:val="auto"/>
                <w:sz w:val="21"/>
                <w:szCs w:val="21"/>
                <w:highlight w:val="none"/>
              </w:rPr>
            </w:pPr>
            <w:r>
              <w:rPr>
                <w:rFonts w:hint="eastAsia" w:ascii="宋体" w:hAnsi="宋体"/>
                <w:b/>
                <w:color w:val="auto"/>
                <w:szCs w:val="21"/>
                <w:highlight w:val="none"/>
              </w:rPr>
              <w:t>▲</w:t>
            </w:r>
            <w:r>
              <w:rPr>
                <w:rFonts w:hint="eastAsia" w:ascii="宋体" w:hAnsi="宋体" w:cs="宋体"/>
                <w:b/>
                <w:color w:val="auto"/>
                <w:sz w:val="21"/>
                <w:szCs w:val="21"/>
                <w:highlight w:val="none"/>
              </w:rPr>
              <w:t>二、商务要求</w:t>
            </w:r>
          </w:p>
        </w:tc>
      </w:tr>
      <w:tr w14:paraId="5B96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62E8FB55">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（一）</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1EFEDD8C">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项目工期</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32860C64">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70</w:t>
            </w:r>
            <w:r>
              <w:rPr>
                <w:rFonts w:hint="eastAsia" w:ascii="宋体" w:hAnsi="宋体" w:cs="宋体"/>
                <w:color w:val="auto"/>
                <w:sz w:val="21"/>
                <w:szCs w:val="21"/>
                <w:highlight w:val="none"/>
              </w:rPr>
              <w:t>日历天</w:t>
            </w:r>
          </w:p>
        </w:tc>
      </w:tr>
      <w:tr w14:paraId="6FB8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B1278AD">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（二）</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7EAC4941">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安全责任</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32833C99">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工程在运输、安装、拆除等整个工程活动期间，在工程实施地点范围内，所有安全责任均由施工方负责。</w:t>
            </w:r>
          </w:p>
        </w:tc>
      </w:tr>
      <w:tr w14:paraId="18FF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1552FB0D">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（三）</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2B75D101">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工程质量保修</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61DFDE71">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质量保修范围和内容：</w:t>
            </w:r>
            <w:r>
              <w:rPr>
                <w:rFonts w:hint="eastAsia" w:ascii="宋体" w:hAnsi="宋体" w:cs="宋体"/>
                <w:color w:val="auto"/>
                <w:sz w:val="21"/>
                <w:szCs w:val="21"/>
                <w:highlight w:val="none"/>
                <w:lang w:eastAsia="zh-CN"/>
              </w:rPr>
              <w:t>成交供应商</w:t>
            </w:r>
            <w:r>
              <w:rPr>
                <w:rFonts w:hint="eastAsia" w:ascii="宋体" w:hAnsi="宋体" w:eastAsia="宋体" w:cs="宋体"/>
                <w:color w:val="auto"/>
                <w:sz w:val="21"/>
                <w:szCs w:val="21"/>
                <w:highlight w:val="none"/>
              </w:rPr>
              <w:t>在质量保修期内，按照有关法律规定和合同约定，承担工程质量保修责任。质量保修范围</w:t>
            </w:r>
            <w:r>
              <w:rPr>
                <w:rFonts w:hint="eastAsia" w:ascii="宋体" w:hAnsi="宋体" w:eastAsia="宋体" w:cs="宋体"/>
                <w:color w:val="auto"/>
                <w:sz w:val="21"/>
                <w:szCs w:val="21"/>
                <w:highlight w:val="none"/>
                <w:lang w:eastAsia="zh-CN"/>
              </w:rPr>
              <w:t>为桂林市第十三中学校园操场改造及校园硅PU篮球场项目中所涉及的相关工程，包括但不限于桂林市第十三中学校园操场改造中原混合型塑胶跑道拆除、13mm混合型塑胶跑道敷设、80mm沥青铺装、排水沟、主席台砌筑等项目；桂林市第十三中学校园硅PU篮球场中原硅PU拆除、8mm硅PU敷设、80mm沥青铺装等项目内容。</w:t>
            </w:r>
          </w:p>
          <w:p w14:paraId="64656F0A">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质量保修期自工程竣工验收合格之日起计算。</w:t>
            </w:r>
          </w:p>
          <w:p w14:paraId="2261B23E">
            <w:pPr>
              <w:spacing w:line="360" w:lineRule="exact"/>
              <w:ind w:firstLine="0" w:firstLineChars="0"/>
              <w:jc w:val="left"/>
              <w:rPr>
                <w:rFonts w:hAnsi="宋体" w:cs="宋体"/>
                <w:color w:val="auto"/>
                <w:sz w:val="21"/>
                <w:szCs w:val="21"/>
                <w:highlight w:val="none"/>
              </w:rPr>
            </w:pPr>
            <w:r>
              <w:rPr>
                <w:rFonts w:hint="eastAsia" w:ascii="宋体" w:hAnsi="宋体"/>
                <w:color w:val="auto"/>
                <w:sz w:val="21"/>
                <w:szCs w:val="24"/>
                <w:highlight w:val="none"/>
              </w:rPr>
              <w:t>工程质量保修期不得少于</w:t>
            </w:r>
            <w:r>
              <w:rPr>
                <w:rFonts w:hint="eastAsia" w:ascii="宋体" w:hAnsi="宋体"/>
                <w:color w:val="auto"/>
                <w:sz w:val="21"/>
                <w:szCs w:val="24"/>
                <w:highlight w:val="none"/>
                <w:lang w:val="en-US" w:eastAsia="zh-CN"/>
              </w:rPr>
              <w:t>3年</w:t>
            </w:r>
            <w:r>
              <w:rPr>
                <w:rFonts w:hint="eastAsia" w:ascii="宋体" w:hAnsi="宋体"/>
                <w:color w:val="auto"/>
                <w:sz w:val="21"/>
                <w:szCs w:val="24"/>
                <w:highlight w:val="none"/>
              </w:rPr>
              <w:t>。</w:t>
            </w:r>
          </w:p>
        </w:tc>
      </w:tr>
      <w:tr w14:paraId="6F99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74F2676">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（四）</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22834194">
            <w:pPr>
              <w:spacing w:line="36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26719CD2">
            <w:pPr>
              <w:spacing w:line="36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按照符合国家工程施工验收规范合格标准，双方到场共同验收。如采购人上级单位要求由其委派的第三方机构共同验收的，则采购人组织</w:t>
            </w:r>
            <w:r>
              <w:rPr>
                <w:rFonts w:hint="eastAsia" w:ascii="宋体" w:hAnsi="宋体" w:cs="宋体"/>
                <w:color w:val="auto"/>
                <w:sz w:val="21"/>
                <w:szCs w:val="21"/>
                <w:highlight w:val="none"/>
                <w:lang w:eastAsia="zh-CN"/>
              </w:rPr>
              <w:t>成交供应商</w:t>
            </w:r>
            <w:r>
              <w:rPr>
                <w:rFonts w:hint="eastAsia" w:ascii="宋体" w:hAnsi="宋体" w:eastAsia="宋体" w:cs="宋体"/>
                <w:color w:val="auto"/>
                <w:sz w:val="21"/>
                <w:szCs w:val="21"/>
                <w:highlight w:val="none"/>
              </w:rPr>
              <w:t>及采购人上级单位要求由其委派的第三方机构共同参与验收。</w:t>
            </w:r>
          </w:p>
        </w:tc>
      </w:tr>
      <w:tr w14:paraId="3268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163AD6A">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（五）</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68007307">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磋商报价</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7449C43C">
            <w:pPr>
              <w:spacing w:line="36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采用工程量清单报价。</w:t>
            </w:r>
          </w:p>
          <w:p w14:paraId="4CFA1E4B">
            <w:pPr>
              <w:adjustRightInd w:val="0"/>
              <w:snapToGrid w:val="0"/>
              <w:spacing w:line="360" w:lineRule="exact"/>
              <w:ind w:firstLine="0" w:firstLineChars="0"/>
              <w:rPr>
                <w:rFonts w:ascii="宋体" w:hAnsi="宋体" w:cs="Calibri"/>
                <w:color w:val="auto"/>
                <w:spacing w:val="-2"/>
                <w:kern w:val="0"/>
                <w:sz w:val="21"/>
                <w:szCs w:val="21"/>
                <w:highlight w:val="none"/>
              </w:rPr>
            </w:pPr>
            <w:r>
              <w:rPr>
                <w:rFonts w:hint="eastAsia" w:ascii="宋体" w:hAnsi="宋体" w:cs="宋体"/>
                <w:color w:val="auto"/>
                <w:sz w:val="21"/>
                <w:szCs w:val="21"/>
                <w:highlight w:val="none"/>
              </w:rPr>
              <w:t>报价要求：报价</w:t>
            </w:r>
            <w:r>
              <w:rPr>
                <w:rFonts w:hint="eastAsia" w:ascii="宋体" w:hAnsi="宋体" w:cs="宋体"/>
                <w:bCs/>
                <w:color w:val="auto"/>
                <w:sz w:val="21"/>
                <w:szCs w:val="21"/>
                <w:highlight w:val="none"/>
              </w:rPr>
              <w:t>包括施工设备、主要材料、辅助材料、铺装、垃圾清运、劳务、管理、维护、保险、利润、增值税、政策性文件规定及合同包含的所有风险、责任等各项应有费用。</w:t>
            </w:r>
          </w:p>
        </w:tc>
      </w:tr>
      <w:tr w14:paraId="0249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0D905A2">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（六）</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20B9D046">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付款方式</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5719C987">
            <w:pPr>
              <w:spacing w:line="360" w:lineRule="exact"/>
              <w:ind w:firstLine="0" w:firstLineChars="0"/>
              <w:jc w:val="left"/>
              <w:rPr>
                <w:rFonts w:hint="eastAsia" w:cs="Calibri"/>
                <w:b w:val="0"/>
                <w:bCs/>
                <w:color w:val="auto"/>
                <w:sz w:val="21"/>
                <w:szCs w:val="21"/>
                <w:highlight w:val="none"/>
              </w:rPr>
            </w:pPr>
            <w:r>
              <w:rPr>
                <w:rFonts w:hint="eastAsia" w:cs="Calibri"/>
                <w:color w:val="auto"/>
                <w:sz w:val="21"/>
                <w:szCs w:val="21"/>
                <w:highlight w:val="none"/>
              </w:rPr>
              <w:t>本项目无预付款，</w:t>
            </w:r>
            <w:r>
              <w:rPr>
                <w:rFonts w:hint="eastAsia" w:cs="Calibri"/>
                <w:color w:val="auto"/>
                <w:sz w:val="21"/>
                <w:szCs w:val="21"/>
                <w:highlight w:val="none"/>
                <w:lang w:eastAsia="zh-CN"/>
              </w:rPr>
              <w:t>成交供应商施工</w:t>
            </w:r>
            <w:r>
              <w:rPr>
                <w:rFonts w:hint="eastAsia" w:cs="Calibri"/>
                <w:color w:val="auto"/>
                <w:sz w:val="21"/>
                <w:szCs w:val="21"/>
                <w:highlight w:val="none"/>
              </w:rPr>
              <w:t>完毕、验收合格，并</w:t>
            </w:r>
            <w:r>
              <w:rPr>
                <w:rFonts w:hint="eastAsia" w:cs="Calibri"/>
                <w:color w:val="auto"/>
                <w:sz w:val="21"/>
                <w:szCs w:val="21"/>
                <w:highlight w:val="none"/>
                <w:lang w:eastAsia="zh-CN"/>
              </w:rPr>
              <w:t>向采购人</w:t>
            </w:r>
            <w:r>
              <w:rPr>
                <w:rFonts w:hint="eastAsia" w:cs="Calibri"/>
                <w:color w:val="auto"/>
                <w:sz w:val="21"/>
                <w:szCs w:val="21"/>
                <w:highlight w:val="none"/>
              </w:rPr>
              <w:t>开具全额增值税发票后，可支付合同款的80%，</w:t>
            </w:r>
            <w:r>
              <w:rPr>
                <w:rFonts w:hint="eastAsia" w:ascii="宋体" w:hAnsi="宋体" w:cs="宋体"/>
                <w:b w:val="0"/>
                <w:bCs/>
                <w:color w:val="auto"/>
                <w:sz w:val="21"/>
                <w:szCs w:val="21"/>
                <w:highlight w:val="none"/>
                <w:lang w:eastAsia="zh-CN"/>
              </w:rPr>
              <w:t>送审结算完成</w:t>
            </w:r>
            <w:r>
              <w:rPr>
                <w:rFonts w:hint="eastAsia" w:ascii="宋体" w:hAnsi="宋体" w:cs="宋体"/>
                <w:b w:val="0"/>
                <w:bCs/>
                <w:color w:val="auto"/>
                <w:sz w:val="21"/>
                <w:szCs w:val="21"/>
                <w:highlight w:val="none"/>
              </w:rPr>
              <w:t>后支付</w:t>
            </w:r>
            <w:r>
              <w:rPr>
                <w:rFonts w:hint="eastAsia" w:ascii="宋体" w:hAnsi="宋体" w:cs="宋体"/>
                <w:b w:val="0"/>
                <w:bCs/>
                <w:color w:val="auto"/>
                <w:sz w:val="21"/>
                <w:szCs w:val="21"/>
                <w:highlight w:val="none"/>
                <w:lang w:eastAsia="zh-CN"/>
              </w:rPr>
              <w:t>至结算价</w:t>
            </w:r>
            <w:r>
              <w:rPr>
                <w:rFonts w:hint="eastAsia" w:ascii="宋体" w:hAnsi="宋体" w:cs="宋体"/>
                <w:b w:val="0"/>
                <w:bCs/>
                <w:color w:val="auto"/>
                <w:sz w:val="21"/>
                <w:szCs w:val="21"/>
                <w:highlight w:val="none"/>
              </w:rPr>
              <w:t>的97%工程款</w:t>
            </w:r>
            <w:r>
              <w:rPr>
                <w:rFonts w:hint="eastAsia" w:ascii="宋体" w:hAnsi="宋体" w:cs="宋体"/>
                <w:b w:val="0"/>
                <w:bCs/>
                <w:color w:val="auto"/>
                <w:sz w:val="21"/>
                <w:szCs w:val="21"/>
                <w:highlight w:val="none"/>
                <w:lang w:eastAsia="zh-CN"/>
              </w:rPr>
              <w:t>（无息）</w:t>
            </w:r>
            <w:r>
              <w:rPr>
                <w:rFonts w:hint="eastAsia" w:cs="Calibri"/>
                <w:b w:val="0"/>
                <w:bCs/>
                <w:color w:val="auto"/>
                <w:sz w:val="21"/>
                <w:szCs w:val="21"/>
                <w:highlight w:val="none"/>
              </w:rPr>
              <w:t>。</w:t>
            </w:r>
          </w:p>
          <w:p w14:paraId="1416C317">
            <w:pPr>
              <w:spacing w:line="360" w:lineRule="exact"/>
              <w:ind w:firstLine="0" w:firstLineChars="0"/>
              <w:jc w:val="left"/>
              <w:rPr>
                <w:rFonts w:cs="Calibri"/>
                <w:color w:val="auto"/>
                <w:sz w:val="21"/>
                <w:szCs w:val="21"/>
                <w:highlight w:val="none"/>
              </w:rPr>
            </w:pPr>
            <w:r>
              <w:rPr>
                <w:rFonts w:hint="eastAsia" w:cs="Calibri"/>
                <w:color w:val="auto"/>
                <w:sz w:val="21"/>
                <w:szCs w:val="21"/>
                <w:highlight w:val="none"/>
              </w:rPr>
              <w:t>注：因</w:t>
            </w:r>
            <w:r>
              <w:rPr>
                <w:rFonts w:hint="eastAsia" w:cs="Calibri"/>
                <w:color w:val="auto"/>
                <w:sz w:val="21"/>
                <w:szCs w:val="21"/>
                <w:highlight w:val="none"/>
                <w:lang w:eastAsia="zh-CN"/>
              </w:rPr>
              <w:t>采购人</w:t>
            </w:r>
            <w:r>
              <w:rPr>
                <w:rFonts w:hint="eastAsia" w:cs="Calibri"/>
                <w:color w:val="auto"/>
                <w:sz w:val="21"/>
                <w:szCs w:val="21"/>
                <w:highlight w:val="none"/>
              </w:rPr>
              <w:t>支付的工程款为上级财政拨付，如上级财政未能按合同约定及时拨款至</w:t>
            </w:r>
            <w:r>
              <w:rPr>
                <w:rFonts w:hint="eastAsia" w:cs="Calibri"/>
                <w:color w:val="auto"/>
                <w:sz w:val="21"/>
                <w:szCs w:val="21"/>
                <w:highlight w:val="none"/>
                <w:lang w:eastAsia="zh-CN"/>
              </w:rPr>
              <w:t>采购人</w:t>
            </w:r>
            <w:r>
              <w:rPr>
                <w:rFonts w:hint="eastAsia" w:cs="Calibri"/>
                <w:color w:val="auto"/>
                <w:sz w:val="21"/>
                <w:szCs w:val="21"/>
                <w:highlight w:val="none"/>
              </w:rPr>
              <w:t>账户，</w:t>
            </w:r>
            <w:r>
              <w:rPr>
                <w:rFonts w:hint="eastAsia" w:cs="Calibri"/>
                <w:color w:val="auto"/>
                <w:sz w:val="21"/>
                <w:szCs w:val="21"/>
                <w:highlight w:val="none"/>
                <w:lang w:eastAsia="zh-CN"/>
              </w:rPr>
              <w:t>采购人</w:t>
            </w:r>
            <w:r>
              <w:rPr>
                <w:rFonts w:hint="eastAsia" w:cs="Calibri"/>
                <w:color w:val="auto"/>
                <w:sz w:val="21"/>
                <w:szCs w:val="21"/>
                <w:highlight w:val="none"/>
              </w:rPr>
              <w:t>付款期限则自动延期，且</w:t>
            </w:r>
            <w:r>
              <w:rPr>
                <w:rFonts w:hint="eastAsia" w:cs="Calibri"/>
                <w:color w:val="auto"/>
                <w:sz w:val="21"/>
                <w:szCs w:val="21"/>
                <w:highlight w:val="none"/>
                <w:lang w:eastAsia="zh-CN"/>
              </w:rPr>
              <w:t>采购人</w:t>
            </w:r>
            <w:r>
              <w:rPr>
                <w:rFonts w:hint="eastAsia" w:cs="Calibri"/>
                <w:color w:val="auto"/>
                <w:sz w:val="21"/>
                <w:szCs w:val="21"/>
                <w:highlight w:val="none"/>
              </w:rPr>
              <w:t>无需承担任何违约责任，付款时间更改为上级财政拨款至</w:t>
            </w:r>
            <w:r>
              <w:rPr>
                <w:rFonts w:hint="eastAsia" w:cs="Calibri"/>
                <w:color w:val="auto"/>
                <w:sz w:val="21"/>
                <w:szCs w:val="21"/>
                <w:highlight w:val="none"/>
                <w:lang w:eastAsia="zh-CN"/>
              </w:rPr>
              <w:t>采购人</w:t>
            </w:r>
            <w:r>
              <w:rPr>
                <w:rFonts w:hint="eastAsia" w:cs="Calibri"/>
                <w:color w:val="auto"/>
                <w:sz w:val="21"/>
                <w:szCs w:val="21"/>
                <w:highlight w:val="none"/>
              </w:rPr>
              <w:t>账户三日内。</w:t>
            </w:r>
          </w:p>
        </w:tc>
      </w:tr>
      <w:tr w14:paraId="794C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3" w:type="dxa"/>
            <w:gridSpan w:val="2"/>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62021EE2">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（七）</w:t>
            </w:r>
          </w:p>
        </w:tc>
        <w:tc>
          <w:tcPr>
            <w:tcW w:w="1934" w:type="dxa"/>
            <w:gridSpan w:val="3"/>
            <w:tcBorders>
              <w:top w:val="single" w:color="auto" w:sz="4" w:space="0"/>
              <w:left w:val="single" w:color="auto" w:sz="4" w:space="0"/>
              <w:bottom w:val="single" w:color="auto" w:sz="4" w:space="0"/>
              <w:right w:val="single" w:color="auto" w:sz="4" w:space="0"/>
            </w:tcBorders>
            <w:vAlign w:val="center"/>
          </w:tcPr>
          <w:p w14:paraId="0667A8A9">
            <w:pPr>
              <w:spacing w:line="400" w:lineRule="exac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其他要求</w:t>
            </w:r>
          </w:p>
        </w:tc>
        <w:tc>
          <w:tcPr>
            <w:tcW w:w="6741" w:type="dxa"/>
            <w:gridSpan w:val="3"/>
            <w:tcBorders>
              <w:top w:val="single" w:color="auto" w:sz="4" w:space="0"/>
              <w:left w:val="single" w:color="auto" w:sz="4" w:space="0"/>
              <w:bottom w:val="single" w:color="auto" w:sz="4" w:space="0"/>
              <w:right w:val="single" w:color="auto" w:sz="4" w:space="0"/>
            </w:tcBorders>
            <w:vAlign w:val="center"/>
          </w:tcPr>
          <w:p w14:paraId="51BE1CBB">
            <w:pPr>
              <w:spacing w:line="360" w:lineRule="exact"/>
              <w:ind w:firstLine="0" w:firstLineChars="0"/>
              <w:jc w:val="left"/>
              <w:rPr>
                <w:rFonts w:ascii="宋体" w:hAnsi="宋体" w:cs="宋体"/>
                <w:color w:val="auto"/>
                <w:sz w:val="21"/>
                <w:szCs w:val="21"/>
                <w:highlight w:val="none"/>
              </w:rPr>
            </w:pPr>
            <w:r>
              <w:rPr>
                <w:rFonts w:ascii="宋体" w:hAnsi="宋体" w:cs="宋体"/>
                <w:color w:val="auto"/>
                <w:sz w:val="21"/>
                <w:szCs w:val="21"/>
                <w:highlight w:val="none"/>
              </w:rPr>
              <w:t>1.本项目</w:t>
            </w:r>
            <w:r>
              <w:rPr>
                <w:rFonts w:hint="eastAsia" w:ascii="宋体" w:hAnsi="宋体" w:cs="宋体"/>
                <w:color w:val="auto"/>
                <w:sz w:val="21"/>
                <w:szCs w:val="21"/>
                <w:highlight w:val="none"/>
              </w:rPr>
              <w:t>不允许转包、分包，否则采购人将终止合同。</w:t>
            </w:r>
          </w:p>
          <w:p w14:paraId="05611AC3">
            <w:pPr>
              <w:spacing w:line="36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rPr>
              <w:t>供应商于成交后须</w:t>
            </w:r>
            <w:r>
              <w:rPr>
                <w:rFonts w:hint="eastAsia" w:ascii="宋体" w:hAnsi="宋体" w:cs="宋体"/>
                <w:color w:val="auto"/>
                <w:sz w:val="21"/>
                <w:szCs w:val="21"/>
                <w:highlight w:val="none"/>
              </w:rPr>
              <w:t>根据设计图纸要求</w:t>
            </w:r>
            <w:r>
              <w:rPr>
                <w:rFonts w:hint="eastAsia" w:ascii="宋体" w:hAnsi="宋体" w:cs="宋体"/>
                <w:color w:val="auto"/>
                <w:sz w:val="21"/>
                <w:szCs w:val="21"/>
                <w:highlight w:val="none"/>
                <w:lang w:eastAsia="zh-CN"/>
              </w:rPr>
              <w:t>进行施工</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可根据需要，由</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安排人员随机取样送第三方检测</w:t>
            </w:r>
            <w:r>
              <w:rPr>
                <w:rFonts w:hint="eastAsia" w:ascii="宋体" w:hAnsi="宋体" w:cs="宋体"/>
                <w:color w:val="auto"/>
                <w:sz w:val="21"/>
                <w:szCs w:val="21"/>
                <w:highlight w:val="none"/>
                <w:lang w:eastAsia="zh-CN"/>
              </w:rPr>
              <w:t>机构进行</w:t>
            </w:r>
            <w:r>
              <w:rPr>
                <w:rFonts w:hint="eastAsia" w:ascii="宋体" w:hAnsi="宋体" w:cs="宋体"/>
                <w:color w:val="auto"/>
                <w:sz w:val="21"/>
                <w:szCs w:val="21"/>
                <w:highlight w:val="none"/>
              </w:rPr>
              <w:t>检测</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检测合格</w:t>
            </w:r>
            <w:r>
              <w:rPr>
                <w:rFonts w:hint="eastAsia" w:ascii="宋体" w:hAnsi="宋体" w:cs="宋体"/>
                <w:color w:val="auto"/>
                <w:sz w:val="21"/>
                <w:szCs w:val="21"/>
                <w:highlight w:val="none"/>
                <w:lang w:eastAsia="zh-CN"/>
              </w:rPr>
              <w:t>的</w:t>
            </w:r>
            <w:r>
              <w:rPr>
                <w:rFonts w:hint="eastAsia" w:ascii="宋体" w:hAnsi="宋体" w:cs="宋体"/>
                <w:color w:val="auto"/>
                <w:sz w:val="21"/>
                <w:szCs w:val="21"/>
                <w:highlight w:val="none"/>
              </w:rPr>
              <w:t>，检测费用由</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支付；如检测结果不合格，检测费用由</w:t>
            </w:r>
            <w:r>
              <w:rPr>
                <w:rFonts w:hint="eastAsia" w:ascii="宋体" w:hAnsi="宋体" w:cs="宋体"/>
                <w:color w:val="auto"/>
                <w:sz w:val="21"/>
                <w:szCs w:val="21"/>
                <w:highlight w:val="none"/>
                <w:lang w:eastAsia="zh-CN"/>
              </w:rPr>
              <w:t>成交供应商</w:t>
            </w:r>
            <w:r>
              <w:rPr>
                <w:rFonts w:hint="eastAsia" w:ascii="宋体" w:hAnsi="宋体" w:cs="宋体"/>
                <w:color w:val="auto"/>
                <w:sz w:val="21"/>
                <w:szCs w:val="21"/>
                <w:highlight w:val="none"/>
              </w:rPr>
              <w:t>支付且</w:t>
            </w:r>
            <w:r>
              <w:rPr>
                <w:rFonts w:hint="eastAsia" w:ascii="宋体" w:hAnsi="宋体" w:cs="宋体"/>
                <w:color w:val="auto"/>
                <w:sz w:val="21"/>
                <w:szCs w:val="21"/>
                <w:highlight w:val="none"/>
                <w:lang w:eastAsia="zh-CN"/>
              </w:rPr>
              <w:t>成交供应商负责</w:t>
            </w:r>
            <w:r>
              <w:rPr>
                <w:rFonts w:hint="eastAsia" w:ascii="宋体" w:hAnsi="宋体" w:cs="宋体"/>
                <w:color w:val="auto"/>
                <w:sz w:val="21"/>
                <w:szCs w:val="21"/>
                <w:highlight w:val="none"/>
              </w:rPr>
              <w:t>整改至合格为止</w:t>
            </w:r>
            <w:r>
              <w:rPr>
                <w:rFonts w:hint="eastAsia" w:ascii="宋体" w:hAnsi="宋体" w:cs="宋体"/>
                <w:color w:val="auto"/>
                <w:sz w:val="21"/>
                <w:szCs w:val="21"/>
                <w:highlight w:val="none"/>
                <w:lang w:eastAsia="zh-CN"/>
              </w:rPr>
              <w:t>，所产生的费用由成交供应商自行承担</w:t>
            </w:r>
            <w:r>
              <w:rPr>
                <w:rFonts w:hint="eastAsia" w:ascii="宋体" w:hAnsi="宋体" w:cs="宋体"/>
                <w:color w:val="auto"/>
                <w:sz w:val="21"/>
                <w:szCs w:val="21"/>
                <w:highlight w:val="none"/>
              </w:rPr>
              <w:t>。</w:t>
            </w:r>
          </w:p>
        </w:tc>
      </w:tr>
      <w:tr w14:paraId="5215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78" w:type="dxa"/>
            <w:gridSpan w:val="8"/>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0274B379">
            <w:pPr>
              <w:spacing w:line="400" w:lineRule="exact"/>
              <w:ind w:firstLine="0" w:firstLineChars="0"/>
              <w:jc w:val="left"/>
              <w:rPr>
                <w:rFonts w:ascii="宋体" w:hAnsi="宋体" w:cs="宋体"/>
                <w:color w:val="auto"/>
                <w:sz w:val="21"/>
                <w:szCs w:val="21"/>
                <w:highlight w:val="none"/>
              </w:rPr>
            </w:pPr>
            <w:r>
              <w:rPr>
                <w:rFonts w:hint="eastAsia" w:ascii="宋体" w:hAnsi="宋体"/>
                <w:b/>
                <w:bCs/>
                <w:color w:val="auto"/>
                <w:szCs w:val="21"/>
                <w:highlight w:val="none"/>
              </w:rPr>
              <w:t>三、与实现项目目标相关的其他要求</w:t>
            </w:r>
          </w:p>
        </w:tc>
      </w:tr>
      <w:tr w14:paraId="0956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378" w:type="dxa"/>
            <w:gridSpan w:val="8"/>
            <w:tcBorders>
              <w:top w:val="single" w:color="auto" w:sz="4" w:space="0"/>
              <w:left w:val="single" w:color="auto" w:sz="4" w:space="0"/>
              <w:bottom w:val="single" w:color="auto" w:sz="4" w:space="0"/>
              <w:right w:val="single" w:color="auto" w:sz="4" w:space="0"/>
            </w:tcBorders>
            <w:tcMar>
              <w:top w:w="13" w:type="dxa"/>
              <w:left w:w="57" w:type="dxa"/>
              <w:bottom w:w="0" w:type="dxa"/>
              <w:right w:w="57" w:type="dxa"/>
            </w:tcMar>
            <w:vAlign w:val="center"/>
          </w:tcPr>
          <w:p w14:paraId="29B6B705">
            <w:pPr>
              <w:keepNext w:val="0"/>
              <w:keepLines w:val="0"/>
              <w:pageBreakBefore w:val="0"/>
              <w:widowControl w:val="0"/>
              <w:tabs>
                <w:tab w:val="left" w:pos="180"/>
                <w:tab w:val="left" w:pos="1620"/>
              </w:tabs>
              <w:kinsoku/>
              <w:wordWrap/>
              <w:overflowPunct/>
              <w:topLinePunct w:val="0"/>
              <w:autoSpaceDE/>
              <w:autoSpaceDN/>
              <w:bidi w:val="0"/>
              <w:snapToGrid/>
              <w:spacing w:line="400" w:lineRule="exact"/>
              <w:ind w:firstLine="0" w:firstLineChars="0"/>
              <w:rPr>
                <w:rFonts w:cs="宋体" w:asciiTheme="majorEastAsia" w:hAnsiTheme="majorEastAsia" w:eastAsiaTheme="majorEastAsia"/>
                <w:color w:val="auto"/>
                <w:sz w:val="21"/>
                <w:szCs w:val="21"/>
                <w:highlight w:val="none"/>
              </w:rPr>
            </w:pPr>
            <w:r>
              <w:rPr>
                <w:rFonts w:hint="eastAsia" w:cs="宋体" w:asciiTheme="majorEastAsia" w:hAnsiTheme="majorEastAsia" w:eastAsiaTheme="majorEastAsia"/>
                <w:color w:val="auto"/>
                <w:sz w:val="21"/>
                <w:szCs w:val="21"/>
                <w:highlight w:val="none"/>
              </w:rPr>
              <w:t>（一）施工组织设计要求</w:t>
            </w:r>
          </w:p>
          <w:p w14:paraId="6198097D">
            <w:pPr>
              <w:keepNext w:val="0"/>
              <w:keepLines w:val="0"/>
              <w:pageBreakBefore w:val="0"/>
              <w:widowControl w:val="0"/>
              <w:tabs>
                <w:tab w:val="left" w:pos="180"/>
                <w:tab w:val="left" w:pos="1620"/>
              </w:tabs>
              <w:kinsoku/>
              <w:wordWrap/>
              <w:overflowPunct/>
              <w:topLinePunct w:val="0"/>
              <w:autoSpaceDE/>
              <w:autoSpaceDN/>
              <w:bidi w:val="0"/>
              <w:snapToGrid/>
              <w:spacing w:line="400" w:lineRule="exact"/>
              <w:ind w:firstLine="0" w:firstLineChars="0"/>
              <w:rPr>
                <w:rFonts w:cs="宋体" w:asciiTheme="majorEastAsia" w:hAnsiTheme="majorEastAsia" w:eastAsiaTheme="majorEastAsia"/>
                <w:color w:val="auto"/>
                <w:sz w:val="21"/>
                <w:szCs w:val="21"/>
                <w:highlight w:val="none"/>
              </w:rPr>
            </w:pPr>
            <w:r>
              <w:rPr>
                <w:rFonts w:hint="eastAsia" w:cs="宋体" w:asciiTheme="majorEastAsia" w:hAnsiTheme="majorEastAsia" w:eastAsiaTheme="majorEastAsia"/>
                <w:color w:val="auto"/>
                <w:sz w:val="21"/>
                <w:szCs w:val="21"/>
                <w:highlight w:val="none"/>
              </w:rPr>
              <w:t xml:space="preserve">   供应商根据图纸、工程量清单，于响应文件中提供施工组织设计（包括但不限于：</w:t>
            </w:r>
            <w:r>
              <w:rPr>
                <w:rFonts w:hint="eastAsia" w:ascii="宋体" w:hAnsi="宋体" w:cs="宋体"/>
                <w:color w:val="auto"/>
                <w:sz w:val="21"/>
                <w:szCs w:val="21"/>
                <w:highlight w:val="none"/>
              </w:rPr>
              <w:t>①主要施工方法；②关键施工技术、工艺及工程实施的重点、难点和解决方案；③确保安全生产的技术组织措施；④确保工程质量的技术组织措施；⑤确保工期的技术组织措施；⑥确保文明施工的技术组织措施；⑦拟投入的主要物资计划；⑧施工平面布置和临时设施布置；⑨劳动力安排计划；⑩项目风险预测与防范，事故应急预案</w:t>
            </w:r>
            <w:r>
              <w:rPr>
                <w:rFonts w:hint="eastAsia" w:cs="宋体" w:asciiTheme="majorEastAsia" w:hAnsiTheme="majorEastAsia" w:eastAsiaTheme="majorEastAsia"/>
                <w:color w:val="auto"/>
                <w:sz w:val="21"/>
                <w:szCs w:val="21"/>
                <w:highlight w:val="none"/>
              </w:rPr>
              <w:t>）。</w:t>
            </w:r>
          </w:p>
          <w:p w14:paraId="20B0F5FA">
            <w:pPr>
              <w:pStyle w:val="23"/>
              <w:keepNext w:val="0"/>
              <w:keepLines w:val="0"/>
              <w:pageBreakBefore w:val="0"/>
              <w:widowControl w:val="0"/>
              <w:kinsoku/>
              <w:wordWrap/>
              <w:overflowPunct/>
              <w:topLinePunct w:val="0"/>
              <w:autoSpaceDE/>
              <w:autoSpaceDN/>
              <w:bidi w:val="0"/>
              <w:snapToGrid/>
              <w:spacing w:line="400" w:lineRule="exact"/>
              <w:ind w:left="0"/>
              <w:rPr>
                <w:rFonts w:ascii="宋体" w:hAnsi="宋体" w:cs="宋体"/>
                <w:bCs/>
                <w:color w:val="auto"/>
                <w:sz w:val="21"/>
                <w:szCs w:val="21"/>
                <w:highlight w:val="none"/>
              </w:rPr>
            </w:pPr>
            <w:r>
              <w:rPr>
                <w:rFonts w:hint="eastAsia" w:ascii="宋体" w:hAnsi="宋体" w:cs="宋体"/>
                <w:bCs/>
                <w:color w:val="auto"/>
                <w:sz w:val="21"/>
                <w:szCs w:val="21"/>
                <w:highlight w:val="none"/>
              </w:rPr>
              <w:t>（二）履约能力</w:t>
            </w:r>
          </w:p>
          <w:p w14:paraId="3FD92B12">
            <w:pPr>
              <w:pStyle w:val="23"/>
              <w:keepNext w:val="0"/>
              <w:keepLines w:val="0"/>
              <w:pageBreakBefore w:val="0"/>
              <w:widowControl w:val="0"/>
              <w:kinsoku/>
              <w:wordWrap/>
              <w:overflowPunct/>
              <w:topLinePunct w:val="0"/>
              <w:autoSpaceDE/>
              <w:autoSpaceDN/>
              <w:bidi w:val="0"/>
              <w:snapToGrid/>
              <w:spacing w:line="400" w:lineRule="exact"/>
              <w:ind w:left="0" w:firstLine="420" w:firstLineChars="200"/>
              <w:rPr>
                <w:rFonts w:ascii="宋体" w:hAnsi="宋体" w:cs="宋体"/>
                <w:color w:val="auto"/>
                <w:sz w:val="21"/>
                <w:szCs w:val="21"/>
                <w:highlight w:val="none"/>
              </w:rPr>
            </w:pPr>
            <w:r>
              <w:rPr>
                <w:rFonts w:hint="eastAsia" w:ascii="宋体" w:hAnsi="宋体" w:cs="宋体"/>
                <w:bCs/>
                <w:color w:val="auto"/>
                <w:sz w:val="21"/>
                <w:szCs w:val="21"/>
                <w:highlight w:val="none"/>
              </w:rPr>
              <w:t>202</w:t>
            </w:r>
            <w:r>
              <w:rPr>
                <w:rFonts w:ascii="宋体" w:hAnsi="宋体" w:cs="宋体"/>
                <w:bCs/>
                <w:color w:val="auto"/>
                <w:sz w:val="21"/>
                <w:szCs w:val="21"/>
                <w:highlight w:val="none"/>
              </w:rPr>
              <w:t>2</w:t>
            </w:r>
            <w:r>
              <w:rPr>
                <w:rFonts w:hint="eastAsia" w:ascii="宋体" w:hAnsi="宋体" w:cs="宋体"/>
                <w:bCs/>
                <w:color w:val="auto"/>
                <w:sz w:val="21"/>
                <w:szCs w:val="21"/>
                <w:highlight w:val="none"/>
              </w:rPr>
              <w:t>年1月1日以来经竣工验收的类似工程</w:t>
            </w:r>
            <w:r>
              <w:rPr>
                <w:rFonts w:hint="eastAsia" w:ascii="宋体" w:hAnsi="宋体" w:cs="宋体"/>
                <w:bCs/>
                <w:color w:val="auto"/>
                <w:sz w:val="21"/>
                <w:szCs w:val="21"/>
                <w:highlight w:val="none"/>
                <w:lang w:eastAsia="zh-CN"/>
              </w:rPr>
              <w:t>业绩的（类似工程是指运动场地工程施工项目）</w:t>
            </w:r>
            <w:r>
              <w:rPr>
                <w:rFonts w:hint="eastAsia" w:ascii="宋体" w:hAnsi="宋体" w:cs="宋体"/>
                <w:bCs/>
                <w:color w:val="auto"/>
                <w:sz w:val="21"/>
                <w:szCs w:val="21"/>
                <w:highlight w:val="none"/>
              </w:rPr>
              <w:t>。</w:t>
            </w:r>
          </w:p>
        </w:tc>
      </w:tr>
    </w:tbl>
    <w:p w14:paraId="68A9654A">
      <w:pPr>
        <w:ind w:firstLine="480"/>
        <w:rPr>
          <w:color w:val="auto"/>
          <w:highlight w:val="none"/>
        </w:rPr>
      </w:pPr>
    </w:p>
    <w:p w14:paraId="74FD8379">
      <w:pPr>
        <w:widowControl/>
        <w:spacing w:line="240" w:lineRule="auto"/>
        <w:ind w:firstLine="0" w:firstLineChars="0"/>
        <w:jc w:val="left"/>
        <w:rPr>
          <w:rFonts w:hAnsi="宋体" w:cs="宋体"/>
          <w:b/>
          <w:color w:val="auto"/>
          <w:sz w:val="32"/>
          <w:szCs w:val="32"/>
          <w:highlight w:val="none"/>
          <w:lang w:val="en-GB"/>
        </w:rPr>
      </w:pPr>
      <w:r>
        <w:rPr>
          <w:rFonts w:hAnsi="宋体" w:cs="宋体"/>
          <w:b/>
          <w:color w:val="auto"/>
          <w:sz w:val="32"/>
          <w:szCs w:val="32"/>
          <w:highlight w:val="none"/>
        </w:rPr>
        <w:br w:type="page"/>
      </w:r>
    </w:p>
    <w:p w14:paraId="3CA9B5A3">
      <w:pPr>
        <w:spacing w:line="240" w:lineRule="auto"/>
        <w:ind w:firstLine="0" w:firstLineChars="0"/>
        <w:jc w:val="center"/>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rPr>
        <w:t>第</w:t>
      </w:r>
      <w:r>
        <w:rPr>
          <w:rFonts w:hint="eastAsia" w:ascii="宋体" w:hAnsi="宋体" w:cs="宋体"/>
          <w:b/>
          <w:bCs/>
          <w:color w:val="auto"/>
          <w:sz w:val="28"/>
          <w:szCs w:val="28"/>
          <w:highlight w:val="none"/>
          <w:lang w:eastAsia="zh-CN"/>
        </w:rPr>
        <w:t>四</w:t>
      </w:r>
      <w:r>
        <w:rPr>
          <w:rFonts w:hint="eastAsia" w:ascii="宋体" w:hAnsi="宋体" w:eastAsia="宋体" w:cs="宋体"/>
          <w:b/>
          <w:bCs/>
          <w:color w:val="auto"/>
          <w:sz w:val="28"/>
          <w:szCs w:val="28"/>
          <w:highlight w:val="none"/>
        </w:rPr>
        <w:t>章 工程量清单</w:t>
      </w:r>
      <w:r>
        <w:rPr>
          <w:rFonts w:hint="eastAsia" w:ascii="宋体" w:hAnsi="宋体" w:eastAsia="宋体" w:cs="宋体"/>
          <w:b/>
          <w:bCs/>
          <w:color w:val="auto"/>
          <w:sz w:val="28"/>
          <w:szCs w:val="28"/>
          <w:highlight w:val="none"/>
          <w:lang w:eastAsia="zh-CN"/>
        </w:rPr>
        <w:t>及图纸</w:t>
      </w:r>
    </w:p>
    <w:p w14:paraId="7873C233">
      <w:pPr>
        <w:ind w:firstLine="480"/>
        <w:rPr>
          <w:color w:val="auto"/>
          <w:highlight w:val="none"/>
        </w:rPr>
      </w:pPr>
    </w:p>
    <w:p w14:paraId="65D993F8">
      <w:pPr>
        <w:pStyle w:val="26"/>
        <w:spacing w:line="440" w:lineRule="exact"/>
        <w:rPr>
          <w:rFonts w:hint="default" w:hAnsi="宋体" w:eastAsia="宋体" w:cs="宋体"/>
          <w:b/>
          <w:color w:val="auto"/>
          <w:highlight w:val="none"/>
          <w:lang w:val="en-US" w:eastAsia="zh-CN"/>
        </w:rPr>
      </w:pPr>
      <w:r>
        <w:rPr>
          <w:rFonts w:hint="eastAsia" w:hAnsi="宋体" w:cs="宋体"/>
          <w:b/>
          <w:color w:val="auto"/>
          <w:highlight w:val="none"/>
          <w:lang w:val="en-US" w:eastAsia="zh-CN"/>
        </w:rPr>
        <w:t>Ⅰ、工程量清单（另附）</w:t>
      </w:r>
    </w:p>
    <w:p w14:paraId="0BEE27E0">
      <w:pPr>
        <w:pStyle w:val="26"/>
        <w:spacing w:line="440" w:lineRule="exact"/>
        <w:rPr>
          <w:rFonts w:hAnsi="宋体" w:cs="宋体"/>
          <w:color w:val="auto"/>
          <w:kern w:val="21"/>
          <w:sz w:val="21"/>
          <w:highlight w:val="none"/>
        </w:rPr>
      </w:pPr>
      <w:r>
        <w:rPr>
          <w:rFonts w:hint="eastAsia" w:hAnsi="宋体" w:cs="宋体"/>
          <w:b/>
          <w:color w:val="auto"/>
          <w:highlight w:val="none"/>
        </w:rPr>
        <w:t>一</w:t>
      </w:r>
      <w:r>
        <w:rPr>
          <w:rFonts w:hint="eastAsia" w:hAnsi="宋体" w:cs="宋体"/>
          <w:b/>
          <w:color w:val="auto"/>
          <w:sz w:val="21"/>
          <w:highlight w:val="none"/>
        </w:rPr>
        <w:t>、工程量清单</w:t>
      </w:r>
      <w:r>
        <w:rPr>
          <w:rFonts w:hint="eastAsia" w:hAnsi="宋体" w:cs="宋体"/>
          <w:b/>
          <w:color w:val="auto"/>
          <w:sz w:val="21"/>
          <w:highlight w:val="none"/>
          <w:lang w:eastAsia="zh-CN"/>
        </w:rPr>
        <w:t>编制</w:t>
      </w:r>
      <w:r>
        <w:rPr>
          <w:rFonts w:hint="eastAsia" w:hAnsi="宋体" w:cs="宋体"/>
          <w:b/>
          <w:color w:val="auto"/>
          <w:sz w:val="21"/>
          <w:highlight w:val="none"/>
        </w:rPr>
        <w:t>说明</w:t>
      </w:r>
      <w:r>
        <w:rPr>
          <w:rFonts w:hint="eastAsia" w:hAnsi="宋体" w:cs="宋体"/>
          <w:color w:val="auto"/>
          <w:kern w:val="21"/>
          <w:sz w:val="21"/>
          <w:highlight w:val="none"/>
        </w:rPr>
        <w:t>：</w:t>
      </w:r>
    </w:p>
    <w:p w14:paraId="4A7C6DE7">
      <w:pPr>
        <w:pStyle w:val="26"/>
        <w:spacing w:line="440" w:lineRule="exact"/>
        <w:ind w:firstLine="420"/>
        <w:rPr>
          <w:rFonts w:hAnsi="宋体" w:cs="宋体"/>
          <w:color w:val="auto"/>
          <w:kern w:val="21"/>
          <w:sz w:val="21"/>
          <w:highlight w:val="none"/>
        </w:rPr>
      </w:pPr>
      <w:r>
        <w:rPr>
          <w:rFonts w:hint="eastAsia" w:hAnsi="宋体" w:cs="宋体"/>
          <w:color w:val="auto"/>
          <w:kern w:val="21"/>
          <w:sz w:val="21"/>
          <w:highlight w:val="none"/>
        </w:rPr>
        <w:t>1.工程量清单所列的工程数量为采购时的工程量，仅作为报价的共同基础，不作为最终结算与支付的依据。实际支付应按磋商</w:t>
      </w:r>
      <w:r>
        <w:rPr>
          <w:rFonts w:hint="eastAsia" w:hAnsi="宋体" w:cs="宋体"/>
          <w:color w:val="auto"/>
          <w:kern w:val="21"/>
          <w:sz w:val="21"/>
          <w:highlight w:val="none"/>
          <w:lang w:eastAsia="zh-CN"/>
        </w:rPr>
        <w:t>文件</w:t>
      </w:r>
      <w:r>
        <w:rPr>
          <w:rFonts w:hint="eastAsia" w:hAnsi="宋体" w:cs="宋体"/>
          <w:color w:val="auto"/>
          <w:kern w:val="21"/>
          <w:sz w:val="21"/>
          <w:highlight w:val="none"/>
        </w:rPr>
        <w:t>中“合同条款”有关规定执行。</w:t>
      </w:r>
    </w:p>
    <w:p w14:paraId="2291133B">
      <w:pPr>
        <w:pStyle w:val="26"/>
        <w:spacing w:line="440" w:lineRule="exact"/>
        <w:ind w:firstLine="420"/>
        <w:rPr>
          <w:rFonts w:hAnsi="宋体" w:cs="宋体"/>
          <w:color w:val="auto"/>
          <w:sz w:val="21"/>
          <w:highlight w:val="none"/>
        </w:rPr>
      </w:pPr>
      <w:r>
        <w:rPr>
          <w:rFonts w:hint="eastAsia" w:hAnsi="宋体" w:cs="宋体"/>
          <w:color w:val="auto"/>
          <w:kern w:val="21"/>
          <w:sz w:val="21"/>
          <w:highlight w:val="none"/>
        </w:rPr>
        <w:t>2.</w:t>
      </w:r>
      <w:r>
        <w:rPr>
          <w:rFonts w:hint="eastAsia" w:hAnsi="宋体" w:cs="宋体"/>
          <w:color w:val="auto"/>
          <w:sz w:val="21"/>
          <w:highlight w:val="none"/>
        </w:rPr>
        <w:t>本工程计价及结算参考依据：</w:t>
      </w:r>
    </w:p>
    <w:p w14:paraId="34BEF002">
      <w:pPr>
        <w:pStyle w:val="26"/>
        <w:spacing w:line="440" w:lineRule="exact"/>
        <w:ind w:firstLine="420"/>
        <w:rPr>
          <w:rFonts w:hint="eastAsia" w:hAnsi="宋体" w:cs="宋体"/>
          <w:color w:val="auto"/>
          <w:sz w:val="21"/>
          <w:highlight w:val="none"/>
          <w:lang w:eastAsia="zh-CN"/>
        </w:rPr>
      </w:pPr>
      <w:r>
        <w:rPr>
          <w:rFonts w:hint="eastAsia" w:hAnsi="宋体" w:cs="宋体"/>
          <w:color w:val="auto"/>
          <w:sz w:val="21"/>
          <w:highlight w:val="none"/>
          <w:lang w:val="en-US" w:eastAsia="zh-CN"/>
        </w:rPr>
        <w:t>2.1</w:t>
      </w:r>
      <w:r>
        <w:rPr>
          <w:rFonts w:hint="eastAsia" w:hAnsi="宋体" w:cs="宋体"/>
          <w:color w:val="auto"/>
          <w:sz w:val="21"/>
          <w:highlight w:val="none"/>
          <w:lang w:eastAsia="zh-CN"/>
        </w:rPr>
        <w:t>桂林市第十三中学校园操场改造</w:t>
      </w:r>
    </w:p>
    <w:p w14:paraId="681CA2F1">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（1）《建设工程工程量清单计价规范》（GB50500-2013）及广西壮族自治区实施细则；</w:t>
      </w:r>
    </w:p>
    <w:p w14:paraId="785179C2">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（2）《建设工程工程量计算规范》（GB50854~50862-2013）及广西壮族自治区实施细则（修订本）；</w:t>
      </w:r>
    </w:p>
    <w:p w14:paraId="06259C18">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（3）2022年《广西壮族自治区市政工程消耗量定额》及配套费用定额；</w:t>
      </w:r>
    </w:p>
    <w:p w14:paraId="63A54CE6">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（4）2024年《广西壮族自治区建筑与装饰装修工程消耗量定额》及配套费用定额；</w:t>
      </w:r>
    </w:p>
    <w:p w14:paraId="139DA45E">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（5）2023年《广西壮族自治区水电安装工程消耗量定额》及配套费用定额；</w:t>
      </w:r>
    </w:p>
    <w:p w14:paraId="1F5B177B">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（6）《自治区住房和城乡建设厅关于颁布2016年〈广西壮族自治区建设工程费用定额〉的通知》（桂建标〔2016〕16号）；</w:t>
      </w:r>
    </w:p>
    <w:p w14:paraId="7B454E29">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（7）《自治区住房和城乡建设厅关于建筑业实施营业税改增值税后广西壮族自治区建设工程计价依据调整的通知》（桂建标〔2016〕17号）；</w:t>
      </w:r>
    </w:p>
    <w:p w14:paraId="1A8AD3B2">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（8）《关于调整建设工程定额人工费及有关费率的通知》（桂建标〔2023〕7号文）；</w:t>
      </w:r>
    </w:p>
    <w:p w14:paraId="1DB34AF3">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（9）《自治区住房和城乡建设厅关于调整建设工程计价增值税税率的通知》（桂建标〔2019〕12号）；</w:t>
      </w:r>
    </w:p>
    <w:p w14:paraId="2D1B8A91">
      <w:pPr>
        <w:pStyle w:val="26"/>
        <w:spacing w:line="440" w:lineRule="exact"/>
        <w:ind w:firstLine="420"/>
        <w:rPr>
          <w:rFonts w:hint="eastAsia" w:hAnsi="宋体" w:cs="宋体"/>
          <w:color w:val="auto"/>
          <w:sz w:val="21"/>
          <w:highlight w:val="none"/>
          <w:lang w:val="en-US" w:eastAsia="zh-CN"/>
        </w:rPr>
      </w:pPr>
      <w:r>
        <w:rPr>
          <w:rFonts w:hint="eastAsia" w:hAnsi="宋体" w:cs="宋体"/>
          <w:color w:val="auto"/>
          <w:sz w:val="21"/>
          <w:highlight w:val="none"/>
          <w:lang w:val="en-US" w:eastAsia="zh-CN"/>
        </w:rPr>
        <w:t>（10）工程的材料价格依据2026年《桂林市建设工程造价信息》桂林市第2期，信息价上没有的材料价按市场询价。</w:t>
      </w:r>
    </w:p>
    <w:p w14:paraId="6BA24F5B">
      <w:pPr>
        <w:pStyle w:val="26"/>
        <w:spacing w:line="440" w:lineRule="exact"/>
        <w:ind w:firstLine="420"/>
        <w:rPr>
          <w:rFonts w:hint="eastAsia" w:hAnsi="宋体" w:eastAsia="宋体" w:cs="宋体"/>
          <w:color w:val="auto"/>
          <w:sz w:val="21"/>
          <w:highlight w:val="none"/>
          <w:lang w:eastAsia="zh-CN"/>
        </w:rPr>
      </w:pPr>
      <w:r>
        <w:rPr>
          <w:rFonts w:hint="eastAsia" w:hAnsi="宋体" w:cs="宋体"/>
          <w:color w:val="auto"/>
          <w:sz w:val="21"/>
          <w:highlight w:val="none"/>
          <w:lang w:val="en-US" w:eastAsia="zh-CN"/>
        </w:rPr>
        <w:t>2.2</w:t>
      </w:r>
      <w:r>
        <w:rPr>
          <w:rFonts w:hint="eastAsia" w:hAnsi="宋体" w:cs="宋体"/>
          <w:color w:val="auto"/>
          <w:sz w:val="21"/>
          <w:highlight w:val="none"/>
        </w:rPr>
        <w:t>桂林市第十三中学校园硅PU篮球场</w:t>
      </w:r>
      <w:r>
        <w:rPr>
          <w:rFonts w:hint="eastAsia" w:hAnsi="宋体" w:cs="宋体"/>
          <w:color w:val="auto"/>
          <w:sz w:val="21"/>
          <w:highlight w:val="none"/>
          <w:lang w:eastAsia="zh-CN"/>
        </w:rPr>
        <w:t>：</w:t>
      </w:r>
    </w:p>
    <w:p w14:paraId="329B8FE2">
      <w:pPr>
        <w:pStyle w:val="26"/>
        <w:spacing w:line="440" w:lineRule="exact"/>
        <w:ind w:firstLine="420"/>
        <w:rPr>
          <w:rFonts w:hAnsi="宋体" w:cs="宋体"/>
          <w:color w:val="auto"/>
          <w:sz w:val="21"/>
          <w:highlight w:val="none"/>
        </w:rPr>
      </w:pPr>
      <w:r>
        <w:rPr>
          <w:rFonts w:hint="eastAsia" w:hAnsi="宋体" w:cs="宋体"/>
          <w:color w:val="auto"/>
          <w:sz w:val="21"/>
          <w:highlight w:val="none"/>
        </w:rPr>
        <w:t>（1）《建设工程工程量清单计价规范》（GB50500-2013）及广西壮族自治区实施细则；</w:t>
      </w:r>
    </w:p>
    <w:p w14:paraId="14EB9597">
      <w:pPr>
        <w:pStyle w:val="26"/>
        <w:spacing w:line="440" w:lineRule="exact"/>
        <w:ind w:firstLine="420"/>
        <w:rPr>
          <w:rFonts w:hAnsi="宋体" w:cs="宋体"/>
          <w:color w:val="auto"/>
          <w:sz w:val="21"/>
          <w:highlight w:val="none"/>
        </w:rPr>
      </w:pPr>
      <w:r>
        <w:rPr>
          <w:rFonts w:hint="eastAsia" w:hAnsi="宋体" w:cs="宋体"/>
          <w:color w:val="auto"/>
          <w:sz w:val="21"/>
          <w:highlight w:val="none"/>
        </w:rPr>
        <w:t>（2）《建设工程工程量计算规范》（GB50854～50862-2013）及广西壮族自治区实施细则（修订本）；</w:t>
      </w:r>
    </w:p>
    <w:p w14:paraId="24483EE4">
      <w:pPr>
        <w:pStyle w:val="26"/>
        <w:spacing w:line="440" w:lineRule="exact"/>
        <w:ind w:firstLine="420"/>
        <w:rPr>
          <w:rFonts w:hint="eastAsia" w:hAnsi="宋体" w:eastAsia="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3</w:t>
      </w:r>
      <w:r>
        <w:rPr>
          <w:rFonts w:hint="eastAsia" w:hAnsi="宋体" w:cs="宋体"/>
          <w:color w:val="auto"/>
          <w:sz w:val="21"/>
          <w:highlight w:val="none"/>
        </w:rPr>
        <w:t>）2022年《广西壮族自治区市政工程消耗量定额》及配套费用定额</w:t>
      </w:r>
      <w:r>
        <w:rPr>
          <w:rFonts w:hint="eastAsia" w:hAnsi="宋体" w:cs="宋体"/>
          <w:color w:val="auto"/>
          <w:sz w:val="21"/>
          <w:highlight w:val="none"/>
          <w:lang w:eastAsia="zh-CN"/>
        </w:rPr>
        <w:t>；</w:t>
      </w:r>
    </w:p>
    <w:p w14:paraId="05D09D3E">
      <w:pPr>
        <w:pStyle w:val="26"/>
        <w:spacing w:line="440" w:lineRule="exact"/>
        <w:ind w:firstLine="420"/>
        <w:rPr>
          <w:rFonts w:hint="eastAsia" w:hAnsi="宋体" w:eastAsia="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4</w:t>
      </w:r>
      <w:r>
        <w:rPr>
          <w:rFonts w:hint="eastAsia" w:hAnsi="宋体" w:cs="宋体"/>
          <w:color w:val="auto"/>
          <w:sz w:val="21"/>
          <w:highlight w:val="none"/>
        </w:rPr>
        <w:t>）《自治区住房</w:t>
      </w:r>
      <w:r>
        <w:rPr>
          <w:rFonts w:hint="eastAsia" w:hAnsi="宋体" w:cs="宋体"/>
          <w:color w:val="auto"/>
          <w:sz w:val="21"/>
          <w:highlight w:val="none"/>
          <w:lang w:eastAsia="zh-CN"/>
        </w:rPr>
        <w:t>和</w:t>
      </w:r>
      <w:r>
        <w:rPr>
          <w:rFonts w:hint="eastAsia" w:hAnsi="宋体" w:cs="宋体"/>
          <w:color w:val="auto"/>
          <w:sz w:val="21"/>
          <w:highlight w:val="none"/>
        </w:rPr>
        <w:t>城乡建设厅关于颁布2016年</w:t>
      </w:r>
      <w:r>
        <w:rPr>
          <w:rFonts w:hint="eastAsia" w:hAnsi="宋体" w:cs="宋体"/>
          <w:color w:val="auto"/>
          <w:sz w:val="21"/>
          <w:highlight w:val="none"/>
          <w:lang w:eastAsia="zh-CN"/>
        </w:rPr>
        <w:t>〈</w:t>
      </w:r>
      <w:r>
        <w:rPr>
          <w:rFonts w:hint="eastAsia" w:hAnsi="宋体" w:cs="宋体"/>
          <w:color w:val="auto"/>
          <w:sz w:val="21"/>
          <w:highlight w:val="none"/>
        </w:rPr>
        <w:t>广西壮族自治区建设工程费用定额</w:t>
      </w:r>
      <w:r>
        <w:rPr>
          <w:rFonts w:hint="eastAsia" w:hAnsi="宋体" w:cs="宋体"/>
          <w:color w:val="auto"/>
          <w:sz w:val="21"/>
          <w:highlight w:val="none"/>
          <w:lang w:eastAsia="zh-CN"/>
        </w:rPr>
        <w:t>〉的通知》（</w:t>
      </w:r>
      <w:r>
        <w:rPr>
          <w:rFonts w:hint="eastAsia" w:hAnsi="宋体" w:cs="宋体"/>
          <w:color w:val="auto"/>
          <w:sz w:val="21"/>
          <w:highlight w:val="none"/>
        </w:rPr>
        <w:t>桂建标</w:t>
      </w:r>
      <w:r>
        <w:rPr>
          <w:rFonts w:hint="eastAsia" w:hAnsi="宋体" w:cs="宋体"/>
          <w:color w:val="auto"/>
          <w:sz w:val="21"/>
          <w:highlight w:val="none"/>
          <w:lang w:eastAsia="zh-CN"/>
        </w:rPr>
        <w:t>〔2016〕16号）；</w:t>
      </w:r>
    </w:p>
    <w:p w14:paraId="5A1CB7F2">
      <w:pPr>
        <w:pStyle w:val="26"/>
        <w:spacing w:line="440" w:lineRule="exact"/>
        <w:ind w:firstLine="420"/>
        <w:rPr>
          <w:rFonts w:hint="eastAsia" w:hAnsi="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5</w:t>
      </w:r>
      <w:r>
        <w:rPr>
          <w:rFonts w:hint="eastAsia" w:hAnsi="宋体" w:cs="宋体"/>
          <w:color w:val="auto"/>
          <w:sz w:val="21"/>
          <w:highlight w:val="none"/>
        </w:rPr>
        <w:t>）《自治区住房</w:t>
      </w:r>
      <w:r>
        <w:rPr>
          <w:rFonts w:hint="eastAsia" w:hAnsi="宋体" w:cs="宋体"/>
          <w:color w:val="auto"/>
          <w:sz w:val="21"/>
          <w:highlight w:val="none"/>
          <w:lang w:eastAsia="zh-CN"/>
        </w:rPr>
        <w:t>和</w:t>
      </w:r>
      <w:r>
        <w:rPr>
          <w:rFonts w:hint="eastAsia" w:hAnsi="宋体" w:cs="宋体"/>
          <w:color w:val="auto"/>
          <w:sz w:val="21"/>
          <w:highlight w:val="none"/>
        </w:rPr>
        <w:t>城乡建设厅关于建筑业实施营业税改增值税后广西壮族自治区建设工程计价依据调整的通知》</w:t>
      </w:r>
      <w:r>
        <w:rPr>
          <w:rFonts w:hint="eastAsia" w:hAnsi="宋体" w:cs="宋体"/>
          <w:color w:val="auto"/>
          <w:sz w:val="21"/>
          <w:highlight w:val="none"/>
          <w:lang w:eastAsia="zh-CN"/>
        </w:rPr>
        <w:t>（</w:t>
      </w:r>
      <w:r>
        <w:rPr>
          <w:rFonts w:hint="eastAsia" w:hAnsi="宋体" w:cs="宋体"/>
          <w:color w:val="auto"/>
          <w:sz w:val="21"/>
          <w:highlight w:val="none"/>
        </w:rPr>
        <w:t>桂建标</w:t>
      </w:r>
      <w:r>
        <w:rPr>
          <w:rFonts w:hint="eastAsia" w:hAnsi="宋体" w:cs="宋体"/>
          <w:color w:val="auto"/>
          <w:sz w:val="21"/>
          <w:highlight w:val="none"/>
          <w:lang w:eastAsia="zh-CN"/>
        </w:rPr>
        <w:t>〔2016〕17号）；</w:t>
      </w:r>
    </w:p>
    <w:p w14:paraId="29BA0CA5">
      <w:pPr>
        <w:pStyle w:val="26"/>
        <w:spacing w:line="440" w:lineRule="exact"/>
        <w:ind w:firstLine="420"/>
        <w:rPr>
          <w:rFonts w:hint="eastAsia" w:hAnsi="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6</w:t>
      </w:r>
      <w:r>
        <w:rPr>
          <w:rFonts w:hint="eastAsia" w:hAnsi="宋体" w:cs="宋体"/>
          <w:color w:val="auto"/>
          <w:sz w:val="21"/>
          <w:highlight w:val="none"/>
        </w:rPr>
        <w:t>）《关于调整建设工程定额人工费及有关费率的通知》</w:t>
      </w:r>
      <w:r>
        <w:rPr>
          <w:rFonts w:hint="eastAsia" w:hAnsi="宋体" w:cs="宋体"/>
          <w:color w:val="auto"/>
          <w:sz w:val="21"/>
          <w:highlight w:val="none"/>
          <w:lang w:eastAsia="zh-CN"/>
        </w:rPr>
        <w:t>（</w:t>
      </w:r>
      <w:r>
        <w:rPr>
          <w:rFonts w:hint="eastAsia" w:hAnsi="宋体" w:cs="宋体"/>
          <w:color w:val="auto"/>
          <w:sz w:val="21"/>
          <w:highlight w:val="none"/>
        </w:rPr>
        <w:t>桂建标</w:t>
      </w:r>
      <w:r>
        <w:rPr>
          <w:rFonts w:hint="eastAsia" w:hAnsi="宋体" w:cs="宋体"/>
          <w:color w:val="auto"/>
          <w:sz w:val="21"/>
          <w:highlight w:val="none"/>
          <w:lang w:eastAsia="zh-CN"/>
        </w:rPr>
        <w:t>〔2023〕7号</w:t>
      </w:r>
      <w:r>
        <w:rPr>
          <w:rFonts w:hint="eastAsia" w:hAnsi="宋体" w:cs="宋体"/>
          <w:color w:val="auto"/>
          <w:sz w:val="21"/>
          <w:highlight w:val="none"/>
        </w:rPr>
        <w:t>文</w:t>
      </w:r>
      <w:r>
        <w:rPr>
          <w:rFonts w:hint="eastAsia" w:hAnsi="宋体" w:cs="宋体"/>
          <w:color w:val="auto"/>
          <w:sz w:val="21"/>
          <w:highlight w:val="none"/>
          <w:lang w:eastAsia="zh-CN"/>
        </w:rPr>
        <w:t>）；</w:t>
      </w:r>
    </w:p>
    <w:p w14:paraId="647425AD">
      <w:pPr>
        <w:pStyle w:val="26"/>
        <w:spacing w:line="440" w:lineRule="exact"/>
        <w:ind w:firstLine="420"/>
        <w:rPr>
          <w:rFonts w:hint="eastAsia" w:hAnsi="宋体" w:eastAsia="宋体" w:cs="宋体"/>
          <w:color w:val="auto"/>
          <w:sz w:val="21"/>
          <w:highlight w:val="none"/>
          <w:lang w:eastAsia="zh-CN"/>
        </w:rPr>
      </w:pPr>
      <w:r>
        <w:rPr>
          <w:rFonts w:hint="eastAsia" w:hAnsi="宋体" w:cs="宋体"/>
          <w:color w:val="auto"/>
          <w:sz w:val="21"/>
          <w:highlight w:val="none"/>
        </w:rPr>
        <w:t>（</w:t>
      </w:r>
      <w:r>
        <w:rPr>
          <w:rFonts w:hint="eastAsia" w:hAnsi="宋体" w:cs="宋体"/>
          <w:color w:val="auto"/>
          <w:sz w:val="21"/>
          <w:highlight w:val="none"/>
          <w:lang w:val="en-US" w:eastAsia="zh-CN"/>
        </w:rPr>
        <w:t>7</w:t>
      </w:r>
      <w:r>
        <w:rPr>
          <w:rFonts w:hint="eastAsia" w:hAnsi="宋体" w:cs="宋体"/>
          <w:color w:val="auto"/>
          <w:sz w:val="21"/>
          <w:highlight w:val="none"/>
        </w:rPr>
        <w:t>）《自治区住房</w:t>
      </w:r>
      <w:r>
        <w:rPr>
          <w:rFonts w:hint="eastAsia" w:hAnsi="宋体" w:cs="宋体"/>
          <w:color w:val="auto"/>
          <w:sz w:val="21"/>
          <w:highlight w:val="none"/>
          <w:lang w:eastAsia="zh-CN"/>
        </w:rPr>
        <w:t>和</w:t>
      </w:r>
      <w:r>
        <w:rPr>
          <w:rFonts w:hint="eastAsia" w:hAnsi="宋体" w:cs="宋体"/>
          <w:color w:val="auto"/>
          <w:sz w:val="21"/>
          <w:highlight w:val="none"/>
        </w:rPr>
        <w:t>城乡建设厅关于调整建设工程计价增值税税率的通知》</w:t>
      </w:r>
      <w:r>
        <w:rPr>
          <w:rFonts w:hint="eastAsia" w:hAnsi="宋体" w:cs="宋体"/>
          <w:color w:val="auto"/>
          <w:sz w:val="21"/>
          <w:highlight w:val="none"/>
          <w:lang w:eastAsia="zh-CN"/>
        </w:rPr>
        <w:t>（</w:t>
      </w:r>
      <w:r>
        <w:rPr>
          <w:rFonts w:hint="eastAsia" w:hAnsi="宋体" w:cs="宋体"/>
          <w:color w:val="auto"/>
          <w:sz w:val="21"/>
          <w:highlight w:val="none"/>
        </w:rPr>
        <w:t>桂建标</w:t>
      </w:r>
      <w:r>
        <w:rPr>
          <w:rFonts w:hint="eastAsia" w:hAnsi="宋体" w:cs="宋体"/>
          <w:color w:val="auto"/>
          <w:sz w:val="21"/>
          <w:highlight w:val="none"/>
          <w:lang w:eastAsia="zh-CN"/>
        </w:rPr>
        <w:t>〔2019〕12号）；</w:t>
      </w:r>
    </w:p>
    <w:p w14:paraId="06D59DC4">
      <w:pPr>
        <w:pStyle w:val="26"/>
        <w:spacing w:line="440" w:lineRule="exact"/>
        <w:ind w:firstLine="420"/>
        <w:rPr>
          <w:rFonts w:hAnsi="宋体" w:cs="宋体"/>
          <w:color w:val="auto"/>
          <w:kern w:val="21"/>
          <w:sz w:val="21"/>
          <w:highlight w:val="none"/>
        </w:rPr>
      </w:pPr>
      <w:r>
        <w:rPr>
          <w:rFonts w:hint="eastAsia" w:hAnsi="宋体" w:cs="宋体"/>
          <w:color w:val="auto"/>
          <w:sz w:val="21"/>
          <w:highlight w:val="none"/>
        </w:rPr>
        <w:t>（8）工程的材料价格依据202</w:t>
      </w:r>
      <w:r>
        <w:rPr>
          <w:rFonts w:hint="eastAsia" w:hAnsi="宋体" w:cs="宋体"/>
          <w:color w:val="auto"/>
          <w:sz w:val="21"/>
          <w:highlight w:val="none"/>
          <w:lang w:val="en-US" w:eastAsia="zh-CN"/>
        </w:rPr>
        <w:t>6</w:t>
      </w:r>
      <w:r>
        <w:rPr>
          <w:rFonts w:hint="eastAsia" w:hAnsi="宋体" w:cs="宋体"/>
          <w:color w:val="auto"/>
          <w:sz w:val="21"/>
          <w:highlight w:val="none"/>
        </w:rPr>
        <w:t>年《桂林市建设工程造价信息》桂林市第</w:t>
      </w:r>
      <w:r>
        <w:rPr>
          <w:rFonts w:hint="eastAsia" w:hAnsi="宋体" w:cs="宋体"/>
          <w:color w:val="auto"/>
          <w:sz w:val="21"/>
          <w:highlight w:val="none"/>
          <w:lang w:val="en-US" w:eastAsia="zh-CN"/>
        </w:rPr>
        <w:t>2</w:t>
      </w:r>
      <w:r>
        <w:rPr>
          <w:rFonts w:hint="eastAsia" w:hAnsi="宋体" w:cs="宋体"/>
          <w:color w:val="auto"/>
          <w:sz w:val="21"/>
          <w:highlight w:val="none"/>
        </w:rPr>
        <w:t>期，信息价上没有的材料价按市场询价</w:t>
      </w:r>
      <w:r>
        <w:rPr>
          <w:rFonts w:hint="eastAsia" w:hAnsi="宋体" w:cs="宋体"/>
          <w:color w:val="auto"/>
          <w:kern w:val="21"/>
          <w:sz w:val="21"/>
          <w:highlight w:val="none"/>
        </w:rPr>
        <w:t>。</w:t>
      </w:r>
    </w:p>
    <w:p w14:paraId="4C120F17">
      <w:pPr>
        <w:pStyle w:val="26"/>
        <w:spacing w:line="440" w:lineRule="exact"/>
        <w:rPr>
          <w:rFonts w:hAnsi="宋体" w:cs="宋体"/>
          <w:b/>
          <w:color w:val="auto"/>
          <w:sz w:val="21"/>
          <w:highlight w:val="none"/>
        </w:rPr>
      </w:pPr>
      <w:r>
        <w:rPr>
          <w:rFonts w:hint="eastAsia" w:hAnsi="宋体" w:cs="宋体"/>
          <w:b/>
          <w:color w:val="auto"/>
          <w:sz w:val="21"/>
          <w:highlight w:val="none"/>
        </w:rPr>
        <w:t>二、磋商报价说明</w:t>
      </w:r>
    </w:p>
    <w:p w14:paraId="1FC84B19">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1.供应商应依据磋商文件、工程量清单以及《计价规范</w:t>
      </w:r>
      <w:r>
        <w:rPr>
          <w:rFonts w:hint="eastAsia" w:ascii="宋体" w:hAnsi="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02272C17">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供应商应按磋商文件提供的工程量清单计算工程项目的综合单价和合价。工程量清单中的每一项均需计算填写综合单价和合价，供应商没有填写综合单价和合价的项目将不予支付，并认为此项费用已包括在工程量清单的其他综合单价和合价中。供应商在工程量清单中多报的细目或单价、合价或总额价</w:t>
      </w:r>
      <w:r>
        <w:rPr>
          <w:rFonts w:hint="eastAsia" w:ascii="宋体" w:hAnsi="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lang w:val="en-US" w:eastAsia="zh-CN"/>
        </w:rPr>
        <w:t>人将不予支持。</w:t>
      </w:r>
    </w:p>
    <w:p w14:paraId="3661EB63">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3.供应商应对磋商文件中工程量清单所列的各项内容和要求作实质性响应。</w:t>
      </w:r>
    </w:p>
    <w:p w14:paraId="6FA9AB87">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4.供应商报价依据：本工程磋商文件、工程量清单、</w:t>
      </w:r>
      <w:r>
        <w:rPr>
          <w:rFonts w:hint="eastAsia" w:ascii="宋体" w:hAnsi="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lang w:val="en-US" w:eastAsia="zh-CN"/>
        </w:rPr>
        <w:t>人提供的有关的计价文件。</w:t>
      </w:r>
    </w:p>
    <w:p w14:paraId="59B70184">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5.磋商价格采用方式：本工程报价采用工程量清单报价方式。</w:t>
      </w:r>
    </w:p>
    <w:p w14:paraId="0E996DFC">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6.分部分项工程量清单部分：报价单位所填写的综合单价在合同实施期间不因市场变化因素而变化，成交综合单价即为结算综合单价，其在合同实施期间，由于施工方法的修正、变更而引起的费用增加，由</w:t>
      </w:r>
      <w:r>
        <w:rPr>
          <w:rFonts w:hint="eastAsia" w:ascii="宋体" w:hAnsi="宋体" w:cs="宋体"/>
          <w:b w:val="0"/>
          <w:bCs/>
          <w:color w:val="auto"/>
          <w:sz w:val="21"/>
          <w:szCs w:val="21"/>
          <w:highlight w:val="none"/>
          <w:lang w:val="en-US" w:eastAsia="zh-CN"/>
        </w:rPr>
        <w:t>成交供应商</w:t>
      </w:r>
      <w:r>
        <w:rPr>
          <w:rFonts w:hint="eastAsia" w:ascii="宋体" w:hAnsi="宋体" w:eastAsia="宋体" w:cs="宋体"/>
          <w:b w:val="0"/>
          <w:bCs/>
          <w:color w:val="auto"/>
          <w:sz w:val="21"/>
          <w:szCs w:val="21"/>
          <w:highlight w:val="none"/>
          <w:lang w:val="en-US" w:eastAsia="zh-CN"/>
        </w:rPr>
        <w:t>自理，不另追加费用，合价在合同实施期间以监理工程师及业主代表认可的，按技术规范要求完成的实际工程数量为计算依据，供应商在计算报价时可考虑一定的风险系数。</w:t>
      </w:r>
    </w:p>
    <w:p w14:paraId="2C858325">
      <w:pPr>
        <w:tabs>
          <w:tab w:val="left" w:pos="210"/>
        </w:tabs>
        <w:spacing w:line="440" w:lineRule="exact"/>
        <w:ind w:firstLine="422"/>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7.本工程合同实施期间，因不可预见因素或设计及</w:t>
      </w:r>
      <w:r>
        <w:rPr>
          <w:rFonts w:hint="eastAsia" w:ascii="宋体" w:hAnsi="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lang w:val="en-US" w:eastAsia="zh-CN"/>
        </w:rPr>
        <w:t>人要求所发生的工程量增减（由变更签证产生），按其实际发生的</w:t>
      </w:r>
      <w:r>
        <w:rPr>
          <w:rFonts w:hint="eastAsia" w:ascii="宋体" w:hAnsi="宋体" w:cs="宋体"/>
          <w:b w:val="0"/>
          <w:bCs/>
          <w:color w:val="auto"/>
          <w:sz w:val="21"/>
          <w:szCs w:val="21"/>
          <w:highlight w:val="none"/>
          <w:lang w:val="en-US" w:eastAsia="zh-CN"/>
        </w:rPr>
        <w:t>采购</w:t>
      </w:r>
      <w:r>
        <w:rPr>
          <w:rFonts w:hint="eastAsia" w:ascii="宋体" w:hAnsi="宋体" w:eastAsia="宋体" w:cs="宋体"/>
          <w:b w:val="0"/>
          <w:bCs/>
          <w:color w:val="auto"/>
          <w:sz w:val="21"/>
          <w:szCs w:val="21"/>
          <w:highlight w:val="none"/>
          <w:lang w:val="en-US" w:eastAsia="zh-CN"/>
        </w:rPr>
        <w:t>人代表签证确认，其结算综合单价的确定按合同条款规定计算，其最终结算价格以采购人审核后的价格为准。</w:t>
      </w:r>
    </w:p>
    <w:p w14:paraId="4AF67C8E">
      <w:pPr>
        <w:tabs>
          <w:tab w:val="left" w:pos="210"/>
        </w:tabs>
        <w:spacing w:line="440" w:lineRule="exact"/>
        <w:ind w:firstLine="422"/>
        <w:jc w:val="left"/>
        <w:rPr>
          <w:rFonts w:hint="eastAsia" w:ascii="宋体" w:hAnsi="宋体" w:cs="宋体"/>
          <w:b/>
          <w:bCs w:val="0"/>
          <w:color w:val="auto"/>
          <w:sz w:val="21"/>
          <w:szCs w:val="21"/>
          <w:highlight w:val="none"/>
          <w:lang w:val="en-US" w:eastAsia="zh-CN"/>
        </w:rPr>
      </w:pPr>
      <w:r>
        <w:rPr>
          <w:rFonts w:hint="eastAsia" w:ascii="宋体" w:hAnsi="宋体" w:cs="宋体"/>
          <w:b/>
          <w:bCs w:val="0"/>
          <w:color w:val="auto"/>
          <w:sz w:val="21"/>
          <w:szCs w:val="21"/>
          <w:highlight w:val="none"/>
          <w:lang w:val="en-US" w:eastAsia="zh-CN"/>
        </w:rPr>
        <w:t>8.供应商应按工程量清单填报价格。项目编码（12位）、项目名称、项目特征、计量单位、工程量必须与工程量清单一致，供应商不得对工程量清单项目进行增减调整。</w:t>
      </w:r>
    </w:p>
    <w:p w14:paraId="6D30F0F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9.综合单价中应包含磋商文件中划分的应由供应商承担的风险范围及其费用。</w:t>
      </w:r>
    </w:p>
    <w:p w14:paraId="71107208">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10.分部分项工程项目和单价措施项目，应根据磋商文件和工程量清单项目中的特征描述确定综合单价计算。如出现工程量清单特征描述与设计图纸不符时，供应商应以工程量清单的项目特征描述为准，确定磋商报价的综合单价。</w:t>
      </w:r>
    </w:p>
    <w:p w14:paraId="67990DF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11.总价措施项目的金额应根据磋商文件及竞标时拟定的施工组织设计或施工方案，按计价规范的规定自主确定。但安全文明施工费按国家、省级或行业建设主管部门的有关规定执行，作为不竞争费用单列。</w:t>
      </w:r>
    </w:p>
    <w:p w14:paraId="13A0C19F">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12.其他项目费应按下列规定报价：</w:t>
      </w:r>
    </w:p>
    <w:p w14:paraId="1BC13BCF">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（1）暂列金额应按工程量清单中列出的金额填写；</w:t>
      </w:r>
    </w:p>
    <w:p w14:paraId="742E9E3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（2）材料、工程设备暂估价应按工程量清单中列出的单价计入综合单价；</w:t>
      </w:r>
    </w:p>
    <w:p w14:paraId="11F6D35F">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（3）专业工程暂估价应按工程量清单中列出的金额填写；</w:t>
      </w:r>
    </w:p>
    <w:p w14:paraId="762A504A">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（4）安全生产责任保险费暂估价应按工程量清单中列出的金额填写；</w:t>
      </w:r>
    </w:p>
    <w:p w14:paraId="439BFAB5">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（5）计日工应按工程量清单中列出的项目和估算数量，自主确定综合单价并计算计日工总额；计日工单价均不含规费和税金。</w:t>
      </w:r>
    </w:p>
    <w:p w14:paraId="6ADC6E18">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13. 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6FAB46D4">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14. 磋商总价应当与分部分项工程费、措施项目费、其他项目费和规费、增值税的合计金额一致。</w:t>
      </w:r>
    </w:p>
    <w:p w14:paraId="4D99A9D2">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未尽事宜详见本工程工程量清单以及现行《计价规范》等有关规定执行。</w:t>
      </w:r>
    </w:p>
    <w:p w14:paraId="51D0FCED">
      <w:pPr>
        <w:tabs>
          <w:tab w:val="left" w:pos="210"/>
        </w:tabs>
        <w:spacing w:line="440" w:lineRule="exact"/>
        <w:ind w:firstLine="422"/>
        <w:jc w:val="left"/>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注：因2021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附的工程量清单及相关说明为准。</w:t>
      </w:r>
    </w:p>
    <w:p w14:paraId="7B9F14BB">
      <w:pPr>
        <w:tabs>
          <w:tab w:val="left" w:pos="210"/>
        </w:tabs>
        <w:spacing w:line="44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lang w:val="en-US" w:eastAsia="zh-CN"/>
        </w:rPr>
        <w:t>15</w:t>
      </w:r>
      <w:r>
        <w:rPr>
          <w:rFonts w:hint="eastAsia" w:ascii="宋体" w:hAnsi="宋体" w:cs="宋体"/>
          <w:b/>
          <w:color w:val="auto"/>
          <w:sz w:val="21"/>
          <w:szCs w:val="21"/>
          <w:highlight w:val="none"/>
        </w:rPr>
        <w:t>.工程量清单封面须由编制人签字并盖专用章，否则响应文件按无效处理。</w:t>
      </w:r>
    </w:p>
    <w:p w14:paraId="20EB44F8">
      <w:pPr>
        <w:tabs>
          <w:tab w:val="left" w:pos="210"/>
        </w:tabs>
        <w:spacing w:line="44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三、</w:t>
      </w:r>
      <w:r>
        <w:rPr>
          <w:rFonts w:hint="eastAsia" w:ascii="宋体" w:hAnsi="宋体" w:eastAsia="宋体" w:cs="宋体"/>
          <w:b/>
          <w:color w:val="auto"/>
          <w:sz w:val="21"/>
          <w:szCs w:val="21"/>
          <w:highlight w:val="none"/>
        </w:rPr>
        <w:t>本项目预算金额及最高限价</w:t>
      </w:r>
    </w:p>
    <w:p w14:paraId="2A75CEA4">
      <w:pPr>
        <w:keepNext w:val="0"/>
        <w:keepLines w:val="0"/>
        <w:pageBreakBefore w:val="0"/>
        <w:widowControl w:val="0"/>
        <w:tabs>
          <w:tab w:val="left" w:pos="210"/>
        </w:tabs>
        <w:kinsoku/>
        <w:wordWrap w:val="0"/>
        <w:overflowPunct/>
        <w:topLinePunct w:val="0"/>
        <w:autoSpaceDE/>
        <w:autoSpaceDN/>
        <w:bidi w:val="0"/>
        <w:adjustRightInd/>
        <w:snapToGrid/>
        <w:spacing w:line="440" w:lineRule="exact"/>
        <w:ind w:firstLine="422"/>
        <w:jc w:val="left"/>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rPr>
        <w:t>本项目预算金额</w:t>
      </w:r>
      <w:r>
        <w:rPr>
          <w:rFonts w:hint="eastAsia" w:ascii="宋体" w:hAnsi="宋体" w:eastAsia="宋体" w:cs="宋体"/>
          <w:b/>
          <w:bCs w:val="0"/>
          <w:color w:val="auto"/>
          <w:sz w:val="21"/>
          <w:szCs w:val="21"/>
          <w:highlight w:val="none"/>
          <w:lang w:eastAsia="zh-CN"/>
        </w:rPr>
        <w:t>及最高限价</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eastAsia="zh-CN"/>
        </w:rPr>
        <w:t>本项目预算金额为贰佰万元整（¥</w:t>
      </w:r>
      <w:r>
        <w:rPr>
          <w:rFonts w:hint="eastAsia" w:ascii="宋体" w:hAnsi="宋体" w:eastAsia="宋体" w:cs="宋体"/>
          <w:b/>
          <w:bCs w:val="0"/>
          <w:color w:val="auto"/>
          <w:sz w:val="21"/>
          <w:szCs w:val="21"/>
          <w:highlight w:val="none"/>
          <w:lang w:val="en-US" w:eastAsia="zh-CN"/>
        </w:rPr>
        <w:t>2000000.00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，最高限价为：人民币壹</w:t>
      </w:r>
      <w:r>
        <w:rPr>
          <w:rFonts w:hint="eastAsia" w:ascii="宋体" w:hAnsi="宋体" w:eastAsia="宋体" w:cs="宋体"/>
          <w:b/>
          <w:bCs w:val="0"/>
          <w:color w:val="auto"/>
          <w:sz w:val="21"/>
          <w:szCs w:val="21"/>
          <w:highlight w:val="none"/>
          <w:lang w:eastAsia="zh-CN"/>
        </w:rPr>
        <w:t>佰</w:t>
      </w:r>
      <w:r>
        <w:rPr>
          <w:rFonts w:hint="eastAsia" w:ascii="宋体" w:hAnsi="宋体" w:cs="宋体"/>
          <w:b/>
          <w:bCs w:val="0"/>
          <w:color w:val="auto"/>
          <w:sz w:val="21"/>
          <w:szCs w:val="21"/>
          <w:highlight w:val="none"/>
          <w:lang w:eastAsia="zh-CN"/>
        </w:rPr>
        <w:t>玖拾肆</w:t>
      </w:r>
      <w:r>
        <w:rPr>
          <w:rFonts w:hint="eastAsia" w:ascii="宋体" w:hAnsi="宋体" w:eastAsia="宋体" w:cs="宋体"/>
          <w:b/>
          <w:bCs w:val="0"/>
          <w:color w:val="auto"/>
          <w:sz w:val="21"/>
          <w:szCs w:val="21"/>
          <w:highlight w:val="none"/>
          <w:lang w:eastAsia="zh-CN"/>
        </w:rPr>
        <w:t>万元整（¥</w:t>
      </w:r>
      <w:r>
        <w:rPr>
          <w:rFonts w:hint="eastAsia" w:ascii="宋体" w:hAnsi="宋体" w:cs="宋体"/>
          <w:b/>
          <w:bCs w:val="0"/>
          <w:color w:val="auto"/>
          <w:sz w:val="21"/>
          <w:szCs w:val="21"/>
          <w:highlight w:val="none"/>
          <w:lang w:val="en-US" w:eastAsia="zh-CN"/>
        </w:rPr>
        <w:t>194</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其中：</w:t>
      </w:r>
      <w:r>
        <w:rPr>
          <w:rFonts w:hint="eastAsia" w:ascii="宋体" w:hAnsi="宋体" w:eastAsia="宋体" w:cs="宋体"/>
          <w:b/>
          <w:bCs w:val="0"/>
          <w:color w:val="auto"/>
          <w:sz w:val="21"/>
          <w:szCs w:val="21"/>
          <w:highlight w:val="none"/>
          <w:lang w:eastAsia="zh-CN"/>
        </w:rPr>
        <w:t>桂林市第十三中学校园操场改造最高限价为壹佰伍拾叁万元整（¥</w:t>
      </w:r>
      <w:r>
        <w:rPr>
          <w:rFonts w:hint="eastAsia" w:ascii="宋体" w:hAnsi="宋体" w:eastAsia="宋体" w:cs="宋体"/>
          <w:b/>
          <w:bCs w:val="0"/>
          <w:color w:val="auto"/>
          <w:sz w:val="21"/>
          <w:szCs w:val="21"/>
          <w:highlight w:val="none"/>
          <w:lang w:val="en-US" w:eastAsia="zh-CN"/>
        </w:rPr>
        <w:t>15</w:t>
      </w:r>
      <w:r>
        <w:rPr>
          <w:rFonts w:hint="eastAsia" w:ascii="宋体" w:hAnsi="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）；桂林市第十三中学校园硅PU篮球场最高限价为肆拾壹万元整（¥</w:t>
      </w:r>
      <w:r>
        <w:rPr>
          <w:rFonts w:hint="eastAsia" w:ascii="宋体" w:hAnsi="宋体" w:eastAsia="宋体" w:cs="宋体"/>
          <w:b/>
          <w:bCs w:val="0"/>
          <w:color w:val="auto"/>
          <w:sz w:val="21"/>
          <w:szCs w:val="21"/>
          <w:highlight w:val="none"/>
          <w:lang w:val="en-US" w:eastAsia="zh-CN"/>
        </w:rPr>
        <w:t>4</w:t>
      </w:r>
      <w:r>
        <w:rPr>
          <w:rFonts w:hint="eastAsia" w:ascii="宋体" w:hAnsi="宋体" w:cs="宋体"/>
          <w:b/>
          <w:bCs w:val="0"/>
          <w:color w:val="auto"/>
          <w:sz w:val="21"/>
          <w:szCs w:val="21"/>
          <w:highlight w:val="none"/>
          <w:lang w:val="en-US" w:eastAsia="zh-CN"/>
        </w:rPr>
        <w:t>1</w:t>
      </w:r>
      <w:r>
        <w:rPr>
          <w:rFonts w:hint="eastAsia" w:ascii="宋体" w:hAnsi="宋体" w:eastAsia="宋体" w:cs="宋体"/>
          <w:b/>
          <w:bCs w:val="0"/>
          <w:color w:val="auto"/>
          <w:sz w:val="21"/>
          <w:szCs w:val="21"/>
          <w:highlight w:val="none"/>
          <w:lang w:val="en-US" w:eastAsia="zh-CN"/>
        </w:rPr>
        <w:t>0000.00</w:t>
      </w:r>
      <w:r>
        <w:rPr>
          <w:rFonts w:hint="eastAsia" w:ascii="宋体" w:hAnsi="宋体" w:eastAsia="宋体" w:cs="宋体"/>
          <w:b/>
          <w:bCs w:val="0"/>
          <w:color w:val="auto"/>
          <w:sz w:val="21"/>
          <w:szCs w:val="21"/>
          <w:highlight w:val="none"/>
          <w:lang w:eastAsia="zh-CN"/>
        </w:rPr>
        <w:t>）</w:t>
      </w:r>
      <w:r>
        <w:rPr>
          <w:rFonts w:hint="eastAsia" w:ascii="宋体" w:hAnsi="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eastAsia="zh-CN"/>
        </w:rPr>
        <w:t>供应商的磋商报价</w:t>
      </w:r>
      <w:r>
        <w:rPr>
          <w:rFonts w:hint="eastAsia" w:ascii="宋体" w:hAnsi="宋体" w:cs="宋体"/>
          <w:b/>
          <w:bCs w:val="0"/>
          <w:color w:val="auto"/>
          <w:sz w:val="21"/>
          <w:szCs w:val="21"/>
          <w:highlight w:val="none"/>
          <w:lang w:eastAsia="zh-CN"/>
        </w:rPr>
        <w:t>及相应采购标的报价</w:t>
      </w:r>
      <w:r>
        <w:rPr>
          <w:rFonts w:hint="eastAsia" w:ascii="宋体" w:hAnsi="宋体" w:eastAsia="宋体" w:cs="宋体"/>
          <w:b/>
          <w:bCs w:val="0"/>
          <w:color w:val="auto"/>
          <w:sz w:val="21"/>
          <w:szCs w:val="21"/>
          <w:highlight w:val="none"/>
          <w:lang w:eastAsia="zh-CN"/>
        </w:rPr>
        <w:t>不得高于</w:t>
      </w:r>
      <w:r>
        <w:rPr>
          <w:rFonts w:hint="eastAsia" w:ascii="宋体" w:hAnsi="宋体" w:cs="宋体"/>
          <w:b/>
          <w:bCs w:val="0"/>
          <w:color w:val="auto"/>
          <w:sz w:val="21"/>
          <w:szCs w:val="21"/>
          <w:highlight w:val="none"/>
          <w:lang w:eastAsia="zh-CN"/>
        </w:rPr>
        <w:t>上述相应</w:t>
      </w:r>
      <w:r>
        <w:rPr>
          <w:rFonts w:hint="eastAsia" w:ascii="宋体" w:hAnsi="宋体" w:eastAsia="宋体" w:cs="宋体"/>
          <w:b/>
          <w:bCs w:val="0"/>
          <w:color w:val="auto"/>
          <w:sz w:val="21"/>
          <w:szCs w:val="21"/>
          <w:highlight w:val="none"/>
          <w:lang w:eastAsia="zh-CN"/>
        </w:rPr>
        <w:t>最高限价，否则响应文件按无效处理。</w:t>
      </w:r>
    </w:p>
    <w:p w14:paraId="086B38E7">
      <w:pPr>
        <w:tabs>
          <w:tab w:val="left" w:pos="210"/>
        </w:tabs>
        <w:spacing w:line="440" w:lineRule="exact"/>
        <w:ind w:firstLine="422"/>
        <w:jc w:val="left"/>
        <w:rPr>
          <w:rFonts w:hint="eastAsia" w:ascii="宋体" w:hAnsi="宋体" w:cs="宋体"/>
          <w:b/>
          <w:color w:val="auto"/>
          <w:sz w:val="21"/>
          <w:szCs w:val="21"/>
          <w:highlight w:val="none"/>
        </w:rPr>
      </w:pPr>
      <w:r>
        <w:rPr>
          <w:rFonts w:hint="eastAsia" w:hAnsi="宋体" w:cs="宋体"/>
          <w:b/>
          <w:color w:val="auto"/>
          <w:highlight w:val="none"/>
          <w:lang w:val="en-US" w:eastAsia="zh-CN"/>
        </w:rPr>
        <w:t>Ⅱ、图纸（另附）</w:t>
      </w:r>
    </w:p>
    <w:p w14:paraId="06643DF6">
      <w:pPr>
        <w:pStyle w:val="23"/>
        <w:rPr>
          <w:rFonts w:ascii="宋体" w:hAnsi="宋体" w:cs="宋体"/>
          <w:b/>
          <w:color w:val="auto"/>
          <w:sz w:val="21"/>
          <w:szCs w:val="21"/>
          <w:highlight w:val="none"/>
        </w:rPr>
      </w:pPr>
    </w:p>
    <w:p w14:paraId="4EA9C562">
      <w:pPr>
        <w:spacing w:line="380" w:lineRule="exact"/>
        <w:ind w:firstLine="420"/>
        <w:rPr>
          <w:rFonts w:ascii="宋体" w:hAnsi="宋体" w:cs="宋体"/>
          <w:color w:val="auto"/>
          <w:sz w:val="21"/>
          <w:szCs w:val="21"/>
          <w:highlight w:val="none"/>
        </w:rPr>
      </w:pPr>
    </w:p>
    <w:p w14:paraId="62061139">
      <w:pPr>
        <w:adjustRightInd w:val="0"/>
        <w:snapToGrid w:val="0"/>
        <w:spacing w:line="400" w:lineRule="exact"/>
        <w:ind w:firstLine="643"/>
        <w:jc w:val="center"/>
        <w:rPr>
          <w:rFonts w:ascii="宋体" w:hAnsi="宋体" w:cs="宋体"/>
          <w:b/>
          <w:color w:val="auto"/>
          <w:kern w:val="0"/>
          <w:sz w:val="32"/>
          <w:highlight w:val="none"/>
        </w:rPr>
      </w:pPr>
    </w:p>
    <w:p w14:paraId="1DCFA2A2">
      <w:pPr>
        <w:adjustRightInd w:val="0"/>
        <w:snapToGrid w:val="0"/>
        <w:spacing w:line="400" w:lineRule="exact"/>
        <w:ind w:firstLine="643"/>
        <w:jc w:val="center"/>
        <w:rPr>
          <w:rFonts w:ascii="宋体" w:hAnsi="宋体" w:cs="宋体"/>
          <w:b/>
          <w:color w:val="auto"/>
          <w:kern w:val="0"/>
          <w:sz w:val="32"/>
          <w:highlight w:val="none"/>
        </w:rPr>
      </w:pPr>
    </w:p>
    <w:p w14:paraId="419EDC0C">
      <w:pPr>
        <w:adjustRightInd w:val="0"/>
        <w:snapToGrid w:val="0"/>
        <w:spacing w:line="400" w:lineRule="exact"/>
        <w:ind w:firstLine="643"/>
        <w:jc w:val="center"/>
        <w:rPr>
          <w:rFonts w:ascii="宋体" w:hAnsi="宋体" w:cs="宋体"/>
          <w:b/>
          <w:color w:val="auto"/>
          <w:kern w:val="0"/>
          <w:sz w:val="32"/>
          <w:highlight w:val="none"/>
        </w:rPr>
      </w:pPr>
    </w:p>
    <w:p w14:paraId="066C7EDF">
      <w:pPr>
        <w:adjustRightInd w:val="0"/>
        <w:snapToGrid w:val="0"/>
        <w:spacing w:line="400" w:lineRule="exact"/>
        <w:ind w:firstLine="643"/>
        <w:jc w:val="center"/>
        <w:rPr>
          <w:rFonts w:ascii="宋体" w:hAnsi="宋体" w:cs="宋体"/>
          <w:b/>
          <w:color w:val="auto"/>
          <w:kern w:val="0"/>
          <w:sz w:val="32"/>
          <w:highlight w:val="none"/>
        </w:rPr>
      </w:pPr>
    </w:p>
    <w:p w14:paraId="395B2269">
      <w:pPr>
        <w:widowControl/>
        <w:spacing w:line="240" w:lineRule="auto"/>
        <w:ind w:firstLine="0" w:firstLineChars="0"/>
        <w:jc w:val="left"/>
        <w:rPr>
          <w:rFonts w:ascii="宋体" w:hAnsi="宋体" w:cs="宋体"/>
          <w:b/>
          <w:color w:val="auto"/>
          <w:kern w:val="0"/>
          <w:sz w:val="32"/>
          <w:szCs w:val="20"/>
          <w:highlight w:val="none"/>
        </w:rPr>
      </w:pPr>
      <w:r>
        <w:rPr>
          <w:rFonts w:ascii="宋体" w:hAnsi="宋体" w:cs="宋体"/>
          <w:b/>
          <w:color w:val="auto"/>
          <w:sz w:val="32"/>
          <w:highlight w:val="none"/>
        </w:rPr>
        <w:br w:type="page"/>
      </w:r>
    </w:p>
    <w:p w14:paraId="6154A87A">
      <w:pPr>
        <w:adjustRightInd w:val="0"/>
        <w:snapToGrid w:val="0"/>
        <w:spacing w:line="400" w:lineRule="exact"/>
        <w:ind w:firstLine="643"/>
        <w:jc w:val="center"/>
        <w:rPr>
          <w:rFonts w:ascii="宋体" w:hAnsi="宋体" w:cs="宋体"/>
          <w:b/>
          <w:color w:val="auto"/>
          <w:kern w:val="0"/>
          <w:sz w:val="32"/>
          <w:szCs w:val="32"/>
          <w:highlight w:val="none"/>
        </w:rPr>
      </w:pPr>
      <w:r>
        <w:rPr>
          <w:rFonts w:hint="eastAsia" w:ascii="宋体" w:hAnsi="宋体" w:cs="宋体"/>
          <w:b/>
          <w:color w:val="auto"/>
          <w:kern w:val="0"/>
          <w:sz w:val="32"/>
          <w:highlight w:val="none"/>
        </w:rPr>
        <w:t xml:space="preserve">第五章  </w:t>
      </w:r>
      <w:r>
        <w:rPr>
          <w:rFonts w:hint="eastAsia" w:ascii="宋体" w:hAnsi="宋体" w:cs="宋体"/>
          <w:b/>
          <w:color w:val="auto"/>
          <w:kern w:val="0"/>
          <w:sz w:val="32"/>
          <w:szCs w:val="32"/>
          <w:highlight w:val="none"/>
        </w:rPr>
        <w:t>评审办法</w:t>
      </w:r>
    </w:p>
    <w:p w14:paraId="07D031F5">
      <w:pPr>
        <w:keepNext w:val="0"/>
        <w:keepLines w:val="0"/>
        <w:pageBreakBefore w:val="0"/>
        <w:widowControl w:val="0"/>
        <w:kinsoku/>
        <w:wordWrap/>
        <w:overflowPunct/>
        <w:topLinePunct w:val="0"/>
        <w:autoSpaceDE/>
        <w:autoSpaceDN/>
        <w:bidi w:val="0"/>
        <w:spacing w:line="400" w:lineRule="exact"/>
        <w:ind w:firstLine="413" w:firstLineChars="196"/>
        <w:textAlignment w:val="auto"/>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一、评审依据及方式</w:t>
      </w:r>
    </w:p>
    <w:p w14:paraId="59192B1E">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1.评审依据：磋商小组以竞争性磋商文件和响应文件为评审依据，对供应商的报价、</w:t>
      </w:r>
      <w:r>
        <w:rPr>
          <w:rFonts w:hint="eastAsia" w:ascii="宋体" w:hAnsi="宋体" w:cs="宋体"/>
          <w:color w:val="auto"/>
          <w:sz w:val="21"/>
          <w:szCs w:val="21"/>
          <w:highlight w:val="none"/>
        </w:rPr>
        <w:t>施工组织设计、</w:t>
      </w:r>
      <w:r>
        <w:rPr>
          <w:rFonts w:hint="eastAsia" w:ascii="宋体" w:hAnsi="宋体" w:cs="宋体"/>
          <w:color w:val="auto"/>
          <w:kern w:val="0"/>
          <w:sz w:val="21"/>
          <w:szCs w:val="20"/>
          <w:highlight w:val="none"/>
        </w:rPr>
        <w:t>履约能力等方面内容按百分制打分。</w:t>
      </w:r>
    </w:p>
    <w:p w14:paraId="3597F0B2">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2.评审方式：以封闭方式进行评审。</w:t>
      </w:r>
    </w:p>
    <w:p w14:paraId="20F9AB7E">
      <w:pPr>
        <w:keepNext w:val="0"/>
        <w:keepLines w:val="0"/>
        <w:pageBreakBefore w:val="0"/>
        <w:widowControl w:val="0"/>
        <w:kinsoku/>
        <w:wordWrap/>
        <w:overflowPunct/>
        <w:topLinePunct w:val="0"/>
        <w:autoSpaceDE/>
        <w:autoSpaceDN/>
        <w:bidi w:val="0"/>
        <w:adjustRightInd w:val="0"/>
        <w:snapToGrid w:val="0"/>
        <w:spacing w:line="400" w:lineRule="exact"/>
        <w:ind w:left="240" w:leftChars="100" w:firstLine="210" w:firstLineChars="100"/>
        <w:textAlignment w:val="auto"/>
        <w:rPr>
          <w:rFonts w:ascii="宋体" w:hAnsi="宋体" w:cs="宋体"/>
          <w:color w:val="auto"/>
          <w:kern w:val="0"/>
          <w:sz w:val="21"/>
          <w:szCs w:val="20"/>
          <w:highlight w:val="none"/>
        </w:rPr>
      </w:pPr>
      <w:r>
        <w:rPr>
          <w:rFonts w:hint="eastAsia" w:ascii="宋体" w:hAnsi="宋体" w:cs="宋体"/>
          <w:color w:val="auto"/>
          <w:kern w:val="0"/>
          <w:sz w:val="21"/>
          <w:szCs w:val="20"/>
          <w:highlight w:val="none"/>
        </w:rPr>
        <w:t>3.根据财库〔2012〕69号文规定，采购人和采购代理机构，磋商小组成员要严格遵守政府采购相关法律制度，依法履行各自职责，公正、客观、审慎地组织和参与评审工作。</w:t>
      </w:r>
    </w:p>
    <w:p w14:paraId="2534B78C">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ascii="宋体" w:hAnsi="宋体" w:cs="宋体"/>
          <w:b/>
          <w:bCs/>
          <w:color w:val="auto"/>
          <w:kern w:val="0"/>
          <w:sz w:val="21"/>
          <w:szCs w:val="20"/>
          <w:highlight w:val="none"/>
        </w:rPr>
      </w:pPr>
    </w:p>
    <w:p w14:paraId="7272473B">
      <w:pPr>
        <w:keepNext w:val="0"/>
        <w:keepLines w:val="0"/>
        <w:pageBreakBefore w:val="0"/>
        <w:widowControl w:val="0"/>
        <w:kinsoku/>
        <w:wordWrap/>
        <w:overflowPunct/>
        <w:topLinePunct w:val="0"/>
        <w:autoSpaceDE/>
        <w:autoSpaceDN/>
        <w:bidi w:val="0"/>
        <w:adjustRightInd w:val="0"/>
        <w:snapToGrid w:val="0"/>
        <w:spacing w:line="400" w:lineRule="exact"/>
        <w:ind w:firstLine="422"/>
        <w:textAlignment w:val="auto"/>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二、评审办法</w:t>
      </w:r>
    </w:p>
    <w:p w14:paraId="25238651">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（一）对进入详评的，采用综合评分法。</w:t>
      </w:r>
    </w:p>
    <w:p w14:paraId="5EE489D8">
      <w:pPr>
        <w:keepNext w:val="0"/>
        <w:keepLines w:val="0"/>
        <w:pageBreakBefore w:val="0"/>
        <w:widowControl w:val="0"/>
        <w:kinsoku/>
        <w:wordWrap/>
        <w:overflowPunct/>
        <w:topLinePunct w:val="0"/>
        <w:autoSpaceDE/>
        <w:autoSpaceDN/>
        <w:bidi w:val="0"/>
        <w:adjustRightInd w:val="0"/>
        <w:snapToGrid w:val="0"/>
        <w:spacing w:line="400" w:lineRule="exact"/>
        <w:ind w:firstLine="420"/>
        <w:textAlignment w:val="auto"/>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（二）计分办法（按四舍五入取至小数点后</w:t>
      </w:r>
      <w:r>
        <w:rPr>
          <w:rFonts w:hint="eastAsia" w:ascii="宋体" w:hAnsi="宋体" w:cs="宋体"/>
          <w:bCs/>
          <w:color w:val="auto"/>
          <w:kern w:val="0"/>
          <w:sz w:val="21"/>
          <w:szCs w:val="20"/>
          <w:highlight w:val="none"/>
          <w:lang w:eastAsia="zh-CN"/>
        </w:rPr>
        <w:t>两位</w:t>
      </w:r>
      <w:r>
        <w:rPr>
          <w:rFonts w:hint="eastAsia" w:ascii="宋体" w:hAnsi="宋体" w:cs="宋体"/>
          <w:bCs/>
          <w:color w:val="auto"/>
          <w:kern w:val="0"/>
          <w:sz w:val="21"/>
          <w:szCs w:val="20"/>
          <w:highlight w:val="none"/>
        </w:rPr>
        <w:t>）</w:t>
      </w:r>
    </w:p>
    <w:tbl>
      <w:tblPr>
        <w:tblStyle w:val="48"/>
        <w:tblW w:w="9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68"/>
        <w:gridCol w:w="7398"/>
      </w:tblGrid>
      <w:tr w14:paraId="7835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59" w:type="dxa"/>
            <w:tcBorders>
              <w:top w:val="single" w:color="auto" w:sz="4" w:space="0"/>
              <w:left w:val="single" w:color="auto" w:sz="4" w:space="0"/>
              <w:bottom w:val="single" w:color="auto" w:sz="4" w:space="0"/>
              <w:right w:val="single" w:color="auto" w:sz="4" w:space="0"/>
            </w:tcBorders>
            <w:noWrap/>
            <w:vAlign w:val="center"/>
          </w:tcPr>
          <w:p w14:paraId="00891B0F">
            <w:pPr>
              <w:adjustRightInd w:val="0"/>
              <w:snapToGrid w:val="0"/>
              <w:spacing w:line="360" w:lineRule="exact"/>
              <w:ind w:firstLine="0" w:firstLineChars="0"/>
              <w:jc w:val="center"/>
              <w:textAlignment w:val="baseline"/>
              <w:rPr>
                <w:rFonts w:ascii="宋体" w:hAnsi="宋体" w:cs="宋体"/>
                <w:b/>
                <w:color w:val="auto"/>
                <w:sz w:val="21"/>
                <w:szCs w:val="21"/>
                <w:highlight w:val="none"/>
              </w:rPr>
            </w:pPr>
            <w:r>
              <w:rPr>
                <w:rFonts w:hint="eastAsia" w:ascii="宋体" w:hAnsi="宋体" w:cs="宋体"/>
                <w:b/>
                <w:color w:val="auto"/>
                <w:sz w:val="21"/>
                <w:szCs w:val="21"/>
                <w:highlight w:val="none"/>
              </w:rPr>
              <w:t>序号</w:t>
            </w:r>
          </w:p>
        </w:tc>
        <w:tc>
          <w:tcPr>
            <w:tcW w:w="1268" w:type="dxa"/>
            <w:tcBorders>
              <w:top w:val="single" w:color="auto" w:sz="4" w:space="0"/>
              <w:left w:val="single" w:color="auto" w:sz="4" w:space="0"/>
              <w:bottom w:val="single" w:color="auto" w:sz="4" w:space="0"/>
              <w:right w:val="single" w:color="auto" w:sz="4" w:space="0"/>
            </w:tcBorders>
            <w:noWrap/>
            <w:vAlign w:val="center"/>
          </w:tcPr>
          <w:p w14:paraId="26DFBE08">
            <w:pPr>
              <w:adjustRightInd w:val="0"/>
              <w:snapToGrid w:val="0"/>
              <w:spacing w:line="360" w:lineRule="exact"/>
              <w:ind w:firstLine="0" w:firstLineChars="0"/>
              <w:jc w:val="center"/>
              <w:textAlignment w:val="baseline"/>
              <w:rPr>
                <w:rFonts w:ascii="宋体" w:hAnsi="宋体" w:cs="宋体"/>
                <w:color w:val="auto"/>
                <w:sz w:val="21"/>
                <w:szCs w:val="21"/>
                <w:highlight w:val="none"/>
              </w:rPr>
            </w:pPr>
            <w:r>
              <w:rPr>
                <w:rFonts w:hint="eastAsia" w:ascii="宋体" w:hAnsi="宋体" w:cs="宋体"/>
                <w:b/>
                <w:color w:val="auto"/>
                <w:sz w:val="21"/>
                <w:szCs w:val="21"/>
                <w:highlight w:val="none"/>
              </w:rPr>
              <w:t>评审因素</w:t>
            </w:r>
          </w:p>
        </w:tc>
        <w:tc>
          <w:tcPr>
            <w:tcW w:w="7398" w:type="dxa"/>
            <w:tcBorders>
              <w:top w:val="single" w:color="auto" w:sz="4" w:space="0"/>
              <w:left w:val="single" w:color="auto" w:sz="4" w:space="0"/>
              <w:bottom w:val="single" w:color="auto" w:sz="4" w:space="0"/>
              <w:right w:val="single" w:color="auto" w:sz="4" w:space="0"/>
            </w:tcBorders>
            <w:noWrap/>
            <w:vAlign w:val="center"/>
          </w:tcPr>
          <w:p w14:paraId="7089F97E">
            <w:pPr>
              <w:adjustRightInd w:val="0"/>
              <w:snapToGrid w:val="0"/>
              <w:spacing w:line="360" w:lineRule="exact"/>
              <w:ind w:firstLine="0" w:firstLineChars="0"/>
              <w:jc w:val="center"/>
              <w:textAlignment w:val="baseline"/>
              <w:rPr>
                <w:rFonts w:ascii="宋体" w:hAnsi="宋体" w:cs="宋体"/>
                <w:b/>
                <w:color w:val="auto"/>
                <w:sz w:val="21"/>
                <w:szCs w:val="21"/>
                <w:highlight w:val="none"/>
              </w:rPr>
            </w:pPr>
            <w:r>
              <w:rPr>
                <w:rFonts w:hint="eastAsia" w:ascii="宋体" w:hAnsi="宋体" w:cs="宋体"/>
                <w:b/>
                <w:color w:val="auto"/>
                <w:sz w:val="21"/>
                <w:szCs w:val="21"/>
                <w:highlight w:val="none"/>
              </w:rPr>
              <w:t>评标标准</w:t>
            </w:r>
          </w:p>
        </w:tc>
      </w:tr>
      <w:tr w14:paraId="3A02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59" w:type="dxa"/>
            <w:tcBorders>
              <w:top w:val="single" w:color="auto" w:sz="4" w:space="0"/>
              <w:left w:val="single" w:color="auto" w:sz="4" w:space="0"/>
              <w:bottom w:val="single" w:color="auto" w:sz="4" w:space="0"/>
              <w:right w:val="single" w:color="auto" w:sz="4" w:space="0"/>
            </w:tcBorders>
            <w:noWrap/>
            <w:vAlign w:val="center"/>
          </w:tcPr>
          <w:p w14:paraId="309D1EF3">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1</w:t>
            </w:r>
          </w:p>
        </w:tc>
        <w:tc>
          <w:tcPr>
            <w:tcW w:w="1268" w:type="dxa"/>
            <w:tcBorders>
              <w:top w:val="single" w:color="auto" w:sz="4" w:space="0"/>
              <w:left w:val="single" w:color="auto" w:sz="4" w:space="0"/>
              <w:bottom w:val="single" w:color="auto" w:sz="4" w:space="0"/>
              <w:right w:val="single" w:color="auto" w:sz="4" w:space="0"/>
            </w:tcBorders>
            <w:noWrap/>
            <w:vAlign w:val="center"/>
          </w:tcPr>
          <w:p w14:paraId="16B90B19">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价格分（</w:t>
            </w:r>
            <w:r>
              <w:rPr>
                <w:rFonts w:hint="eastAsia" w:ascii="宋体" w:hAnsi="宋体" w:cs="宋体"/>
                <w:b/>
                <w:color w:val="auto"/>
                <w:sz w:val="21"/>
                <w:szCs w:val="21"/>
                <w:highlight w:val="none"/>
                <w:lang w:eastAsia="zh-CN"/>
              </w:rPr>
              <w:t>权值</w:t>
            </w:r>
            <w:r>
              <w:rPr>
                <w:rFonts w:hint="eastAsia" w:ascii="宋体" w:hAnsi="宋体" w:cs="宋体"/>
                <w:b/>
                <w:color w:val="auto"/>
                <w:sz w:val="21"/>
                <w:szCs w:val="21"/>
                <w:highlight w:val="none"/>
                <w:lang w:val="en-US" w:eastAsia="zh-CN"/>
              </w:rPr>
              <w:t>50%，即50分</w:t>
            </w:r>
            <w:r>
              <w:rPr>
                <w:rFonts w:hint="eastAsia" w:ascii="宋体" w:hAnsi="宋体" w:cs="宋体"/>
                <w:b/>
                <w:color w:val="auto"/>
                <w:sz w:val="21"/>
                <w:szCs w:val="21"/>
                <w:highlight w:val="none"/>
              </w:rPr>
              <w:t>）</w:t>
            </w:r>
          </w:p>
        </w:tc>
        <w:tc>
          <w:tcPr>
            <w:tcW w:w="7398" w:type="dxa"/>
            <w:tcBorders>
              <w:top w:val="single" w:color="auto" w:sz="4" w:space="0"/>
              <w:left w:val="single" w:color="auto" w:sz="4" w:space="0"/>
              <w:bottom w:val="single" w:color="auto" w:sz="4" w:space="0"/>
              <w:right w:val="single" w:color="auto" w:sz="4" w:space="0"/>
            </w:tcBorders>
            <w:noWrap/>
            <w:vAlign w:val="center"/>
          </w:tcPr>
          <w:p w14:paraId="53EB881C">
            <w:pPr>
              <w:pStyle w:val="26"/>
              <w:keepNext w:val="0"/>
              <w:keepLines w:val="0"/>
              <w:pageBreakBefore w:val="0"/>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（1）以进入综合评分环节的最低的最后报价为基准价，基准价报价得分为</w:t>
            </w:r>
            <w:r>
              <w:rPr>
                <w:rFonts w:hint="eastAsia" w:ascii="宋体" w:hAnsi="宋体" w:cs="宋体"/>
                <w:color w:val="auto"/>
                <w:sz w:val="21"/>
                <w:szCs w:val="21"/>
                <w:highlight w:val="none"/>
                <w:lang w:val="en-US" w:eastAsia="zh-CN"/>
              </w:rPr>
              <w:t>50</w:t>
            </w:r>
            <w:r>
              <w:rPr>
                <w:rFonts w:hint="eastAsia" w:ascii="宋体" w:hAnsi="宋体" w:cs="宋体"/>
                <w:color w:val="auto"/>
                <w:sz w:val="21"/>
                <w:szCs w:val="21"/>
                <w:highlight w:val="none"/>
              </w:rPr>
              <w:t>分。</w:t>
            </w:r>
          </w:p>
          <w:p w14:paraId="0DD185B3">
            <w:pPr>
              <w:pStyle w:val="26"/>
              <w:keepNext w:val="0"/>
              <w:keepLines w:val="0"/>
              <w:pageBreakBefore w:val="0"/>
              <w:kinsoku/>
              <w:wordWrap/>
              <w:overflowPunct/>
              <w:topLinePunct w:val="0"/>
              <w:autoSpaceDE/>
              <w:autoSpaceDN/>
              <w:bidi w:val="0"/>
              <w:adjustRightInd/>
              <w:snapToGrid/>
              <w:spacing w:line="400" w:lineRule="exact"/>
              <w:textAlignment w:val="auto"/>
              <w:rPr>
                <w:rFonts w:ascii="宋体" w:hAnsi="宋体" w:cs="宋体"/>
                <w:b/>
                <w:color w:val="auto"/>
                <w:sz w:val="21"/>
                <w:szCs w:val="21"/>
                <w:highlight w:val="none"/>
              </w:rPr>
            </w:pPr>
            <w:r>
              <w:rPr>
                <w:rFonts w:hint="eastAsia" w:ascii="宋体" w:hAnsi="宋体" w:cs="宋体"/>
                <w:color w:val="auto"/>
                <w:sz w:val="21"/>
                <w:szCs w:val="21"/>
                <w:highlight w:val="none"/>
              </w:rPr>
              <w:t>（2）供应商磋商报价得分=（磋商基准价/供应商的最后报价）×</w:t>
            </w:r>
            <w:r>
              <w:rPr>
                <w:rFonts w:hint="eastAsia" w:ascii="宋体" w:hAnsi="宋体" w:cs="宋体"/>
                <w:color w:val="auto"/>
                <w:sz w:val="21"/>
                <w:szCs w:val="21"/>
                <w:highlight w:val="none"/>
                <w:lang w:eastAsia="zh-CN"/>
              </w:rPr>
              <w:t>权值</w:t>
            </w:r>
            <w:r>
              <w:rPr>
                <w:rFonts w:hint="eastAsia" w:ascii="宋体" w:hAnsi="宋体" w:cs="宋体"/>
                <w:color w:val="auto"/>
                <w:sz w:val="21"/>
                <w:szCs w:val="21"/>
                <w:highlight w:val="none"/>
                <w:lang w:val="en-US" w:eastAsia="zh-CN"/>
              </w:rPr>
              <w:t>50%</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100</w:t>
            </w:r>
            <w:r>
              <w:rPr>
                <w:rFonts w:hint="eastAsia" w:ascii="宋体" w:hAnsi="宋体" w:cs="宋体"/>
                <w:color w:val="auto"/>
                <w:sz w:val="21"/>
                <w:szCs w:val="21"/>
                <w:highlight w:val="none"/>
              </w:rPr>
              <w:t>。</w:t>
            </w:r>
          </w:p>
        </w:tc>
      </w:tr>
      <w:tr w14:paraId="16C5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59" w:type="dxa"/>
            <w:tcBorders>
              <w:top w:val="single" w:color="auto" w:sz="4" w:space="0"/>
              <w:left w:val="single" w:color="auto" w:sz="4" w:space="0"/>
              <w:right w:val="single" w:color="auto" w:sz="4" w:space="0"/>
            </w:tcBorders>
            <w:noWrap/>
            <w:vAlign w:val="center"/>
          </w:tcPr>
          <w:p w14:paraId="1815786E">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2</w:t>
            </w:r>
          </w:p>
        </w:tc>
        <w:tc>
          <w:tcPr>
            <w:tcW w:w="1268" w:type="dxa"/>
            <w:tcBorders>
              <w:top w:val="single" w:color="auto" w:sz="4" w:space="0"/>
              <w:left w:val="single" w:color="auto" w:sz="4" w:space="0"/>
              <w:bottom w:val="single" w:color="auto" w:sz="4" w:space="0"/>
              <w:right w:val="single" w:color="auto" w:sz="4" w:space="0"/>
            </w:tcBorders>
            <w:noWrap/>
            <w:vAlign w:val="center"/>
          </w:tcPr>
          <w:p w14:paraId="0AB9C784">
            <w:pPr>
              <w:pStyle w:val="43"/>
              <w:widowControl w:val="0"/>
              <w:adjustRightInd w:val="0"/>
              <w:snapToGrid w:val="0"/>
              <w:spacing w:before="0" w:beforeAutospacing="0" w:after="0" w:afterAutospacing="0" w:line="360" w:lineRule="exact"/>
              <w:jc w:val="center"/>
              <w:rPr>
                <w:b/>
                <w:color w:val="auto"/>
                <w:kern w:val="2"/>
                <w:sz w:val="21"/>
                <w:szCs w:val="21"/>
                <w:highlight w:val="none"/>
              </w:rPr>
            </w:pPr>
            <w:r>
              <w:rPr>
                <w:rFonts w:hint="eastAsia"/>
                <w:b/>
                <w:color w:val="auto"/>
                <w:sz w:val="21"/>
                <w:szCs w:val="21"/>
                <w:highlight w:val="none"/>
              </w:rPr>
              <w:t>施工组织设计分（</w:t>
            </w:r>
            <w:r>
              <w:rPr>
                <w:rFonts w:hint="eastAsia" w:ascii="宋体" w:hAnsi="宋体" w:cs="宋体"/>
                <w:b/>
                <w:color w:val="auto"/>
                <w:sz w:val="21"/>
                <w:szCs w:val="21"/>
                <w:highlight w:val="none"/>
                <w:lang w:eastAsia="zh-CN"/>
              </w:rPr>
              <w:t>权值</w:t>
            </w:r>
            <w:r>
              <w:rPr>
                <w:rFonts w:hint="eastAsia" w:cs="宋体"/>
                <w:b/>
                <w:color w:val="auto"/>
                <w:sz w:val="21"/>
                <w:szCs w:val="21"/>
                <w:highlight w:val="none"/>
                <w:lang w:val="en-US" w:eastAsia="zh-CN"/>
              </w:rPr>
              <w:t>45</w:t>
            </w:r>
            <w:r>
              <w:rPr>
                <w:rFonts w:hint="eastAsia" w:ascii="宋体" w:hAnsi="宋体" w:cs="宋体"/>
                <w:b/>
                <w:color w:val="auto"/>
                <w:sz w:val="21"/>
                <w:szCs w:val="21"/>
                <w:highlight w:val="none"/>
                <w:lang w:val="en-US" w:eastAsia="zh-CN"/>
              </w:rPr>
              <w:t>%，</w:t>
            </w:r>
            <w:r>
              <w:rPr>
                <w:rFonts w:hint="eastAsia" w:cs="宋体"/>
                <w:b/>
                <w:color w:val="auto"/>
                <w:sz w:val="21"/>
                <w:szCs w:val="21"/>
                <w:highlight w:val="none"/>
                <w:lang w:val="en-US" w:eastAsia="zh-CN"/>
              </w:rPr>
              <w:t>即</w:t>
            </w:r>
            <w:r>
              <w:rPr>
                <w:rFonts w:hint="eastAsia"/>
                <w:b/>
                <w:color w:val="auto"/>
                <w:sz w:val="21"/>
                <w:szCs w:val="21"/>
                <w:highlight w:val="none"/>
                <w:lang w:val="en-US" w:eastAsia="zh-CN"/>
              </w:rPr>
              <w:t>45</w:t>
            </w:r>
            <w:r>
              <w:rPr>
                <w:rFonts w:hint="eastAsia"/>
                <w:b/>
                <w:color w:val="auto"/>
                <w:sz w:val="21"/>
                <w:szCs w:val="21"/>
                <w:highlight w:val="none"/>
              </w:rPr>
              <w:t>分）</w:t>
            </w:r>
          </w:p>
        </w:tc>
        <w:tc>
          <w:tcPr>
            <w:tcW w:w="7398" w:type="dxa"/>
            <w:tcBorders>
              <w:top w:val="single" w:color="auto" w:sz="4" w:space="0"/>
              <w:left w:val="single" w:color="auto" w:sz="4" w:space="0"/>
              <w:bottom w:val="single" w:color="auto" w:sz="4" w:space="0"/>
              <w:right w:val="single" w:color="auto" w:sz="4" w:space="0"/>
            </w:tcBorders>
            <w:noWrap/>
            <w:vAlign w:val="center"/>
          </w:tcPr>
          <w:p w14:paraId="1427C53C">
            <w:pPr>
              <w:pStyle w:val="26"/>
              <w:keepNext w:val="0"/>
              <w:keepLines w:val="0"/>
              <w:pageBreakBefore w:val="0"/>
              <w:widowControl/>
              <w:kinsoku/>
              <w:wordWrap/>
              <w:overflowPunct/>
              <w:topLinePunct w:val="0"/>
              <w:autoSpaceDE/>
              <w:autoSpaceDN/>
              <w:bidi w:val="0"/>
              <w:adjustRightInd/>
              <w:snapToGrid/>
              <w:spacing w:line="400" w:lineRule="exact"/>
              <w:textAlignment w:val="auto"/>
              <w:outlineLvl w:val="0"/>
              <w:rPr>
                <w:rFonts w:ascii="宋体" w:hAnsi="宋体" w:cs="宋体"/>
                <w:color w:val="auto"/>
                <w:sz w:val="21"/>
                <w:szCs w:val="21"/>
                <w:highlight w:val="none"/>
                <w:shd w:val="clear" w:color="auto" w:fill="FFFFFF"/>
              </w:rPr>
            </w:pPr>
            <w:bookmarkStart w:id="64" w:name="_Toc255483985"/>
            <w:r>
              <w:rPr>
                <w:rFonts w:hint="eastAsia" w:ascii="宋体" w:hAnsi="宋体" w:cs="宋体"/>
                <w:b/>
                <w:color w:val="auto"/>
                <w:sz w:val="21"/>
                <w:szCs w:val="21"/>
                <w:highlight w:val="none"/>
                <w:shd w:val="clear" w:color="auto" w:fill="FFFFFF"/>
              </w:rPr>
              <w:t>（1）主要施工方法分（</w:t>
            </w:r>
            <w:r>
              <w:rPr>
                <w:rFonts w:hint="eastAsia" w:ascii="宋体" w:hAnsi="宋体" w:cs="宋体"/>
                <w:b/>
                <w:color w:val="auto"/>
                <w:sz w:val="21"/>
                <w:szCs w:val="21"/>
                <w:highlight w:val="none"/>
                <w:shd w:val="clear" w:color="auto" w:fill="FFFFFF"/>
                <w:lang w:val="en-US" w:eastAsia="zh-CN"/>
              </w:rPr>
              <w:t>7</w:t>
            </w:r>
            <w:r>
              <w:rPr>
                <w:rFonts w:hint="eastAsia" w:ascii="宋体" w:hAnsi="宋体" w:cs="宋体"/>
                <w:b/>
                <w:color w:val="auto"/>
                <w:sz w:val="21"/>
                <w:szCs w:val="21"/>
                <w:highlight w:val="none"/>
                <w:shd w:val="clear" w:color="auto" w:fill="FFFFFF"/>
              </w:rPr>
              <w:t>分</w:t>
            </w:r>
            <w:bookmarkEnd w:id="64"/>
            <w:bookmarkStart w:id="65" w:name="_Toc255483992"/>
            <w:r>
              <w:rPr>
                <w:rFonts w:hint="eastAsia" w:ascii="宋体" w:hAnsi="宋体" w:cs="宋体"/>
                <w:b/>
                <w:color w:val="auto"/>
                <w:sz w:val="21"/>
                <w:szCs w:val="21"/>
                <w:highlight w:val="none"/>
                <w:shd w:val="clear" w:color="auto" w:fill="FFFFFF"/>
              </w:rPr>
              <w:t xml:space="preserve">）      </w:t>
            </w:r>
          </w:p>
          <w:p w14:paraId="54C63DB3">
            <w:pPr>
              <w:pStyle w:val="26"/>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评委根据供应商提供的施工组织设计中“主要施工方法”内容进行独立评审并打分：</w:t>
            </w:r>
          </w:p>
          <w:p w14:paraId="5439F0FD">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w:t>
            </w:r>
            <w:r>
              <w:rPr>
                <w:rFonts w:hint="eastAsia" w:ascii="宋体" w:hAnsi="宋体" w:cs="宋体"/>
                <w:color w:val="auto"/>
                <w:sz w:val="21"/>
                <w:szCs w:val="21"/>
                <w:highlight w:val="none"/>
                <w:lang w:eastAsia="zh-CN"/>
              </w:rPr>
              <w:t>优于采购需求，具</w:t>
            </w:r>
            <w:r>
              <w:rPr>
                <w:rFonts w:hint="eastAsia" w:ascii="宋体" w:hAnsi="宋体" w:cs="宋体"/>
                <w:color w:val="auto"/>
                <w:sz w:val="21"/>
                <w:szCs w:val="21"/>
                <w:highlight w:val="none"/>
              </w:rPr>
              <w:t>有详尽</w:t>
            </w:r>
            <w:r>
              <w:rPr>
                <w:rFonts w:hint="eastAsia" w:ascii="宋体" w:hAnsi="宋体" w:cs="宋体"/>
                <w:color w:val="auto"/>
                <w:sz w:val="21"/>
                <w:szCs w:val="21"/>
                <w:highlight w:val="none"/>
                <w:lang w:eastAsia="zh-CN"/>
              </w:rPr>
              <w:t>且完善</w:t>
            </w:r>
            <w:r>
              <w:rPr>
                <w:rFonts w:hint="eastAsia" w:ascii="宋体" w:hAnsi="宋体" w:cs="宋体"/>
                <w:color w:val="auto"/>
                <w:sz w:val="21"/>
                <w:szCs w:val="21"/>
                <w:highlight w:val="none"/>
              </w:rPr>
              <w:t>的施工技术方案，工艺方法合理可行，能有效</w:t>
            </w:r>
            <w:r>
              <w:rPr>
                <w:rFonts w:hint="eastAsia" w:ascii="宋体" w:hAnsi="宋体" w:cs="宋体"/>
                <w:color w:val="auto"/>
                <w:sz w:val="21"/>
                <w:szCs w:val="21"/>
                <w:highlight w:val="none"/>
                <w:lang w:eastAsia="zh-CN"/>
              </w:rPr>
              <w:t>地</w:t>
            </w:r>
            <w:r>
              <w:rPr>
                <w:rFonts w:hint="eastAsia" w:ascii="宋体" w:hAnsi="宋体" w:cs="宋体"/>
                <w:color w:val="auto"/>
                <w:sz w:val="21"/>
                <w:szCs w:val="21"/>
                <w:highlight w:val="none"/>
              </w:rPr>
              <w:t>指导具体施工并确保安全；</w:t>
            </w:r>
          </w:p>
          <w:p w14:paraId="77DF951F">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）：各主要分部施工方法符合</w:t>
            </w:r>
            <w:r>
              <w:rPr>
                <w:rFonts w:hint="eastAsia" w:ascii="宋体" w:hAnsi="宋体" w:cs="宋体"/>
                <w:color w:val="auto"/>
                <w:sz w:val="21"/>
                <w:szCs w:val="21"/>
                <w:highlight w:val="none"/>
                <w:lang w:eastAsia="zh-CN"/>
              </w:rPr>
              <w:t>采购需求</w:t>
            </w:r>
            <w:r>
              <w:rPr>
                <w:rFonts w:hint="eastAsia" w:ascii="宋体" w:hAnsi="宋体" w:cs="宋体"/>
                <w:color w:val="auto"/>
                <w:sz w:val="21"/>
                <w:szCs w:val="21"/>
                <w:highlight w:val="none"/>
              </w:rPr>
              <w:t>，有具体</w:t>
            </w:r>
            <w:r>
              <w:rPr>
                <w:rFonts w:hint="eastAsia" w:ascii="宋体" w:hAnsi="宋体" w:cs="宋体"/>
                <w:color w:val="auto"/>
                <w:sz w:val="21"/>
                <w:szCs w:val="21"/>
                <w:highlight w:val="none"/>
                <w:lang w:eastAsia="zh-CN"/>
              </w:rPr>
              <w:t>完整</w:t>
            </w:r>
            <w:r>
              <w:rPr>
                <w:rFonts w:hint="eastAsia" w:ascii="宋体" w:hAnsi="宋体" w:cs="宋体"/>
                <w:color w:val="auto"/>
                <w:sz w:val="21"/>
                <w:szCs w:val="21"/>
                <w:highlight w:val="none"/>
              </w:rPr>
              <w:t>的施工技术方案，工艺方法合理可行，能指导具体施工并确保安全；</w:t>
            </w:r>
          </w:p>
          <w:p w14:paraId="00561A9A">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）：各主要分部施工方法能满足</w:t>
            </w:r>
            <w:r>
              <w:rPr>
                <w:rFonts w:hint="eastAsia" w:ascii="宋体" w:hAnsi="宋体" w:cs="宋体"/>
                <w:color w:val="auto"/>
                <w:sz w:val="21"/>
                <w:szCs w:val="21"/>
                <w:highlight w:val="none"/>
                <w:lang w:eastAsia="zh-CN"/>
              </w:rPr>
              <w:t>采购</w:t>
            </w:r>
            <w:r>
              <w:rPr>
                <w:rFonts w:hint="eastAsia" w:ascii="宋体" w:hAnsi="宋体" w:cs="宋体"/>
                <w:color w:val="auto"/>
                <w:sz w:val="21"/>
                <w:szCs w:val="21"/>
                <w:highlight w:val="none"/>
              </w:rPr>
              <w:t>需求，有施工技术方案，能指导具体施工并确保安全；</w:t>
            </w:r>
          </w:p>
          <w:p w14:paraId="02474257">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）：各主要分部施工方法不能指导具体施工并确保安全。</w:t>
            </w:r>
          </w:p>
          <w:bookmarkEnd w:id="65"/>
          <w:p w14:paraId="02C8C686">
            <w:pPr>
              <w:pStyle w:val="26"/>
              <w:keepNext w:val="0"/>
              <w:keepLines w:val="0"/>
              <w:pageBreakBefore w:val="0"/>
              <w:widowControl/>
              <w:kinsoku/>
              <w:wordWrap/>
              <w:overflowPunct/>
              <w:topLinePunct w:val="0"/>
              <w:autoSpaceDE/>
              <w:autoSpaceDN/>
              <w:bidi w:val="0"/>
              <w:adjustRightInd/>
              <w:snapToGrid/>
              <w:spacing w:line="400" w:lineRule="exact"/>
              <w:textAlignment w:val="auto"/>
              <w:outlineLvl w:val="0"/>
              <w:rPr>
                <w:rFonts w:ascii="宋体" w:hAnsi="宋体" w:cs="宋体"/>
                <w:color w:val="auto"/>
                <w:sz w:val="21"/>
                <w:szCs w:val="21"/>
                <w:highlight w:val="none"/>
              </w:rPr>
            </w:pPr>
            <w:r>
              <w:rPr>
                <w:rFonts w:hint="eastAsia" w:ascii="宋体" w:hAnsi="宋体" w:cs="宋体"/>
                <w:b/>
                <w:bCs/>
                <w:color w:val="auto"/>
                <w:sz w:val="21"/>
                <w:szCs w:val="21"/>
                <w:highlight w:val="none"/>
              </w:rPr>
              <w:t>（</w:t>
            </w:r>
            <w:r>
              <w:rPr>
                <w:rFonts w:hint="eastAsia" w:ascii="宋体" w:hAnsi="宋体" w:cs="宋体"/>
                <w:b/>
                <w:color w:val="auto"/>
                <w:sz w:val="21"/>
                <w:szCs w:val="21"/>
                <w:highlight w:val="none"/>
              </w:rPr>
              <w:t>2）关键施工技术、工艺及工程实施的重点、难点和解决方案分（</w:t>
            </w:r>
            <w:r>
              <w:rPr>
                <w:rFonts w:ascii="宋体" w:hAnsi="宋体" w:cs="宋体"/>
                <w:b/>
                <w:color w:val="auto"/>
                <w:sz w:val="21"/>
                <w:szCs w:val="21"/>
                <w:highlight w:val="none"/>
                <w:lang w:val="en-US"/>
              </w:rPr>
              <w:t>8</w:t>
            </w:r>
            <w:r>
              <w:rPr>
                <w:rFonts w:hint="eastAsia" w:ascii="宋体" w:hAnsi="宋体" w:cs="宋体"/>
                <w:b/>
                <w:color w:val="auto"/>
                <w:sz w:val="21"/>
                <w:szCs w:val="21"/>
                <w:highlight w:val="none"/>
              </w:rPr>
              <w:t>分）</w:t>
            </w:r>
            <w:bookmarkStart w:id="66" w:name="_Toc255483989"/>
          </w:p>
          <w:bookmarkEnd w:id="66"/>
          <w:p w14:paraId="6B74A608">
            <w:pPr>
              <w:pStyle w:val="26"/>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评委根据供应商提供的施工组织设计中“关键施工技术、工艺及工程实施的重点、难点和解决方案”内容进行独立评审并打分：</w:t>
            </w:r>
          </w:p>
          <w:p w14:paraId="75127707">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一档（</w:t>
            </w:r>
            <w:r>
              <w:rPr>
                <w:rFonts w:ascii="宋体" w:hAnsi="宋体" w:cs="宋体"/>
                <w:color w:val="auto"/>
                <w:sz w:val="21"/>
                <w:szCs w:val="21"/>
                <w:highlight w:val="none"/>
                <w:lang w:val="en-US"/>
              </w:rPr>
              <w:t>8</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）：对项目关键技术、工艺有深入的表达，对重点、难点有</w:t>
            </w:r>
            <w:r>
              <w:rPr>
                <w:rFonts w:hint="eastAsia" w:ascii="宋体" w:hAnsi="宋体" w:cs="宋体"/>
                <w:color w:val="auto"/>
                <w:sz w:val="21"/>
                <w:szCs w:val="21"/>
                <w:highlight w:val="none"/>
                <w:lang w:eastAsia="zh-CN"/>
              </w:rPr>
              <w:t>切实可行</w:t>
            </w:r>
            <w:r>
              <w:rPr>
                <w:rFonts w:hint="eastAsia" w:ascii="宋体" w:hAnsi="宋体" w:cs="宋体"/>
                <w:color w:val="auto"/>
                <w:sz w:val="21"/>
                <w:szCs w:val="21"/>
                <w:highlight w:val="none"/>
              </w:rPr>
              <w:t>的施工措施</w:t>
            </w:r>
            <w:r>
              <w:rPr>
                <w:rFonts w:hint="eastAsia" w:ascii="宋体" w:hAnsi="宋体" w:cs="宋体"/>
                <w:color w:val="auto"/>
                <w:sz w:val="21"/>
                <w:szCs w:val="21"/>
                <w:highlight w:val="none"/>
                <w:lang w:eastAsia="zh-CN"/>
              </w:rPr>
              <w:t>及</w:t>
            </w:r>
            <w:r>
              <w:rPr>
                <w:rFonts w:hint="eastAsia" w:ascii="宋体" w:hAnsi="宋体" w:cs="宋体"/>
                <w:color w:val="auto"/>
                <w:sz w:val="21"/>
                <w:szCs w:val="21"/>
                <w:highlight w:val="none"/>
              </w:rPr>
              <w:t>安全措施，解决方案完</w:t>
            </w:r>
            <w:r>
              <w:rPr>
                <w:rFonts w:hint="eastAsia" w:ascii="宋体" w:hAnsi="宋体" w:cs="宋体"/>
                <w:color w:val="auto"/>
                <w:sz w:val="21"/>
                <w:szCs w:val="21"/>
                <w:highlight w:val="none"/>
                <w:lang w:eastAsia="zh-CN"/>
              </w:rPr>
              <w:t>善</w:t>
            </w:r>
            <w:r>
              <w:rPr>
                <w:rFonts w:hint="eastAsia" w:ascii="宋体" w:hAnsi="宋体" w:cs="宋体"/>
                <w:color w:val="auto"/>
                <w:sz w:val="21"/>
                <w:szCs w:val="21"/>
                <w:highlight w:val="none"/>
              </w:rPr>
              <w:t>、经济、安全、切实可行，措施得力。</w:t>
            </w:r>
          </w:p>
          <w:p w14:paraId="606D4259">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rPr>
              <w:t>6分</w:t>
            </w:r>
            <w:r>
              <w:rPr>
                <w:rFonts w:hint="eastAsia" w:ascii="宋体" w:hAnsi="宋体" w:cs="宋体"/>
                <w:color w:val="auto"/>
                <w:sz w:val="21"/>
                <w:szCs w:val="21"/>
                <w:highlight w:val="none"/>
              </w:rPr>
              <w:t>）：对项目关键技术、工艺有深入的表达，对重点、难点有合理的建议，解决方案经济、安全。</w:t>
            </w:r>
          </w:p>
          <w:p w14:paraId="5A974572">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三档（</w:t>
            </w:r>
            <w:r>
              <w:rPr>
                <w:rFonts w:ascii="宋体" w:hAnsi="宋体" w:cs="宋体"/>
                <w:color w:val="auto"/>
                <w:sz w:val="21"/>
                <w:szCs w:val="21"/>
                <w:highlight w:val="none"/>
                <w:lang w:val="en-US"/>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）：对项目</w:t>
            </w:r>
            <w:r>
              <w:rPr>
                <w:rFonts w:hint="eastAsia" w:ascii="宋体" w:hAnsi="宋体" w:cs="宋体"/>
                <w:color w:val="auto"/>
                <w:sz w:val="21"/>
                <w:szCs w:val="21"/>
                <w:highlight w:val="none"/>
                <w:lang w:eastAsia="zh-CN"/>
              </w:rPr>
              <w:t>关键技术</w:t>
            </w:r>
            <w:r>
              <w:rPr>
                <w:rFonts w:hint="eastAsia" w:ascii="宋体" w:hAnsi="宋体" w:cs="宋体"/>
                <w:color w:val="auto"/>
                <w:sz w:val="21"/>
                <w:szCs w:val="21"/>
                <w:highlight w:val="none"/>
              </w:rPr>
              <w:t>了解</w:t>
            </w:r>
            <w:r>
              <w:rPr>
                <w:rFonts w:hint="eastAsia" w:ascii="宋体" w:hAnsi="宋体" w:cs="宋体"/>
                <w:color w:val="auto"/>
                <w:sz w:val="21"/>
                <w:szCs w:val="21"/>
                <w:highlight w:val="none"/>
                <w:lang w:eastAsia="zh-CN"/>
              </w:rPr>
              <w:t>不深入</w:t>
            </w:r>
            <w:r>
              <w:rPr>
                <w:rFonts w:hint="eastAsia" w:ascii="宋体" w:hAnsi="宋体" w:cs="宋体"/>
                <w:color w:val="auto"/>
                <w:sz w:val="21"/>
                <w:szCs w:val="21"/>
                <w:highlight w:val="none"/>
              </w:rPr>
              <w:t>，对重点、难点有建议，解决方案</w:t>
            </w:r>
            <w:r>
              <w:rPr>
                <w:rFonts w:hint="eastAsia" w:ascii="宋体" w:hAnsi="宋体" w:cs="宋体"/>
                <w:color w:val="auto"/>
                <w:sz w:val="21"/>
                <w:szCs w:val="21"/>
                <w:highlight w:val="none"/>
                <w:lang w:eastAsia="zh-CN"/>
              </w:rPr>
              <w:t>缺乏</w:t>
            </w:r>
            <w:r>
              <w:rPr>
                <w:rFonts w:hint="eastAsia" w:ascii="宋体" w:hAnsi="宋体" w:cs="宋体"/>
                <w:color w:val="auto"/>
                <w:sz w:val="21"/>
                <w:szCs w:val="21"/>
                <w:highlight w:val="none"/>
              </w:rPr>
              <w:t>可行</w:t>
            </w:r>
            <w:r>
              <w:rPr>
                <w:rFonts w:hint="eastAsia" w:ascii="宋体" w:hAnsi="宋体" w:cs="宋体"/>
                <w:color w:val="auto"/>
                <w:sz w:val="21"/>
                <w:szCs w:val="21"/>
                <w:highlight w:val="none"/>
                <w:lang w:eastAsia="zh-CN"/>
              </w:rPr>
              <w:t>性</w:t>
            </w:r>
            <w:r>
              <w:rPr>
                <w:rFonts w:hint="eastAsia" w:ascii="宋体" w:hAnsi="宋体" w:cs="宋体"/>
                <w:color w:val="auto"/>
                <w:sz w:val="21"/>
                <w:szCs w:val="21"/>
                <w:highlight w:val="none"/>
              </w:rPr>
              <w:t>。</w:t>
            </w:r>
          </w:p>
          <w:p w14:paraId="784FFC94">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pacing w:val="-4"/>
                <w:sz w:val="21"/>
                <w:szCs w:val="21"/>
                <w:highlight w:val="none"/>
              </w:rPr>
            </w:pPr>
            <w:r>
              <w:rPr>
                <w:rFonts w:hint="eastAsia" w:ascii="宋体" w:hAnsi="宋体" w:cs="宋体"/>
                <w:color w:val="auto"/>
                <w:sz w:val="21"/>
                <w:szCs w:val="21"/>
                <w:highlight w:val="none"/>
              </w:rPr>
              <w:t>四档（</w:t>
            </w:r>
            <w:r>
              <w:rPr>
                <w:rFonts w:ascii="宋体" w:hAnsi="宋体" w:cs="宋体"/>
                <w:color w:val="auto"/>
                <w:sz w:val="21"/>
                <w:szCs w:val="21"/>
                <w:highlight w:val="none"/>
                <w:lang w:val="en-US"/>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pacing w:val="-4"/>
                <w:sz w:val="21"/>
                <w:szCs w:val="21"/>
                <w:highlight w:val="none"/>
              </w:rPr>
              <w:t>对项目关键技术有表述，对重点、难点有建议，解决方案不可行。</w:t>
            </w:r>
          </w:p>
          <w:p w14:paraId="2F99B5A0">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（3）确保安全生产的技术组织措施分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36D97858">
            <w:pPr>
              <w:pStyle w:val="26"/>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评委根据供应商提供的施工组织设计中“确保安全生产的技术组织措施”内容进行独立评审并打分：</w:t>
            </w:r>
          </w:p>
          <w:p w14:paraId="4FEA8ACE">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具有专门的安全管理人员和制度，项目人员配备合理，制度健全、完善，各道工序安全技术措施</w:t>
            </w:r>
            <w:r>
              <w:rPr>
                <w:rFonts w:hint="eastAsia" w:ascii="宋体" w:hAnsi="宋体" w:cs="宋体"/>
                <w:color w:val="auto"/>
                <w:sz w:val="21"/>
                <w:szCs w:val="21"/>
                <w:highlight w:val="none"/>
                <w:lang w:val="en-US" w:eastAsia="zh-CN"/>
              </w:rPr>
              <w:t>具有</w:t>
            </w:r>
            <w:r>
              <w:rPr>
                <w:rFonts w:hint="eastAsia" w:ascii="宋体" w:hAnsi="宋体" w:cs="宋体"/>
                <w:color w:val="auto"/>
                <w:sz w:val="21"/>
                <w:szCs w:val="21"/>
                <w:highlight w:val="none"/>
                <w:lang w:val="en-US"/>
              </w:rPr>
              <w:t>针对性，</w:t>
            </w:r>
            <w:r>
              <w:rPr>
                <w:rFonts w:hint="eastAsia" w:ascii="宋体" w:hAnsi="宋体" w:cs="宋体"/>
                <w:color w:val="auto"/>
                <w:sz w:val="21"/>
                <w:szCs w:val="21"/>
                <w:highlight w:val="none"/>
                <w:lang w:val="en-US" w:eastAsia="zh-CN"/>
              </w:rPr>
              <w:t>满足</w:t>
            </w:r>
            <w:r>
              <w:rPr>
                <w:rFonts w:hint="eastAsia" w:ascii="宋体" w:hAnsi="宋体" w:cs="宋体"/>
                <w:color w:val="auto"/>
                <w:sz w:val="21"/>
                <w:szCs w:val="21"/>
                <w:highlight w:val="none"/>
                <w:lang w:val="en-US"/>
              </w:rPr>
              <w:t>实际且</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有关安全技术标准要求。现场防火、应急救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社会治安安全措施得力、</w:t>
            </w:r>
            <w:r>
              <w:rPr>
                <w:rFonts w:hint="eastAsia" w:ascii="宋体" w:hAnsi="宋体" w:cs="宋体"/>
                <w:color w:val="auto"/>
                <w:sz w:val="21"/>
                <w:szCs w:val="21"/>
                <w:highlight w:val="none"/>
                <w:lang w:val="en-US" w:eastAsia="zh-CN"/>
              </w:rPr>
              <w:t>可行</w:t>
            </w:r>
            <w:r>
              <w:rPr>
                <w:rFonts w:hint="eastAsia" w:ascii="宋体" w:hAnsi="宋体" w:cs="宋体"/>
                <w:color w:val="auto"/>
                <w:sz w:val="21"/>
                <w:szCs w:val="21"/>
                <w:highlight w:val="none"/>
                <w:lang w:val="en-US"/>
              </w:rPr>
              <w:t>。</w:t>
            </w:r>
          </w:p>
          <w:p w14:paraId="73DBDB92">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具有专门的安全管理人员和制度，项目人员配备合理，制度健全，各道工序安全技术措施</w:t>
            </w:r>
            <w:r>
              <w:rPr>
                <w:rFonts w:hint="eastAsia" w:ascii="宋体" w:hAnsi="宋体" w:cs="宋体"/>
                <w:color w:val="auto"/>
                <w:sz w:val="21"/>
                <w:szCs w:val="21"/>
                <w:highlight w:val="none"/>
                <w:lang w:val="en-US" w:eastAsia="zh-CN"/>
              </w:rPr>
              <w:t>具有</w:t>
            </w:r>
            <w:r>
              <w:rPr>
                <w:rFonts w:hint="eastAsia" w:ascii="宋体" w:hAnsi="宋体" w:cs="宋体"/>
                <w:color w:val="auto"/>
                <w:sz w:val="21"/>
                <w:szCs w:val="21"/>
                <w:highlight w:val="none"/>
                <w:lang w:val="en-US"/>
              </w:rPr>
              <w:t>针对性，符合实际且满足有关安全技术标准要求。现场防火、应急救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社会治安安全措施</w:t>
            </w:r>
            <w:r>
              <w:rPr>
                <w:rFonts w:hint="eastAsia" w:ascii="宋体" w:hAnsi="宋体" w:cs="宋体"/>
                <w:color w:val="auto"/>
                <w:sz w:val="21"/>
                <w:szCs w:val="21"/>
                <w:highlight w:val="none"/>
                <w:lang w:val="en-US" w:eastAsia="zh-CN"/>
              </w:rPr>
              <w:t>可行</w:t>
            </w:r>
            <w:r>
              <w:rPr>
                <w:rFonts w:hint="eastAsia" w:ascii="宋体" w:hAnsi="宋体" w:cs="宋体"/>
                <w:color w:val="auto"/>
                <w:sz w:val="21"/>
                <w:szCs w:val="21"/>
                <w:highlight w:val="none"/>
                <w:lang w:val="en-US"/>
              </w:rPr>
              <w:t>。</w:t>
            </w:r>
          </w:p>
          <w:p w14:paraId="54836EF7">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具有专门的安全管理人员和制度，项目人员配备制度、各道工序安全技术措施</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针对性，满足有关安全技术标准要求。现场防火、应急救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w:t>
            </w:r>
            <w:r>
              <w:rPr>
                <w:rFonts w:hint="eastAsia" w:ascii="宋体" w:hAnsi="宋体" w:cs="宋体"/>
                <w:color w:val="auto"/>
                <w:sz w:val="21"/>
                <w:szCs w:val="21"/>
                <w:highlight w:val="none"/>
                <w:lang w:val="en-US" w:eastAsia="zh-CN"/>
              </w:rPr>
              <w:t>安全措施缺乏</w:t>
            </w:r>
            <w:r>
              <w:rPr>
                <w:rFonts w:hint="eastAsia" w:ascii="宋体" w:hAnsi="宋体" w:cs="宋体"/>
                <w:color w:val="auto"/>
                <w:sz w:val="21"/>
                <w:szCs w:val="21"/>
                <w:highlight w:val="none"/>
                <w:lang w:val="en-US"/>
              </w:rPr>
              <w:t>针对性。</w:t>
            </w:r>
          </w:p>
          <w:p w14:paraId="5144EE8B">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具有安全管理人员和制度，项目人员配备</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合理，制度、各道工序安全技术措施</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lang w:val="en-US"/>
              </w:rPr>
              <w:t>针对性，不符合实际。现场防火、应急救</w:t>
            </w:r>
            <w:r>
              <w:rPr>
                <w:rFonts w:hint="eastAsia" w:ascii="宋体" w:hAnsi="宋体" w:cs="宋体"/>
                <w:color w:val="auto"/>
                <w:sz w:val="21"/>
                <w:szCs w:val="21"/>
                <w:highlight w:val="none"/>
                <w:lang w:val="en-US" w:eastAsia="zh-CN"/>
              </w:rPr>
              <w:t>援和</w:t>
            </w:r>
            <w:r>
              <w:rPr>
                <w:rFonts w:hint="eastAsia" w:ascii="宋体" w:hAnsi="宋体" w:cs="宋体"/>
                <w:color w:val="auto"/>
                <w:sz w:val="21"/>
                <w:szCs w:val="21"/>
                <w:highlight w:val="none"/>
                <w:lang w:val="en-US"/>
              </w:rPr>
              <w:t>社会治安安全措施</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lang w:val="en-US"/>
              </w:rPr>
              <w:t>针对性。</w:t>
            </w:r>
          </w:p>
          <w:p w14:paraId="5C802B27">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（4）确保工程质量的技术组织措施分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3C045D25">
            <w:pPr>
              <w:pStyle w:val="26"/>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w:t>
            </w:r>
            <w:r>
              <w:rPr>
                <w:rFonts w:hint="eastAsia" w:ascii="宋体" w:hAnsi="宋体" w:cs="宋体"/>
                <w:color w:val="auto"/>
                <w:sz w:val="21"/>
                <w:szCs w:val="21"/>
                <w:highlight w:val="none"/>
                <w:lang w:val="en-US"/>
              </w:rPr>
              <w:t>确保工程质量的技术组织措施</w:t>
            </w:r>
            <w:r>
              <w:rPr>
                <w:rFonts w:hint="eastAsia" w:ascii="宋体" w:hAnsi="宋体" w:cs="宋体"/>
                <w:color w:val="auto"/>
                <w:sz w:val="21"/>
                <w:szCs w:val="21"/>
                <w:highlight w:val="none"/>
              </w:rPr>
              <w:t>”内容进行独立评审并打分：</w:t>
            </w:r>
          </w:p>
          <w:p w14:paraId="0E763673">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：有专门的质量技术管理班子和制度，人员配备合理</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制度健全。主要工序具有</w:t>
            </w:r>
            <w:r>
              <w:rPr>
                <w:rFonts w:hint="eastAsia" w:ascii="宋体" w:hAnsi="宋体" w:cs="宋体"/>
                <w:color w:val="auto"/>
                <w:sz w:val="21"/>
                <w:szCs w:val="21"/>
                <w:highlight w:val="none"/>
                <w:lang w:val="en-US" w:eastAsia="zh-CN"/>
              </w:rPr>
              <w:t>有效</w:t>
            </w:r>
            <w:r>
              <w:rPr>
                <w:rFonts w:hint="eastAsia" w:ascii="宋体" w:hAnsi="宋体" w:cs="宋体"/>
                <w:color w:val="auto"/>
                <w:sz w:val="21"/>
                <w:szCs w:val="21"/>
                <w:highlight w:val="none"/>
                <w:lang w:val="en-US"/>
              </w:rPr>
              <w:t>的质量技术保证措施和手段，</w:t>
            </w:r>
            <w:r>
              <w:rPr>
                <w:rFonts w:hint="eastAsia" w:ascii="宋体" w:hAnsi="宋体" w:cs="宋体"/>
                <w:color w:val="auto"/>
                <w:sz w:val="21"/>
                <w:szCs w:val="21"/>
                <w:highlight w:val="none"/>
                <w:lang w:val="en-US" w:eastAsia="zh-CN"/>
              </w:rPr>
              <w:t>质控</w:t>
            </w:r>
            <w:r>
              <w:rPr>
                <w:rFonts w:hint="eastAsia" w:ascii="宋体" w:hAnsi="宋体" w:cs="宋体"/>
                <w:color w:val="auto"/>
                <w:sz w:val="21"/>
                <w:szCs w:val="21"/>
                <w:highlight w:val="none"/>
                <w:lang w:val="en-US"/>
              </w:rPr>
              <w:t>体系</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，能有效保证技术质量，达到承诺的质量标准</w:t>
            </w:r>
            <w:r>
              <w:rPr>
                <w:rFonts w:hint="eastAsia" w:ascii="宋体" w:hAnsi="宋体" w:cs="宋体"/>
                <w:color w:val="auto"/>
                <w:sz w:val="21"/>
                <w:szCs w:val="21"/>
                <w:highlight w:val="none"/>
                <w:lang w:val="en-US" w:eastAsia="zh-CN"/>
              </w:rPr>
              <w:t>且优于</w:t>
            </w:r>
            <w:r>
              <w:rPr>
                <w:rFonts w:hint="eastAsia" w:ascii="宋体" w:hAnsi="宋体" w:cs="宋体"/>
                <w:color w:val="auto"/>
                <w:sz w:val="21"/>
                <w:szCs w:val="21"/>
                <w:highlight w:val="none"/>
                <w:lang w:eastAsia="zh-CN"/>
              </w:rPr>
              <w:t>采购</w:t>
            </w:r>
            <w:r>
              <w:rPr>
                <w:rFonts w:hint="eastAsia" w:ascii="宋体" w:hAnsi="宋体" w:cs="宋体"/>
                <w:color w:val="auto"/>
                <w:sz w:val="21"/>
                <w:szCs w:val="21"/>
                <w:highlight w:val="none"/>
                <w:lang w:val="en-US" w:eastAsia="zh-CN"/>
              </w:rPr>
              <w:t>需求</w:t>
            </w:r>
            <w:r>
              <w:rPr>
                <w:rFonts w:hint="eastAsia" w:ascii="宋体" w:hAnsi="宋体" w:cs="宋体"/>
                <w:color w:val="auto"/>
                <w:sz w:val="21"/>
                <w:szCs w:val="21"/>
                <w:highlight w:val="none"/>
                <w:lang w:val="en-US"/>
              </w:rPr>
              <w:t>。</w:t>
            </w:r>
          </w:p>
          <w:p w14:paraId="6813A3BB">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：有专门的质量技术管理班子和制度，人员配备合理，制度健全。主要工序有质量技术保证措施和手段，</w:t>
            </w:r>
            <w:r>
              <w:rPr>
                <w:rFonts w:hint="eastAsia" w:ascii="宋体" w:hAnsi="宋体" w:cs="宋体"/>
                <w:color w:val="auto"/>
                <w:sz w:val="21"/>
                <w:szCs w:val="21"/>
                <w:highlight w:val="none"/>
                <w:lang w:val="en-US" w:eastAsia="zh-CN"/>
              </w:rPr>
              <w:t>质控</w:t>
            </w:r>
            <w:r>
              <w:rPr>
                <w:rFonts w:hint="eastAsia" w:ascii="宋体" w:hAnsi="宋体" w:cs="宋体"/>
                <w:color w:val="auto"/>
                <w:sz w:val="21"/>
                <w:szCs w:val="21"/>
                <w:highlight w:val="none"/>
                <w:lang w:val="en-US"/>
              </w:rPr>
              <w:t>体系完整，保证技术质量，达到承诺的质量标准。</w:t>
            </w:r>
          </w:p>
          <w:p w14:paraId="547D217D">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：有质量技术管理班子和制度，人员配备</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合理性，制度完善性欠缺。主要工序有质量技术保证措施和手段，</w:t>
            </w:r>
            <w:r>
              <w:rPr>
                <w:rFonts w:hint="eastAsia" w:ascii="宋体" w:hAnsi="宋体" w:cs="宋体"/>
                <w:color w:val="auto"/>
                <w:sz w:val="21"/>
                <w:szCs w:val="21"/>
                <w:highlight w:val="none"/>
                <w:lang w:val="en-US" w:eastAsia="zh-CN"/>
              </w:rPr>
              <w:t>质控</w:t>
            </w:r>
            <w:r>
              <w:rPr>
                <w:rFonts w:hint="eastAsia" w:ascii="宋体" w:hAnsi="宋体" w:cs="宋体"/>
                <w:color w:val="auto"/>
                <w:sz w:val="21"/>
                <w:szCs w:val="21"/>
                <w:highlight w:val="none"/>
                <w:lang w:val="en-US"/>
              </w:rPr>
              <w:t>体系</w:t>
            </w:r>
            <w:r>
              <w:rPr>
                <w:rFonts w:hint="eastAsia" w:ascii="宋体" w:hAnsi="宋体" w:cs="宋体"/>
                <w:color w:val="auto"/>
                <w:sz w:val="21"/>
                <w:szCs w:val="21"/>
                <w:highlight w:val="none"/>
                <w:lang w:val="en-US" w:eastAsia="zh-CN"/>
              </w:rPr>
              <w:t>能</w:t>
            </w:r>
            <w:r>
              <w:rPr>
                <w:rFonts w:hint="eastAsia" w:ascii="宋体" w:hAnsi="宋体" w:cs="宋体"/>
                <w:color w:val="auto"/>
                <w:sz w:val="21"/>
                <w:szCs w:val="21"/>
                <w:highlight w:val="none"/>
                <w:lang w:val="en-US"/>
              </w:rPr>
              <w:t>保证技术质量，达到承诺的质量标准。</w:t>
            </w:r>
          </w:p>
          <w:p w14:paraId="5F7A891B">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：有质量技术管理班子和制度，人员配备</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合理，制度</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完善。主要工序无质量技术保证措施和手段，</w:t>
            </w:r>
            <w:r>
              <w:rPr>
                <w:rFonts w:hint="eastAsia" w:ascii="宋体" w:hAnsi="宋体" w:cs="宋体"/>
                <w:color w:val="auto"/>
                <w:sz w:val="21"/>
                <w:szCs w:val="21"/>
                <w:highlight w:val="none"/>
                <w:lang w:val="en-US" w:eastAsia="zh-CN"/>
              </w:rPr>
              <w:t>质</w:t>
            </w:r>
            <w:r>
              <w:rPr>
                <w:rFonts w:hint="eastAsia" w:ascii="宋体" w:hAnsi="宋体" w:cs="宋体"/>
                <w:color w:val="auto"/>
                <w:sz w:val="21"/>
                <w:szCs w:val="21"/>
                <w:highlight w:val="none"/>
                <w:lang w:val="en-US"/>
              </w:rPr>
              <w:t>控体系完整性差，不能保证技术质量。</w:t>
            </w:r>
          </w:p>
          <w:p w14:paraId="7AEAC2B2">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（5）确保工期的技术组织措施分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1B3C2A77">
            <w:pPr>
              <w:pStyle w:val="26"/>
              <w:keepNext w:val="0"/>
              <w:keepLines w:val="0"/>
              <w:pageBreakBefore w:val="0"/>
              <w:widowControl/>
              <w:kinsoku/>
              <w:wordWrap/>
              <w:overflowPunct/>
              <w:topLinePunct w:val="0"/>
              <w:autoSpaceDE/>
              <w:autoSpaceDN/>
              <w:bidi w:val="0"/>
              <w:adjustRightInd/>
              <w:snapToGrid/>
              <w:spacing w:line="400" w:lineRule="exact"/>
              <w:ind w:firstLine="405" w:firstLineChars="193"/>
              <w:textAlignment w:val="auto"/>
              <w:rPr>
                <w:rFonts w:ascii="宋体" w:hAnsi="宋体" w:cs="宋体"/>
                <w:color w:val="auto"/>
                <w:sz w:val="21"/>
                <w:szCs w:val="21"/>
                <w:highlight w:val="none"/>
              </w:rPr>
            </w:pPr>
            <w:r>
              <w:rPr>
                <w:rFonts w:hint="eastAsia" w:ascii="宋体" w:hAnsi="宋体" w:cs="宋体"/>
                <w:color w:val="auto"/>
                <w:sz w:val="21"/>
                <w:szCs w:val="21"/>
                <w:highlight w:val="none"/>
              </w:rPr>
              <w:t>评委根据供应商提供的施工组织设计中“确保工期的技术组织措施”内容进行独立评审并打分：</w:t>
            </w:r>
          </w:p>
          <w:p w14:paraId="6E35DE2F">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：在施工工艺、施工方法、材料选用、劳动力安排、技术等方面有保证工期的具体措施且措施得当。有</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的控制工期的施工进度计划。具有</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施工总进度表或施工网络图，各项计划图表编制完善，安排合理</w:t>
            </w:r>
            <w:r>
              <w:rPr>
                <w:rFonts w:hint="eastAsia" w:ascii="宋体" w:hAnsi="宋体" w:cs="宋体"/>
                <w:color w:val="auto"/>
                <w:sz w:val="21"/>
                <w:szCs w:val="21"/>
                <w:highlight w:val="none"/>
                <w:lang w:val="en-US" w:eastAsia="zh-CN"/>
              </w:rPr>
              <w:t>可行</w:t>
            </w:r>
            <w:r>
              <w:rPr>
                <w:rFonts w:hint="eastAsia" w:ascii="宋体" w:hAnsi="宋体" w:cs="宋体"/>
                <w:color w:val="auto"/>
                <w:sz w:val="21"/>
                <w:szCs w:val="21"/>
                <w:highlight w:val="none"/>
                <w:lang w:val="en-US"/>
              </w:rPr>
              <w:t>，</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本项目施工实际要求。</w:t>
            </w:r>
          </w:p>
          <w:p w14:paraId="2399B1CE">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：在施工工艺、施工方法、材料选用、劳动力安排、技术等方面有保证工期的措施。有</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的控制工期的施工进度计划。具有</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的施工总进度表或施工网络图，各项计划图表编制</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，符合本项目施工实际要求。</w:t>
            </w:r>
          </w:p>
          <w:p w14:paraId="5A46E1B5">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：在施工工艺、施工方法、材料选用、劳动力安排、技术等方面有保证工期的措施、有控制工期的施工进度计划</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可行性，各项计划图表编制、安排符合本项目施工实际要求。</w:t>
            </w:r>
          </w:p>
          <w:p w14:paraId="6C4DCD98">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：在施工工艺、施工方法、材料选用、劳动力安排、技术等方面有保证工期的措施、有控制工期的施工进度计划，但</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lang w:val="en-US"/>
              </w:rPr>
              <w:t>针对性，各项计划图表编制</w:t>
            </w:r>
            <w:r>
              <w:rPr>
                <w:rFonts w:hint="eastAsia" w:ascii="宋体" w:hAnsi="宋体" w:cs="宋体"/>
                <w:color w:val="auto"/>
                <w:sz w:val="21"/>
                <w:szCs w:val="21"/>
                <w:highlight w:val="none"/>
                <w:lang w:val="en-US" w:eastAsia="zh-CN"/>
              </w:rPr>
              <w:t>不</w:t>
            </w:r>
            <w:r>
              <w:rPr>
                <w:rFonts w:hint="eastAsia" w:ascii="宋体" w:hAnsi="宋体" w:cs="宋体"/>
                <w:color w:val="auto"/>
                <w:sz w:val="21"/>
                <w:szCs w:val="21"/>
                <w:highlight w:val="none"/>
                <w:lang w:val="en-US"/>
              </w:rPr>
              <w:t>完善。</w:t>
            </w:r>
          </w:p>
          <w:p w14:paraId="7FD52F2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（6）确保文明施工的技术组织措施分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30801EBA">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评委根据供应商提供的施工组织设计中“确保文明施工的技术组织措施”内容进行</w:t>
            </w:r>
            <w:r>
              <w:rPr>
                <w:rFonts w:hint="eastAsia" w:ascii="宋体" w:hAnsi="宋体" w:cs="宋体"/>
                <w:color w:val="auto"/>
                <w:sz w:val="21"/>
                <w:szCs w:val="21"/>
                <w:highlight w:val="none"/>
                <w:lang w:val="en-US"/>
              </w:rPr>
              <w:t>独立评审并打分：</w:t>
            </w:r>
          </w:p>
          <w:p w14:paraId="3E279AC4">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：针对本工程项目特点，具有现场文明施工、环境保护措施，且措施内容</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《建筑施工安全检查标准》</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JGJ59-2011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合格标准并符合《广西壮族自治区建筑工程文明施工导则》要求。各项措施</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、具体、有效</w:t>
            </w:r>
            <w:r>
              <w:rPr>
                <w:rFonts w:hint="eastAsia" w:ascii="宋体" w:hAnsi="宋体" w:cs="宋体"/>
                <w:color w:val="auto"/>
                <w:sz w:val="21"/>
                <w:szCs w:val="21"/>
                <w:highlight w:val="none"/>
                <w:lang w:val="en-US" w:eastAsia="zh-CN"/>
              </w:rPr>
              <w:t>、具有针对性</w:t>
            </w:r>
            <w:r>
              <w:rPr>
                <w:rFonts w:hint="eastAsia" w:ascii="宋体" w:hAnsi="宋体" w:cs="宋体"/>
                <w:color w:val="auto"/>
                <w:sz w:val="21"/>
                <w:szCs w:val="21"/>
                <w:highlight w:val="none"/>
                <w:lang w:val="en-US"/>
              </w:rPr>
              <w:t>。有具体实现现场文明施工目标的承诺。</w:t>
            </w:r>
          </w:p>
          <w:p w14:paraId="106918D6">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：针对本工程项目特点，具有现场文明施工、环境保护措施，且措施内容达到《建筑施工安全检查标准》</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JGJ59-2011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合格标准并符合《广西壮族自治区建筑工程文明施工导则》要求。各项措施</w:t>
            </w:r>
            <w:r>
              <w:rPr>
                <w:rFonts w:hint="eastAsia" w:ascii="宋体" w:hAnsi="宋体" w:cs="宋体"/>
                <w:color w:val="auto"/>
                <w:sz w:val="21"/>
                <w:szCs w:val="21"/>
                <w:highlight w:val="none"/>
                <w:lang w:val="en-US" w:eastAsia="zh-CN"/>
              </w:rPr>
              <w:t>具有针对性</w:t>
            </w:r>
            <w:r>
              <w:rPr>
                <w:rFonts w:hint="eastAsia" w:ascii="宋体" w:hAnsi="宋体" w:cs="宋体"/>
                <w:color w:val="auto"/>
                <w:sz w:val="21"/>
                <w:szCs w:val="21"/>
                <w:highlight w:val="none"/>
                <w:lang w:val="en-US"/>
              </w:rPr>
              <w:t>。有实现现场文明施工目标的承诺。</w:t>
            </w:r>
          </w:p>
          <w:p w14:paraId="2AEA9619">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：针对本工程项目特点，具有现场文明施工、环境保护措施，且措施内容达到《建筑施工安全检查标准》</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JGJ59-2011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val="en-US"/>
              </w:rPr>
              <w:t>合格标准符合《广西壮族自治区建筑工程文明施工导则》要求。</w:t>
            </w:r>
          </w:p>
          <w:p w14:paraId="048CF415">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w:t>
            </w:r>
            <w:r>
              <w:rPr>
                <w:rFonts w:hint="eastAsia" w:ascii="宋体" w:hAnsi="宋体" w:cs="宋体"/>
                <w:color w:val="auto"/>
                <w:sz w:val="21"/>
                <w:szCs w:val="21"/>
                <w:highlight w:val="none"/>
                <w:lang w:val="en-US" w:eastAsia="zh-CN"/>
              </w:rPr>
              <w:t>具有</w:t>
            </w:r>
            <w:r>
              <w:rPr>
                <w:rFonts w:hint="eastAsia" w:ascii="宋体" w:hAnsi="宋体" w:cs="宋体"/>
                <w:color w:val="auto"/>
                <w:sz w:val="21"/>
                <w:szCs w:val="21"/>
                <w:highlight w:val="none"/>
                <w:lang w:val="en-US"/>
              </w:rPr>
              <w:t>现场文明施工、环境保护措施。</w:t>
            </w:r>
          </w:p>
          <w:p w14:paraId="2E7C898B">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（7）拟投入的主要物资计划分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7AB57102">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评委根据供应商提供的施工组织设计中“拟投入的主要物资计划”内容进行独立评审并打分：</w:t>
            </w:r>
          </w:p>
          <w:p w14:paraId="1DBD5FED">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：投入的施工材料有</w:t>
            </w:r>
            <w:r>
              <w:rPr>
                <w:rFonts w:hint="eastAsia" w:ascii="宋体" w:hAnsi="宋体" w:cs="宋体"/>
                <w:color w:val="auto"/>
                <w:sz w:val="21"/>
                <w:szCs w:val="21"/>
                <w:highlight w:val="none"/>
                <w:lang w:val="en-US" w:eastAsia="zh-CN"/>
              </w:rPr>
              <w:t>完善</w:t>
            </w:r>
            <w:r>
              <w:rPr>
                <w:rFonts w:hint="eastAsia" w:ascii="宋体" w:hAnsi="宋体" w:cs="宋体"/>
                <w:color w:val="auto"/>
                <w:sz w:val="21"/>
                <w:szCs w:val="21"/>
                <w:highlight w:val="none"/>
                <w:lang w:val="en-US"/>
              </w:rPr>
              <w:t>的组织计划且计划周密，数量、选型配置、进场时间安排合理，</w:t>
            </w:r>
            <w:r>
              <w:rPr>
                <w:rFonts w:hint="eastAsia" w:ascii="宋体" w:hAnsi="宋体" w:cs="宋体"/>
                <w:color w:val="auto"/>
                <w:sz w:val="21"/>
                <w:szCs w:val="21"/>
                <w:highlight w:val="none"/>
                <w:lang w:val="en-US" w:eastAsia="zh-CN"/>
              </w:rPr>
              <w:t>有针对性，切实可行，优于</w:t>
            </w:r>
            <w:r>
              <w:rPr>
                <w:rFonts w:hint="eastAsia" w:ascii="宋体" w:hAnsi="宋体" w:cs="宋体"/>
                <w:color w:val="auto"/>
                <w:sz w:val="21"/>
                <w:szCs w:val="21"/>
                <w:highlight w:val="none"/>
                <w:lang w:val="en-US"/>
              </w:rPr>
              <w:t>施工需要。</w:t>
            </w:r>
          </w:p>
          <w:p w14:paraId="0515C6DE">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w:t>
            </w:r>
            <w:r>
              <w:rPr>
                <w:rFonts w:hint="eastAsia" w:ascii="宋体" w:hAnsi="宋体" w:cs="宋体"/>
                <w:color w:val="auto"/>
                <w:sz w:val="21"/>
                <w:szCs w:val="21"/>
                <w:highlight w:val="none"/>
                <w:lang w:val="en-US" w:eastAsia="zh-CN"/>
              </w:rPr>
              <w:t>完整</w:t>
            </w:r>
            <w:r>
              <w:rPr>
                <w:rFonts w:hint="eastAsia" w:ascii="宋体" w:hAnsi="宋体" w:cs="宋体"/>
                <w:color w:val="auto"/>
                <w:sz w:val="21"/>
                <w:szCs w:val="21"/>
                <w:highlight w:val="none"/>
                <w:lang w:val="en-US"/>
              </w:rPr>
              <w:t>的组织计划，数量、选型配置、进场时间安排合理，</w:t>
            </w:r>
            <w:r>
              <w:rPr>
                <w:rFonts w:hint="eastAsia" w:ascii="宋体" w:hAnsi="宋体" w:cs="宋体"/>
                <w:color w:val="auto"/>
                <w:sz w:val="21"/>
                <w:szCs w:val="21"/>
                <w:highlight w:val="none"/>
                <w:lang w:val="en-US" w:eastAsia="zh-CN"/>
              </w:rPr>
              <w:t>有针对性，</w:t>
            </w:r>
            <w:r>
              <w:rPr>
                <w:rFonts w:hint="eastAsia" w:ascii="宋体" w:hAnsi="宋体" w:cs="宋体"/>
                <w:color w:val="auto"/>
                <w:sz w:val="21"/>
                <w:szCs w:val="21"/>
                <w:highlight w:val="none"/>
                <w:lang w:val="en-US"/>
              </w:rPr>
              <w:t>满足施工需要。</w:t>
            </w:r>
          </w:p>
          <w:p w14:paraId="2F7AD5DE">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：投入的施工材料有组织计划</w:t>
            </w:r>
            <w:r>
              <w:rPr>
                <w:rFonts w:hint="eastAsia" w:ascii="宋体" w:hAnsi="宋体" w:cs="宋体"/>
                <w:color w:val="auto"/>
                <w:sz w:val="21"/>
                <w:szCs w:val="21"/>
                <w:highlight w:val="none"/>
                <w:lang w:val="en-US" w:eastAsia="zh-CN"/>
              </w:rPr>
              <w:t>，缺乏</w:t>
            </w:r>
            <w:r>
              <w:rPr>
                <w:rFonts w:hint="eastAsia" w:ascii="宋体" w:hAnsi="宋体" w:cs="宋体"/>
                <w:color w:val="auto"/>
                <w:sz w:val="21"/>
                <w:szCs w:val="21"/>
                <w:highlight w:val="none"/>
                <w:lang w:val="en-US"/>
              </w:rPr>
              <w:t>针对性，数量、选型配置、进场时间安排满足施工需要。</w:t>
            </w:r>
          </w:p>
          <w:p w14:paraId="166B675D">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rPr>
              <w:t>：投入的施工材料的组织计划，数量、选型配置、进场时间安排不合理，不能满足施工需要。</w:t>
            </w:r>
          </w:p>
          <w:p w14:paraId="316919BA">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（8）施工平面布置和临时设施布置分 （</w:t>
            </w:r>
            <w:r>
              <w:rPr>
                <w:rFonts w:ascii="宋体" w:hAnsi="宋体" w:cs="宋体"/>
                <w:b/>
                <w:color w:val="auto"/>
                <w:sz w:val="21"/>
                <w:szCs w:val="21"/>
                <w:highlight w:val="none"/>
              </w:rPr>
              <w:t>3</w:t>
            </w:r>
            <w:r>
              <w:rPr>
                <w:rFonts w:hint="eastAsia" w:ascii="宋体" w:hAnsi="宋体" w:cs="宋体"/>
                <w:b/>
                <w:color w:val="auto"/>
                <w:sz w:val="21"/>
                <w:szCs w:val="21"/>
                <w:highlight w:val="none"/>
              </w:rPr>
              <w:t xml:space="preserve">分） </w:t>
            </w:r>
            <w:r>
              <w:rPr>
                <w:rFonts w:hint="eastAsia" w:ascii="宋体" w:hAnsi="宋体" w:cs="宋体"/>
                <w:color w:val="auto"/>
                <w:sz w:val="21"/>
                <w:szCs w:val="21"/>
                <w:highlight w:val="none"/>
              </w:rPr>
              <w:t xml:space="preserve"> </w:t>
            </w:r>
          </w:p>
          <w:p w14:paraId="280CBE3A">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评委根据供应商提供的施工组织设计中“施工平面布置和临时设施布置”内容进行独立评审并打分：</w:t>
            </w:r>
          </w:p>
          <w:p w14:paraId="0BEA7FC1">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一档（</w:t>
            </w:r>
            <w:r>
              <w:rPr>
                <w:rFonts w:ascii="宋体" w:hAnsi="宋体" w:cs="宋体"/>
                <w:color w:val="auto"/>
                <w:sz w:val="21"/>
                <w:szCs w:val="21"/>
                <w:highlight w:val="none"/>
                <w:lang w:val="en-US"/>
              </w:rPr>
              <w:t>3</w:t>
            </w:r>
            <w:r>
              <w:rPr>
                <w:rFonts w:hint="eastAsia" w:ascii="宋体" w:hAnsi="宋体" w:cs="宋体"/>
                <w:color w:val="auto"/>
                <w:sz w:val="21"/>
                <w:szCs w:val="21"/>
                <w:highlight w:val="none"/>
                <w:lang w:val="en-US"/>
              </w:rPr>
              <w:t>分）：总体布置有针对性、合理，</w:t>
            </w:r>
            <w:r>
              <w:rPr>
                <w:rFonts w:hint="eastAsia" w:ascii="宋体" w:hAnsi="宋体" w:cs="宋体"/>
                <w:color w:val="auto"/>
                <w:sz w:val="21"/>
                <w:szCs w:val="21"/>
                <w:highlight w:val="none"/>
                <w:lang w:val="en-US" w:eastAsia="zh-CN"/>
              </w:rPr>
              <w:t>优于</w:t>
            </w:r>
            <w:r>
              <w:rPr>
                <w:rFonts w:hint="eastAsia" w:ascii="宋体" w:hAnsi="宋体" w:cs="宋体"/>
                <w:color w:val="auto"/>
                <w:sz w:val="21"/>
                <w:szCs w:val="21"/>
                <w:highlight w:val="none"/>
                <w:lang w:val="en-US"/>
              </w:rPr>
              <w:t>施工需要，符合安全、文明生产要求。</w:t>
            </w:r>
          </w:p>
          <w:p w14:paraId="3E33C9EF">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二档（</w:t>
            </w:r>
            <w:r>
              <w:rPr>
                <w:rFonts w:ascii="宋体" w:hAnsi="宋体" w:cs="宋体"/>
                <w:color w:val="auto"/>
                <w:sz w:val="21"/>
                <w:szCs w:val="21"/>
                <w:highlight w:val="none"/>
                <w:lang w:val="en-US"/>
              </w:rPr>
              <w:t>2</w:t>
            </w:r>
            <w:r>
              <w:rPr>
                <w:rFonts w:hint="eastAsia" w:ascii="宋体" w:hAnsi="宋体" w:cs="宋体"/>
                <w:color w:val="auto"/>
                <w:sz w:val="21"/>
                <w:szCs w:val="21"/>
                <w:highlight w:val="none"/>
                <w:lang w:val="en-US"/>
              </w:rPr>
              <w:t>分）：总体布置合理，满足施工需要。</w:t>
            </w:r>
          </w:p>
          <w:p w14:paraId="63D69FDA">
            <w:pPr>
              <w:pStyle w:val="26"/>
              <w:keepNext w:val="0"/>
              <w:keepLines w:val="0"/>
              <w:pageBreakBefore w:val="0"/>
              <w:widowControl/>
              <w:kinsoku/>
              <w:wordWrap/>
              <w:overflowPunct/>
              <w:topLinePunct w:val="0"/>
              <w:autoSpaceDE/>
              <w:autoSpaceDN/>
              <w:bidi w:val="0"/>
              <w:adjustRightInd/>
              <w:snapToGrid/>
              <w:spacing w:line="400" w:lineRule="exact"/>
              <w:textAlignment w:val="auto"/>
              <w:rPr>
                <w:rFonts w:ascii="宋体" w:hAnsi="宋体" w:cs="宋体"/>
                <w:color w:val="auto"/>
                <w:sz w:val="21"/>
                <w:szCs w:val="21"/>
                <w:highlight w:val="none"/>
                <w:lang w:val="en-US"/>
              </w:rPr>
            </w:pPr>
            <w:r>
              <w:rPr>
                <w:rFonts w:hint="eastAsia" w:ascii="宋体" w:hAnsi="宋体" w:cs="宋体"/>
                <w:color w:val="auto"/>
                <w:sz w:val="21"/>
                <w:szCs w:val="21"/>
                <w:highlight w:val="none"/>
                <w:lang w:val="en-US"/>
              </w:rPr>
              <w:t>三档（1分）：总体布置不</w:t>
            </w:r>
            <w:r>
              <w:rPr>
                <w:rFonts w:hint="eastAsia" w:ascii="宋体" w:hAnsi="宋体" w:cs="宋体"/>
                <w:color w:val="auto"/>
                <w:sz w:val="21"/>
                <w:szCs w:val="21"/>
                <w:highlight w:val="none"/>
                <w:lang w:val="en-US" w:eastAsia="zh-CN"/>
              </w:rPr>
              <w:t>合理</w:t>
            </w:r>
            <w:r>
              <w:rPr>
                <w:rFonts w:hint="eastAsia" w:ascii="宋体" w:hAnsi="宋体" w:cs="宋体"/>
                <w:color w:val="auto"/>
                <w:sz w:val="21"/>
                <w:szCs w:val="21"/>
                <w:highlight w:val="none"/>
                <w:lang w:val="en-US"/>
              </w:rPr>
              <w:t>、无针对性。</w:t>
            </w:r>
          </w:p>
          <w:p w14:paraId="3BBF59B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
                <w:color w:val="auto"/>
                <w:sz w:val="21"/>
                <w:szCs w:val="21"/>
                <w:highlight w:val="none"/>
              </w:rPr>
            </w:pPr>
            <w:bookmarkStart w:id="67" w:name="OLE_LINK35"/>
            <w:r>
              <w:rPr>
                <w:rFonts w:hint="eastAsia" w:ascii="宋体" w:hAnsi="宋体" w:cs="宋体"/>
                <w:b/>
                <w:color w:val="auto"/>
                <w:sz w:val="21"/>
                <w:szCs w:val="21"/>
                <w:highlight w:val="none"/>
              </w:rPr>
              <w:t>（9）劳动力安排计划分 （</w:t>
            </w:r>
            <w:r>
              <w:rPr>
                <w:rFonts w:hint="eastAsia" w:ascii="宋体" w:hAnsi="宋体" w:cs="宋体"/>
                <w:b/>
                <w:color w:val="auto"/>
                <w:sz w:val="21"/>
                <w:szCs w:val="21"/>
                <w:highlight w:val="none"/>
                <w:lang w:val="en-US" w:eastAsia="zh-CN"/>
              </w:rPr>
              <w:t>4</w:t>
            </w:r>
            <w:r>
              <w:rPr>
                <w:rFonts w:hint="eastAsia" w:ascii="宋体" w:hAnsi="宋体" w:cs="宋体"/>
                <w:b/>
                <w:color w:val="auto"/>
                <w:sz w:val="21"/>
                <w:szCs w:val="21"/>
                <w:highlight w:val="none"/>
              </w:rPr>
              <w:t xml:space="preserve">分）  </w:t>
            </w:r>
          </w:p>
          <w:p w14:paraId="36E1B46C">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评委根据供应商提供的施工组织设</w:t>
            </w:r>
            <w:r>
              <w:rPr>
                <w:rFonts w:hint="eastAsia" w:ascii="宋体" w:hAnsi="宋体" w:cs="宋体"/>
                <w:color w:val="auto"/>
                <w:sz w:val="21"/>
                <w:szCs w:val="21"/>
                <w:highlight w:val="none"/>
              </w:rPr>
              <w:t>计</w:t>
            </w:r>
            <w:r>
              <w:rPr>
                <w:rFonts w:hint="eastAsia" w:ascii="宋体" w:hAnsi="宋体" w:cs="宋体"/>
                <w:bCs/>
                <w:color w:val="auto"/>
                <w:sz w:val="21"/>
                <w:szCs w:val="21"/>
                <w:highlight w:val="none"/>
              </w:rPr>
              <w:t>中“劳动力安排计划”内容</w:t>
            </w:r>
            <w:r>
              <w:rPr>
                <w:rFonts w:hint="eastAsia" w:ascii="宋体" w:hAnsi="宋体" w:cs="宋体"/>
                <w:color w:val="auto"/>
                <w:sz w:val="21"/>
                <w:szCs w:val="21"/>
                <w:highlight w:val="none"/>
              </w:rPr>
              <w:t>进行独立评审并打分：</w:t>
            </w:r>
          </w:p>
          <w:p w14:paraId="0BD35F24">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val="en-US" w:eastAsia="zh-CN"/>
              </w:rPr>
              <w:t>4</w:t>
            </w:r>
            <w:r>
              <w:rPr>
                <w:rFonts w:hint="eastAsia" w:ascii="宋体" w:hAnsi="宋体" w:cs="宋体"/>
                <w:bCs/>
                <w:color w:val="auto"/>
                <w:sz w:val="21"/>
                <w:szCs w:val="21"/>
                <w:highlight w:val="none"/>
              </w:rPr>
              <w:t>分）：各主要施工工序有详细周密的劳动力安排计划，各工种劳动力安排计划</w:t>
            </w:r>
            <w:r>
              <w:rPr>
                <w:rFonts w:hint="eastAsia" w:ascii="宋体" w:hAnsi="宋体" w:cs="宋体"/>
                <w:bCs/>
                <w:color w:val="auto"/>
                <w:sz w:val="21"/>
                <w:szCs w:val="21"/>
                <w:highlight w:val="none"/>
                <w:lang w:eastAsia="zh-CN"/>
              </w:rPr>
              <w:t>完善</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有</w:t>
            </w:r>
            <w:r>
              <w:rPr>
                <w:rFonts w:hint="eastAsia" w:ascii="宋体" w:hAnsi="宋体" w:cs="宋体"/>
                <w:bCs/>
                <w:color w:val="auto"/>
                <w:sz w:val="21"/>
                <w:szCs w:val="21"/>
                <w:highlight w:val="none"/>
              </w:rPr>
              <w:t>针对性，劳动力投入合理、准确，</w:t>
            </w:r>
            <w:r>
              <w:rPr>
                <w:rFonts w:hint="eastAsia" w:ascii="宋体" w:hAnsi="宋体" w:cs="宋体"/>
                <w:bCs/>
                <w:color w:val="auto"/>
                <w:sz w:val="21"/>
                <w:szCs w:val="21"/>
                <w:highlight w:val="none"/>
                <w:lang w:eastAsia="zh-CN"/>
              </w:rPr>
              <w:t>优于</w:t>
            </w:r>
            <w:r>
              <w:rPr>
                <w:rFonts w:hint="eastAsia" w:ascii="宋体" w:hAnsi="宋体" w:cs="宋体"/>
                <w:bCs/>
                <w:color w:val="auto"/>
                <w:sz w:val="21"/>
                <w:szCs w:val="21"/>
                <w:highlight w:val="none"/>
              </w:rPr>
              <w:t>施工需要。</w:t>
            </w:r>
          </w:p>
          <w:p w14:paraId="46F59BA1">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二档（</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分）：各主要施工工序有</w:t>
            </w:r>
            <w:r>
              <w:rPr>
                <w:rFonts w:hint="eastAsia" w:ascii="宋体" w:hAnsi="宋体" w:cs="宋体"/>
                <w:bCs/>
                <w:color w:val="auto"/>
                <w:sz w:val="21"/>
                <w:szCs w:val="21"/>
                <w:highlight w:val="none"/>
                <w:lang w:eastAsia="zh-CN"/>
              </w:rPr>
              <w:t>完整</w:t>
            </w:r>
            <w:r>
              <w:rPr>
                <w:rFonts w:hint="eastAsia" w:ascii="宋体" w:hAnsi="宋体" w:cs="宋体"/>
                <w:bCs/>
                <w:color w:val="auto"/>
                <w:sz w:val="21"/>
                <w:szCs w:val="21"/>
                <w:highlight w:val="none"/>
              </w:rPr>
              <w:t>周密的劳动力安排计划，各工种劳动力安排计划</w:t>
            </w:r>
            <w:r>
              <w:rPr>
                <w:rFonts w:hint="eastAsia" w:ascii="宋体" w:hAnsi="宋体" w:cs="宋体"/>
                <w:bCs/>
                <w:color w:val="auto"/>
                <w:sz w:val="21"/>
                <w:szCs w:val="21"/>
                <w:highlight w:val="none"/>
                <w:lang w:eastAsia="zh-CN"/>
              </w:rPr>
              <w:t>完整</w:t>
            </w:r>
            <w:r>
              <w:rPr>
                <w:rFonts w:hint="eastAsia" w:ascii="宋体" w:hAnsi="宋体" w:cs="宋体"/>
                <w:bCs/>
                <w:color w:val="auto"/>
                <w:sz w:val="21"/>
                <w:szCs w:val="21"/>
                <w:highlight w:val="none"/>
              </w:rPr>
              <w:t>、有针对性，劳动力投入合理、准确，满足施工需要。</w:t>
            </w:r>
          </w:p>
          <w:p w14:paraId="57604821">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三档（</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rPr>
              <w:t>分）：各主要施工工序的劳动力安排计划，各工种劳动力安排计划</w:t>
            </w:r>
            <w:r>
              <w:rPr>
                <w:rFonts w:hint="eastAsia" w:ascii="宋体" w:hAnsi="宋体" w:cs="宋体"/>
                <w:bCs/>
                <w:color w:val="auto"/>
                <w:sz w:val="21"/>
                <w:szCs w:val="21"/>
                <w:highlight w:val="none"/>
                <w:lang w:eastAsia="zh-CN"/>
              </w:rPr>
              <w:t>缺乏</w:t>
            </w:r>
            <w:r>
              <w:rPr>
                <w:rFonts w:hint="eastAsia" w:ascii="宋体" w:hAnsi="宋体" w:cs="宋体"/>
                <w:bCs/>
                <w:color w:val="auto"/>
                <w:sz w:val="21"/>
                <w:szCs w:val="21"/>
                <w:highlight w:val="none"/>
              </w:rPr>
              <w:t>针对性，劳动力投入</w:t>
            </w:r>
            <w:r>
              <w:rPr>
                <w:rFonts w:hint="eastAsia" w:ascii="宋体" w:hAnsi="宋体" w:cs="宋体"/>
                <w:bCs/>
                <w:color w:val="auto"/>
                <w:sz w:val="21"/>
                <w:szCs w:val="21"/>
                <w:highlight w:val="none"/>
                <w:lang w:eastAsia="zh-CN"/>
              </w:rPr>
              <w:t>缺乏</w:t>
            </w:r>
            <w:r>
              <w:rPr>
                <w:rFonts w:hint="eastAsia" w:ascii="宋体" w:hAnsi="宋体" w:cs="宋体"/>
                <w:bCs/>
                <w:color w:val="auto"/>
                <w:sz w:val="21"/>
                <w:szCs w:val="21"/>
                <w:highlight w:val="none"/>
              </w:rPr>
              <w:t>合理性、准确性，满足施工需要。</w:t>
            </w:r>
          </w:p>
          <w:p w14:paraId="23BBEF42">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四档（</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rPr>
              <w:t>分）：各主要施工工序的劳动力安排计划、各工种劳动力安排计划</w:t>
            </w:r>
            <w:r>
              <w:rPr>
                <w:rFonts w:hint="eastAsia" w:ascii="宋体" w:hAnsi="宋体" w:cs="宋体"/>
                <w:bCs/>
                <w:color w:val="auto"/>
                <w:sz w:val="21"/>
                <w:szCs w:val="21"/>
                <w:highlight w:val="none"/>
                <w:lang w:eastAsia="zh-CN"/>
              </w:rPr>
              <w:t>无</w:t>
            </w:r>
            <w:r>
              <w:rPr>
                <w:rFonts w:hint="eastAsia" w:ascii="宋体" w:hAnsi="宋体" w:cs="宋体"/>
                <w:bCs/>
                <w:color w:val="auto"/>
                <w:sz w:val="21"/>
                <w:szCs w:val="21"/>
                <w:highlight w:val="none"/>
              </w:rPr>
              <w:t>针对性。</w:t>
            </w:r>
            <w:bookmarkEnd w:id="67"/>
          </w:p>
          <w:p w14:paraId="7BD68593">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
                <w:color w:val="auto"/>
                <w:sz w:val="21"/>
                <w:szCs w:val="21"/>
                <w:highlight w:val="none"/>
              </w:rPr>
            </w:pPr>
            <w:bookmarkStart w:id="68" w:name="OLE_LINK36"/>
            <w:r>
              <w:rPr>
                <w:rFonts w:hint="eastAsia" w:ascii="宋体" w:hAnsi="宋体" w:cs="宋体"/>
                <w:b/>
                <w:color w:val="auto"/>
                <w:sz w:val="21"/>
                <w:szCs w:val="21"/>
                <w:highlight w:val="none"/>
              </w:rPr>
              <w:t>（10）项目风险预测与防范，事故应急预案分（</w:t>
            </w:r>
            <w:r>
              <w:rPr>
                <w:rFonts w:ascii="宋体" w:hAnsi="宋体" w:cs="宋体"/>
                <w:b/>
                <w:color w:val="auto"/>
                <w:sz w:val="21"/>
                <w:szCs w:val="21"/>
                <w:highlight w:val="none"/>
              </w:rPr>
              <w:t>3</w:t>
            </w:r>
            <w:r>
              <w:rPr>
                <w:rFonts w:hint="eastAsia" w:ascii="宋体" w:hAnsi="宋体" w:cs="宋体"/>
                <w:b/>
                <w:color w:val="auto"/>
                <w:sz w:val="21"/>
                <w:szCs w:val="21"/>
                <w:highlight w:val="none"/>
              </w:rPr>
              <w:t xml:space="preserve">分）  </w:t>
            </w:r>
          </w:p>
          <w:p w14:paraId="6FCF46F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评委根据供应商提供的施工组织设计中“项目风险预测与防范，事故应急预案”内容进行独立评审并打分：</w:t>
            </w:r>
          </w:p>
          <w:p w14:paraId="7DE3825E">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一档（</w:t>
            </w:r>
            <w:r>
              <w:rPr>
                <w:rFonts w:ascii="宋体" w:hAnsi="宋体" w:cs="宋体"/>
                <w:bCs/>
                <w:color w:val="auto"/>
                <w:sz w:val="21"/>
                <w:szCs w:val="21"/>
                <w:highlight w:val="none"/>
              </w:rPr>
              <w:t>3</w:t>
            </w:r>
            <w:r>
              <w:rPr>
                <w:rFonts w:hint="eastAsia" w:ascii="宋体" w:hAnsi="宋体" w:cs="宋体"/>
                <w:bCs/>
                <w:color w:val="auto"/>
                <w:sz w:val="21"/>
                <w:szCs w:val="21"/>
                <w:highlight w:val="none"/>
              </w:rPr>
              <w:t>分）：项目风险预测与防范、事故应急预案</w:t>
            </w:r>
            <w:r>
              <w:rPr>
                <w:rFonts w:hint="eastAsia" w:ascii="宋体" w:hAnsi="宋体" w:cs="宋体"/>
                <w:bCs/>
                <w:color w:val="auto"/>
                <w:sz w:val="21"/>
                <w:szCs w:val="21"/>
                <w:highlight w:val="none"/>
                <w:lang w:eastAsia="zh-CN"/>
              </w:rPr>
              <w:t>完善、切实</w:t>
            </w:r>
            <w:r>
              <w:rPr>
                <w:rFonts w:hint="eastAsia" w:ascii="宋体" w:hAnsi="宋体" w:cs="宋体"/>
                <w:bCs/>
                <w:color w:val="auto"/>
                <w:sz w:val="21"/>
                <w:szCs w:val="21"/>
                <w:highlight w:val="none"/>
              </w:rPr>
              <w:t>合理、</w:t>
            </w:r>
            <w:r>
              <w:rPr>
                <w:rFonts w:hint="eastAsia" w:ascii="宋体" w:hAnsi="宋体" w:cs="宋体"/>
                <w:bCs/>
                <w:color w:val="auto"/>
                <w:sz w:val="21"/>
                <w:szCs w:val="21"/>
                <w:highlight w:val="none"/>
                <w:lang w:eastAsia="zh-CN"/>
              </w:rPr>
              <w:t>具有</w:t>
            </w:r>
            <w:r>
              <w:rPr>
                <w:rFonts w:hint="eastAsia" w:ascii="宋体" w:hAnsi="宋体" w:cs="宋体"/>
                <w:bCs/>
                <w:color w:val="auto"/>
                <w:sz w:val="21"/>
                <w:szCs w:val="21"/>
                <w:highlight w:val="none"/>
              </w:rPr>
              <w:t>针对性</w:t>
            </w:r>
            <w:r>
              <w:rPr>
                <w:rFonts w:hint="eastAsia" w:ascii="宋体" w:hAnsi="宋体" w:cs="宋体"/>
                <w:bCs/>
                <w:color w:val="auto"/>
                <w:sz w:val="21"/>
                <w:szCs w:val="21"/>
                <w:highlight w:val="none"/>
                <w:lang w:eastAsia="zh-CN"/>
              </w:rPr>
              <w:t>，优于施工需要</w:t>
            </w:r>
            <w:r>
              <w:rPr>
                <w:rFonts w:hint="eastAsia" w:ascii="宋体" w:hAnsi="宋体" w:cs="宋体"/>
                <w:bCs/>
                <w:color w:val="auto"/>
                <w:sz w:val="21"/>
                <w:szCs w:val="21"/>
                <w:highlight w:val="none"/>
              </w:rPr>
              <w:t>。</w:t>
            </w:r>
          </w:p>
          <w:p w14:paraId="1C0D595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二档（2分）：项目风险预测与防范，事故应急预案完整、可行，</w:t>
            </w:r>
            <w:r>
              <w:rPr>
                <w:rFonts w:hint="eastAsia" w:ascii="宋体" w:hAnsi="宋体" w:cs="宋体"/>
                <w:bCs/>
                <w:color w:val="auto"/>
                <w:sz w:val="21"/>
                <w:szCs w:val="21"/>
                <w:highlight w:val="none"/>
                <w:lang w:eastAsia="zh-CN"/>
              </w:rPr>
              <w:t>具有针对性，满足施工需要</w:t>
            </w:r>
            <w:r>
              <w:rPr>
                <w:rFonts w:hint="eastAsia" w:ascii="宋体" w:hAnsi="宋体" w:cs="宋体"/>
                <w:bCs/>
                <w:color w:val="auto"/>
                <w:sz w:val="21"/>
                <w:szCs w:val="21"/>
                <w:highlight w:val="none"/>
              </w:rPr>
              <w:t>。</w:t>
            </w:r>
          </w:p>
          <w:p w14:paraId="47294EEC">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三档（1分）：项目风险预测与防范、事故应急预案不</w:t>
            </w:r>
            <w:r>
              <w:rPr>
                <w:rFonts w:hint="eastAsia" w:ascii="宋体" w:hAnsi="宋体" w:cs="宋体"/>
                <w:bCs/>
                <w:color w:val="auto"/>
                <w:sz w:val="21"/>
                <w:szCs w:val="21"/>
                <w:highlight w:val="none"/>
                <w:lang w:eastAsia="zh-CN"/>
              </w:rPr>
              <w:t>完整</w:t>
            </w:r>
            <w:r>
              <w:rPr>
                <w:rFonts w:hint="eastAsia" w:ascii="宋体" w:hAnsi="宋体" w:cs="宋体"/>
                <w:bCs/>
                <w:color w:val="auto"/>
                <w:sz w:val="21"/>
                <w:szCs w:val="21"/>
                <w:highlight w:val="none"/>
              </w:rPr>
              <w:t>、无针对性。</w:t>
            </w:r>
            <w:bookmarkEnd w:id="68"/>
          </w:p>
        </w:tc>
      </w:tr>
      <w:tr w14:paraId="2B4B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59" w:type="dxa"/>
            <w:tcBorders>
              <w:top w:val="single" w:color="auto" w:sz="4" w:space="0"/>
              <w:left w:val="single" w:color="auto" w:sz="4" w:space="0"/>
              <w:bottom w:val="single" w:color="auto" w:sz="4" w:space="0"/>
              <w:right w:val="single" w:color="auto" w:sz="4" w:space="0"/>
            </w:tcBorders>
            <w:noWrap/>
            <w:vAlign w:val="center"/>
          </w:tcPr>
          <w:p w14:paraId="35701F95">
            <w:pPr>
              <w:adjustRightInd w:val="0"/>
              <w:snapToGrid w:val="0"/>
              <w:spacing w:line="360" w:lineRule="exact"/>
              <w:ind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3</w:t>
            </w:r>
          </w:p>
        </w:tc>
        <w:tc>
          <w:tcPr>
            <w:tcW w:w="1268" w:type="dxa"/>
            <w:tcBorders>
              <w:top w:val="single" w:color="auto" w:sz="4" w:space="0"/>
              <w:left w:val="single" w:color="auto" w:sz="4" w:space="0"/>
              <w:bottom w:val="single" w:color="auto" w:sz="4" w:space="0"/>
              <w:right w:val="single" w:color="auto" w:sz="4" w:space="0"/>
            </w:tcBorders>
            <w:noWrap/>
            <w:tcMar>
              <w:left w:w="57" w:type="dxa"/>
              <w:right w:w="57" w:type="dxa"/>
            </w:tcMar>
            <w:vAlign w:val="center"/>
          </w:tcPr>
          <w:p w14:paraId="297862A9">
            <w:pPr>
              <w:adjustRightInd w:val="0"/>
              <w:snapToGrid w:val="0"/>
              <w:spacing w:line="360" w:lineRule="exact"/>
              <w:ind w:firstLine="0" w:firstLineChars="0"/>
              <w:jc w:val="center"/>
              <w:rPr>
                <w:rFonts w:ascii="宋体" w:hAnsi="宋体" w:cs="宋体"/>
                <w:b/>
                <w:color w:val="auto"/>
                <w:sz w:val="21"/>
                <w:szCs w:val="21"/>
                <w:highlight w:val="none"/>
              </w:rPr>
            </w:pPr>
            <w:bookmarkStart w:id="69" w:name="OLE_LINK38"/>
            <w:bookmarkStart w:id="70" w:name="OLE_LINK37"/>
            <w:r>
              <w:rPr>
                <w:rFonts w:hint="eastAsia" w:ascii="宋体" w:hAnsi="宋体" w:cs="宋体"/>
                <w:b/>
                <w:color w:val="auto"/>
                <w:sz w:val="21"/>
                <w:szCs w:val="21"/>
                <w:highlight w:val="none"/>
              </w:rPr>
              <w:t>履约能力分（</w:t>
            </w:r>
            <w:r>
              <w:rPr>
                <w:rFonts w:hint="eastAsia" w:ascii="宋体" w:hAnsi="宋体" w:cs="宋体"/>
                <w:b/>
                <w:color w:val="auto"/>
                <w:sz w:val="21"/>
                <w:szCs w:val="21"/>
                <w:highlight w:val="none"/>
                <w:lang w:eastAsia="zh-CN"/>
              </w:rPr>
              <w:t>权值</w:t>
            </w:r>
            <w:r>
              <w:rPr>
                <w:rFonts w:hint="eastAsia" w:ascii="宋体" w:hAnsi="宋体" w:cs="宋体"/>
                <w:b/>
                <w:color w:val="auto"/>
                <w:sz w:val="21"/>
                <w:szCs w:val="21"/>
                <w:highlight w:val="none"/>
                <w:lang w:val="en-US" w:eastAsia="zh-CN"/>
              </w:rPr>
              <w:t>5%，即5</w:t>
            </w:r>
            <w:r>
              <w:rPr>
                <w:rFonts w:hint="eastAsia" w:ascii="宋体" w:hAnsi="宋体" w:cs="宋体"/>
                <w:b/>
                <w:color w:val="auto"/>
                <w:sz w:val="21"/>
                <w:szCs w:val="21"/>
                <w:highlight w:val="none"/>
              </w:rPr>
              <w:t>分）</w:t>
            </w:r>
            <w:bookmarkEnd w:id="69"/>
            <w:bookmarkEnd w:id="70"/>
          </w:p>
        </w:tc>
        <w:tc>
          <w:tcPr>
            <w:tcW w:w="7398" w:type="dxa"/>
            <w:tcBorders>
              <w:top w:val="single" w:color="auto" w:sz="4" w:space="0"/>
              <w:left w:val="single" w:color="auto" w:sz="4" w:space="0"/>
              <w:bottom w:val="single" w:color="auto" w:sz="4" w:space="0"/>
              <w:right w:val="single" w:color="auto" w:sz="4" w:space="0"/>
            </w:tcBorders>
            <w:noWrap/>
            <w:vAlign w:val="center"/>
          </w:tcPr>
          <w:p w14:paraId="0A6DA478">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202</w:t>
            </w:r>
            <w:r>
              <w:rPr>
                <w:rFonts w:ascii="宋体" w:hAnsi="宋体" w:cs="宋体"/>
                <w:bCs/>
                <w:color w:val="auto"/>
                <w:sz w:val="21"/>
                <w:szCs w:val="21"/>
                <w:highlight w:val="none"/>
              </w:rPr>
              <w:t>2</w:t>
            </w:r>
            <w:r>
              <w:rPr>
                <w:rFonts w:hint="eastAsia" w:ascii="宋体" w:hAnsi="宋体" w:cs="宋体"/>
                <w:bCs/>
                <w:color w:val="auto"/>
                <w:sz w:val="21"/>
                <w:szCs w:val="21"/>
                <w:highlight w:val="none"/>
              </w:rPr>
              <w:t>年1月1日以来经竣工验收的类似工程</w:t>
            </w:r>
            <w:r>
              <w:rPr>
                <w:rFonts w:hint="eastAsia" w:ascii="宋体" w:hAnsi="宋体" w:cs="宋体"/>
                <w:bCs/>
                <w:color w:val="auto"/>
                <w:sz w:val="21"/>
                <w:szCs w:val="21"/>
                <w:highlight w:val="none"/>
                <w:lang w:eastAsia="zh-CN"/>
              </w:rPr>
              <w:t>业绩的（类似工程是指运动场地工程施工项目）</w:t>
            </w:r>
            <w:r>
              <w:rPr>
                <w:rFonts w:hint="eastAsia" w:ascii="宋体" w:hAnsi="宋体" w:cs="宋体"/>
                <w:bCs/>
                <w:color w:val="auto"/>
                <w:sz w:val="21"/>
                <w:szCs w:val="21"/>
                <w:highlight w:val="none"/>
              </w:rPr>
              <w:t>，每提供1个得</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rPr>
              <w:t>分，最多得</w:t>
            </w:r>
            <w:r>
              <w:rPr>
                <w:rFonts w:hint="eastAsia" w:ascii="宋体" w:hAnsi="宋体" w:cs="宋体"/>
                <w:bCs/>
                <w:color w:val="auto"/>
                <w:sz w:val="21"/>
                <w:szCs w:val="21"/>
                <w:highlight w:val="none"/>
                <w:lang w:val="en-US" w:eastAsia="zh-CN"/>
              </w:rPr>
              <w:t>5</w:t>
            </w:r>
            <w:r>
              <w:rPr>
                <w:rFonts w:hint="eastAsia" w:ascii="宋体" w:hAnsi="宋体" w:cs="宋体"/>
                <w:bCs/>
                <w:color w:val="auto"/>
                <w:sz w:val="21"/>
                <w:szCs w:val="21"/>
                <w:highlight w:val="none"/>
              </w:rPr>
              <w:t>分【供应商于响应文件中提供</w:t>
            </w:r>
            <w:r>
              <w:rPr>
                <w:rFonts w:hint="eastAsia" w:cs="宋体" w:asciiTheme="majorEastAsia" w:hAnsiTheme="majorEastAsia" w:eastAsiaTheme="majorEastAsia"/>
                <w:color w:val="auto"/>
                <w:sz w:val="21"/>
                <w:highlight w:val="none"/>
              </w:rPr>
              <w:t>中标（成交）通知书</w:t>
            </w:r>
            <w:r>
              <w:rPr>
                <w:rFonts w:hint="eastAsia" w:cs="宋体" w:asciiTheme="majorEastAsia" w:hAnsiTheme="majorEastAsia" w:eastAsiaTheme="majorEastAsia"/>
                <w:color w:val="auto"/>
                <w:sz w:val="21"/>
                <w:highlight w:val="none"/>
                <w:lang w:eastAsia="zh-CN"/>
              </w:rPr>
              <w:t>（</w:t>
            </w:r>
            <w:r>
              <w:rPr>
                <w:rFonts w:hint="eastAsia" w:cs="宋体" w:asciiTheme="majorEastAsia" w:hAnsiTheme="majorEastAsia" w:eastAsiaTheme="majorEastAsia"/>
                <w:color w:val="auto"/>
                <w:sz w:val="21"/>
                <w:highlight w:val="none"/>
              </w:rPr>
              <w:t>或合同协议书扫描件</w:t>
            </w:r>
            <w:r>
              <w:rPr>
                <w:rFonts w:hint="eastAsia" w:cs="宋体" w:asciiTheme="majorEastAsia" w:hAnsiTheme="majorEastAsia" w:eastAsiaTheme="majorEastAsia"/>
                <w:color w:val="auto"/>
                <w:sz w:val="21"/>
                <w:highlight w:val="none"/>
                <w:lang w:eastAsia="zh-CN"/>
              </w:rPr>
              <w:t>），</w:t>
            </w:r>
            <w:r>
              <w:rPr>
                <w:rFonts w:hint="eastAsia" w:cs="宋体" w:asciiTheme="majorEastAsia" w:hAnsiTheme="majorEastAsia" w:eastAsiaTheme="majorEastAsia"/>
                <w:color w:val="auto"/>
                <w:sz w:val="21"/>
                <w:highlight w:val="none"/>
                <w:lang w:val="en-US" w:eastAsia="zh-CN"/>
              </w:rPr>
              <w:t>并同时提供</w:t>
            </w:r>
            <w:r>
              <w:rPr>
                <w:rFonts w:hint="eastAsia" w:cs="宋体" w:asciiTheme="majorEastAsia" w:hAnsiTheme="majorEastAsia" w:eastAsiaTheme="majorEastAsia"/>
                <w:color w:val="auto"/>
                <w:sz w:val="21"/>
                <w:highlight w:val="none"/>
              </w:rPr>
              <w:t>经竣工验收的</w:t>
            </w:r>
            <w:r>
              <w:rPr>
                <w:rFonts w:hint="eastAsia" w:ascii="宋体" w:hAnsi="宋体" w:cs="宋体"/>
                <w:bCs/>
                <w:color w:val="auto"/>
                <w:sz w:val="21"/>
                <w:szCs w:val="21"/>
                <w:highlight w:val="none"/>
              </w:rPr>
              <w:t>相关有效证明材料，并加盖供应商电子签章</w:t>
            </w:r>
            <w:r>
              <w:rPr>
                <w:rFonts w:hint="eastAsia" w:ascii="宋体" w:hAnsi="宋体" w:cs="宋体"/>
                <w:bCs/>
                <w:color w:val="auto"/>
                <w:sz w:val="21"/>
                <w:szCs w:val="21"/>
                <w:highlight w:val="none"/>
                <w:lang w:eastAsia="zh-CN"/>
              </w:rPr>
              <w:t>，否则不予认可</w:t>
            </w:r>
            <w:r>
              <w:rPr>
                <w:rFonts w:hint="eastAsia" w:ascii="宋体" w:hAnsi="宋体" w:cs="宋体"/>
                <w:bCs/>
                <w:color w:val="auto"/>
                <w:sz w:val="21"/>
                <w:szCs w:val="21"/>
                <w:highlight w:val="none"/>
              </w:rPr>
              <w:t>】。</w:t>
            </w:r>
          </w:p>
        </w:tc>
      </w:tr>
      <w:tr w14:paraId="5A1B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425" w:type="dxa"/>
            <w:gridSpan w:val="3"/>
            <w:tcBorders>
              <w:top w:val="single" w:color="auto" w:sz="4" w:space="0"/>
              <w:left w:val="single" w:color="auto" w:sz="4" w:space="0"/>
              <w:bottom w:val="single" w:color="auto" w:sz="4" w:space="0"/>
              <w:right w:val="single" w:color="auto" w:sz="4" w:space="0"/>
            </w:tcBorders>
            <w:noWrap/>
            <w:vAlign w:val="center"/>
          </w:tcPr>
          <w:p w14:paraId="044159B8">
            <w:pPr>
              <w:pStyle w:val="43"/>
              <w:widowControl w:val="0"/>
              <w:adjustRightInd w:val="0"/>
              <w:snapToGrid w:val="0"/>
              <w:spacing w:before="0" w:beforeAutospacing="0" w:after="0" w:afterAutospacing="0" w:line="320" w:lineRule="exact"/>
              <w:jc w:val="both"/>
              <w:rPr>
                <w:bCs/>
                <w:color w:val="auto"/>
                <w:kern w:val="2"/>
                <w:sz w:val="21"/>
                <w:szCs w:val="21"/>
                <w:highlight w:val="none"/>
              </w:rPr>
            </w:pPr>
            <w:r>
              <w:rPr>
                <w:rFonts w:hint="eastAsia" w:asciiTheme="majorEastAsia" w:hAnsiTheme="majorEastAsia" w:eastAsiaTheme="majorEastAsia"/>
                <w:color w:val="auto"/>
                <w:kern w:val="2"/>
                <w:sz w:val="21"/>
                <w:highlight w:val="none"/>
              </w:rPr>
              <w:t>总得分为以上各项评审因素得分合计</w:t>
            </w:r>
            <w:r>
              <w:rPr>
                <w:rFonts w:hint="eastAsia" w:asciiTheme="majorEastAsia" w:hAnsiTheme="majorEastAsia" w:eastAsiaTheme="majorEastAsia"/>
                <w:color w:val="auto"/>
                <w:kern w:val="2"/>
                <w:sz w:val="21"/>
                <w:highlight w:val="none"/>
                <w:lang w:eastAsia="zh-CN"/>
              </w:rPr>
              <w:t>（满分</w:t>
            </w:r>
            <w:r>
              <w:rPr>
                <w:rFonts w:hint="eastAsia" w:asciiTheme="majorEastAsia" w:hAnsiTheme="majorEastAsia" w:eastAsiaTheme="majorEastAsia"/>
                <w:color w:val="auto"/>
                <w:kern w:val="2"/>
                <w:sz w:val="21"/>
                <w:highlight w:val="none"/>
                <w:lang w:val="en-US" w:eastAsia="zh-CN"/>
              </w:rPr>
              <w:t>100分</w:t>
            </w:r>
            <w:r>
              <w:rPr>
                <w:rFonts w:hint="eastAsia" w:asciiTheme="majorEastAsia" w:hAnsiTheme="majorEastAsia" w:eastAsiaTheme="majorEastAsia"/>
                <w:color w:val="auto"/>
                <w:kern w:val="2"/>
                <w:sz w:val="21"/>
                <w:highlight w:val="none"/>
                <w:lang w:eastAsia="zh-CN"/>
              </w:rPr>
              <w:t>）。</w:t>
            </w:r>
          </w:p>
        </w:tc>
      </w:tr>
    </w:tbl>
    <w:p w14:paraId="7116BF77">
      <w:pPr>
        <w:keepNext w:val="0"/>
        <w:keepLines w:val="0"/>
        <w:pageBreakBefore w:val="0"/>
        <w:widowControl w:val="0"/>
        <w:kinsoku/>
        <w:wordWrap/>
        <w:overflowPunct/>
        <w:topLinePunct w:val="0"/>
        <w:autoSpaceDE/>
        <w:autoSpaceDN/>
        <w:bidi w:val="0"/>
        <w:adjustRightInd/>
        <w:snapToGrid/>
        <w:spacing w:line="420" w:lineRule="exact"/>
        <w:ind w:firstLine="527" w:firstLineChars="250"/>
        <w:jc w:val="left"/>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三、推荐及确定成交候选供应商原则</w:t>
      </w:r>
    </w:p>
    <w:p w14:paraId="10BC32F7">
      <w:pPr>
        <w:keepNext w:val="0"/>
        <w:keepLines w:val="0"/>
        <w:pageBreakBefore w:val="0"/>
        <w:widowControl w:val="0"/>
        <w:tabs>
          <w:tab w:val="left" w:pos="1140"/>
        </w:tabs>
        <w:kinsoku/>
        <w:wordWrap/>
        <w:overflowPunct/>
        <w:topLinePunct w:val="0"/>
        <w:autoSpaceDE/>
        <w:autoSpaceDN/>
        <w:bidi w:val="0"/>
        <w:adjustRightInd/>
        <w:snapToGrid/>
        <w:spacing w:line="420" w:lineRule="exact"/>
        <w:ind w:firstLine="42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应当根据综合得分情况，按照综合得分由高到低顺序推荐成交候选供应商，并编写评审报告。磋商小组根据综合得分由高到低排列次序，若得分相同时，以最后报价由低到高顺序排列；若仍相同的，依次按施工组织设计分、履约能力分由高到低顺序排列并推荐成交候选供应商。</w:t>
      </w:r>
    </w:p>
    <w:p w14:paraId="1EFBF597">
      <w:pPr>
        <w:keepNext w:val="0"/>
        <w:keepLines w:val="0"/>
        <w:pageBreakBefore w:val="0"/>
        <w:widowControl w:val="0"/>
        <w:tabs>
          <w:tab w:val="left" w:pos="1140"/>
        </w:tabs>
        <w:kinsoku/>
        <w:wordWrap/>
        <w:overflowPunct/>
        <w:topLinePunct w:val="0"/>
        <w:autoSpaceDE/>
        <w:autoSpaceDN/>
        <w:bidi w:val="0"/>
        <w:adjustRightInd/>
        <w:snapToGrid/>
        <w:spacing w:line="420" w:lineRule="exact"/>
        <w:ind w:firstLine="42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ascii="宋体" w:hAnsi="宋体" w:cs="宋体"/>
          <w:color w:val="auto"/>
          <w:kern w:val="0"/>
          <w:sz w:val="21"/>
          <w:szCs w:val="21"/>
          <w:highlight w:val="none"/>
        </w:rPr>
        <w:t>采购代理机构在评审结束后2个工作日内将评审报告送采购人确认。采购人应当在收到评审报告后5个工作日内，从评审报告提出的成交候选供应商中，按照排序由高到低的原则确定</w:t>
      </w:r>
      <w:r>
        <w:rPr>
          <w:rFonts w:hint="eastAsia" w:ascii="宋体" w:hAnsi="宋体" w:cs="宋体"/>
          <w:color w:val="auto"/>
          <w:kern w:val="0"/>
          <w:sz w:val="21"/>
          <w:szCs w:val="21"/>
          <w:highlight w:val="none"/>
          <w:lang w:eastAsia="zh-CN"/>
        </w:rPr>
        <w:t>成交供应商</w:t>
      </w:r>
      <w:r>
        <w:rPr>
          <w:rFonts w:ascii="宋体" w:hAnsi="宋体" w:cs="宋体"/>
          <w:color w:val="auto"/>
          <w:kern w:val="0"/>
          <w:sz w:val="21"/>
          <w:szCs w:val="21"/>
          <w:highlight w:val="none"/>
        </w:rPr>
        <w:t>。</w:t>
      </w:r>
      <w:r>
        <w:rPr>
          <w:rFonts w:hint="eastAsia" w:ascii="宋体" w:hAnsi="宋体" w:cs="宋体"/>
          <w:color w:val="auto"/>
          <w:kern w:val="0"/>
          <w:sz w:val="21"/>
          <w:szCs w:val="21"/>
          <w:highlight w:val="none"/>
        </w:rPr>
        <w:t>本项目确定一名</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w:t>
      </w:r>
    </w:p>
    <w:p w14:paraId="43095CC0">
      <w:pPr>
        <w:keepNext w:val="0"/>
        <w:keepLines w:val="0"/>
        <w:pageBreakBefore w:val="0"/>
        <w:widowControl w:val="0"/>
        <w:tabs>
          <w:tab w:val="left" w:pos="1140"/>
        </w:tabs>
        <w:kinsoku/>
        <w:wordWrap/>
        <w:overflowPunct/>
        <w:topLinePunct w:val="0"/>
        <w:autoSpaceDE/>
        <w:autoSpaceDN/>
        <w:bidi w:val="0"/>
        <w:adjustRightInd/>
        <w:snapToGrid/>
        <w:spacing w:line="420" w:lineRule="exact"/>
        <w:ind w:firstLine="420"/>
        <w:textAlignment w:val="auto"/>
        <w:rPr>
          <w:rFonts w:ascii="宋体" w:hAnsi="宋体" w:cs="宋体"/>
          <w:color w:val="auto"/>
          <w:kern w:val="0"/>
          <w:sz w:val="21"/>
          <w:szCs w:val="21"/>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304" w:bottom="1440" w:left="1304" w:header="720" w:footer="720" w:gutter="0"/>
          <w:cols w:space="720" w:num="1"/>
          <w:titlePg/>
          <w:docGrid w:linePitch="331" w:charSpace="0"/>
        </w:sectPr>
      </w:pPr>
      <w:r>
        <w:rPr>
          <w:rFonts w:hint="eastAsia" w:ascii="宋体" w:hAnsi="宋体" w:cs="宋体"/>
          <w:color w:val="auto"/>
          <w:kern w:val="0"/>
          <w:sz w:val="21"/>
          <w:szCs w:val="21"/>
          <w:highlight w:val="none"/>
        </w:rPr>
        <w:t>（3）排名第一的成交候选供应商放弃成交、拒绝或迟延签订合同、因不可抗力提出不能履行合同，或因失信行为被取消</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资格的，采购人可以确定排名第二的成交候选供应商为</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。排名第二的成交候选供应商因前述规定的同样原因不能签订合同的，采购人可以确定排名第三的</w:t>
      </w:r>
      <w:r>
        <w:rPr>
          <w:rFonts w:hint="eastAsia" w:ascii="宋体" w:hAnsi="宋体" w:cs="宋体"/>
          <w:color w:val="auto"/>
          <w:kern w:val="0"/>
          <w:sz w:val="21"/>
          <w:szCs w:val="21"/>
          <w:highlight w:val="none"/>
          <w:lang w:eastAsia="zh-CN"/>
        </w:rPr>
        <w:t>成交候选供应商</w:t>
      </w:r>
      <w:r>
        <w:rPr>
          <w:rFonts w:hint="eastAsia" w:ascii="宋体" w:hAnsi="宋体" w:cs="宋体"/>
          <w:color w:val="auto"/>
          <w:kern w:val="0"/>
          <w:sz w:val="21"/>
          <w:szCs w:val="21"/>
          <w:highlight w:val="none"/>
        </w:rPr>
        <w:t>为</w:t>
      </w:r>
      <w:r>
        <w:rPr>
          <w:rFonts w:hint="eastAsia" w:ascii="宋体" w:hAnsi="宋体" w:cs="宋体"/>
          <w:color w:val="auto"/>
          <w:kern w:val="0"/>
          <w:sz w:val="21"/>
          <w:szCs w:val="21"/>
          <w:highlight w:val="none"/>
          <w:lang w:eastAsia="zh-CN"/>
        </w:rPr>
        <w:t>成交供应商</w:t>
      </w:r>
      <w:r>
        <w:rPr>
          <w:rFonts w:hint="eastAsia" w:ascii="宋体" w:hAnsi="宋体" w:cs="宋体"/>
          <w:color w:val="auto"/>
          <w:kern w:val="0"/>
          <w:sz w:val="21"/>
          <w:szCs w:val="21"/>
          <w:highlight w:val="none"/>
        </w:rPr>
        <w:t>。以此类推。</w:t>
      </w:r>
    </w:p>
    <w:p w14:paraId="54CE40C9">
      <w:pPr>
        <w:pStyle w:val="23"/>
        <w:rPr>
          <w:rFonts w:ascii="宋体" w:hAnsi="宋体" w:cs="宋体"/>
          <w:b/>
          <w:color w:val="auto"/>
          <w:sz w:val="32"/>
          <w:szCs w:val="32"/>
          <w:highlight w:val="none"/>
        </w:rPr>
      </w:pPr>
      <w:bookmarkStart w:id="71" w:name="_Toc82016593"/>
    </w:p>
    <w:p w14:paraId="07985257">
      <w:pPr>
        <w:pStyle w:val="23"/>
        <w:rPr>
          <w:rFonts w:ascii="宋体" w:hAnsi="宋体" w:cs="宋体"/>
          <w:b/>
          <w:color w:val="auto"/>
          <w:sz w:val="32"/>
          <w:szCs w:val="32"/>
          <w:highlight w:val="none"/>
        </w:rPr>
      </w:pPr>
    </w:p>
    <w:p w14:paraId="799B759F">
      <w:pPr>
        <w:spacing w:line="440" w:lineRule="atLeast"/>
        <w:ind w:firstLine="0" w:firstLineChars="0"/>
        <w:jc w:val="center"/>
        <w:outlineLvl w:val="1"/>
        <w:rPr>
          <w:rFonts w:ascii="宋体" w:hAnsi="宋体" w:cs="宋体"/>
          <w:b/>
          <w:color w:val="auto"/>
          <w:kern w:val="0"/>
          <w:sz w:val="32"/>
          <w:szCs w:val="32"/>
          <w:highlight w:val="none"/>
        </w:rPr>
      </w:pPr>
    </w:p>
    <w:p w14:paraId="5BFC406F">
      <w:pPr>
        <w:spacing w:line="440" w:lineRule="atLeast"/>
        <w:ind w:firstLine="0" w:firstLineChars="0"/>
        <w:jc w:val="center"/>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第六章  响应文件（格式）</w:t>
      </w:r>
      <w:bookmarkEnd w:id="71"/>
    </w:p>
    <w:p w14:paraId="7740BCE9">
      <w:pPr>
        <w:pStyle w:val="23"/>
        <w:rPr>
          <w:color w:val="auto"/>
          <w:highlight w:val="none"/>
        </w:rPr>
      </w:pPr>
    </w:p>
    <w:p w14:paraId="099C27A4">
      <w:pPr>
        <w:spacing w:line="240" w:lineRule="auto"/>
        <w:ind w:firstLine="0" w:firstLineChars="0"/>
        <w:rPr>
          <w:rFonts w:ascii="宋体" w:hAnsi="宋体" w:cs="宋体"/>
          <w:b/>
          <w:color w:val="auto"/>
          <w:kern w:val="0"/>
          <w:sz w:val="32"/>
          <w:szCs w:val="32"/>
          <w:highlight w:val="none"/>
        </w:rPr>
      </w:pPr>
    </w:p>
    <w:p w14:paraId="46A96EC2">
      <w:pPr>
        <w:spacing w:line="240" w:lineRule="atLeast"/>
        <w:ind w:firstLine="643"/>
        <w:jc w:val="center"/>
        <w:rPr>
          <w:rFonts w:ascii="宋体" w:hAnsi="宋体" w:cs="宋体"/>
          <w:b/>
          <w:color w:val="auto"/>
          <w:sz w:val="32"/>
          <w:szCs w:val="32"/>
          <w:highlight w:val="none"/>
        </w:rPr>
      </w:pPr>
    </w:p>
    <w:p w14:paraId="6D0ADA72">
      <w:pPr>
        <w:spacing w:line="240" w:lineRule="atLeast"/>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 xml:space="preserve">响 应 文 件 </w:t>
      </w:r>
      <w:r>
        <w:rPr>
          <w:rFonts w:hint="eastAsia" w:ascii="宋体" w:hAnsi="宋体" w:cs="宋体"/>
          <w:b/>
          <w:color w:val="auto"/>
          <w:sz w:val="32"/>
          <w:szCs w:val="32"/>
          <w:highlight w:val="none"/>
          <w:lang w:eastAsia="zh-CN"/>
        </w:rPr>
        <w:t>（</w:t>
      </w:r>
      <w:r>
        <w:rPr>
          <w:rFonts w:hint="eastAsia" w:ascii="宋体" w:hAnsi="宋体" w:cs="宋体"/>
          <w:b/>
          <w:color w:val="auto"/>
          <w:sz w:val="32"/>
          <w:szCs w:val="32"/>
          <w:highlight w:val="none"/>
        </w:rPr>
        <w:t>封面</w:t>
      </w:r>
      <w:r>
        <w:rPr>
          <w:rFonts w:hint="eastAsia" w:ascii="宋体" w:hAnsi="宋体" w:cs="宋体"/>
          <w:b/>
          <w:color w:val="auto"/>
          <w:sz w:val="32"/>
          <w:szCs w:val="32"/>
          <w:highlight w:val="none"/>
          <w:lang w:eastAsia="zh-CN"/>
        </w:rPr>
        <w:t>）</w:t>
      </w:r>
    </w:p>
    <w:p w14:paraId="546B3CAD">
      <w:pPr>
        <w:ind w:firstLine="480"/>
        <w:jc w:val="center"/>
        <w:rPr>
          <w:rFonts w:ascii="宋体" w:hAnsi="宋体" w:cs="宋体"/>
          <w:color w:val="auto"/>
          <w:szCs w:val="21"/>
          <w:highlight w:val="none"/>
        </w:rPr>
      </w:pPr>
    </w:p>
    <w:p w14:paraId="31039D07">
      <w:pPr>
        <w:ind w:firstLine="480"/>
        <w:jc w:val="center"/>
        <w:rPr>
          <w:rFonts w:ascii="宋体" w:hAnsi="宋体" w:cs="宋体"/>
          <w:color w:val="auto"/>
          <w:szCs w:val="21"/>
          <w:highlight w:val="none"/>
        </w:rPr>
      </w:pPr>
    </w:p>
    <w:p w14:paraId="72ABE9C2">
      <w:pPr>
        <w:ind w:firstLine="480"/>
        <w:jc w:val="center"/>
        <w:rPr>
          <w:rFonts w:ascii="宋体" w:hAnsi="宋体" w:cs="宋体"/>
          <w:color w:val="auto"/>
          <w:szCs w:val="21"/>
          <w:highlight w:val="none"/>
        </w:rPr>
      </w:pPr>
    </w:p>
    <w:p w14:paraId="4833BDF9">
      <w:pPr>
        <w:spacing w:line="560" w:lineRule="exact"/>
        <w:ind w:firstLine="480"/>
        <w:jc w:val="left"/>
        <w:rPr>
          <w:rFonts w:ascii="宋体" w:hAnsi="宋体" w:cs="宋体"/>
          <w:color w:val="auto"/>
          <w:szCs w:val="21"/>
          <w:highlight w:val="none"/>
          <w:u w:val="single"/>
        </w:rPr>
      </w:pPr>
      <w:r>
        <w:rPr>
          <w:rFonts w:hint="eastAsia" w:ascii="宋体" w:hAnsi="宋体" w:cs="宋体"/>
          <w:color w:val="auto"/>
          <w:szCs w:val="21"/>
          <w:highlight w:val="none"/>
        </w:rPr>
        <w:t>采购项目编号：</w:t>
      </w:r>
      <w:r>
        <w:rPr>
          <w:rFonts w:hint="eastAsia" w:ascii="宋体" w:hAnsi="宋体" w:cs="宋体"/>
          <w:color w:val="auto"/>
          <w:szCs w:val="21"/>
          <w:highlight w:val="none"/>
          <w:u w:val="single"/>
        </w:rPr>
        <w:t xml:space="preserve">                       </w:t>
      </w:r>
    </w:p>
    <w:p w14:paraId="040BD519">
      <w:pPr>
        <w:tabs>
          <w:tab w:val="left" w:pos="3240"/>
        </w:tabs>
        <w:spacing w:line="560" w:lineRule="exact"/>
        <w:ind w:firstLine="480"/>
        <w:jc w:val="left"/>
        <w:rPr>
          <w:rFonts w:ascii="宋体" w:hAnsi="宋体" w:cs="宋体"/>
          <w:color w:val="auto"/>
          <w:szCs w:val="21"/>
          <w:highlight w:val="none"/>
          <w:u w:val="single"/>
        </w:rPr>
      </w:pPr>
      <w:r>
        <w:rPr>
          <w:rFonts w:hint="eastAsia" w:ascii="宋体" w:hAnsi="宋体" w:cs="宋体"/>
          <w:color w:val="auto"/>
          <w:szCs w:val="21"/>
          <w:highlight w:val="none"/>
        </w:rPr>
        <w:t>采购项目名称：</w:t>
      </w:r>
      <w:r>
        <w:rPr>
          <w:rFonts w:hint="eastAsia" w:ascii="宋体" w:hAnsi="宋体" w:cs="宋体"/>
          <w:color w:val="auto"/>
          <w:szCs w:val="21"/>
          <w:highlight w:val="none"/>
          <w:u w:val="single"/>
        </w:rPr>
        <w:t xml:space="preserve">                       </w:t>
      </w:r>
    </w:p>
    <w:p w14:paraId="54FAD92D">
      <w:pPr>
        <w:tabs>
          <w:tab w:val="left" w:pos="2625"/>
        </w:tabs>
        <w:ind w:firstLine="480"/>
        <w:jc w:val="center"/>
        <w:rPr>
          <w:rFonts w:ascii="宋体" w:hAnsi="宋体" w:cs="宋体"/>
          <w:color w:val="auto"/>
          <w:szCs w:val="21"/>
          <w:highlight w:val="none"/>
        </w:rPr>
      </w:pPr>
    </w:p>
    <w:p w14:paraId="366A7CEC">
      <w:pPr>
        <w:tabs>
          <w:tab w:val="left" w:pos="2625"/>
        </w:tabs>
        <w:ind w:firstLine="480"/>
        <w:jc w:val="center"/>
        <w:rPr>
          <w:rFonts w:ascii="宋体" w:hAnsi="宋体" w:cs="宋体"/>
          <w:color w:val="auto"/>
          <w:szCs w:val="21"/>
          <w:highlight w:val="none"/>
        </w:rPr>
      </w:pPr>
    </w:p>
    <w:p w14:paraId="2E4740F4">
      <w:pPr>
        <w:ind w:firstLine="480"/>
        <w:jc w:val="center"/>
        <w:rPr>
          <w:rFonts w:ascii="宋体" w:hAnsi="宋体" w:cs="宋体"/>
          <w:color w:val="auto"/>
          <w:szCs w:val="21"/>
          <w:highlight w:val="none"/>
        </w:rPr>
      </w:pPr>
      <w:r>
        <w:rPr>
          <w:rFonts w:hint="eastAsia" w:ascii="宋体" w:hAnsi="宋体" w:cs="宋体"/>
          <w:color w:val="auto"/>
          <w:szCs w:val="21"/>
          <w:highlight w:val="none"/>
        </w:rPr>
        <w:t xml:space="preserve">                                        （供应商名称）</w:t>
      </w:r>
    </w:p>
    <w:p w14:paraId="7E939499">
      <w:pPr>
        <w:ind w:firstLine="6000" w:firstLineChars="2500"/>
        <w:rPr>
          <w:rFonts w:ascii="宋体" w:hAnsi="宋体" w:cs="宋体"/>
          <w:color w:val="auto"/>
          <w:szCs w:val="21"/>
          <w:highlight w:val="none"/>
        </w:rPr>
      </w:pPr>
      <w:r>
        <w:rPr>
          <w:rFonts w:hint="eastAsia" w:ascii="宋体" w:hAnsi="宋体" w:cs="宋体"/>
          <w:color w:val="auto"/>
          <w:szCs w:val="21"/>
          <w:highlight w:val="none"/>
        </w:rPr>
        <w:t>年    月    日</w:t>
      </w:r>
    </w:p>
    <w:p w14:paraId="7EB8A81D">
      <w:pPr>
        <w:snapToGrid w:val="0"/>
        <w:spacing w:before="120" w:beforeLines="50" w:after="50" w:line="240" w:lineRule="auto"/>
        <w:ind w:firstLine="360" w:firstLineChars="150"/>
        <w:rPr>
          <w:rFonts w:ascii="宋体" w:hAnsi="宋体"/>
          <w:bCs/>
          <w:color w:val="auto"/>
          <w:kern w:val="0"/>
          <w:szCs w:val="24"/>
          <w:highlight w:val="none"/>
        </w:rPr>
      </w:pPr>
    </w:p>
    <w:p w14:paraId="0D166E87">
      <w:pPr>
        <w:snapToGrid w:val="0"/>
        <w:spacing w:before="120" w:beforeLines="50" w:after="50" w:line="240" w:lineRule="auto"/>
        <w:ind w:firstLine="360" w:firstLineChars="150"/>
        <w:rPr>
          <w:rFonts w:ascii="宋体" w:hAnsi="宋体"/>
          <w:bCs/>
          <w:color w:val="auto"/>
          <w:kern w:val="0"/>
          <w:szCs w:val="24"/>
          <w:highlight w:val="none"/>
        </w:rPr>
      </w:pPr>
    </w:p>
    <w:p w14:paraId="309AEC9D">
      <w:pPr>
        <w:spacing w:line="440" w:lineRule="atLeast"/>
        <w:ind w:firstLine="0" w:firstLineChars="0"/>
        <w:rPr>
          <w:rFonts w:ascii="宋体" w:hAnsi="宋体"/>
          <w:b/>
          <w:color w:val="auto"/>
          <w:kern w:val="0"/>
          <w:sz w:val="32"/>
          <w:szCs w:val="32"/>
          <w:highlight w:val="none"/>
        </w:rPr>
      </w:pPr>
    </w:p>
    <w:p w14:paraId="42740605">
      <w:pPr>
        <w:spacing w:line="440" w:lineRule="atLeast"/>
        <w:ind w:firstLine="0" w:firstLineChars="0"/>
        <w:rPr>
          <w:rFonts w:ascii="宋体" w:hAnsi="宋体"/>
          <w:b/>
          <w:color w:val="auto"/>
          <w:kern w:val="0"/>
          <w:sz w:val="32"/>
          <w:szCs w:val="32"/>
          <w:highlight w:val="none"/>
        </w:rPr>
      </w:pPr>
    </w:p>
    <w:p w14:paraId="7817D67D">
      <w:pPr>
        <w:spacing w:line="440" w:lineRule="atLeast"/>
        <w:ind w:firstLine="0" w:firstLineChars="0"/>
        <w:rPr>
          <w:rFonts w:ascii="宋体" w:hAnsi="宋体"/>
          <w:b/>
          <w:color w:val="auto"/>
          <w:kern w:val="0"/>
          <w:sz w:val="32"/>
          <w:szCs w:val="32"/>
          <w:highlight w:val="none"/>
        </w:rPr>
      </w:pPr>
    </w:p>
    <w:p w14:paraId="458C7019">
      <w:pPr>
        <w:spacing w:line="440" w:lineRule="atLeast"/>
        <w:ind w:firstLine="0" w:firstLineChars="0"/>
        <w:rPr>
          <w:rFonts w:ascii="宋体" w:hAnsi="宋体"/>
          <w:b/>
          <w:color w:val="auto"/>
          <w:kern w:val="0"/>
          <w:sz w:val="32"/>
          <w:szCs w:val="32"/>
          <w:highlight w:val="none"/>
        </w:rPr>
      </w:pPr>
    </w:p>
    <w:p w14:paraId="37B53E22">
      <w:pPr>
        <w:pStyle w:val="23"/>
        <w:rPr>
          <w:rFonts w:ascii="宋体" w:hAnsi="宋体"/>
          <w:b/>
          <w:color w:val="auto"/>
          <w:sz w:val="32"/>
          <w:szCs w:val="32"/>
          <w:highlight w:val="none"/>
        </w:rPr>
      </w:pPr>
    </w:p>
    <w:p w14:paraId="3F1D6A08">
      <w:pPr>
        <w:pStyle w:val="23"/>
        <w:rPr>
          <w:rFonts w:ascii="宋体" w:hAnsi="宋体"/>
          <w:b/>
          <w:color w:val="auto"/>
          <w:sz w:val="32"/>
          <w:szCs w:val="32"/>
          <w:highlight w:val="none"/>
        </w:rPr>
      </w:pPr>
    </w:p>
    <w:p w14:paraId="667979EA">
      <w:pPr>
        <w:pStyle w:val="23"/>
        <w:rPr>
          <w:rFonts w:ascii="宋体" w:hAnsi="宋体"/>
          <w:b/>
          <w:color w:val="auto"/>
          <w:sz w:val="32"/>
          <w:szCs w:val="32"/>
          <w:highlight w:val="none"/>
        </w:rPr>
      </w:pPr>
    </w:p>
    <w:p w14:paraId="5D46EB02">
      <w:pPr>
        <w:pStyle w:val="23"/>
        <w:rPr>
          <w:rFonts w:ascii="宋体" w:hAnsi="宋体"/>
          <w:b/>
          <w:color w:val="auto"/>
          <w:sz w:val="32"/>
          <w:szCs w:val="32"/>
          <w:highlight w:val="none"/>
        </w:rPr>
      </w:pPr>
    </w:p>
    <w:p w14:paraId="04B2A63D">
      <w:pPr>
        <w:pStyle w:val="23"/>
        <w:rPr>
          <w:rFonts w:ascii="宋体" w:hAnsi="宋体"/>
          <w:b/>
          <w:color w:val="auto"/>
          <w:sz w:val="32"/>
          <w:szCs w:val="32"/>
          <w:highlight w:val="none"/>
        </w:rPr>
      </w:pPr>
    </w:p>
    <w:p w14:paraId="54A024F6">
      <w:pPr>
        <w:pStyle w:val="23"/>
        <w:rPr>
          <w:rFonts w:ascii="宋体" w:hAnsi="宋体"/>
          <w:b/>
          <w:color w:val="auto"/>
          <w:sz w:val="32"/>
          <w:szCs w:val="32"/>
          <w:highlight w:val="none"/>
        </w:rPr>
      </w:pPr>
    </w:p>
    <w:p w14:paraId="1EB6D10E">
      <w:pPr>
        <w:spacing w:line="440" w:lineRule="atLeast"/>
        <w:ind w:firstLine="0" w:firstLineChars="0"/>
        <w:rPr>
          <w:rFonts w:ascii="宋体" w:hAnsi="宋体"/>
          <w:b/>
          <w:color w:val="auto"/>
          <w:kern w:val="0"/>
          <w:sz w:val="32"/>
          <w:szCs w:val="32"/>
          <w:highlight w:val="none"/>
        </w:rPr>
      </w:pPr>
    </w:p>
    <w:p w14:paraId="667EB7D6">
      <w:pPr>
        <w:pStyle w:val="23"/>
        <w:rPr>
          <w:color w:val="auto"/>
          <w:highlight w:val="none"/>
        </w:rPr>
      </w:pPr>
    </w:p>
    <w:p w14:paraId="0B16A034">
      <w:pPr>
        <w:spacing w:line="300" w:lineRule="auto"/>
        <w:ind w:firstLine="562"/>
        <w:rPr>
          <w:rFonts w:hint="eastAsia" w:ascii="宋体" w:hAnsi="宋体" w:cs="宋体"/>
          <w:b/>
          <w:color w:val="auto"/>
          <w:sz w:val="28"/>
          <w:szCs w:val="28"/>
          <w:highlight w:val="none"/>
        </w:rPr>
      </w:pPr>
    </w:p>
    <w:p w14:paraId="265F7DF6">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1.资格证明文件</w:t>
      </w:r>
    </w:p>
    <w:p w14:paraId="38700B74">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（1）供应商的“磋商书”（必须提供）</w:t>
      </w:r>
    </w:p>
    <w:p w14:paraId="3D7426C0">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（2）供应商的“参加本项目无围标串标行为的承诺函” （必须提供）</w:t>
      </w:r>
    </w:p>
    <w:p w14:paraId="2BFF63C6">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（3）</w:t>
      </w:r>
      <w:r>
        <w:rPr>
          <w:rFonts w:hint="eastAsia" w:ascii="宋体" w:hAnsi="宋体" w:cs="宋体"/>
          <w:b/>
          <w:color w:val="auto"/>
          <w:sz w:val="21"/>
          <w:szCs w:val="21"/>
          <w:highlight w:val="none"/>
        </w:rPr>
        <w:t>供应商的法人或者其他组织营业执照等证明文件（必须提供）</w:t>
      </w:r>
    </w:p>
    <w:p w14:paraId="7FA37C77">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w:t>
      </w:r>
      <w:r>
        <w:rPr>
          <w:rFonts w:ascii="宋体" w:hAnsi="宋体" w:cs="宋体"/>
          <w:b/>
          <w:color w:val="auto"/>
          <w:sz w:val="21"/>
          <w:szCs w:val="21"/>
          <w:highlight w:val="none"/>
        </w:rPr>
        <w:t>4</w:t>
      </w:r>
      <w:r>
        <w:rPr>
          <w:rFonts w:hint="eastAsia" w:ascii="宋体" w:hAnsi="宋体" w:cs="宋体"/>
          <w:b/>
          <w:color w:val="auto"/>
          <w:sz w:val="21"/>
          <w:szCs w:val="21"/>
          <w:highlight w:val="none"/>
        </w:rPr>
        <w:t>）供应商2024年度或2025年度的财务状况报告（如供应商为参加本项目当年新成立公司的，可提供公司成立之日后的财务报表）或2026年以来银行出具的资信证明或2026年以来中国人民银行征信中心出具的征信报告（必须提供）</w:t>
      </w:r>
    </w:p>
    <w:p w14:paraId="3DEAE3C2">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w:t>
      </w:r>
      <w:r>
        <w:rPr>
          <w:rFonts w:ascii="宋体" w:hAnsi="宋体" w:cs="宋体"/>
          <w:b/>
          <w:color w:val="auto"/>
          <w:sz w:val="21"/>
          <w:szCs w:val="21"/>
          <w:highlight w:val="none"/>
        </w:rPr>
        <w:t>5</w:t>
      </w:r>
      <w:r>
        <w:rPr>
          <w:rFonts w:hint="eastAsia" w:ascii="宋体" w:hAnsi="宋体" w:cs="宋体"/>
          <w:b/>
          <w:color w:val="auto"/>
          <w:sz w:val="21"/>
          <w:szCs w:val="21"/>
          <w:highlight w:val="none"/>
        </w:rPr>
        <w:t>）供应商</w:t>
      </w:r>
      <w:r>
        <w:rPr>
          <w:rFonts w:ascii="宋体" w:hAnsi="宋体" w:cs="宋体"/>
          <w:b/>
          <w:color w:val="auto"/>
          <w:sz w:val="21"/>
          <w:szCs w:val="21"/>
          <w:highlight w:val="none"/>
        </w:rPr>
        <w:t>202</w:t>
      </w:r>
      <w:r>
        <w:rPr>
          <w:rFonts w:hint="eastAsia" w:ascii="宋体" w:hAnsi="宋体" w:cs="宋体"/>
          <w:b/>
          <w:color w:val="auto"/>
          <w:sz w:val="21"/>
          <w:szCs w:val="21"/>
          <w:highlight w:val="none"/>
          <w:lang w:val="en-US" w:eastAsia="zh-CN"/>
        </w:rPr>
        <w:t>6</w:t>
      </w:r>
      <w:r>
        <w:rPr>
          <w:rFonts w:hint="eastAsia" w:ascii="宋体" w:hAnsi="宋体" w:cs="宋体"/>
          <w:b/>
          <w:color w:val="auto"/>
          <w:sz w:val="21"/>
          <w:szCs w:val="21"/>
          <w:highlight w:val="none"/>
        </w:rPr>
        <w:t>年以来任意</w:t>
      </w:r>
      <w:r>
        <w:rPr>
          <w:rFonts w:ascii="宋体" w:hAnsi="宋体" w:cs="宋体"/>
          <w:b/>
          <w:color w:val="auto"/>
          <w:sz w:val="21"/>
          <w:szCs w:val="21"/>
          <w:highlight w:val="none"/>
        </w:rPr>
        <w:t>1</w:t>
      </w:r>
      <w:r>
        <w:rPr>
          <w:rFonts w:hint="eastAsia" w:ascii="宋体" w:hAnsi="宋体" w:cs="宋体"/>
          <w:b/>
          <w:color w:val="auto"/>
          <w:sz w:val="21"/>
          <w:szCs w:val="21"/>
          <w:highlight w:val="none"/>
        </w:rPr>
        <w:t>个月依法缴纳社会保障资金的相关材料（供应商无缴费记录或为新成立公司，应提供由供应商所在地社保部门或税务部门出具的《依法缴纳或依法免缴社保费证明》）（必须提供）</w:t>
      </w:r>
      <w:r>
        <w:rPr>
          <w:rFonts w:ascii="宋体" w:hAnsi="宋体" w:cs="宋体"/>
          <w:b/>
          <w:color w:val="auto"/>
          <w:sz w:val="21"/>
          <w:szCs w:val="21"/>
          <w:highlight w:val="none"/>
        </w:rPr>
        <w:t xml:space="preserve"> </w:t>
      </w:r>
    </w:p>
    <w:p w14:paraId="77304D22">
      <w:pPr>
        <w:keepNext w:val="0"/>
        <w:keepLines w:val="0"/>
        <w:pageBreakBefore w:val="0"/>
        <w:widowControl w:val="0"/>
        <w:tabs>
          <w:tab w:val="left" w:pos="1305"/>
        </w:tabs>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（6）供应商</w:t>
      </w:r>
      <w:r>
        <w:rPr>
          <w:rFonts w:ascii="宋体" w:hAnsi="宋体" w:cs="宋体"/>
          <w:b/>
          <w:color w:val="auto"/>
          <w:sz w:val="21"/>
          <w:szCs w:val="21"/>
          <w:highlight w:val="none"/>
        </w:rPr>
        <w:t>202</w:t>
      </w:r>
      <w:r>
        <w:rPr>
          <w:rFonts w:hint="eastAsia" w:ascii="宋体" w:hAnsi="宋体" w:cs="宋体"/>
          <w:b/>
          <w:color w:val="auto"/>
          <w:sz w:val="21"/>
          <w:szCs w:val="21"/>
          <w:highlight w:val="none"/>
          <w:lang w:val="en-US" w:eastAsia="zh-CN"/>
        </w:rPr>
        <w:t>6</w:t>
      </w:r>
      <w:r>
        <w:rPr>
          <w:rFonts w:hint="eastAsia" w:ascii="宋体" w:hAnsi="宋体" w:cs="宋体"/>
          <w:b/>
          <w:color w:val="auto"/>
          <w:sz w:val="21"/>
          <w:szCs w:val="21"/>
          <w:highlight w:val="none"/>
        </w:rPr>
        <w:t>年以来任意</w:t>
      </w:r>
      <w:r>
        <w:rPr>
          <w:rFonts w:ascii="宋体" w:hAnsi="宋体" w:cs="宋体"/>
          <w:b/>
          <w:color w:val="auto"/>
          <w:sz w:val="21"/>
          <w:szCs w:val="21"/>
          <w:highlight w:val="none"/>
        </w:rPr>
        <w:t>1</w:t>
      </w:r>
      <w:r>
        <w:rPr>
          <w:rFonts w:hint="eastAsia" w:ascii="宋体" w:hAnsi="宋体" w:cs="宋体"/>
          <w:b/>
          <w:color w:val="auto"/>
          <w:sz w:val="21"/>
          <w:szCs w:val="21"/>
          <w:highlight w:val="none"/>
        </w:rPr>
        <w:t>个月依法缴纳税收的相关材料（供应商无纳税记录或为新成立公司，应提供由供应商所在地主管税务部门出具的《依法纳税或依法免税证明》）（必须提供）</w:t>
      </w:r>
    </w:p>
    <w:p w14:paraId="130C1262">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（7）供应商的直接控股、管理关系信息表</w:t>
      </w:r>
      <w:r>
        <w:rPr>
          <w:rFonts w:hint="eastAsia" w:ascii="宋体" w:hAnsi="宋体" w:cs="宋体"/>
          <w:b/>
          <w:color w:val="auto"/>
          <w:sz w:val="21"/>
          <w:szCs w:val="21"/>
          <w:highlight w:val="none"/>
        </w:rPr>
        <w:t>（必须提供）</w:t>
      </w:r>
    </w:p>
    <w:p w14:paraId="5129E4F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（8）供应商的法定代表人身份证明及法定代表人身份证正反面复印件</w:t>
      </w:r>
      <w:r>
        <w:rPr>
          <w:rFonts w:hint="eastAsia" w:ascii="宋体" w:hAnsi="宋体" w:cs="宋体"/>
          <w:b/>
          <w:color w:val="auto"/>
          <w:sz w:val="21"/>
          <w:szCs w:val="21"/>
          <w:highlight w:val="none"/>
        </w:rPr>
        <w:t>（必须提供）</w:t>
      </w:r>
    </w:p>
    <w:p w14:paraId="4F4277E7">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bCs/>
          <w:color w:val="auto"/>
          <w:sz w:val="21"/>
          <w:szCs w:val="21"/>
          <w:highlight w:val="none"/>
        </w:rPr>
        <w:t>（9）供应商的“授权委托书”、委托代理人身份证正反面复印件</w:t>
      </w:r>
      <w:r>
        <w:rPr>
          <w:rFonts w:hint="eastAsia" w:ascii="宋体" w:hAnsi="宋体" w:cs="宋体"/>
          <w:b/>
          <w:color w:val="auto"/>
          <w:sz w:val="21"/>
          <w:szCs w:val="21"/>
          <w:highlight w:val="none"/>
        </w:rPr>
        <w:t>（委托代理时必须提供）</w:t>
      </w:r>
    </w:p>
    <w:p w14:paraId="43FEC963">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（10）</w:t>
      </w:r>
      <w:r>
        <w:rPr>
          <w:rFonts w:hint="eastAsia" w:ascii="宋体" w:hAnsi="宋体" w:cs="宋体"/>
          <w:b/>
          <w:bCs/>
          <w:color w:val="auto"/>
          <w:sz w:val="21"/>
          <w:szCs w:val="21"/>
          <w:highlight w:val="none"/>
          <w:lang w:eastAsia="zh-CN"/>
        </w:rPr>
        <w:t>特定资格要求证明材料</w:t>
      </w:r>
      <w:r>
        <w:rPr>
          <w:rFonts w:hint="eastAsia" w:ascii="宋体" w:hAnsi="宋体" w:cs="宋体"/>
          <w:b/>
          <w:bCs/>
          <w:color w:val="auto"/>
          <w:sz w:val="21"/>
          <w:szCs w:val="21"/>
          <w:highlight w:val="none"/>
        </w:rPr>
        <w:t>（必须提供）</w:t>
      </w:r>
    </w:p>
    <w:p w14:paraId="77BAE69F">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（1</w:t>
      </w:r>
      <w:r>
        <w:rPr>
          <w:rFonts w:hint="eastAsia" w:ascii="宋体" w:hAnsi="宋体" w:cs="宋体"/>
          <w:b/>
          <w:color w:val="auto"/>
          <w:sz w:val="21"/>
          <w:szCs w:val="21"/>
          <w:highlight w:val="none"/>
          <w:lang w:val="en-US" w:eastAsia="zh-CN"/>
        </w:rPr>
        <w:t>1</w:t>
      </w:r>
      <w:r>
        <w:rPr>
          <w:rFonts w:hint="eastAsia" w:ascii="宋体" w:hAnsi="宋体" w:cs="宋体"/>
          <w:b/>
          <w:color w:val="auto"/>
          <w:sz w:val="21"/>
          <w:szCs w:val="21"/>
          <w:highlight w:val="none"/>
        </w:rPr>
        <w:t>）</w:t>
      </w:r>
      <w:r>
        <w:rPr>
          <w:rFonts w:ascii="宋体" w:hAnsi="宋体" w:cs="宋体"/>
          <w:b/>
          <w:color w:val="auto"/>
          <w:sz w:val="21"/>
          <w:szCs w:val="21"/>
          <w:highlight w:val="none"/>
        </w:rPr>
        <w:t>供应商为</w:t>
      </w:r>
      <w:r>
        <w:rPr>
          <w:rFonts w:hint="eastAsia" w:ascii="宋体" w:hAnsi="宋体" w:cs="宋体"/>
          <w:b/>
          <w:color w:val="auto"/>
          <w:sz w:val="21"/>
          <w:szCs w:val="21"/>
          <w:highlight w:val="none"/>
        </w:rPr>
        <w:t>小微</w:t>
      </w:r>
      <w:r>
        <w:rPr>
          <w:rFonts w:ascii="宋体" w:hAnsi="宋体" w:cs="宋体"/>
          <w:b/>
          <w:color w:val="auto"/>
          <w:sz w:val="21"/>
          <w:szCs w:val="21"/>
          <w:highlight w:val="none"/>
        </w:rPr>
        <w:t>企业的相关有效证明材料（必须提供）</w:t>
      </w:r>
    </w:p>
    <w:p w14:paraId="05ECEF5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（1</w:t>
      </w:r>
      <w:r>
        <w:rPr>
          <w:rFonts w:hint="eastAsia" w:ascii="宋体" w:hAnsi="宋体" w:cs="宋体"/>
          <w:b/>
          <w:color w:val="auto"/>
          <w:sz w:val="21"/>
          <w:szCs w:val="21"/>
          <w:highlight w:val="none"/>
          <w:lang w:val="en-US" w:eastAsia="zh-CN"/>
        </w:rPr>
        <w:t>2</w:t>
      </w:r>
      <w:r>
        <w:rPr>
          <w:rFonts w:hint="eastAsia" w:ascii="宋体" w:hAnsi="宋体" w:cs="宋体"/>
          <w:b/>
          <w:color w:val="auto"/>
          <w:sz w:val="21"/>
          <w:szCs w:val="21"/>
          <w:highlight w:val="none"/>
        </w:rPr>
        <w:t>）供应商参加政府采购活动前3年内在经营活动中没有重大违法记录及有关信用信息的书面声明或专项信用报告（必须提供）</w:t>
      </w:r>
    </w:p>
    <w:p w14:paraId="6DA74422">
      <w:pPr>
        <w:spacing w:line="240" w:lineRule="auto"/>
        <w:ind w:firstLine="0" w:firstLineChars="0"/>
        <w:rPr>
          <w:rFonts w:ascii="宋体" w:hAnsi="宋体" w:cs="宋体"/>
          <w:b/>
          <w:color w:val="auto"/>
          <w:sz w:val="28"/>
          <w:szCs w:val="28"/>
          <w:highlight w:val="none"/>
        </w:rPr>
      </w:pPr>
      <w:r>
        <w:rPr>
          <w:rFonts w:hint="eastAsia"/>
          <w:b/>
          <w:color w:val="auto"/>
          <w:kern w:val="0"/>
          <w:sz w:val="32"/>
          <w:szCs w:val="32"/>
          <w:highlight w:val="none"/>
        </w:rPr>
        <w:br w:type="page"/>
      </w:r>
      <w:r>
        <w:rPr>
          <w:rFonts w:hint="eastAsia" w:ascii="宋体" w:hAnsi="宋体" w:cs="宋体"/>
          <w:b/>
          <w:color w:val="auto"/>
          <w:sz w:val="28"/>
          <w:szCs w:val="28"/>
          <w:highlight w:val="none"/>
        </w:rPr>
        <w:t>（1）供应商的“磋商书”（必须提供）</w:t>
      </w:r>
    </w:p>
    <w:p w14:paraId="44EDB088">
      <w:pPr>
        <w:spacing w:line="30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6D9A25B3">
      <w:pPr>
        <w:spacing w:line="300" w:lineRule="auto"/>
        <w:ind w:firstLine="2891" w:firstLineChars="900"/>
        <w:rPr>
          <w:rFonts w:ascii="宋体" w:hAnsi="宋体" w:cs="宋体"/>
          <w:b/>
          <w:color w:val="auto"/>
          <w:sz w:val="32"/>
          <w:szCs w:val="32"/>
          <w:highlight w:val="none"/>
        </w:rPr>
      </w:pPr>
      <w:r>
        <w:rPr>
          <w:rFonts w:hint="eastAsia" w:ascii="宋体" w:hAnsi="宋体" w:cs="宋体"/>
          <w:b/>
          <w:color w:val="auto"/>
          <w:sz w:val="32"/>
          <w:szCs w:val="32"/>
          <w:highlight w:val="none"/>
        </w:rPr>
        <w:t>磋  商  书（格式）</w:t>
      </w:r>
    </w:p>
    <w:p w14:paraId="4DA52B21">
      <w:pPr>
        <w:pStyle w:val="26"/>
        <w:spacing w:line="400" w:lineRule="exact"/>
        <w:rPr>
          <w:rFonts w:hAnsi="宋体" w:cs="宋体"/>
          <w:color w:val="auto"/>
          <w:sz w:val="21"/>
          <w:highlight w:val="none"/>
        </w:rPr>
      </w:pPr>
      <w:r>
        <w:rPr>
          <w:rFonts w:hint="eastAsia" w:hAnsi="宋体" w:cs="宋体"/>
          <w:color w:val="auto"/>
          <w:sz w:val="21"/>
          <w:highlight w:val="none"/>
          <w:u w:val="single"/>
        </w:rPr>
        <w:t>云之龙咨询集团有限公司</w:t>
      </w:r>
      <w:r>
        <w:rPr>
          <w:rFonts w:hint="eastAsia" w:hAnsi="宋体" w:cs="宋体"/>
          <w:color w:val="auto"/>
          <w:sz w:val="21"/>
          <w:highlight w:val="none"/>
        </w:rPr>
        <w:t>：</w:t>
      </w:r>
    </w:p>
    <w:p w14:paraId="5474686E">
      <w:pPr>
        <w:pStyle w:val="26"/>
        <w:spacing w:line="400" w:lineRule="exact"/>
        <w:ind w:firstLine="480"/>
        <w:rPr>
          <w:rFonts w:hAnsi="宋体" w:cs="宋体"/>
          <w:color w:val="auto"/>
          <w:sz w:val="21"/>
          <w:highlight w:val="none"/>
        </w:rPr>
      </w:pPr>
      <w:r>
        <w:rPr>
          <w:rFonts w:hint="eastAsia" w:hAnsi="宋体" w:cs="宋体"/>
          <w:color w:val="auto"/>
          <w:sz w:val="21"/>
          <w:highlight w:val="none"/>
        </w:rPr>
        <w:t>依据贵方</w:t>
      </w:r>
      <w:r>
        <w:rPr>
          <w:rFonts w:hint="eastAsia" w:hAnsi="宋体" w:cs="宋体"/>
          <w:color w:val="auto"/>
          <w:sz w:val="21"/>
          <w:highlight w:val="none"/>
          <w:u w:val="single"/>
        </w:rPr>
        <w:t xml:space="preserve">               </w:t>
      </w:r>
      <w:r>
        <w:rPr>
          <w:rFonts w:hint="eastAsia" w:hAnsi="宋体" w:cs="宋体"/>
          <w:color w:val="auto"/>
          <w:sz w:val="21"/>
          <w:highlight w:val="none"/>
        </w:rPr>
        <w:t>项目（采购项目名称及项目编号）采购的磋商邀请，我方</w:t>
      </w:r>
      <w:r>
        <w:rPr>
          <w:rFonts w:hint="eastAsia" w:hAnsi="宋体" w:cs="宋体"/>
          <w:color w:val="auto"/>
          <w:sz w:val="21"/>
          <w:highlight w:val="none"/>
          <w:u w:val="single"/>
        </w:rPr>
        <w:t>（姓名和职务）</w:t>
      </w:r>
      <w:r>
        <w:rPr>
          <w:rFonts w:hint="eastAsia" w:hAnsi="宋体" w:cs="宋体"/>
          <w:color w:val="auto"/>
          <w:sz w:val="21"/>
          <w:highlight w:val="none"/>
        </w:rPr>
        <w:t>经正式授权并代表供应商</w:t>
      </w:r>
      <w:r>
        <w:rPr>
          <w:rFonts w:hint="eastAsia" w:hAnsi="宋体" w:cs="宋体"/>
          <w:color w:val="auto"/>
          <w:sz w:val="21"/>
          <w:highlight w:val="none"/>
          <w:u w:val="single"/>
        </w:rPr>
        <w:t xml:space="preserve">             （</w:t>
      </w:r>
      <w:r>
        <w:rPr>
          <w:rFonts w:hint="eastAsia" w:hAnsi="宋体" w:cs="宋体"/>
          <w:color w:val="auto"/>
          <w:sz w:val="21"/>
          <w:highlight w:val="none"/>
        </w:rPr>
        <w:t>供应商名称、地址）提交响应文件。</w:t>
      </w:r>
    </w:p>
    <w:p w14:paraId="10D71CD4">
      <w:pPr>
        <w:pStyle w:val="26"/>
        <w:spacing w:line="400" w:lineRule="exact"/>
        <w:rPr>
          <w:rFonts w:hAnsi="宋体" w:cs="宋体"/>
          <w:color w:val="auto"/>
          <w:sz w:val="21"/>
          <w:highlight w:val="none"/>
        </w:rPr>
      </w:pPr>
      <w:r>
        <w:rPr>
          <w:rFonts w:hint="eastAsia" w:hAnsi="宋体" w:cs="宋体"/>
          <w:color w:val="auto"/>
          <w:sz w:val="21"/>
          <w:highlight w:val="none"/>
        </w:rPr>
        <w:t>在此，签字代表宣布同意如下：</w:t>
      </w:r>
    </w:p>
    <w:p w14:paraId="2779B4D4">
      <w:pPr>
        <w:pStyle w:val="26"/>
        <w:spacing w:line="400" w:lineRule="exact"/>
        <w:rPr>
          <w:rFonts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1. 将按竞争性磋商文件的约定履行合同责任和义务。</w:t>
      </w:r>
    </w:p>
    <w:p w14:paraId="031AEB42">
      <w:pPr>
        <w:pStyle w:val="26"/>
        <w:spacing w:line="400" w:lineRule="exact"/>
        <w:rPr>
          <w:rFonts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2. 已详细审查全部竞争性磋商文件，包括</w:t>
      </w:r>
      <w:r>
        <w:rPr>
          <w:rFonts w:hint="eastAsia" w:cs="宋体" w:asciiTheme="majorEastAsia" w:hAnsiTheme="majorEastAsia" w:eastAsiaTheme="majorEastAsia"/>
          <w:color w:val="auto"/>
          <w:sz w:val="21"/>
          <w:highlight w:val="none"/>
          <w:u w:val="single"/>
        </w:rPr>
        <w:t>（补遗文件）（如有）</w:t>
      </w:r>
      <w:r>
        <w:rPr>
          <w:rFonts w:hint="eastAsia" w:cs="宋体" w:asciiTheme="majorEastAsia" w:hAnsiTheme="majorEastAsia" w:eastAsiaTheme="majorEastAsia"/>
          <w:color w:val="auto"/>
          <w:sz w:val="21"/>
          <w:highlight w:val="none"/>
        </w:rPr>
        <w:t>；将自行承担因对全部竞争性磋商文件（补遗文件）（如有）理解不正确或误解而产生的相应后果；我们完全理解并同意放弃对这方面有不明及误解的权利。</w:t>
      </w:r>
    </w:p>
    <w:p w14:paraId="3ABFE5F8">
      <w:pPr>
        <w:pStyle w:val="26"/>
        <w:spacing w:line="400" w:lineRule="exact"/>
        <w:rPr>
          <w:rFonts w:cs="宋体" w:asciiTheme="majorEastAsia" w:hAnsiTheme="majorEastAsia" w:eastAsiaTheme="majorEastAsia"/>
          <w:color w:val="auto"/>
          <w:sz w:val="21"/>
          <w:highlight w:val="none"/>
        </w:rPr>
      </w:pPr>
      <w:r>
        <w:rPr>
          <w:rFonts w:hint="eastAsia" w:cs="宋体" w:asciiTheme="majorEastAsia" w:hAnsiTheme="majorEastAsia" w:eastAsiaTheme="majorEastAsia"/>
          <w:color w:val="auto"/>
          <w:sz w:val="21"/>
          <w:highlight w:val="none"/>
        </w:rPr>
        <w:t>3. 本项目响应文件有效期：</w:t>
      </w:r>
      <w:r>
        <w:rPr>
          <w:rFonts w:cs="宋体" w:asciiTheme="majorEastAsia" w:hAnsiTheme="majorEastAsia" w:eastAsiaTheme="majorEastAsia"/>
          <w:color w:val="auto"/>
          <w:sz w:val="21"/>
          <w:highlight w:val="none"/>
          <w:lang w:val="en-US"/>
        </w:rPr>
        <w:t>90</w:t>
      </w:r>
      <w:r>
        <w:rPr>
          <w:rFonts w:hint="eastAsia" w:cs="宋体" w:asciiTheme="majorEastAsia" w:hAnsiTheme="majorEastAsia" w:eastAsiaTheme="majorEastAsia"/>
          <w:color w:val="auto"/>
          <w:sz w:val="21"/>
          <w:highlight w:val="none"/>
        </w:rPr>
        <w:t>天，有效期不足的响应文件将被拒绝。</w:t>
      </w:r>
    </w:p>
    <w:p w14:paraId="6EE62E44">
      <w:pPr>
        <w:pStyle w:val="26"/>
        <w:spacing w:line="400" w:lineRule="exact"/>
        <w:rPr>
          <w:rFonts w:hAnsi="宋体" w:cs="宋体"/>
          <w:color w:val="auto"/>
          <w:sz w:val="21"/>
          <w:highlight w:val="none"/>
        </w:rPr>
      </w:pPr>
      <w:r>
        <w:rPr>
          <w:rFonts w:hint="eastAsia" w:cs="宋体" w:asciiTheme="majorEastAsia" w:hAnsiTheme="majorEastAsia" w:eastAsiaTheme="majorEastAsia"/>
          <w:color w:val="auto"/>
          <w:sz w:val="21"/>
          <w:highlight w:val="none"/>
        </w:rPr>
        <w:t>4. 同</w:t>
      </w:r>
      <w:r>
        <w:rPr>
          <w:rFonts w:hint="eastAsia" w:hAnsi="宋体" w:cs="宋体"/>
          <w:color w:val="auto"/>
          <w:sz w:val="21"/>
          <w:highlight w:val="none"/>
        </w:rPr>
        <w:t>意提供按照贵方可能要求的与其磋商有关的一切数据或资料。</w:t>
      </w:r>
    </w:p>
    <w:p w14:paraId="0F89C903">
      <w:pPr>
        <w:spacing w:line="400" w:lineRule="exact"/>
        <w:ind w:firstLine="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33F1378E">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我方承诺，若我方成交，保证在获取成交通知书前按本项目磋商文件的规定及标准向贵单位一次性足额支付代理服务费。代理服务费发票我方选择开具：</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增值税普通发票</w:t>
      </w:r>
      <w:r>
        <w:rPr>
          <w:rFonts w:hint="eastAsia" w:ascii="宋体" w:hAnsi="宋体" w:cs="宋体"/>
          <w:color w:val="auto"/>
          <w:kern w:val="0"/>
          <w:sz w:val="21"/>
          <w:szCs w:val="20"/>
          <w:highlight w:val="none"/>
        </w:rPr>
        <w:t>、</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增值税专用发票</w:t>
      </w:r>
      <w:r>
        <w:rPr>
          <w:rFonts w:hint="eastAsia" w:ascii="宋体" w:hAnsi="宋体" w:cs="宋体"/>
          <w:color w:val="auto"/>
          <w:kern w:val="0"/>
          <w:sz w:val="21"/>
          <w:szCs w:val="20"/>
          <w:highlight w:val="none"/>
        </w:rPr>
        <w:t>。</w:t>
      </w:r>
    </w:p>
    <w:p w14:paraId="47ED16A8">
      <w:pPr>
        <w:pStyle w:val="26"/>
        <w:spacing w:line="400" w:lineRule="exact"/>
        <w:rPr>
          <w:rFonts w:hAnsi="宋体" w:cs="宋体"/>
          <w:color w:val="auto"/>
          <w:sz w:val="21"/>
          <w:highlight w:val="none"/>
          <w:u w:val="single"/>
        </w:rPr>
      </w:pPr>
      <w:r>
        <w:rPr>
          <w:rFonts w:hint="eastAsia" w:hAnsi="宋体" w:cs="宋体"/>
          <w:color w:val="auto"/>
          <w:sz w:val="21"/>
          <w:highlight w:val="none"/>
        </w:rPr>
        <w:t xml:space="preserve">6. 与本磋商有关的一切正式往来信函请寄：                       </w:t>
      </w:r>
    </w:p>
    <w:p w14:paraId="6D8AFD3A">
      <w:pPr>
        <w:pStyle w:val="26"/>
        <w:spacing w:line="400" w:lineRule="exact"/>
        <w:ind w:left="120" w:leftChars="50" w:firstLine="420" w:firstLineChars="200"/>
        <w:rPr>
          <w:rFonts w:hAnsi="宋体" w:cs="宋体"/>
          <w:color w:val="auto"/>
          <w:sz w:val="21"/>
          <w:highlight w:val="none"/>
          <w:u w:val="single"/>
        </w:rPr>
      </w:pPr>
      <w:r>
        <w:rPr>
          <w:rFonts w:hint="eastAsia" w:hAnsi="宋体" w:cs="宋体"/>
          <w:color w:val="auto"/>
          <w:sz w:val="21"/>
          <w:highlight w:val="none"/>
        </w:rPr>
        <w:t>地址：</w:t>
      </w:r>
      <w:r>
        <w:rPr>
          <w:rFonts w:hint="eastAsia" w:hAnsi="宋体" w:cs="宋体"/>
          <w:color w:val="auto"/>
          <w:sz w:val="21"/>
          <w:highlight w:val="none"/>
          <w:u w:val="single"/>
        </w:rPr>
        <w:t xml:space="preserve">                                   </w:t>
      </w:r>
    </w:p>
    <w:p w14:paraId="08217DE1">
      <w:pPr>
        <w:pStyle w:val="26"/>
        <w:spacing w:line="400" w:lineRule="exact"/>
        <w:ind w:left="840" w:hanging="420"/>
        <w:rPr>
          <w:rFonts w:hAnsi="宋体" w:cs="宋体"/>
          <w:color w:val="auto"/>
          <w:sz w:val="21"/>
          <w:highlight w:val="none"/>
        </w:rPr>
      </w:pPr>
      <w:r>
        <w:rPr>
          <w:rFonts w:hint="eastAsia" w:hAnsi="宋体" w:cs="宋体"/>
          <w:color w:val="auto"/>
          <w:sz w:val="21"/>
          <w:highlight w:val="none"/>
        </w:rPr>
        <w:t xml:space="preserve"> 邮编：</w:t>
      </w:r>
      <w:r>
        <w:rPr>
          <w:rFonts w:hint="eastAsia" w:hAnsi="宋体" w:cs="宋体"/>
          <w:color w:val="auto"/>
          <w:sz w:val="21"/>
          <w:highlight w:val="none"/>
          <w:u w:val="single"/>
        </w:rPr>
        <w:t xml:space="preserve">              </w:t>
      </w:r>
      <w:r>
        <w:rPr>
          <w:rFonts w:hint="eastAsia" w:hAnsi="宋体" w:cs="宋体"/>
          <w:color w:val="auto"/>
          <w:sz w:val="21"/>
          <w:highlight w:val="none"/>
        </w:rPr>
        <w:t xml:space="preserve">  邮箱：</w:t>
      </w:r>
      <w:r>
        <w:rPr>
          <w:rFonts w:hint="eastAsia" w:hAnsi="宋体" w:cs="宋体"/>
          <w:color w:val="auto"/>
          <w:sz w:val="21"/>
          <w:highlight w:val="none"/>
          <w:u w:val="single"/>
        </w:rPr>
        <w:t xml:space="preserve">              </w:t>
      </w:r>
    </w:p>
    <w:p w14:paraId="07E6D21F">
      <w:pPr>
        <w:pStyle w:val="26"/>
        <w:spacing w:line="400" w:lineRule="exact"/>
        <w:ind w:firstLine="525" w:firstLineChars="250"/>
        <w:rPr>
          <w:rFonts w:hAnsi="宋体" w:cs="宋体"/>
          <w:color w:val="auto"/>
          <w:sz w:val="21"/>
          <w:highlight w:val="none"/>
        </w:rPr>
      </w:pPr>
      <w:r>
        <w:rPr>
          <w:rFonts w:hint="eastAsia" w:hAnsi="宋体" w:cs="宋体"/>
          <w:color w:val="auto"/>
          <w:sz w:val="21"/>
          <w:highlight w:val="none"/>
        </w:rPr>
        <w:t>办公电话：</w:t>
      </w:r>
      <w:r>
        <w:rPr>
          <w:rFonts w:hint="eastAsia" w:hAnsi="宋体" w:cs="宋体"/>
          <w:color w:val="auto"/>
          <w:sz w:val="21"/>
          <w:highlight w:val="none"/>
          <w:u w:val="single"/>
        </w:rPr>
        <w:t xml:space="preserve">                </w:t>
      </w:r>
      <w:r>
        <w:rPr>
          <w:rFonts w:hint="eastAsia" w:hAnsi="宋体" w:cs="宋体"/>
          <w:color w:val="auto"/>
          <w:sz w:val="21"/>
          <w:highlight w:val="none"/>
        </w:rPr>
        <w:t xml:space="preserve">   传真：</w:t>
      </w:r>
      <w:r>
        <w:rPr>
          <w:rFonts w:hint="eastAsia" w:hAnsi="宋体" w:cs="宋体"/>
          <w:color w:val="auto"/>
          <w:sz w:val="21"/>
          <w:highlight w:val="none"/>
          <w:u w:val="single"/>
        </w:rPr>
        <w:t xml:space="preserve">              </w:t>
      </w:r>
      <w:r>
        <w:rPr>
          <w:rFonts w:hint="eastAsia" w:hAnsi="宋体" w:cs="宋体"/>
          <w:color w:val="auto"/>
          <w:sz w:val="21"/>
          <w:highlight w:val="none"/>
        </w:rPr>
        <w:t xml:space="preserve">   </w:t>
      </w:r>
    </w:p>
    <w:p w14:paraId="3D179746">
      <w:pPr>
        <w:pStyle w:val="26"/>
        <w:spacing w:line="400" w:lineRule="exact"/>
        <w:ind w:firstLine="420"/>
        <w:rPr>
          <w:rFonts w:hAnsi="宋体" w:cs="宋体"/>
          <w:color w:val="auto"/>
          <w:sz w:val="21"/>
          <w:highlight w:val="none"/>
          <w:u w:val="single"/>
        </w:rPr>
      </w:pPr>
      <w:r>
        <w:rPr>
          <w:rFonts w:hint="eastAsia" w:hAnsi="宋体" w:cs="宋体"/>
          <w:color w:val="auto"/>
          <w:sz w:val="21"/>
          <w:highlight w:val="none"/>
        </w:rPr>
        <w:t xml:space="preserve"> 委托代理人联系电话：</w:t>
      </w:r>
      <w:r>
        <w:rPr>
          <w:rFonts w:hint="eastAsia" w:hAnsi="宋体" w:cs="宋体"/>
          <w:color w:val="auto"/>
          <w:sz w:val="21"/>
          <w:highlight w:val="none"/>
          <w:u w:val="single"/>
        </w:rPr>
        <w:t xml:space="preserve">                       </w:t>
      </w:r>
    </w:p>
    <w:p w14:paraId="4D13321E">
      <w:pPr>
        <w:pStyle w:val="26"/>
        <w:spacing w:line="400" w:lineRule="exact"/>
        <w:ind w:firstLine="525" w:firstLineChars="250"/>
        <w:rPr>
          <w:rFonts w:hAnsi="宋体" w:cs="宋体"/>
          <w:color w:val="auto"/>
          <w:sz w:val="21"/>
          <w:highlight w:val="none"/>
        </w:rPr>
      </w:pPr>
      <w:r>
        <w:rPr>
          <w:rFonts w:hint="eastAsia" w:hAnsi="宋体" w:cs="宋体"/>
          <w:color w:val="auto"/>
          <w:sz w:val="21"/>
          <w:highlight w:val="none"/>
        </w:rPr>
        <w:t>开户名称：</w:t>
      </w:r>
      <w:r>
        <w:rPr>
          <w:rFonts w:hint="eastAsia" w:hAnsi="宋体" w:cs="宋体"/>
          <w:color w:val="auto"/>
          <w:sz w:val="21"/>
          <w:highlight w:val="none"/>
          <w:u w:val="single"/>
        </w:rPr>
        <w:t xml:space="preserve">                                         </w:t>
      </w:r>
    </w:p>
    <w:p w14:paraId="747692FE">
      <w:pPr>
        <w:pStyle w:val="26"/>
        <w:spacing w:line="400" w:lineRule="exact"/>
        <w:ind w:firstLine="525" w:firstLineChars="250"/>
        <w:rPr>
          <w:rFonts w:hAnsi="宋体" w:cs="宋体"/>
          <w:color w:val="auto"/>
          <w:sz w:val="21"/>
          <w:highlight w:val="none"/>
        </w:rPr>
      </w:pPr>
      <w:r>
        <w:rPr>
          <w:rFonts w:hint="eastAsia" w:hAnsi="宋体" w:cs="宋体"/>
          <w:color w:val="auto"/>
          <w:sz w:val="21"/>
          <w:highlight w:val="none"/>
        </w:rPr>
        <w:t>开户银行：</w:t>
      </w:r>
      <w:r>
        <w:rPr>
          <w:rFonts w:hint="eastAsia" w:hAnsi="宋体" w:cs="宋体"/>
          <w:color w:val="auto"/>
          <w:sz w:val="21"/>
          <w:highlight w:val="none"/>
          <w:u w:val="single"/>
        </w:rPr>
        <w:t xml:space="preserve">                                　       </w:t>
      </w:r>
    </w:p>
    <w:p w14:paraId="03F22246">
      <w:pPr>
        <w:pStyle w:val="26"/>
        <w:spacing w:line="400" w:lineRule="exact"/>
        <w:ind w:firstLine="525" w:firstLineChars="250"/>
        <w:rPr>
          <w:rFonts w:hAnsi="宋体" w:cs="宋体"/>
          <w:color w:val="auto"/>
          <w:sz w:val="21"/>
          <w:highlight w:val="none"/>
          <w:u w:val="single"/>
        </w:rPr>
      </w:pPr>
      <w:r>
        <w:rPr>
          <w:rFonts w:hint="eastAsia" w:hAnsi="宋体" w:cs="宋体"/>
          <w:color w:val="auto"/>
          <w:sz w:val="21"/>
          <w:highlight w:val="none"/>
        </w:rPr>
        <w:t>账号：</w:t>
      </w:r>
      <w:r>
        <w:rPr>
          <w:rFonts w:hint="eastAsia" w:hAnsi="宋体" w:cs="宋体"/>
          <w:color w:val="auto"/>
          <w:sz w:val="21"/>
          <w:highlight w:val="none"/>
          <w:u w:val="single"/>
        </w:rPr>
        <w:t xml:space="preserve">                               </w:t>
      </w:r>
    </w:p>
    <w:p w14:paraId="7B197E9D">
      <w:pPr>
        <w:pStyle w:val="26"/>
        <w:spacing w:line="400" w:lineRule="exact"/>
        <w:ind w:firstLine="1995" w:firstLineChars="950"/>
        <w:rPr>
          <w:rFonts w:hAnsi="宋体" w:cs="宋体"/>
          <w:color w:val="auto"/>
          <w:sz w:val="21"/>
          <w:highlight w:val="none"/>
          <w:u w:val="single"/>
        </w:rPr>
      </w:pPr>
      <w:r>
        <w:rPr>
          <w:rFonts w:hint="eastAsia" w:hAnsi="宋体" w:cs="宋体"/>
          <w:color w:val="auto"/>
          <w:sz w:val="21"/>
          <w:highlight w:val="none"/>
        </w:rPr>
        <w:t>法定代表人或委托代理人签字（或电子签名）：</w:t>
      </w:r>
      <w:r>
        <w:rPr>
          <w:rFonts w:hint="eastAsia" w:hAnsi="宋体" w:cs="宋体"/>
          <w:color w:val="auto"/>
          <w:sz w:val="21"/>
          <w:highlight w:val="none"/>
          <w:u w:val="single"/>
        </w:rPr>
        <w:t xml:space="preserve">                       </w:t>
      </w:r>
    </w:p>
    <w:p w14:paraId="1C1B4D2A">
      <w:pPr>
        <w:pStyle w:val="26"/>
        <w:spacing w:line="400" w:lineRule="exact"/>
        <w:ind w:firstLine="4305" w:firstLineChars="2050"/>
        <w:rPr>
          <w:rFonts w:hAnsi="宋体" w:cs="宋体"/>
          <w:color w:val="auto"/>
          <w:sz w:val="21"/>
          <w:highlight w:val="none"/>
        </w:rPr>
      </w:pPr>
      <w:r>
        <w:rPr>
          <w:rFonts w:hint="eastAsia" w:hAnsi="宋体" w:cs="宋体"/>
          <w:color w:val="auto"/>
          <w:sz w:val="21"/>
          <w:highlight w:val="none"/>
        </w:rPr>
        <w:t>供应商（电子签章）：</w:t>
      </w:r>
    </w:p>
    <w:p w14:paraId="5E6C0F1C">
      <w:pPr>
        <w:pStyle w:val="26"/>
        <w:spacing w:line="440" w:lineRule="exact"/>
        <w:ind w:firstLine="5880" w:firstLineChars="2800"/>
        <w:rPr>
          <w:rFonts w:hAnsi="宋体" w:cs="宋体"/>
          <w:color w:val="auto"/>
          <w:sz w:val="21"/>
          <w:highlight w:val="none"/>
          <w:u w:val="single"/>
        </w:rPr>
      </w:pPr>
      <w:r>
        <w:rPr>
          <w:rFonts w:hint="eastAsia" w:hAnsi="宋体" w:cs="宋体"/>
          <w:color w:val="auto"/>
          <w:sz w:val="21"/>
          <w:highlight w:val="none"/>
        </w:rPr>
        <w:t>日期：</w:t>
      </w:r>
      <w:r>
        <w:rPr>
          <w:rFonts w:hint="eastAsia" w:hAnsi="宋体" w:cs="宋体"/>
          <w:color w:val="auto"/>
          <w:sz w:val="21"/>
          <w:highlight w:val="none"/>
          <w:u w:val="single"/>
        </w:rPr>
        <w:t xml:space="preserve">      </w:t>
      </w:r>
      <w:r>
        <w:rPr>
          <w:rFonts w:hint="eastAsia" w:hAnsi="宋体" w:cs="宋体"/>
          <w:color w:val="auto"/>
          <w:sz w:val="21"/>
          <w:highlight w:val="none"/>
        </w:rPr>
        <w:t>年</w:t>
      </w:r>
      <w:r>
        <w:rPr>
          <w:rFonts w:hint="eastAsia" w:hAnsi="宋体" w:cs="宋体"/>
          <w:color w:val="auto"/>
          <w:sz w:val="21"/>
          <w:highlight w:val="none"/>
          <w:u w:val="single"/>
        </w:rPr>
        <w:t xml:space="preserve">   </w:t>
      </w:r>
      <w:r>
        <w:rPr>
          <w:rFonts w:hint="eastAsia" w:hAnsi="宋体" w:cs="宋体"/>
          <w:color w:val="auto"/>
          <w:sz w:val="21"/>
          <w:highlight w:val="none"/>
        </w:rPr>
        <w:t>月</w:t>
      </w:r>
      <w:r>
        <w:rPr>
          <w:rFonts w:hint="eastAsia" w:hAnsi="宋体" w:cs="宋体"/>
          <w:color w:val="auto"/>
          <w:sz w:val="21"/>
          <w:highlight w:val="none"/>
          <w:u w:val="single"/>
        </w:rPr>
        <w:t xml:space="preserve">    </w:t>
      </w:r>
      <w:r>
        <w:rPr>
          <w:rFonts w:hint="eastAsia" w:hAnsi="宋体" w:cs="宋体"/>
          <w:color w:val="auto"/>
          <w:sz w:val="21"/>
          <w:highlight w:val="none"/>
        </w:rPr>
        <w:t>日</w:t>
      </w:r>
    </w:p>
    <w:p w14:paraId="728C909E">
      <w:pPr>
        <w:pStyle w:val="26"/>
        <w:spacing w:line="440" w:lineRule="exact"/>
        <w:ind w:firstLine="840"/>
        <w:rPr>
          <w:rFonts w:hAnsi="宋体" w:cs="宋体"/>
          <w:color w:val="auto"/>
          <w:sz w:val="21"/>
          <w:highlight w:val="none"/>
        </w:rPr>
      </w:pPr>
      <w:r>
        <w:rPr>
          <w:rFonts w:hint="eastAsia" w:hAnsi="宋体" w:cs="宋体"/>
          <w:color w:val="auto"/>
          <w:sz w:val="21"/>
          <w:highlight w:val="none"/>
        </w:rPr>
        <w:t xml:space="preserve">                        </w:t>
      </w:r>
    </w:p>
    <w:p w14:paraId="1594E95F">
      <w:pPr>
        <w:tabs>
          <w:tab w:val="left" w:pos="1305"/>
          <w:tab w:val="left" w:pos="1560"/>
        </w:tabs>
        <w:spacing w:line="360" w:lineRule="exact"/>
        <w:ind w:firstLine="527" w:firstLineChars="250"/>
        <w:rPr>
          <w:rFonts w:ascii="宋体" w:hAnsi="宋体" w:cs="宋体"/>
          <w:b/>
          <w:color w:val="auto"/>
          <w:sz w:val="21"/>
          <w:szCs w:val="21"/>
          <w:highlight w:val="none"/>
        </w:rPr>
      </w:pPr>
      <w:r>
        <w:rPr>
          <w:rFonts w:hint="eastAsia" w:ascii="宋体" w:hAnsi="宋体" w:cs="宋体"/>
          <w:b/>
          <w:color w:val="auto"/>
          <w:sz w:val="21"/>
          <w:szCs w:val="21"/>
          <w:highlight w:val="none"/>
        </w:rPr>
        <w:t>注：供应商必须按本磋商书（格式）要求注明清楚联系方式（包括地址、邮编、邮箱、电话等），从而确保成交结果等相关信息能及时通知到位。</w:t>
      </w:r>
    </w:p>
    <w:p w14:paraId="0CC9B19D">
      <w:pPr>
        <w:pStyle w:val="23"/>
        <w:rPr>
          <w:rFonts w:ascii="宋体" w:hAnsi="宋体" w:cs="宋体"/>
          <w:b/>
          <w:color w:val="auto"/>
          <w:sz w:val="21"/>
          <w:szCs w:val="21"/>
          <w:highlight w:val="none"/>
        </w:rPr>
      </w:pPr>
    </w:p>
    <w:p w14:paraId="30AF8E2E">
      <w:pPr>
        <w:pStyle w:val="23"/>
        <w:rPr>
          <w:rFonts w:ascii="宋体" w:hAnsi="宋体" w:cs="宋体"/>
          <w:b/>
          <w:color w:val="auto"/>
          <w:sz w:val="21"/>
          <w:szCs w:val="21"/>
          <w:highlight w:val="none"/>
        </w:rPr>
      </w:pPr>
    </w:p>
    <w:p w14:paraId="59EE52C0">
      <w:pPr>
        <w:widowControl/>
        <w:spacing w:line="240" w:lineRule="auto"/>
        <w:ind w:firstLine="0" w:firstLineChars="0"/>
        <w:jc w:val="left"/>
        <w:rPr>
          <w:rFonts w:ascii="宋体" w:hAnsi="宋体" w:cs="宋体"/>
          <w:b/>
          <w:color w:val="auto"/>
          <w:kern w:val="0"/>
          <w:sz w:val="21"/>
          <w:szCs w:val="21"/>
          <w:highlight w:val="none"/>
        </w:rPr>
      </w:pPr>
      <w:r>
        <w:rPr>
          <w:rFonts w:ascii="宋体" w:hAnsi="宋体" w:cs="宋体"/>
          <w:b/>
          <w:color w:val="auto"/>
          <w:sz w:val="21"/>
          <w:szCs w:val="21"/>
          <w:highlight w:val="none"/>
        </w:rPr>
        <w:br w:type="page"/>
      </w:r>
    </w:p>
    <w:p w14:paraId="46F2857D">
      <w:pPr>
        <w:spacing w:line="380" w:lineRule="exact"/>
        <w:ind w:firstLine="0" w:firstLineChars="0"/>
        <w:rPr>
          <w:rFonts w:ascii="宋体" w:hAnsi="宋体" w:cs="宋体"/>
          <w:color w:val="auto"/>
          <w:sz w:val="28"/>
          <w:szCs w:val="28"/>
          <w:highlight w:val="none"/>
        </w:rPr>
      </w:pPr>
      <w:r>
        <w:rPr>
          <w:rFonts w:hint="eastAsia" w:ascii="宋体" w:hAnsi="宋体" w:cs="宋体"/>
          <w:b/>
          <w:color w:val="auto"/>
          <w:sz w:val="28"/>
          <w:szCs w:val="28"/>
          <w:highlight w:val="none"/>
        </w:rPr>
        <w:t>（2）供应商的“参加本项目无围标串标行为的承诺函”（必须提供）</w:t>
      </w:r>
    </w:p>
    <w:p w14:paraId="60F7DFF4">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205781CA">
      <w:pPr>
        <w:spacing w:line="380" w:lineRule="exact"/>
        <w:ind w:firstLine="1124" w:firstLineChars="400"/>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供应商参加本项目无围标串标行为的承诺函（格式）</w:t>
      </w:r>
    </w:p>
    <w:p w14:paraId="581AD64F">
      <w:pPr>
        <w:snapToGrid w:val="0"/>
        <w:spacing w:before="50" w:after="120" w:afterLines="50"/>
        <w:ind w:firstLine="562"/>
        <w:jc w:val="center"/>
        <w:rPr>
          <w:rFonts w:ascii="宋体" w:hAnsi="宋体" w:cs="宋体"/>
          <w:b/>
          <w:color w:val="auto"/>
          <w:sz w:val="28"/>
          <w:szCs w:val="28"/>
          <w:highlight w:val="none"/>
        </w:rPr>
      </w:pPr>
    </w:p>
    <w:p w14:paraId="189C69D2">
      <w:pPr>
        <w:snapToGrid w:val="0"/>
        <w:spacing w:before="120" w:beforeLines="50" w:after="50" w:line="36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一、我公司承诺无下列相互串通磋商的情形：</w:t>
      </w:r>
    </w:p>
    <w:p w14:paraId="43945DF4">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1.不同供应商的响应文件由同一单位或者个人编制；或不同供应商报名的IP地址一致；</w:t>
      </w:r>
    </w:p>
    <w:p w14:paraId="2DE52A1D">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2.不同供应商委托同一单位或者个人办理竞标事宜；</w:t>
      </w:r>
    </w:p>
    <w:p w14:paraId="4B8D7785">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3.不同的供应商的响应文件载明的项目管理员为同一个人；</w:t>
      </w:r>
    </w:p>
    <w:p w14:paraId="0D2F131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4.不同供应商的响应文件异常一致或报价呈规律性差异；</w:t>
      </w:r>
    </w:p>
    <w:p w14:paraId="61FD2BA8">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5.不同供应商的响应文件相互混装；</w:t>
      </w:r>
    </w:p>
    <w:p w14:paraId="4880A9F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6.不同供应商的磋商保证金从同一单位或者个人账户转出。</w:t>
      </w:r>
    </w:p>
    <w:p w14:paraId="0B064693">
      <w:pPr>
        <w:snapToGrid w:val="0"/>
        <w:spacing w:before="120" w:beforeLines="50" w:after="50" w:line="360" w:lineRule="exact"/>
        <w:ind w:firstLine="422"/>
        <w:jc w:val="left"/>
        <w:rPr>
          <w:rFonts w:ascii="宋体" w:hAnsi="宋体" w:cs="宋体"/>
          <w:color w:val="auto"/>
          <w:sz w:val="21"/>
          <w:szCs w:val="21"/>
          <w:highlight w:val="none"/>
        </w:rPr>
      </w:pPr>
      <w:r>
        <w:rPr>
          <w:rFonts w:hint="eastAsia" w:ascii="宋体" w:hAnsi="宋体" w:cs="宋体"/>
          <w:b/>
          <w:color w:val="auto"/>
          <w:sz w:val="21"/>
          <w:szCs w:val="21"/>
          <w:highlight w:val="none"/>
        </w:rPr>
        <w:t>二、我公司承诺无下列恶意串通的情形：</w:t>
      </w:r>
    </w:p>
    <w:p w14:paraId="0ACE2BF4">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1.供应商直接或者间接从采购人或者采购代理机构处获得其他供应商的相关信息并修改其响应文件：</w:t>
      </w:r>
    </w:p>
    <w:p w14:paraId="2278EC1C">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2.供应商按照采购人或者采购代理机构的授意撤换、修改响应文件；</w:t>
      </w:r>
    </w:p>
    <w:p w14:paraId="1406B80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3.供应商之间协商报价、技术方案等响应文件的实质性内容；</w:t>
      </w:r>
    </w:p>
    <w:p w14:paraId="60CFA84E">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4.属于同一集团、协会、商会等组织成员的供应商按照该组织要求协同参加采购活动；</w:t>
      </w:r>
    </w:p>
    <w:p w14:paraId="1978B385">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5.供应商之间事先约定一致抬高或者压低报价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或者在采购项目中事先约定轮流以高价位或者低价位成交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或者事先约定由某一特定供应商成交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然后再参加磋商；</w:t>
      </w:r>
    </w:p>
    <w:p w14:paraId="468BC078">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6.供应商之间商定部分供应商放弃参加采购活动或者放弃成交；</w:t>
      </w:r>
    </w:p>
    <w:p w14:paraId="7A639C8C">
      <w:pPr>
        <w:snapToGrid w:val="0"/>
        <w:spacing w:before="120" w:beforeLines="50" w:after="50" w:line="360" w:lineRule="exact"/>
        <w:ind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7.供应商与采购人或者采购代理机构之间、供应商相互之间，为谋求特定供应商成交或者排斥其他供应商的其他串通行为。</w:t>
      </w:r>
    </w:p>
    <w:p w14:paraId="5A79A8B5">
      <w:pPr>
        <w:snapToGrid w:val="0"/>
        <w:spacing w:before="120" w:beforeLines="50" w:after="50"/>
        <w:ind w:firstLine="413" w:firstLineChars="196"/>
        <w:jc w:val="left"/>
        <w:rPr>
          <w:rFonts w:ascii="宋体" w:hAnsi="宋体" w:cs="宋体"/>
          <w:b/>
          <w:color w:val="auto"/>
          <w:sz w:val="21"/>
          <w:szCs w:val="21"/>
          <w:highlight w:val="none"/>
        </w:rPr>
      </w:pPr>
      <w:r>
        <w:rPr>
          <w:rFonts w:hint="eastAsia" w:ascii="宋体" w:hAnsi="宋体" w:cs="宋体"/>
          <w:b/>
          <w:color w:val="auto"/>
          <w:sz w:val="21"/>
          <w:szCs w:val="21"/>
          <w:highlight w:val="none"/>
        </w:rPr>
        <w:t>以上情形一经核查属实，我方愿意承担一切后果，并不再寻求任何旨在减轻或免除法律责任的辩解。</w:t>
      </w:r>
    </w:p>
    <w:p w14:paraId="084A1FB8">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1EAF81E7">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4E174D43">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6EFBF514">
      <w:pPr>
        <w:spacing w:line="380" w:lineRule="exact"/>
        <w:ind w:firstLine="0" w:firstLineChars="0"/>
        <w:rPr>
          <w:rFonts w:ascii="宋体" w:hAnsi="宋体" w:cs="宋体"/>
          <w:b/>
          <w:color w:val="auto"/>
          <w:sz w:val="28"/>
          <w:szCs w:val="28"/>
          <w:highlight w:val="none"/>
        </w:rPr>
      </w:pPr>
    </w:p>
    <w:p w14:paraId="52F5F621">
      <w:pPr>
        <w:widowControl/>
        <w:spacing w:line="240" w:lineRule="auto"/>
        <w:ind w:firstLine="0" w:firstLineChars="0"/>
        <w:jc w:val="left"/>
        <w:rPr>
          <w:rFonts w:ascii="宋体" w:hAnsi="宋体" w:cs="宋体"/>
          <w:b/>
          <w:color w:val="auto"/>
          <w:sz w:val="28"/>
          <w:szCs w:val="28"/>
          <w:highlight w:val="none"/>
        </w:rPr>
      </w:pPr>
      <w:r>
        <w:rPr>
          <w:rFonts w:ascii="宋体" w:hAnsi="宋体" w:cs="宋体"/>
          <w:b/>
          <w:color w:val="auto"/>
          <w:sz w:val="28"/>
          <w:szCs w:val="28"/>
          <w:highlight w:val="none"/>
        </w:rPr>
        <w:br w:type="page"/>
      </w:r>
    </w:p>
    <w:p w14:paraId="40F01F30">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（3）供应商的法人或者其他组织营业执照等证明文件（必须提供）</w:t>
      </w:r>
    </w:p>
    <w:p w14:paraId="56E94E0D">
      <w:pPr>
        <w:tabs>
          <w:tab w:val="left" w:pos="1305"/>
        </w:tabs>
        <w:spacing w:line="38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③如供应商为企业法人的分支机构的，除应提供营业执照外，还应提供其所属的总公司授权其参加政府采购活动的授权文件或授权其独立开展经营业务活动的证明材料。</w:t>
      </w:r>
    </w:p>
    <w:p w14:paraId="4F642BDA">
      <w:pPr>
        <w:spacing w:line="240" w:lineRule="auto"/>
        <w:ind w:firstLine="0" w:firstLineChars="0"/>
        <w:jc w:val="center"/>
        <w:rPr>
          <w:rFonts w:ascii="宋体" w:hAnsi="宋体" w:cs="宋体"/>
          <w:b/>
          <w:color w:val="auto"/>
          <w:sz w:val="28"/>
          <w:szCs w:val="28"/>
          <w:highlight w:val="none"/>
        </w:rPr>
      </w:pPr>
    </w:p>
    <w:p w14:paraId="50F32FF2">
      <w:pPr>
        <w:spacing w:line="240" w:lineRule="auto"/>
        <w:ind w:firstLine="0" w:firstLineChars="0"/>
        <w:jc w:val="center"/>
        <w:rPr>
          <w:rFonts w:ascii="宋体" w:hAnsi="宋体" w:cs="宋体"/>
          <w:b/>
          <w:color w:val="auto"/>
          <w:sz w:val="28"/>
          <w:szCs w:val="28"/>
          <w:highlight w:val="none"/>
        </w:rPr>
      </w:pPr>
      <w:r>
        <w:rPr>
          <w:rFonts w:ascii="宋体" w:hAnsi="宋体" w:cs="宋体"/>
          <w:b/>
          <w:color w:val="auto"/>
          <w:sz w:val="28"/>
          <w:szCs w:val="28"/>
          <w:highlight w:val="none"/>
        </w:rPr>
        <w:t>总公司法人授权书</w:t>
      </w:r>
      <w:r>
        <w:rPr>
          <w:rFonts w:hint="eastAsia" w:ascii="宋体" w:hAnsi="宋体" w:cs="宋体"/>
          <w:b/>
          <w:color w:val="auto"/>
          <w:sz w:val="28"/>
          <w:szCs w:val="28"/>
          <w:highlight w:val="none"/>
        </w:rPr>
        <w:t>（分公司参与磋商时必须提供）</w:t>
      </w:r>
    </w:p>
    <w:p w14:paraId="1C834A62">
      <w:pPr>
        <w:spacing w:line="240" w:lineRule="auto"/>
        <w:ind w:firstLine="803" w:firstLineChars="250"/>
        <w:jc w:val="center"/>
        <w:rPr>
          <w:rFonts w:ascii="宋体" w:hAnsi="Courier New"/>
          <w:b/>
          <w:color w:val="auto"/>
          <w:sz w:val="32"/>
          <w:szCs w:val="20"/>
          <w:highlight w:val="none"/>
        </w:rPr>
      </w:pPr>
      <w:r>
        <w:rPr>
          <w:rFonts w:hint="eastAsia" w:ascii="宋体" w:hAnsi="Courier New"/>
          <w:b/>
          <w:color w:val="auto"/>
          <w:sz w:val="32"/>
          <w:szCs w:val="20"/>
          <w:highlight w:val="none"/>
        </w:rPr>
        <w:t>授权书（格式）</w:t>
      </w:r>
    </w:p>
    <w:p w14:paraId="73C9418E">
      <w:pPr>
        <w:spacing w:line="400" w:lineRule="exact"/>
        <w:ind w:firstLine="0" w:firstLineChars="0"/>
        <w:rPr>
          <w:rFonts w:ascii="宋体" w:hAnsi="Courier New"/>
          <w:b/>
          <w:color w:val="auto"/>
          <w:sz w:val="32"/>
          <w:szCs w:val="32"/>
          <w:highlight w:val="none"/>
        </w:rPr>
      </w:pPr>
    </w:p>
    <w:p w14:paraId="0AE4C805">
      <w:pPr>
        <w:spacing w:line="400" w:lineRule="exact"/>
        <w:ind w:firstLine="0" w:firstLineChars="0"/>
        <w:rPr>
          <w:color w:val="auto"/>
          <w:sz w:val="21"/>
          <w:szCs w:val="24"/>
          <w:highlight w:val="none"/>
        </w:rPr>
      </w:pPr>
      <w:r>
        <w:rPr>
          <w:rFonts w:hint="eastAsia" w:ascii="宋体" w:hAnsi="宋体"/>
          <w:color w:val="auto"/>
          <w:sz w:val="21"/>
          <w:szCs w:val="21"/>
          <w:highlight w:val="none"/>
        </w:rPr>
        <w:t>致：</w:t>
      </w:r>
      <w:r>
        <w:rPr>
          <w:rFonts w:hint="eastAsia"/>
          <w:color w:val="auto"/>
          <w:sz w:val="21"/>
          <w:szCs w:val="24"/>
          <w:highlight w:val="none"/>
          <w:u w:val="single"/>
        </w:rPr>
        <w:t>云之龙咨询集团有限公司</w:t>
      </w:r>
    </w:p>
    <w:p w14:paraId="05DA1CCB">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我公司授权</w:t>
      </w:r>
      <w:r>
        <w:rPr>
          <w:rFonts w:hint="eastAsia" w:ascii="宋体" w:hAnsi="Courier New"/>
          <w:color w:val="auto"/>
          <w:sz w:val="21"/>
          <w:szCs w:val="21"/>
          <w:highlight w:val="none"/>
          <w:u w:val="single"/>
        </w:rPr>
        <w:t xml:space="preserve">    （供应商名称，即分公司名称）    </w:t>
      </w:r>
      <w:r>
        <w:rPr>
          <w:rFonts w:hint="eastAsia" w:ascii="宋体" w:hAnsi="Courier New"/>
          <w:color w:val="auto"/>
          <w:sz w:val="21"/>
          <w:szCs w:val="21"/>
          <w:highlight w:val="none"/>
        </w:rPr>
        <w:t>参加</w:t>
      </w:r>
      <w:r>
        <w:rPr>
          <w:rFonts w:hint="eastAsia" w:ascii="宋体" w:hAnsi="Courier New"/>
          <w:color w:val="auto"/>
          <w:sz w:val="21"/>
          <w:szCs w:val="21"/>
          <w:highlight w:val="none"/>
          <w:u w:val="single"/>
        </w:rPr>
        <w:t xml:space="preserve">       项目名称（项目编号：     ）</w:t>
      </w:r>
      <w:r>
        <w:rPr>
          <w:rFonts w:hint="eastAsia" w:ascii="宋体" w:hAnsi="Courier New"/>
          <w:color w:val="auto"/>
          <w:sz w:val="21"/>
          <w:szCs w:val="21"/>
          <w:highlight w:val="none"/>
        </w:rPr>
        <w:t>的磋商活动，其权限如下</w:t>
      </w:r>
      <w:r>
        <w:rPr>
          <w:rFonts w:hint="eastAsia" w:ascii="宋体" w:hAnsi="Courier New"/>
          <w:color w:val="auto"/>
          <w:sz w:val="21"/>
          <w:szCs w:val="21"/>
          <w:highlight w:val="none"/>
          <w:lang w:eastAsia="zh-CN"/>
        </w:rPr>
        <w:t>：</w:t>
      </w:r>
    </w:p>
    <w:p w14:paraId="1B8F5B55">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一、提交保证金，接收退回的保证金（如有）。</w:t>
      </w:r>
    </w:p>
    <w:p w14:paraId="65AF9F92">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二、提交响应文件（含补充、修改文件</w:t>
      </w:r>
      <w:r>
        <w:rPr>
          <w:rFonts w:hint="eastAsia" w:ascii="宋体" w:hAnsi="Courier New"/>
          <w:color w:val="auto"/>
          <w:sz w:val="21"/>
          <w:szCs w:val="21"/>
          <w:highlight w:val="none"/>
          <w:lang w:eastAsia="zh-CN"/>
        </w:rPr>
        <w:t>）</w:t>
      </w:r>
      <w:r>
        <w:rPr>
          <w:rFonts w:hint="eastAsia" w:ascii="宋体" w:hAnsi="Courier New"/>
          <w:color w:val="auto"/>
          <w:sz w:val="21"/>
          <w:szCs w:val="21"/>
          <w:highlight w:val="none"/>
        </w:rPr>
        <w:t>，或者撤回已提交的响应文件（含补充、修改文件</w:t>
      </w:r>
      <w:r>
        <w:rPr>
          <w:rFonts w:hint="eastAsia" w:ascii="宋体" w:hAnsi="Courier New"/>
          <w:color w:val="auto"/>
          <w:sz w:val="21"/>
          <w:szCs w:val="21"/>
          <w:highlight w:val="none"/>
          <w:lang w:eastAsia="zh-CN"/>
        </w:rPr>
        <w:t>）</w:t>
      </w:r>
      <w:r>
        <w:rPr>
          <w:rFonts w:hint="eastAsia" w:ascii="宋体" w:hAnsi="Courier New"/>
          <w:color w:val="auto"/>
          <w:sz w:val="21"/>
          <w:szCs w:val="21"/>
          <w:highlight w:val="none"/>
        </w:rPr>
        <w:t>，或者接收退回的响应文件。</w:t>
      </w:r>
    </w:p>
    <w:p w14:paraId="1D89A01F">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三、依法参加磋商等活动，答复磋商小组提出的澄清等。</w:t>
      </w:r>
    </w:p>
    <w:p w14:paraId="43D0974F">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四、提出事先由委托人确认的异议、投诉，并接收异议、投诉答复。</w:t>
      </w:r>
    </w:p>
    <w:p w14:paraId="34498791">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五、接收采购人或采购代理机构发出的有关本项目相关的公告、文书等。</w:t>
      </w:r>
    </w:p>
    <w:p w14:paraId="03E2A5AA">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lang w:eastAsia="zh-CN"/>
        </w:rPr>
        <w:t>六</w:t>
      </w:r>
      <w:r>
        <w:rPr>
          <w:rFonts w:hint="eastAsia" w:ascii="宋体" w:hAnsi="Courier New"/>
          <w:color w:val="auto"/>
          <w:sz w:val="21"/>
          <w:szCs w:val="21"/>
          <w:highlight w:val="none"/>
        </w:rPr>
        <w:t>、交纳代理服务费，办理成交手续，参加采购合同磋商和签约。</w:t>
      </w:r>
    </w:p>
    <w:p w14:paraId="28FA1206">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lang w:eastAsia="zh-CN"/>
        </w:rPr>
        <w:t>七</w:t>
      </w:r>
      <w:r>
        <w:rPr>
          <w:rFonts w:hint="eastAsia" w:ascii="宋体" w:hAnsi="Courier New"/>
          <w:color w:val="auto"/>
          <w:sz w:val="21"/>
          <w:szCs w:val="21"/>
          <w:highlight w:val="none"/>
        </w:rPr>
        <w:t>、进行合同履约、参加验收、提供服务等。</w:t>
      </w:r>
    </w:p>
    <w:p w14:paraId="1C922A8D">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被授权单位无转委托权。</w:t>
      </w:r>
    </w:p>
    <w:p w14:paraId="2E7729CE">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本授权书自签发之日起生效，有效期180天。如被授权方成交，则本授权书的有效期自签发之日起生效至项目合同履行完毕结束。</w:t>
      </w:r>
      <w:r>
        <w:rPr>
          <w:rFonts w:ascii="宋体" w:hAnsi="Courier New"/>
          <w:color w:val="auto"/>
          <w:sz w:val="21"/>
          <w:szCs w:val="20"/>
          <w:highlight w:val="none"/>
        </w:rPr>
        <w:t>项目执行过程中所发生的一切后果，由我公司承担相应的法律责任。</w:t>
      </w:r>
    </w:p>
    <w:p w14:paraId="2C8BA1B9">
      <w:pPr>
        <w:spacing w:line="400" w:lineRule="exact"/>
        <w:ind w:firstLine="420"/>
        <w:rPr>
          <w:rFonts w:ascii="宋体" w:hAnsi="Courier New"/>
          <w:color w:val="auto"/>
          <w:sz w:val="21"/>
          <w:szCs w:val="21"/>
          <w:highlight w:val="none"/>
        </w:rPr>
      </w:pPr>
      <w:r>
        <w:rPr>
          <w:rFonts w:hint="eastAsia" w:ascii="宋体" w:hAnsi="Courier New"/>
          <w:color w:val="auto"/>
          <w:sz w:val="21"/>
          <w:szCs w:val="21"/>
          <w:highlight w:val="none"/>
        </w:rPr>
        <w:t>特此授权。</w:t>
      </w:r>
    </w:p>
    <w:p w14:paraId="03C8008A">
      <w:pPr>
        <w:spacing w:line="400" w:lineRule="exact"/>
        <w:ind w:firstLine="420"/>
        <w:rPr>
          <w:rFonts w:ascii="宋体" w:hAnsi="Courier New"/>
          <w:color w:val="auto"/>
          <w:sz w:val="21"/>
          <w:szCs w:val="20"/>
          <w:highlight w:val="none"/>
        </w:rPr>
      </w:pPr>
    </w:p>
    <w:p w14:paraId="2AC968CE">
      <w:pPr>
        <w:widowControl/>
        <w:snapToGrid w:val="0"/>
        <w:spacing w:line="360" w:lineRule="exact"/>
        <w:ind w:firstLine="3780" w:firstLineChars="1800"/>
        <w:textAlignment w:val="baseline"/>
        <w:rPr>
          <w:rFonts w:ascii="宋体" w:hAnsi="Courier New"/>
          <w:color w:val="auto"/>
          <w:kern w:val="0"/>
          <w:sz w:val="20"/>
          <w:szCs w:val="20"/>
          <w:highlight w:val="none"/>
        </w:rPr>
      </w:pPr>
      <w:r>
        <w:rPr>
          <w:rFonts w:hint="eastAsia" w:ascii="宋体" w:hAnsi="Courier New"/>
          <w:color w:val="auto"/>
          <w:kern w:val="0"/>
          <w:sz w:val="21"/>
          <w:szCs w:val="20"/>
          <w:highlight w:val="none"/>
        </w:rPr>
        <w:t>授权人</w:t>
      </w:r>
      <w:r>
        <w:rPr>
          <w:rFonts w:ascii="宋体" w:hAnsi="宋体"/>
          <w:color w:val="auto"/>
          <w:kern w:val="0"/>
          <w:sz w:val="20"/>
          <w:highlight w:val="none"/>
        </w:rPr>
        <w:t>（公章）：</w:t>
      </w:r>
      <w:r>
        <w:rPr>
          <w:rFonts w:hint="eastAsia" w:ascii="宋体" w:hAnsi="Courier New"/>
          <w:color w:val="auto"/>
          <w:kern w:val="0"/>
          <w:sz w:val="20"/>
          <w:szCs w:val="20"/>
          <w:highlight w:val="none"/>
        </w:rPr>
        <w:t>____________</w:t>
      </w:r>
    </w:p>
    <w:p w14:paraId="0BC662EF">
      <w:pPr>
        <w:widowControl/>
        <w:snapToGrid w:val="0"/>
        <w:spacing w:line="360" w:lineRule="exact"/>
        <w:ind w:firstLine="420" w:firstLineChars="0"/>
        <w:textAlignment w:val="baseline"/>
        <w:rPr>
          <w:rFonts w:ascii="宋体" w:hAnsi="Courier New"/>
          <w:color w:val="auto"/>
          <w:kern w:val="0"/>
          <w:sz w:val="20"/>
          <w:szCs w:val="20"/>
          <w:highlight w:val="none"/>
        </w:rPr>
      </w:pPr>
    </w:p>
    <w:p w14:paraId="54CE11DC">
      <w:pPr>
        <w:widowControl/>
        <w:snapToGrid w:val="0"/>
        <w:spacing w:line="360" w:lineRule="exact"/>
        <w:ind w:firstLine="420" w:firstLineChars="0"/>
        <w:textAlignment w:val="baseline"/>
        <w:rPr>
          <w:rFonts w:ascii="宋体" w:hAnsi="Courier New"/>
          <w:color w:val="auto"/>
          <w:kern w:val="0"/>
          <w:sz w:val="20"/>
          <w:szCs w:val="20"/>
          <w:highlight w:val="none"/>
        </w:rPr>
      </w:pPr>
      <w:r>
        <w:rPr>
          <w:rFonts w:hint="eastAsia" w:ascii="宋体" w:hAnsi="Courier New"/>
          <w:color w:val="auto"/>
          <w:kern w:val="0"/>
          <w:sz w:val="20"/>
          <w:szCs w:val="20"/>
          <w:highlight w:val="none"/>
        </w:rPr>
        <w:t xml:space="preserve">                                              日期：______年____月____日</w:t>
      </w:r>
    </w:p>
    <w:p w14:paraId="0090171E">
      <w:pPr>
        <w:pStyle w:val="23"/>
        <w:rPr>
          <w:color w:val="auto"/>
          <w:highlight w:val="none"/>
        </w:rPr>
      </w:pPr>
    </w:p>
    <w:p w14:paraId="32D3867B">
      <w:pPr>
        <w:pStyle w:val="23"/>
        <w:rPr>
          <w:color w:val="auto"/>
          <w:highlight w:val="none"/>
        </w:rPr>
      </w:pPr>
    </w:p>
    <w:p w14:paraId="77DAF971">
      <w:pPr>
        <w:pStyle w:val="23"/>
        <w:rPr>
          <w:color w:val="auto"/>
          <w:highlight w:val="none"/>
        </w:rPr>
      </w:pPr>
    </w:p>
    <w:p w14:paraId="26A06AD0">
      <w:pPr>
        <w:pStyle w:val="23"/>
        <w:rPr>
          <w:color w:val="auto"/>
          <w:highlight w:val="none"/>
        </w:rPr>
      </w:pPr>
    </w:p>
    <w:p w14:paraId="77EB89EC">
      <w:pPr>
        <w:pStyle w:val="23"/>
        <w:rPr>
          <w:color w:val="auto"/>
          <w:highlight w:val="none"/>
        </w:rPr>
      </w:pPr>
    </w:p>
    <w:p w14:paraId="732E6814">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ascii="宋体" w:hAnsi="宋体" w:cs="宋体"/>
          <w:b/>
          <w:color w:val="auto"/>
          <w:sz w:val="28"/>
          <w:szCs w:val="28"/>
          <w:highlight w:val="none"/>
        </w:rPr>
        <w:t>4</w:t>
      </w:r>
      <w:r>
        <w:rPr>
          <w:rFonts w:hint="eastAsia" w:ascii="宋体" w:hAnsi="宋体" w:cs="宋体"/>
          <w:b/>
          <w:color w:val="auto"/>
          <w:sz w:val="28"/>
          <w:szCs w:val="28"/>
          <w:highlight w:val="none"/>
        </w:rPr>
        <w:t>）供应商2024年度或2025年度的财务状况报告（如供应商为参加本项目当年新成立公司的，可提供公司成立之日后的财务报表）或2026年以来银行出具的资信证明或2026年以来中国人民银行征信中心出具的征信报告（必须提供）</w:t>
      </w:r>
    </w:p>
    <w:p w14:paraId="565BC226">
      <w:pPr>
        <w:spacing w:line="380" w:lineRule="exact"/>
        <w:ind w:firstLine="0" w:firstLineChars="0"/>
        <w:rPr>
          <w:rFonts w:ascii="宋体" w:hAnsi="宋体" w:cs="宋体"/>
          <w:b/>
          <w:color w:val="auto"/>
          <w:sz w:val="28"/>
          <w:szCs w:val="28"/>
          <w:highlight w:val="none"/>
        </w:rPr>
      </w:pPr>
    </w:p>
    <w:p w14:paraId="19340173">
      <w:pPr>
        <w:pStyle w:val="23"/>
        <w:rPr>
          <w:color w:val="auto"/>
          <w:highlight w:val="none"/>
        </w:rPr>
      </w:pPr>
    </w:p>
    <w:p w14:paraId="7B2863DA">
      <w:pPr>
        <w:pStyle w:val="23"/>
        <w:rPr>
          <w:color w:val="auto"/>
          <w:highlight w:val="none"/>
        </w:rPr>
      </w:pPr>
    </w:p>
    <w:p w14:paraId="578BA28C">
      <w:pPr>
        <w:spacing w:line="380" w:lineRule="exact"/>
        <w:ind w:firstLine="0" w:firstLineChars="0"/>
        <w:rPr>
          <w:rFonts w:ascii="宋体" w:hAnsi="宋体" w:cs="宋体"/>
          <w:b/>
          <w:color w:val="auto"/>
          <w:sz w:val="28"/>
          <w:szCs w:val="28"/>
          <w:highlight w:val="none"/>
        </w:rPr>
      </w:pPr>
    </w:p>
    <w:p w14:paraId="22E7B48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ascii="宋体" w:hAnsi="宋体" w:cs="宋体"/>
          <w:b/>
          <w:color w:val="auto"/>
          <w:sz w:val="28"/>
          <w:szCs w:val="28"/>
          <w:highlight w:val="none"/>
        </w:rPr>
        <w:t>5</w:t>
      </w:r>
      <w:r>
        <w:rPr>
          <w:rFonts w:hint="eastAsia" w:ascii="宋体" w:hAnsi="宋体" w:cs="宋体"/>
          <w:b/>
          <w:color w:val="auto"/>
          <w:sz w:val="28"/>
          <w:szCs w:val="28"/>
          <w:highlight w:val="none"/>
        </w:rPr>
        <w:t>）供应商</w:t>
      </w:r>
      <w:r>
        <w:rPr>
          <w:rFonts w:ascii="宋体" w:hAnsi="宋体" w:cs="宋体"/>
          <w:b/>
          <w:color w:val="auto"/>
          <w:sz w:val="28"/>
          <w:szCs w:val="28"/>
          <w:highlight w:val="none"/>
        </w:rPr>
        <w:t>202</w:t>
      </w:r>
      <w:r>
        <w:rPr>
          <w:rFonts w:hint="eastAsia" w:ascii="宋体" w:hAnsi="宋体" w:cs="宋体"/>
          <w:b/>
          <w:color w:val="auto"/>
          <w:sz w:val="28"/>
          <w:szCs w:val="28"/>
          <w:highlight w:val="none"/>
          <w:lang w:val="en-US" w:eastAsia="zh-CN"/>
        </w:rPr>
        <w:t>6</w:t>
      </w:r>
      <w:r>
        <w:rPr>
          <w:rFonts w:hint="eastAsia" w:ascii="宋体" w:hAnsi="宋体" w:cs="宋体"/>
          <w:b/>
          <w:color w:val="auto"/>
          <w:sz w:val="28"/>
          <w:szCs w:val="28"/>
          <w:highlight w:val="none"/>
        </w:rPr>
        <w:t>年以来任意</w:t>
      </w:r>
      <w:r>
        <w:rPr>
          <w:rFonts w:ascii="宋体" w:hAnsi="宋体" w:cs="宋体"/>
          <w:b/>
          <w:color w:val="auto"/>
          <w:sz w:val="28"/>
          <w:szCs w:val="28"/>
          <w:highlight w:val="none"/>
        </w:rPr>
        <w:t>1</w:t>
      </w:r>
      <w:r>
        <w:rPr>
          <w:rFonts w:hint="eastAsia" w:ascii="宋体" w:hAnsi="宋体" w:cs="宋体"/>
          <w:b/>
          <w:color w:val="auto"/>
          <w:sz w:val="28"/>
          <w:szCs w:val="28"/>
          <w:highlight w:val="none"/>
        </w:rPr>
        <w:t>个月依法缴纳社会保障资金的相关材料（供应商无缴费记录或为新成立公司，应提供由供应商所在地社保部门或税务部门出具的《依法缴纳或依法免缴社保费证明》）（必须提供）</w:t>
      </w:r>
    </w:p>
    <w:p w14:paraId="2E06109D">
      <w:pPr>
        <w:spacing w:line="380" w:lineRule="exact"/>
        <w:ind w:firstLine="0" w:firstLineChars="0"/>
        <w:rPr>
          <w:rFonts w:ascii="宋体" w:hAnsi="宋体" w:cs="宋体"/>
          <w:b/>
          <w:color w:val="auto"/>
          <w:sz w:val="28"/>
          <w:szCs w:val="28"/>
          <w:highlight w:val="none"/>
        </w:rPr>
      </w:pPr>
    </w:p>
    <w:p w14:paraId="39B821E4">
      <w:pPr>
        <w:spacing w:line="380" w:lineRule="exact"/>
        <w:ind w:firstLine="0" w:firstLineChars="0"/>
        <w:rPr>
          <w:rFonts w:ascii="宋体" w:hAnsi="宋体" w:cs="宋体"/>
          <w:b/>
          <w:color w:val="auto"/>
          <w:sz w:val="28"/>
          <w:szCs w:val="28"/>
          <w:highlight w:val="none"/>
        </w:rPr>
      </w:pPr>
    </w:p>
    <w:p w14:paraId="67F8ECE9">
      <w:pPr>
        <w:pStyle w:val="23"/>
        <w:rPr>
          <w:color w:val="auto"/>
          <w:highlight w:val="none"/>
        </w:rPr>
      </w:pPr>
    </w:p>
    <w:p w14:paraId="53A5929E">
      <w:pPr>
        <w:pStyle w:val="23"/>
        <w:rPr>
          <w:color w:val="auto"/>
          <w:highlight w:val="none"/>
        </w:rPr>
      </w:pPr>
    </w:p>
    <w:p w14:paraId="11F6876D">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（6）供应商</w:t>
      </w:r>
      <w:r>
        <w:rPr>
          <w:rFonts w:ascii="宋体" w:hAnsi="宋体" w:cs="宋体"/>
          <w:b/>
          <w:color w:val="auto"/>
          <w:sz w:val="28"/>
          <w:szCs w:val="28"/>
          <w:highlight w:val="none"/>
        </w:rPr>
        <w:t>202</w:t>
      </w:r>
      <w:r>
        <w:rPr>
          <w:rFonts w:hint="eastAsia" w:ascii="宋体" w:hAnsi="宋体" w:cs="宋体"/>
          <w:b/>
          <w:color w:val="auto"/>
          <w:sz w:val="28"/>
          <w:szCs w:val="28"/>
          <w:highlight w:val="none"/>
          <w:lang w:val="en-US" w:eastAsia="zh-CN"/>
        </w:rPr>
        <w:t>6</w:t>
      </w:r>
      <w:r>
        <w:rPr>
          <w:rFonts w:hint="eastAsia" w:ascii="宋体" w:hAnsi="宋体" w:cs="宋体"/>
          <w:b/>
          <w:color w:val="auto"/>
          <w:sz w:val="28"/>
          <w:szCs w:val="28"/>
          <w:highlight w:val="none"/>
        </w:rPr>
        <w:t>年以来任意</w:t>
      </w:r>
      <w:r>
        <w:rPr>
          <w:rFonts w:ascii="宋体" w:hAnsi="宋体" w:cs="宋体"/>
          <w:b/>
          <w:color w:val="auto"/>
          <w:sz w:val="28"/>
          <w:szCs w:val="28"/>
          <w:highlight w:val="none"/>
        </w:rPr>
        <w:t>1</w:t>
      </w:r>
      <w:r>
        <w:rPr>
          <w:rFonts w:hint="eastAsia" w:ascii="宋体" w:hAnsi="宋体" w:cs="宋体"/>
          <w:b/>
          <w:color w:val="auto"/>
          <w:sz w:val="28"/>
          <w:szCs w:val="28"/>
          <w:highlight w:val="none"/>
        </w:rPr>
        <w:t>个月依法缴纳税收的相关材料（供应商无纳税记录或为新成立公司，应提供由供应商所在地主管税务部门出具的《依法纳税或依法免税证明》）（必须提供）</w:t>
      </w:r>
    </w:p>
    <w:p w14:paraId="39B613C6">
      <w:pPr>
        <w:spacing w:line="380" w:lineRule="exact"/>
        <w:ind w:firstLine="0" w:firstLineChars="0"/>
        <w:rPr>
          <w:rFonts w:ascii="宋体" w:hAnsi="宋体" w:cs="宋体"/>
          <w:b/>
          <w:color w:val="auto"/>
          <w:sz w:val="28"/>
          <w:szCs w:val="28"/>
          <w:highlight w:val="none"/>
        </w:rPr>
      </w:pPr>
    </w:p>
    <w:p w14:paraId="19216F18">
      <w:pPr>
        <w:widowControl/>
        <w:spacing w:line="240" w:lineRule="auto"/>
        <w:ind w:firstLine="0" w:firstLineChars="0"/>
        <w:jc w:val="left"/>
        <w:rPr>
          <w:rFonts w:ascii="宋体" w:hAnsi="宋体" w:cs="宋体"/>
          <w:b/>
          <w:color w:val="auto"/>
          <w:sz w:val="28"/>
          <w:szCs w:val="28"/>
          <w:highlight w:val="none"/>
        </w:rPr>
      </w:pPr>
      <w:r>
        <w:rPr>
          <w:rFonts w:ascii="宋体" w:hAnsi="宋体" w:cs="宋体"/>
          <w:b/>
          <w:color w:val="auto"/>
          <w:sz w:val="28"/>
          <w:szCs w:val="28"/>
          <w:highlight w:val="none"/>
        </w:rPr>
        <w:br w:type="page"/>
      </w:r>
    </w:p>
    <w:p w14:paraId="32AFAF3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（7）供应商的直接控股、管理关系信息表（必须提供）</w:t>
      </w:r>
    </w:p>
    <w:p w14:paraId="18E2372A">
      <w:pPr>
        <w:spacing w:line="320" w:lineRule="exact"/>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396AF9BC">
      <w:pPr>
        <w:spacing w:line="300" w:lineRule="exact"/>
        <w:ind w:firstLine="562"/>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供应商直接控股、管理关系信息表（格式）</w:t>
      </w:r>
    </w:p>
    <w:p w14:paraId="57FB72F8">
      <w:pPr>
        <w:spacing w:line="300" w:lineRule="exact"/>
        <w:ind w:firstLine="562"/>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供应商直接控股股东信息表</w:t>
      </w:r>
    </w:p>
    <w:tbl>
      <w:tblPr>
        <w:tblStyle w:val="48"/>
        <w:tblW w:w="9617" w:type="dxa"/>
        <w:tblInd w:w="0" w:type="dxa"/>
        <w:shd w:val="clear" w:color="auto" w:fill="FBFBFB"/>
        <w:tblLayout w:type="fixed"/>
        <w:tblCellMar>
          <w:top w:w="0" w:type="dxa"/>
          <w:left w:w="0" w:type="dxa"/>
          <w:bottom w:w="0" w:type="dxa"/>
          <w:right w:w="0" w:type="dxa"/>
        </w:tblCellMar>
      </w:tblPr>
      <w:tblGrid>
        <w:gridCol w:w="839"/>
        <w:gridCol w:w="2303"/>
        <w:gridCol w:w="1257"/>
        <w:gridCol w:w="3780"/>
        <w:gridCol w:w="1438"/>
      </w:tblGrid>
      <w:tr w14:paraId="0CC7ADD5">
        <w:tblPrEx>
          <w:shd w:val="clear" w:color="auto" w:fill="FBFBFB"/>
          <w:tblCellMar>
            <w:top w:w="0" w:type="dxa"/>
            <w:left w:w="0" w:type="dxa"/>
            <w:bottom w:w="0" w:type="dxa"/>
            <w:right w:w="0" w:type="dxa"/>
          </w:tblCellMar>
        </w:tblPrEx>
        <w:trPr>
          <w:trHeight w:val="564" w:hRule="atLeast"/>
          <w:tblHeader/>
        </w:trPr>
        <w:tc>
          <w:tcPr>
            <w:tcW w:w="83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64766D7B">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序号</w:t>
            </w:r>
          </w:p>
        </w:tc>
        <w:tc>
          <w:tcPr>
            <w:tcW w:w="2303"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2E52FC46">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直接控股股东名称</w:t>
            </w:r>
          </w:p>
        </w:tc>
        <w:tc>
          <w:tcPr>
            <w:tcW w:w="1257"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0A4D52F">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出资比例</w:t>
            </w:r>
          </w:p>
        </w:tc>
        <w:tc>
          <w:tcPr>
            <w:tcW w:w="3780"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E93380E">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身份证号码或统一社会信用代码</w:t>
            </w:r>
          </w:p>
        </w:tc>
        <w:tc>
          <w:tcPr>
            <w:tcW w:w="1438"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0DA2B9B">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备注</w:t>
            </w:r>
          </w:p>
        </w:tc>
      </w:tr>
      <w:tr w14:paraId="64DF1BFD">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36473A8">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FB5E57A">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0312CF3">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9961F86">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F4428D4">
            <w:pPr>
              <w:widowControl/>
              <w:spacing w:line="340" w:lineRule="exact"/>
              <w:ind w:firstLine="480"/>
              <w:jc w:val="center"/>
              <w:rPr>
                <w:rFonts w:ascii="宋体" w:hAnsi="宋体" w:cs="宋体"/>
                <w:color w:val="auto"/>
                <w:kern w:val="0"/>
                <w:highlight w:val="none"/>
              </w:rPr>
            </w:pPr>
          </w:p>
        </w:tc>
      </w:tr>
      <w:tr w14:paraId="5235ED3C">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E41A3FB">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73CC3AE">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12BA87B">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2EB27FC">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269DC52">
            <w:pPr>
              <w:widowControl/>
              <w:spacing w:line="340" w:lineRule="exact"/>
              <w:ind w:firstLine="480"/>
              <w:jc w:val="center"/>
              <w:rPr>
                <w:rFonts w:ascii="宋体" w:hAnsi="宋体" w:cs="宋体"/>
                <w:color w:val="auto"/>
                <w:kern w:val="0"/>
                <w:highlight w:val="none"/>
              </w:rPr>
            </w:pPr>
          </w:p>
        </w:tc>
      </w:tr>
      <w:tr w14:paraId="62D6788D">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9DB0084">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3</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1AFD378">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15084D3">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9047182">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A8386C8">
            <w:pPr>
              <w:widowControl/>
              <w:spacing w:line="340" w:lineRule="exact"/>
              <w:ind w:firstLine="480"/>
              <w:jc w:val="center"/>
              <w:rPr>
                <w:rFonts w:ascii="宋体" w:hAnsi="宋体" w:cs="宋体"/>
                <w:color w:val="auto"/>
                <w:kern w:val="0"/>
                <w:highlight w:val="none"/>
              </w:rPr>
            </w:pPr>
          </w:p>
        </w:tc>
      </w:tr>
      <w:tr w14:paraId="771D080E">
        <w:tblPrEx>
          <w:tblCellMar>
            <w:top w:w="0" w:type="dxa"/>
            <w:left w:w="0" w:type="dxa"/>
            <w:bottom w:w="0" w:type="dxa"/>
            <w:right w:w="0" w:type="dxa"/>
          </w:tblCellMar>
        </w:tblPrEx>
        <w:trPr>
          <w:trHeight w:val="283" w:hRule="atLeast"/>
        </w:trPr>
        <w:tc>
          <w:tcPr>
            <w:tcW w:w="8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8DBA784">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w:t>
            </w:r>
          </w:p>
        </w:tc>
        <w:tc>
          <w:tcPr>
            <w:tcW w:w="2303"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DB65B2D">
            <w:pPr>
              <w:widowControl/>
              <w:spacing w:line="340" w:lineRule="exact"/>
              <w:ind w:firstLine="480"/>
              <w:jc w:val="center"/>
              <w:rPr>
                <w:rFonts w:ascii="宋体" w:hAnsi="宋体" w:cs="宋体"/>
                <w:color w:val="auto"/>
                <w:kern w:val="0"/>
                <w:highlight w:val="none"/>
              </w:rPr>
            </w:pPr>
          </w:p>
        </w:tc>
        <w:tc>
          <w:tcPr>
            <w:tcW w:w="125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7D4C096">
            <w:pPr>
              <w:widowControl/>
              <w:spacing w:line="340" w:lineRule="exact"/>
              <w:ind w:firstLine="480"/>
              <w:jc w:val="center"/>
              <w:rPr>
                <w:rFonts w:ascii="宋体" w:hAnsi="宋体" w:cs="宋体"/>
                <w:color w:val="auto"/>
                <w:kern w:val="0"/>
                <w:highlight w:val="none"/>
              </w:rPr>
            </w:pPr>
          </w:p>
        </w:tc>
        <w:tc>
          <w:tcPr>
            <w:tcW w:w="3780"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7ED226C">
            <w:pPr>
              <w:widowControl/>
              <w:spacing w:line="340" w:lineRule="exact"/>
              <w:ind w:firstLine="480"/>
              <w:jc w:val="center"/>
              <w:rPr>
                <w:rFonts w:ascii="宋体" w:hAnsi="宋体" w:cs="宋体"/>
                <w:color w:val="auto"/>
                <w:kern w:val="0"/>
                <w:highlight w:val="none"/>
              </w:rPr>
            </w:pPr>
          </w:p>
        </w:tc>
        <w:tc>
          <w:tcPr>
            <w:tcW w:w="143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F4E3A3C">
            <w:pPr>
              <w:widowControl/>
              <w:spacing w:line="340" w:lineRule="exact"/>
              <w:ind w:firstLine="480"/>
              <w:jc w:val="center"/>
              <w:rPr>
                <w:rFonts w:ascii="宋体" w:hAnsi="宋体" w:cs="宋体"/>
                <w:color w:val="auto"/>
                <w:kern w:val="0"/>
                <w:highlight w:val="none"/>
              </w:rPr>
            </w:pPr>
          </w:p>
        </w:tc>
      </w:tr>
    </w:tbl>
    <w:p w14:paraId="2FCAEF75">
      <w:pPr>
        <w:snapToGrid w:val="0"/>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注：</w:t>
      </w:r>
    </w:p>
    <w:p w14:paraId="17512469">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的决议产生重大影响的股东。2.本表所指的控股关系仅限于直接控股关系，不包括间接的控股关系。公司实际控制人与公司之间的关系不属于本表所指的直接控股关系。</w:t>
      </w:r>
    </w:p>
    <w:p w14:paraId="1EEE9FDF">
      <w:pPr>
        <w:snapToGrid w:val="0"/>
        <w:spacing w:line="34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4377EBAE">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6A99387E">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13192227">
      <w:pPr>
        <w:spacing w:line="340" w:lineRule="exact"/>
        <w:ind w:firstLine="562"/>
        <w:jc w:val="center"/>
        <w:outlineLvl w:val="1"/>
        <w:rPr>
          <w:rFonts w:ascii="宋体" w:hAnsi="宋体" w:cs="宋体"/>
          <w:b/>
          <w:color w:val="auto"/>
          <w:sz w:val="28"/>
          <w:szCs w:val="28"/>
          <w:highlight w:val="none"/>
        </w:rPr>
      </w:pPr>
    </w:p>
    <w:p w14:paraId="463FE69E">
      <w:pPr>
        <w:spacing w:line="340" w:lineRule="exact"/>
        <w:ind w:firstLine="2249" w:firstLineChars="800"/>
        <w:outlineLvl w:val="1"/>
        <w:rPr>
          <w:rFonts w:ascii="宋体" w:hAnsi="宋体" w:cs="宋体"/>
          <w:b/>
          <w:color w:val="auto"/>
          <w:sz w:val="28"/>
          <w:szCs w:val="28"/>
          <w:highlight w:val="none"/>
        </w:rPr>
      </w:pPr>
      <w:r>
        <w:rPr>
          <w:rFonts w:hint="eastAsia" w:ascii="宋体" w:hAnsi="宋体" w:cs="宋体"/>
          <w:b/>
          <w:color w:val="auto"/>
          <w:sz w:val="28"/>
          <w:szCs w:val="28"/>
          <w:highlight w:val="none"/>
        </w:rPr>
        <w:t>供应商直接管理关系信息表</w:t>
      </w:r>
    </w:p>
    <w:tbl>
      <w:tblPr>
        <w:tblStyle w:val="48"/>
        <w:tblW w:w="9623" w:type="dxa"/>
        <w:tblInd w:w="0" w:type="dxa"/>
        <w:shd w:val="clear" w:color="auto" w:fill="FBFBFB"/>
        <w:tblLayout w:type="fixed"/>
        <w:tblCellMar>
          <w:top w:w="0" w:type="dxa"/>
          <w:left w:w="0" w:type="dxa"/>
          <w:bottom w:w="0" w:type="dxa"/>
          <w:right w:w="0" w:type="dxa"/>
        </w:tblCellMar>
      </w:tblPr>
      <w:tblGrid>
        <w:gridCol w:w="779"/>
        <w:gridCol w:w="2281"/>
        <w:gridCol w:w="2837"/>
        <w:gridCol w:w="3726"/>
      </w:tblGrid>
      <w:tr w14:paraId="7B80208A">
        <w:tblPrEx>
          <w:shd w:val="clear" w:color="auto" w:fill="FBFBFB"/>
          <w:tblCellMar>
            <w:top w:w="0" w:type="dxa"/>
            <w:left w:w="0" w:type="dxa"/>
            <w:bottom w:w="0" w:type="dxa"/>
            <w:right w:w="0" w:type="dxa"/>
          </w:tblCellMar>
        </w:tblPrEx>
        <w:trPr>
          <w:trHeight w:val="581" w:hRule="atLeast"/>
          <w:tblHeader/>
        </w:trPr>
        <w:tc>
          <w:tcPr>
            <w:tcW w:w="77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1C7F1AEF">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序号</w:t>
            </w:r>
          </w:p>
        </w:tc>
        <w:tc>
          <w:tcPr>
            <w:tcW w:w="2281"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53390D01">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直接管理关系单位名称</w:t>
            </w:r>
          </w:p>
        </w:tc>
        <w:tc>
          <w:tcPr>
            <w:tcW w:w="2837"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EB4B275">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统一社会信用代码</w:t>
            </w:r>
          </w:p>
        </w:tc>
        <w:tc>
          <w:tcPr>
            <w:tcW w:w="3726"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52F1D35">
            <w:pPr>
              <w:widowControl/>
              <w:spacing w:line="340" w:lineRule="exact"/>
              <w:ind w:firstLine="0" w:firstLineChars="0"/>
              <w:jc w:val="center"/>
              <w:rPr>
                <w:rFonts w:ascii="宋体" w:hAnsi="宋体" w:cs="宋体"/>
                <w:b/>
                <w:bCs/>
                <w:color w:val="auto"/>
                <w:kern w:val="0"/>
                <w:highlight w:val="none"/>
              </w:rPr>
            </w:pPr>
            <w:r>
              <w:rPr>
                <w:rFonts w:hint="eastAsia" w:ascii="宋体" w:hAnsi="宋体" w:cs="宋体"/>
                <w:b/>
                <w:bCs/>
                <w:color w:val="auto"/>
                <w:kern w:val="0"/>
                <w:highlight w:val="none"/>
              </w:rPr>
              <w:t>备注</w:t>
            </w:r>
          </w:p>
        </w:tc>
      </w:tr>
      <w:tr w14:paraId="1346A9E4">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D6D475D">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1</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457B717">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417D463">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13B8412">
            <w:pPr>
              <w:widowControl/>
              <w:spacing w:line="340" w:lineRule="exact"/>
              <w:ind w:firstLine="480"/>
              <w:jc w:val="center"/>
              <w:rPr>
                <w:rFonts w:ascii="宋体" w:hAnsi="宋体" w:cs="宋体"/>
                <w:color w:val="auto"/>
                <w:kern w:val="0"/>
                <w:highlight w:val="none"/>
              </w:rPr>
            </w:pPr>
          </w:p>
        </w:tc>
      </w:tr>
      <w:tr w14:paraId="12C3AC58">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8F05357">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2</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6B9FD55">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8387FB8">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A888783">
            <w:pPr>
              <w:widowControl/>
              <w:spacing w:line="340" w:lineRule="exact"/>
              <w:ind w:firstLine="480"/>
              <w:jc w:val="center"/>
              <w:rPr>
                <w:rFonts w:ascii="宋体" w:hAnsi="宋体" w:cs="宋体"/>
                <w:color w:val="auto"/>
                <w:kern w:val="0"/>
                <w:highlight w:val="none"/>
              </w:rPr>
            </w:pPr>
          </w:p>
        </w:tc>
      </w:tr>
      <w:tr w14:paraId="2842D98B">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7B77A31">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3</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4D79BEA">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E85526C">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BB7E117">
            <w:pPr>
              <w:widowControl/>
              <w:spacing w:line="340" w:lineRule="exact"/>
              <w:ind w:firstLine="480"/>
              <w:jc w:val="center"/>
              <w:rPr>
                <w:rFonts w:ascii="宋体" w:hAnsi="宋体" w:cs="宋体"/>
                <w:color w:val="auto"/>
                <w:kern w:val="0"/>
                <w:highlight w:val="none"/>
              </w:rPr>
            </w:pPr>
          </w:p>
        </w:tc>
      </w:tr>
      <w:tr w14:paraId="7219F7CB">
        <w:tblPrEx>
          <w:tblCellMar>
            <w:top w:w="0" w:type="dxa"/>
            <w:left w:w="0" w:type="dxa"/>
            <w:bottom w:w="0" w:type="dxa"/>
            <w:right w:w="0" w:type="dxa"/>
          </w:tblCellMar>
        </w:tblPrEx>
        <w:trPr>
          <w:trHeight w:val="79" w:hRule="atLeast"/>
        </w:trPr>
        <w:tc>
          <w:tcPr>
            <w:tcW w:w="77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7A06717">
            <w:pPr>
              <w:widowControl/>
              <w:spacing w:line="340" w:lineRule="exact"/>
              <w:ind w:firstLine="0" w:firstLineChars="0"/>
              <w:jc w:val="center"/>
              <w:rPr>
                <w:rFonts w:ascii="宋体" w:hAnsi="宋体" w:cs="宋体"/>
                <w:color w:val="auto"/>
                <w:kern w:val="0"/>
                <w:highlight w:val="none"/>
              </w:rPr>
            </w:pPr>
            <w:r>
              <w:rPr>
                <w:rFonts w:hint="eastAsia" w:ascii="宋体" w:hAnsi="宋体" w:cs="宋体"/>
                <w:color w:val="auto"/>
                <w:kern w:val="0"/>
                <w:highlight w:val="none"/>
              </w:rPr>
              <w:t>……</w:t>
            </w:r>
          </w:p>
        </w:tc>
        <w:tc>
          <w:tcPr>
            <w:tcW w:w="2281"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F9F9CAB">
            <w:pPr>
              <w:widowControl/>
              <w:spacing w:line="340" w:lineRule="exact"/>
              <w:ind w:firstLine="480"/>
              <w:jc w:val="center"/>
              <w:rPr>
                <w:rFonts w:ascii="宋体" w:hAnsi="宋体" w:cs="宋体"/>
                <w:color w:val="auto"/>
                <w:kern w:val="0"/>
                <w:highlight w:val="none"/>
              </w:rPr>
            </w:pPr>
          </w:p>
        </w:tc>
        <w:tc>
          <w:tcPr>
            <w:tcW w:w="2837"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94A389E">
            <w:pPr>
              <w:widowControl/>
              <w:spacing w:line="340" w:lineRule="exact"/>
              <w:ind w:firstLine="480"/>
              <w:jc w:val="center"/>
              <w:rPr>
                <w:rFonts w:ascii="宋体" w:hAnsi="宋体" w:cs="宋体"/>
                <w:color w:val="auto"/>
                <w:kern w:val="0"/>
                <w:highlight w:val="none"/>
              </w:rPr>
            </w:pPr>
          </w:p>
        </w:tc>
        <w:tc>
          <w:tcPr>
            <w:tcW w:w="3726"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F6ADFD6">
            <w:pPr>
              <w:widowControl/>
              <w:spacing w:line="340" w:lineRule="exact"/>
              <w:ind w:firstLine="480"/>
              <w:jc w:val="center"/>
              <w:rPr>
                <w:rFonts w:ascii="宋体" w:hAnsi="宋体" w:cs="宋体"/>
                <w:color w:val="auto"/>
                <w:kern w:val="0"/>
                <w:highlight w:val="none"/>
              </w:rPr>
            </w:pPr>
          </w:p>
        </w:tc>
      </w:tr>
    </w:tbl>
    <w:p w14:paraId="69442C0B">
      <w:pPr>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注：</w:t>
      </w:r>
    </w:p>
    <w:p w14:paraId="775A813A">
      <w:pPr>
        <w:snapToGrid w:val="0"/>
        <w:spacing w:line="340" w:lineRule="exact"/>
        <w:ind w:firstLine="0" w:firstLineChars="0"/>
        <w:jc w:val="left"/>
        <w:rPr>
          <w:rFonts w:ascii="宋体" w:hAnsi="宋体" w:cs="宋体"/>
          <w:color w:val="auto"/>
          <w:sz w:val="21"/>
          <w:szCs w:val="21"/>
          <w:highlight w:val="none"/>
        </w:rPr>
      </w:pPr>
      <w:r>
        <w:rPr>
          <w:rFonts w:hint="eastAsia" w:ascii="宋体" w:hAnsi="宋体" w:cs="宋体"/>
          <w:color w:val="auto"/>
          <w:sz w:val="21"/>
          <w:szCs w:val="21"/>
          <w:highlight w:val="none"/>
        </w:rPr>
        <w:t>1.管理关系：是指不具有出资持股关系的其他单位之间存在的管理与被管理关系，如一些上下级关系的事业单位和团体组织。2.本表所指的管理关系仅限于直接管理关系，不包括间接的管理关系。</w:t>
      </w:r>
    </w:p>
    <w:p w14:paraId="661C891A">
      <w:pPr>
        <w:snapToGrid w:val="0"/>
        <w:spacing w:line="34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6FC48E2C">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1"/>
          <w:highlight w:val="none"/>
        </w:rPr>
        <w:t>：</w:t>
      </w:r>
    </w:p>
    <w:p w14:paraId="628F251E">
      <w:pPr>
        <w:spacing w:line="3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日          期：</w:t>
      </w:r>
    </w:p>
    <w:p w14:paraId="288FE8E9">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（8）供应商的法定代表人身份证明及法定代表人身份证正反面复印件（必须提供）</w:t>
      </w:r>
    </w:p>
    <w:p w14:paraId="33E6F389">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3E198DC9">
      <w:pPr>
        <w:snapToGrid w:val="0"/>
        <w:spacing w:before="120" w:beforeLines="50" w:after="50" w:line="320" w:lineRule="exact"/>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法定代表人身份证明（格式）</w:t>
      </w:r>
    </w:p>
    <w:p w14:paraId="756128A4">
      <w:pPr>
        <w:spacing w:line="500" w:lineRule="exact"/>
        <w:ind w:left="540" w:firstLine="480"/>
        <w:rPr>
          <w:rFonts w:ascii="宋体" w:hAnsi="宋体" w:cs="宋体"/>
          <w:color w:val="auto"/>
          <w:szCs w:val="21"/>
          <w:highlight w:val="none"/>
        </w:rPr>
      </w:pPr>
    </w:p>
    <w:p w14:paraId="2B610681">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供 应 商：</w:t>
      </w:r>
      <w:r>
        <w:rPr>
          <w:rFonts w:hint="eastAsia" w:ascii="宋体" w:hAnsi="宋体" w:cs="宋体"/>
          <w:color w:val="auto"/>
          <w:szCs w:val="21"/>
          <w:highlight w:val="none"/>
          <w:u w:val="single"/>
        </w:rPr>
        <w:t xml:space="preserve">                                                        </w:t>
      </w:r>
    </w:p>
    <w:p w14:paraId="44433E22">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p>
    <w:p w14:paraId="62B36BD3">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183C76D0">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2A6D863">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p>
    <w:p w14:paraId="35C82B1A">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      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p>
    <w:p w14:paraId="5B2A55D1">
      <w:pPr>
        <w:spacing w:line="500" w:lineRule="exact"/>
        <w:ind w:firstLine="0" w:firstLineChars="0"/>
        <w:rPr>
          <w:rFonts w:ascii="宋体" w:hAnsi="宋体" w:cs="宋体"/>
          <w:color w:val="auto"/>
          <w:szCs w:val="21"/>
          <w:highlight w:val="none"/>
          <w:u w:val="single"/>
        </w:rPr>
      </w:pPr>
      <w:r>
        <w:rPr>
          <w:rFonts w:hint="eastAsia" w:ascii="宋体" w:hAnsi="宋体" w:cs="宋体"/>
          <w:color w:val="auto"/>
          <w:szCs w:val="21"/>
          <w:highlight w:val="none"/>
        </w:rPr>
        <w:t>年    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p>
    <w:p w14:paraId="022B16CF">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p>
    <w:p w14:paraId="4A16BB8C">
      <w:pPr>
        <w:spacing w:line="500" w:lineRule="exact"/>
        <w:ind w:firstLine="0" w:firstLineChars="0"/>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（供应商名称）的法定代表人。</w:t>
      </w:r>
    </w:p>
    <w:p w14:paraId="6525B41D">
      <w:pPr>
        <w:spacing w:line="500" w:lineRule="exact"/>
        <w:ind w:left="540" w:firstLine="480"/>
        <w:rPr>
          <w:rFonts w:ascii="宋体" w:hAnsi="宋体" w:cs="宋体"/>
          <w:color w:val="auto"/>
          <w:szCs w:val="21"/>
          <w:highlight w:val="none"/>
        </w:rPr>
      </w:pPr>
      <w:r>
        <w:rPr>
          <w:rFonts w:hint="eastAsia" w:ascii="宋体" w:hAnsi="宋体" w:cs="宋体"/>
          <w:color w:val="auto"/>
          <w:szCs w:val="21"/>
          <w:highlight w:val="none"/>
        </w:rPr>
        <w:t>特此证明。</w:t>
      </w:r>
    </w:p>
    <w:p w14:paraId="727BAD99">
      <w:pPr>
        <w:spacing w:line="500" w:lineRule="exact"/>
        <w:ind w:left="540" w:firstLine="480"/>
        <w:rPr>
          <w:rFonts w:ascii="宋体" w:hAnsi="宋体" w:cs="宋体"/>
          <w:color w:val="auto"/>
          <w:szCs w:val="21"/>
          <w:highlight w:val="none"/>
        </w:rPr>
      </w:pPr>
    </w:p>
    <w:p w14:paraId="0DBFCA76">
      <w:pPr>
        <w:spacing w:line="500" w:lineRule="exact"/>
        <w:ind w:left="540" w:firstLine="480"/>
        <w:rPr>
          <w:rFonts w:ascii="宋体" w:hAnsi="宋体" w:cs="宋体"/>
          <w:color w:val="auto"/>
          <w:szCs w:val="21"/>
          <w:highlight w:val="none"/>
        </w:rPr>
      </w:pPr>
      <w:r>
        <w:rPr>
          <w:rFonts w:hint="eastAsia" w:ascii="宋体" w:hAnsi="宋体" w:cs="宋体"/>
          <w:color w:val="auto"/>
          <w:szCs w:val="21"/>
          <w:highlight w:val="none"/>
        </w:rPr>
        <w:t>附：法定代表人有效身份证正反面复印件</w:t>
      </w:r>
    </w:p>
    <w:p w14:paraId="11C6B85C">
      <w:pPr>
        <w:spacing w:line="500" w:lineRule="exact"/>
        <w:ind w:left="540" w:firstLine="480"/>
        <w:rPr>
          <w:rFonts w:ascii="宋体" w:hAnsi="宋体" w:cs="宋体"/>
          <w:color w:val="auto"/>
          <w:szCs w:val="21"/>
          <w:highlight w:val="none"/>
        </w:rPr>
      </w:pPr>
    </w:p>
    <w:p w14:paraId="0F9B4A56">
      <w:pPr>
        <w:spacing w:line="500" w:lineRule="exact"/>
        <w:ind w:left="540" w:right="420" w:firstLine="3780" w:firstLineChars="1800"/>
        <w:rPr>
          <w:rFonts w:ascii="宋体" w:hAnsi="宋体" w:cs="宋体"/>
          <w:color w:val="auto"/>
          <w:szCs w:val="21"/>
          <w:highlight w:val="non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b/>
          <w:color w:val="auto"/>
          <w:sz w:val="21"/>
          <w:szCs w:val="21"/>
          <w:highlight w:val="none"/>
          <w:lang w:eastAsia="zh-CN"/>
        </w:rPr>
        <w:t>：</w:t>
      </w:r>
    </w:p>
    <w:p w14:paraId="537F7F76">
      <w:pPr>
        <w:tabs>
          <w:tab w:val="left" w:pos="1305"/>
        </w:tabs>
        <w:spacing w:line="520" w:lineRule="exact"/>
        <w:ind w:firstLine="4200" w:firstLineChars="1750"/>
        <w:jc w:val="left"/>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5D49B0E0">
      <w:pPr>
        <w:tabs>
          <w:tab w:val="left" w:pos="1305"/>
        </w:tabs>
        <w:spacing w:line="520" w:lineRule="exact"/>
        <w:ind w:firstLine="4200" w:firstLineChars="1750"/>
        <w:jc w:val="left"/>
        <w:rPr>
          <w:rFonts w:ascii="宋体" w:hAnsi="宋体" w:cs="宋体"/>
          <w:color w:val="auto"/>
          <w:highlight w:val="none"/>
        </w:rPr>
      </w:pPr>
    </w:p>
    <w:p w14:paraId="6F136780">
      <w:pPr>
        <w:tabs>
          <w:tab w:val="left" w:pos="1305"/>
        </w:tabs>
        <w:spacing w:line="520" w:lineRule="exact"/>
        <w:ind w:firstLine="4200" w:firstLineChars="1750"/>
        <w:jc w:val="left"/>
        <w:rPr>
          <w:rFonts w:ascii="宋体" w:hAnsi="宋体" w:cs="宋体"/>
          <w:color w:val="auto"/>
          <w:highlight w:val="none"/>
        </w:rPr>
      </w:pPr>
    </w:p>
    <w:p w14:paraId="56768971">
      <w:pPr>
        <w:spacing w:line="380" w:lineRule="exact"/>
        <w:ind w:firstLine="482"/>
        <w:rPr>
          <w:rFonts w:ascii="宋体" w:hAnsi="宋体" w:cs="宋体"/>
          <w:b/>
          <w:color w:val="auto"/>
          <w:highlight w:val="none"/>
        </w:rPr>
      </w:pPr>
      <w:r>
        <w:rPr>
          <w:rFonts w:hint="eastAsia" w:ascii="宋体" w:hAnsi="宋体" w:cs="宋体"/>
          <w:b/>
          <w:color w:val="auto"/>
          <w:highlight w:val="none"/>
        </w:rPr>
        <w:t>注：附法定代表人有效身份证正反面复印件。</w:t>
      </w:r>
    </w:p>
    <w:p w14:paraId="1C839C47">
      <w:pPr>
        <w:pStyle w:val="23"/>
        <w:rPr>
          <w:rFonts w:ascii="宋体" w:hAnsi="宋体" w:cs="宋体"/>
          <w:b/>
          <w:color w:val="auto"/>
          <w:highlight w:val="none"/>
        </w:rPr>
      </w:pPr>
    </w:p>
    <w:p w14:paraId="000F1CAC">
      <w:pPr>
        <w:pStyle w:val="23"/>
        <w:rPr>
          <w:rFonts w:ascii="宋体" w:hAnsi="宋体" w:cs="宋体"/>
          <w:b/>
          <w:color w:val="auto"/>
          <w:highlight w:val="none"/>
        </w:rPr>
      </w:pPr>
    </w:p>
    <w:p w14:paraId="5ECBB3E5">
      <w:pPr>
        <w:pStyle w:val="23"/>
        <w:rPr>
          <w:rFonts w:ascii="宋体" w:hAnsi="宋体" w:cs="宋体"/>
          <w:b/>
          <w:color w:val="auto"/>
          <w:highlight w:val="none"/>
        </w:rPr>
      </w:pPr>
    </w:p>
    <w:p w14:paraId="47C147FC">
      <w:pPr>
        <w:pStyle w:val="23"/>
        <w:rPr>
          <w:rFonts w:ascii="宋体" w:hAnsi="宋体" w:cs="宋体"/>
          <w:b/>
          <w:color w:val="auto"/>
          <w:highlight w:val="none"/>
        </w:rPr>
      </w:pPr>
    </w:p>
    <w:p w14:paraId="5CF37652">
      <w:pPr>
        <w:pStyle w:val="23"/>
        <w:rPr>
          <w:rFonts w:ascii="宋体" w:hAnsi="宋体" w:cs="宋体"/>
          <w:b/>
          <w:color w:val="auto"/>
          <w:highlight w:val="none"/>
        </w:rPr>
      </w:pPr>
    </w:p>
    <w:p w14:paraId="030F1796">
      <w:pPr>
        <w:pStyle w:val="23"/>
        <w:rPr>
          <w:rFonts w:ascii="宋体" w:hAnsi="宋体" w:cs="宋体"/>
          <w:b/>
          <w:color w:val="auto"/>
          <w:highlight w:val="none"/>
        </w:rPr>
      </w:pPr>
    </w:p>
    <w:p w14:paraId="75088944">
      <w:pPr>
        <w:pStyle w:val="23"/>
        <w:rPr>
          <w:rFonts w:ascii="宋体" w:hAnsi="宋体" w:cs="宋体"/>
          <w:b/>
          <w:color w:val="auto"/>
          <w:highlight w:val="none"/>
        </w:rPr>
      </w:pPr>
    </w:p>
    <w:p w14:paraId="6386E340">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（9）供应商的“授权委托书”、委托代理人身份证正反面复印件（委托代理时必须提供）</w:t>
      </w:r>
    </w:p>
    <w:p w14:paraId="48C8EE3C">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5F68416C">
      <w:pPr>
        <w:snapToGrid w:val="0"/>
        <w:spacing w:before="120" w:beforeLines="50" w:after="50" w:line="320" w:lineRule="exact"/>
        <w:ind w:firstLine="643"/>
        <w:jc w:val="center"/>
        <w:rPr>
          <w:rFonts w:ascii="宋体" w:hAnsi="宋体" w:cs="宋体"/>
          <w:b/>
          <w:color w:val="auto"/>
          <w:sz w:val="32"/>
          <w:szCs w:val="32"/>
          <w:highlight w:val="none"/>
        </w:rPr>
      </w:pPr>
      <w:r>
        <w:rPr>
          <w:rFonts w:hint="eastAsia" w:ascii="宋体" w:hAnsi="宋体" w:cs="宋体"/>
          <w:b/>
          <w:color w:val="auto"/>
          <w:sz w:val="32"/>
          <w:szCs w:val="32"/>
          <w:highlight w:val="none"/>
        </w:rPr>
        <w:t>授权委托书（格式）</w:t>
      </w:r>
    </w:p>
    <w:p w14:paraId="3DA2ACF8">
      <w:pPr>
        <w:snapToGrid w:val="0"/>
        <w:spacing w:before="120" w:beforeLines="50" w:after="50"/>
        <w:ind w:firstLine="480"/>
        <w:rPr>
          <w:rFonts w:ascii="宋体" w:hAnsi="宋体" w:cs="宋体"/>
          <w:bCs/>
          <w:color w:val="auto"/>
          <w:highlight w:val="none"/>
        </w:rPr>
      </w:pPr>
    </w:p>
    <w:p w14:paraId="24D26CAE">
      <w:pPr>
        <w:snapToGrid w:val="0"/>
        <w:spacing w:before="120" w:beforeLines="50" w:after="50" w:line="400" w:lineRule="exact"/>
        <w:ind w:firstLine="0" w:firstLineChars="0"/>
        <w:rPr>
          <w:rFonts w:ascii="宋体" w:hAnsi="宋体" w:cs="宋体"/>
          <w:b/>
          <w:bCs/>
          <w:color w:val="auto"/>
          <w:szCs w:val="20"/>
          <w:highlight w:val="none"/>
        </w:rPr>
      </w:pPr>
      <w:r>
        <w:rPr>
          <w:rFonts w:hint="eastAsia" w:ascii="宋体" w:hAnsi="宋体" w:cs="宋体"/>
          <w:bCs/>
          <w:color w:val="auto"/>
          <w:highlight w:val="none"/>
        </w:rPr>
        <w:t>致：</w:t>
      </w:r>
      <w:r>
        <w:rPr>
          <w:rFonts w:hint="eastAsia"/>
          <w:color w:val="auto"/>
          <w:highlight w:val="none"/>
          <w:u w:val="single"/>
        </w:rPr>
        <w:t xml:space="preserve">               </w:t>
      </w:r>
      <w:r>
        <w:rPr>
          <w:rFonts w:hint="eastAsia" w:ascii="宋体" w:hAnsi="宋体" w:cs="宋体"/>
          <w:color w:val="auto"/>
          <w:highlight w:val="none"/>
        </w:rPr>
        <w:t>（采购代理机构）</w:t>
      </w:r>
      <w:r>
        <w:rPr>
          <w:rFonts w:hint="eastAsia" w:ascii="宋体" w:hAnsi="宋体" w:cs="宋体"/>
          <w:b/>
          <w:bCs/>
          <w:color w:val="auto"/>
          <w:highlight w:val="none"/>
        </w:rPr>
        <w:t xml:space="preserve"> </w:t>
      </w:r>
      <w:r>
        <w:rPr>
          <w:rFonts w:hint="eastAsia" w:ascii="宋体" w:hAnsi="宋体" w:cs="宋体"/>
          <w:color w:val="auto"/>
          <w:highlight w:val="none"/>
        </w:rPr>
        <w:t>：</w:t>
      </w:r>
    </w:p>
    <w:p w14:paraId="37A006BC">
      <w:pPr>
        <w:snapToGrid w:val="0"/>
        <w:spacing w:before="120" w:beforeLines="50" w:after="50" w:line="400" w:lineRule="exact"/>
        <w:ind w:firstLine="566" w:firstLineChars="236"/>
        <w:rPr>
          <w:rFonts w:ascii="宋体" w:hAnsi="宋体" w:cs="宋体"/>
          <w:color w:val="auto"/>
          <w:szCs w:val="20"/>
          <w:highlight w:val="none"/>
        </w:rPr>
      </w:pPr>
      <w:r>
        <w:rPr>
          <w:rFonts w:hint="eastAsia" w:ascii="宋体" w:hAnsi="宋体" w:cs="宋体"/>
          <w:color w:val="auto"/>
          <w:highlight w:val="none"/>
        </w:rPr>
        <w:t>我</w:t>
      </w:r>
      <w:r>
        <w:rPr>
          <w:rFonts w:hint="eastAsia"/>
          <w:color w:val="auto"/>
          <w:highlight w:val="none"/>
          <w:u w:val="single"/>
        </w:rPr>
        <w:t xml:space="preserve">               </w:t>
      </w:r>
      <w:r>
        <w:rPr>
          <w:rFonts w:hint="eastAsia" w:ascii="宋体" w:hAnsi="宋体" w:cs="宋体"/>
          <w:color w:val="auto"/>
          <w:highlight w:val="none"/>
        </w:rPr>
        <w:t>（姓名）系</w:t>
      </w:r>
      <w:r>
        <w:rPr>
          <w:rFonts w:hint="eastAsia"/>
          <w:color w:val="auto"/>
          <w:highlight w:val="none"/>
          <w:u w:val="single"/>
        </w:rPr>
        <w:t xml:space="preserve">               </w:t>
      </w:r>
      <w:r>
        <w:rPr>
          <w:rFonts w:hint="eastAsia" w:ascii="宋体" w:hAnsi="宋体" w:cs="宋体"/>
          <w:color w:val="auto"/>
          <w:highlight w:val="none"/>
        </w:rPr>
        <w:t>（供应商名称）的法定代表人，现授权委托本单位在职职工</w:t>
      </w:r>
      <w:r>
        <w:rPr>
          <w:rFonts w:hint="eastAsia" w:ascii="宋体" w:hAnsi="宋体" w:cs="宋体"/>
          <w:color w:val="auto"/>
          <w:highlight w:val="none"/>
          <w:u w:val="single"/>
        </w:rPr>
        <w:t xml:space="preserve">              </w:t>
      </w:r>
      <w:r>
        <w:rPr>
          <w:rFonts w:hint="eastAsia" w:ascii="宋体" w:hAnsi="宋体" w:cs="宋体"/>
          <w:color w:val="auto"/>
          <w:highlight w:val="none"/>
        </w:rPr>
        <w:t>（姓名）以我方的名义参加</w:t>
      </w:r>
      <w:r>
        <w:rPr>
          <w:rFonts w:hint="eastAsia" w:ascii="宋体" w:hAnsi="宋体" w:cs="宋体"/>
          <w:color w:val="auto"/>
          <w:highlight w:val="none"/>
          <w:u w:val="single"/>
        </w:rPr>
        <w:t xml:space="preserve">              </w:t>
      </w:r>
      <w:r>
        <w:rPr>
          <w:rFonts w:hint="eastAsia" w:ascii="宋体" w:hAnsi="宋体" w:cs="宋体"/>
          <w:color w:val="auto"/>
          <w:highlight w:val="none"/>
        </w:rPr>
        <w:t>项目的磋商活动，并代表我方全权办理针对上述项目的磋商、评审、签约等具体事务和签署相关文件。</w:t>
      </w:r>
    </w:p>
    <w:p w14:paraId="112F24A1">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 xml:space="preserve">    我方对委托代理人的签字事项负全部责任。</w:t>
      </w:r>
    </w:p>
    <w:p w14:paraId="589CEF28">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u w:val="single"/>
        </w:rPr>
        <w:t>在撤销授权的书面通知以前，本授权书一直有效。</w:t>
      </w:r>
      <w:r>
        <w:rPr>
          <w:rFonts w:hint="eastAsia" w:ascii="宋体" w:hAnsi="宋体" w:cs="宋体"/>
          <w:color w:val="auto"/>
          <w:highlight w:val="none"/>
        </w:rPr>
        <w:t>委托代理人在授权书有效期内签署的所有文件不因授权的撤销而失效。</w:t>
      </w:r>
    </w:p>
    <w:p w14:paraId="178FB3FD">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委托代理人无转委托权，特此委托。</w:t>
      </w:r>
    </w:p>
    <w:p w14:paraId="7EF8BE4F">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附：委托代理人有效身份证正反面复印件</w:t>
      </w:r>
    </w:p>
    <w:p w14:paraId="27A9CEE4">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委托代理人签字（或电子签名）：</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3872D3C6">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所在部门职务：</w:t>
      </w:r>
      <w:r>
        <w:rPr>
          <w:rFonts w:hint="eastAsia" w:ascii="宋体" w:hAnsi="宋体" w:cs="宋体"/>
          <w:color w:val="auto"/>
          <w:highlight w:val="none"/>
          <w:u w:val="single"/>
        </w:rPr>
        <w:t xml:space="preserve">               </w:t>
      </w:r>
    </w:p>
    <w:p w14:paraId="28332FB1">
      <w:pPr>
        <w:snapToGrid w:val="0"/>
        <w:spacing w:before="120" w:beforeLines="50" w:after="50" w:line="400" w:lineRule="exact"/>
        <w:ind w:firstLine="480"/>
        <w:rPr>
          <w:rFonts w:ascii="宋体" w:hAnsi="宋体" w:cs="宋体"/>
          <w:color w:val="auto"/>
          <w:highlight w:val="none"/>
        </w:rPr>
      </w:pPr>
      <w:r>
        <w:rPr>
          <w:rFonts w:hint="eastAsia" w:ascii="宋体" w:hAnsi="宋体" w:cs="宋体"/>
          <w:color w:val="auto"/>
          <w:highlight w:val="none"/>
        </w:rPr>
        <w:t>委托代理人身份证号码：</w:t>
      </w:r>
      <w:r>
        <w:rPr>
          <w:rFonts w:hint="eastAsia" w:ascii="宋体" w:hAnsi="宋体" w:cs="宋体"/>
          <w:color w:val="auto"/>
          <w:highlight w:val="none"/>
          <w:u w:val="single"/>
        </w:rPr>
        <w:t xml:space="preserve">                             </w:t>
      </w:r>
    </w:p>
    <w:p w14:paraId="4EB96E32">
      <w:pPr>
        <w:snapToGrid w:val="0"/>
        <w:spacing w:before="120" w:beforeLines="50" w:after="50" w:line="400" w:lineRule="exact"/>
        <w:ind w:firstLine="480"/>
        <w:rPr>
          <w:rFonts w:ascii="宋体" w:hAnsi="宋体" w:cs="宋体"/>
          <w:color w:val="auto"/>
          <w:highlight w:val="none"/>
          <w:u w:val="single"/>
        </w:rPr>
      </w:pPr>
      <w:r>
        <w:rPr>
          <w:rFonts w:hint="eastAsia" w:ascii="宋体" w:hAnsi="宋体" w:cs="宋体"/>
          <w:color w:val="auto"/>
          <w:highlight w:val="none"/>
        </w:rPr>
        <w:t>法定代表人签字（或电子签名）：</w:t>
      </w:r>
      <w:r>
        <w:rPr>
          <w:rFonts w:hint="eastAsia" w:ascii="宋体" w:hAnsi="宋体" w:cs="宋体"/>
          <w:color w:val="auto"/>
          <w:highlight w:val="none"/>
          <w:u w:val="single"/>
        </w:rPr>
        <w:t xml:space="preserve">              </w:t>
      </w:r>
    </w:p>
    <w:p w14:paraId="3AC54649">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职务：</w:t>
      </w:r>
      <w:r>
        <w:rPr>
          <w:rFonts w:hint="eastAsia" w:ascii="宋体" w:hAnsi="宋体" w:cs="宋体"/>
          <w:color w:val="auto"/>
          <w:highlight w:val="none"/>
          <w:u w:val="single"/>
        </w:rPr>
        <w:t xml:space="preserve">                  </w:t>
      </w:r>
    </w:p>
    <w:p w14:paraId="3D263B5B">
      <w:pPr>
        <w:snapToGrid w:val="0"/>
        <w:spacing w:before="120" w:beforeLines="50" w:after="50" w:line="400" w:lineRule="exact"/>
        <w:ind w:firstLine="480"/>
        <w:rPr>
          <w:rFonts w:ascii="宋体" w:hAnsi="宋体" w:cs="宋体"/>
          <w:color w:val="auto"/>
          <w:szCs w:val="20"/>
          <w:highlight w:val="none"/>
        </w:rPr>
      </w:pPr>
      <w:r>
        <w:rPr>
          <w:rFonts w:hint="eastAsia" w:ascii="宋体" w:hAnsi="宋体" w:cs="宋体"/>
          <w:color w:val="auto"/>
          <w:highlight w:val="none"/>
        </w:rPr>
        <w:t xml:space="preserve"> </w:t>
      </w:r>
    </w:p>
    <w:p w14:paraId="7EBFEDEB">
      <w:pPr>
        <w:snapToGrid w:val="0"/>
        <w:spacing w:before="120" w:beforeLines="50" w:after="50"/>
        <w:ind w:firstLine="480"/>
        <w:jc w:val="center"/>
        <w:rPr>
          <w:rFonts w:ascii="宋体" w:hAnsi="宋体" w:cs="宋体"/>
          <w:color w:val="auto"/>
          <w:szCs w:val="24"/>
          <w:highlight w:val="none"/>
        </w:rPr>
      </w:pPr>
      <w:r>
        <w:rPr>
          <w:rFonts w:hint="eastAsia" w:ascii="宋体" w:hAnsi="宋体" w:cs="宋体"/>
          <w:color w:val="auto"/>
          <w:highlight w:val="none"/>
        </w:rPr>
        <w:t xml:space="preserve">                </w:t>
      </w:r>
      <w:r>
        <w:rPr>
          <w:rFonts w:hint="eastAsia" w:ascii="宋体" w:hAnsi="宋体" w:cs="宋体"/>
          <w:color w:val="auto"/>
          <w:szCs w:val="24"/>
          <w:highlight w:val="none"/>
        </w:rPr>
        <w:t xml:space="preserve"> 供应商</w:t>
      </w:r>
      <w:r>
        <w:rPr>
          <w:rFonts w:hint="eastAsia" w:ascii="宋体" w:hAnsi="宋体" w:cs="宋体"/>
          <w:b/>
          <w:color w:val="auto"/>
          <w:szCs w:val="24"/>
          <w:highlight w:val="none"/>
        </w:rPr>
        <w:t>（电子签章）</w:t>
      </w:r>
      <w:r>
        <w:rPr>
          <w:rFonts w:hint="eastAsia" w:ascii="宋体" w:hAnsi="宋体" w:cs="宋体"/>
          <w:b/>
          <w:color w:val="auto"/>
          <w:szCs w:val="24"/>
          <w:highlight w:val="none"/>
          <w:lang w:eastAsia="zh-CN"/>
        </w:rPr>
        <w:t>：</w:t>
      </w:r>
    </w:p>
    <w:p w14:paraId="241744BD">
      <w:pPr>
        <w:autoSpaceDE w:val="0"/>
        <w:autoSpaceDN w:val="0"/>
        <w:spacing w:line="300" w:lineRule="auto"/>
        <w:ind w:left="480" w:firstLine="480"/>
        <w:rPr>
          <w:rFonts w:ascii="宋体" w:hAnsi="宋体" w:cs="宋体"/>
          <w:color w:val="auto"/>
          <w:szCs w:val="21"/>
          <w:highlight w:val="none"/>
        </w:rPr>
      </w:pPr>
      <w:r>
        <w:rPr>
          <w:rFonts w:hint="eastAsia" w:ascii="宋体" w:hAnsi="宋体" w:cs="宋体"/>
          <w:color w:val="auto"/>
          <w:highlight w:val="none"/>
        </w:rPr>
        <w:t xml:space="preserve">                                             年    月    日</w:t>
      </w:r>
    </w:p>
    <w:p w14:paraId="2BB4BD96">
      <w:pPr>
        <w:spacing w:line="400" w:lineRule="exact"/>
        <w:ind w:firstLine="602" w:firstLineChars="25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附：委托代理人身份证正反面复印件（委托代理时必须提供）。</w:t>
      </w:r>
    </w:p>
    <w:p w14:paraId="4FD9DC70">
      <w:pPr>
        <w:spacing w:line="380" w:lineRule="exact"/>
        <w:ind w:firstLine="0" w:firstLineChars="0"/>
        <w:rPr>
          <w:rFonts w:ascii="宋体" w:hAnsi="宋体" w:cs="宋体"/>
          <w:b/>
          <w:color w:val="auto"/>
          <w:sz w:val="28"/>
          <w:szCs w:val="28"/>
          <w:highlight w:val="none"/>
        </w:rPr>
      </w:pPr>
    </w:p>
    <w:p w14:paraId="73EA9052">
      <w:pPr>
        <w:pStyle w:val="23"/>
        <w:rPr>
          <w:color w:val="auto"/>
          <w:highlight w:val="none"/>
        </w:rPr>
      </w:pPr>
    </w:p>
    <w:p w14:paraId="08AF9F9D">
      <w:pPr>
        <w:spacing w:line="380" w:lineRule="exact"/>
        <w:ind w:firstLine="0" w:firstLineChars="0"/>
        <w:rPr>
          <w:rFonts w:ascii="宋体" w:hAnsi="宋体" w:cs="宋体"/>
          <w:b/>
          <w:color w:val="auto"/>
          <w:sz w:val="28"/>
          <w:szCs w:val="28"/>
          <w:highlight w:val="none"/>
        </w:rPr>
      </w:pPr>
    </w:p>
    <w:p w14:paraId="349D620E">
      <w:pPr>
        <w:spacing w:line="420" w:lineRule="exact"/>
        <w:ind w:firstLine="0" w:firstLineChars="0"/>
        <w:rPr>
          <w:rFonts w:hint="eastAsia" w:ascii="宋体" w:hAnsi="宋体" w:cs="宋体"/>
          <w:b/>
          <w:color w:val="auto"/>
          <w:sz w:val="28"/>
          <w:szCs w:val="28"/>
          <w:highlight w:val="none"/>
        </w:rPr>
      </w:pPr>
    </w:p>
    <w:p w14:paraId="77687185">
      <w:pPr>
        <w:spacing w:line="420" w:lineRule="exact"/>
        <w:ind w:firstLine="0" w:firstLineChars="0"/>
        <w:rPr>
          <w:rFonts w:hint="eastAsia" w:ascii="宋体" w:hAnsi="宋体" w:cs="宋体"/>
          <w:b/>
          <w:color w:val="auto"/>
          <w:sz w:val="28"/>
          <w:szCs w:val="28"/>
          <w:highlight w:val="none"/>
        </w:rPr>
      </w:pPr>
    </w:p>
    <w:p w14:paraId="0703E036">
      <w:pPr>
        <w:spacing w:line="420" w:lineRule="exact"/>
        <w:ind w:firstLine="0" w:firstLineChars="0"/>
        <w:rPr>
          <w:rFonts w:hint="eastAsia" w:ascii="宋体" w:hAnsi="宋体" w:cs="宋体"/>
          <w:b/>
          <w:color w:val="auto"/>
          <w:sz w:val="28"/>
          <w:szCs w:val="28"/>
          <w:highlight w:val="none"/>
        </w:rPr>
      </w:pPr>
    </w:p>
    <w:p w14:paraId="22C1223E">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eastAsia="宋体" w:cs="宋体"/>
          <w:b/>
          <w:bCs w:val="0"/>
          <w:color w:val="auto"/>
          <w:sz w:val="28"/>
          <w:szCs w:val="28"/>
          <w:highlight w:val="none"/>
          <w:lang w:eastAsia="zh-CN"/>
        </w:rPr>
      </w:pPr>
      <w:r>
        <w:rPr>
          <w:rFonts w:hint="eastAsia" w:ascii="宋体" w:hAnsi="宋体" w:cs="宋体"/>
          <w:b/>
          <w:bCs w:val="0"/>
          <w:color w:val="auto"/>
          <w:sz w:val="28"/>
          <w:szCs w:val="28"/>
          <w:highlight w:val="none"/>
        </w:rPr>
        <w:t>（10）</w:t>
      </w:r>
      <w:r>
        <w:rPr>
          <w:rFonts w:hint="eastAsia" w:ascii="宋体" w:hAnsi="宋体" w:cs="宋体"/>
          <w:b/>
          <w:bCs w:val="0"/>
          <w:color w:val="auto"/>
          <w:sz w:val="28"/>
          <w:szCs w:val="28"/>
          <w:highlight w:val="none"/>
          <w:lang w:eastAsia="zh-CN"/>
        </w:rPr>
        <w:t>特定资格要求证明材料</w:t>
      </w:r>
      <w:r>
        <w:rPr>
          <w:rFonts w:hint="eastAsia" w:ascii="宋体" w:hAnsi="宋体" w:cs="宋体"/>
          <w:b/>
          <w:color w:val="auto"/>
          <w:sz w:val="28"/>
          <w:szCs w:val="28"/>
          <w:highlight w:val="none"/>
        </w:rPr>
        <w:t>（必须提供）</w:t>
      </w:r>
    </w:p>
    <w:p w14:paraId="71021E77">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eastAsia="宋体" w:cs="宋体"/>
          <w:b/>
          <w:bCs w:val="0"/>
          <w:color w:val="auto"/>
          <w:sz w:val="28"/>
          <w:szCs w:val="28"/>
          <w:highlight w:val="none"/>
          <w:lang w:val="en-US" w:eastAsia="zh-CN"/>
        </w:rPr>
      </w:pPr>
      <w:r>
        <w:rPr>
          <w:rFonts w:hint="eastAsia" w:ascii="宋体" w:hAnsi="宋体" w:cs="宋体"/>
          <w:b/>
          <w:bCs w:val="0"/>
          <w:color w:val="auto"/>
          <w:sz w:val="28"/>
          <w:szCs w:val="28"/>
          <w:highlight w:val="none"/>
          <w:lang w:val="en-US" w:eastAsia="zh-CN"/>
        </w:rPr>
        <w:t>1）</w:t>
      </w:r>
      <w:r>
        <w:rPr>
          <w:rFonts w:hint="eastAsia" w:ascii="宋体" w:hAnsi="宋体" w:cs="宋体"/>
          <w:b/>
          <w:color w:val="auto"/>
          <w:sz w:val="28"/>
          <w:szCs w:val="28"/>
          <w:highlight w:val="none"/>
        </w:rPr>
        <w:t>供应商具备建筑工程施工总承包三级以上（含三级）资质</w:t>
      </w:r>
      <w:r>
        <w:rPr>
          <w:rFonts w:hint="eastAsia" w:ascii="宋体" w:hAnsi="宋体" w:cs="宋体"/>
          <w:b/>
          <w:color w:val="auto"/>
          <w:sz w:val="28"/>
          <w:szCs w:val="28"/>
          <w:highlight w:val="none"/>
          <w:lang w:eastAsia="zh-CN"/>
        </w:rPr>
        <w:t>证书复印件及</w:t>
      </w:r>
      <w:r>
        <w:rPr>
          <w:rFonts w:hint="eastAsia" w:ascii="宋体" w:hAnsi="宋体" w:cs="宋体"/>
          <w:b/>
          <w:color w:val="auto"/>
          <w:sz w:val="28"/>
          <w:szCs w:val="28"/>
          <w:highlight w:val="none"/>
        </w:rPr>
        <w:t>有效的安全生产许可证</w:t>
      </w:r>
      <w:r>
        <w:rPr>
          <w:rFonts w:hint="eastAsia" w:ascii="宋体" w:hAnsi="宋体" w:cs="宋体"/>
          <w:b/>
          <w:color w:val="auto"/>
          <w:sz w:val="28"/>
          <w:szCs w:val="28"/>
          <w:highlight w:val="none"/>
          <w:lang w:eastAsia="zh-CN"/>
        </w:rPr>
        <w:t>书复印件。</w:t>
      </w:r>
    </w:p>
    <w:p w14:paraId="49319E4C">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cs="宋体"/>
          <w:b/>
          <w:bCs w:val="0"/>
          <w:color w:val="auto"/>
          <w:sz w:val="28"/>
          <w:szCs w:val="28"/>
          <w:highlight w:val="none"/>
          <w:lang w:val="en-US" w:eastAsia="zh-CN"/>
        </w:rPr>
      </w:pPr>
    </w:p>
    <w:p w14:paraId="3279B56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cs="宋体"/>
          <w:b/>
          <w:bCs w:val="0"/>
          <w:color w:val="auto"/>
          <w:sz w:val="28"/>
          <w:szCs w:val="28"/>
          <w:highlight w:val="none"/>
          <w:lang w:val="en-US" w:eastAsia="zh-CN"/>
        </w:rPr>
      </w:pPr>
    </w:p>
    <w:p w14:paraId="74D10C56">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cs="宋体"/>
          <w:b/>
          <w:color w:val="auto"/>
          <w:sz w:val="28"/>
          <w:szCs w:val="28"/>
          <w:highlight w:val="none"/>
        </w:rPr>
      </w:pPr>
      <w:r>
        <w:rPr>
          <w:rFonts w:hint="eastAsia" w:ascii="宋体" w:hAnsi="宋体" w:cs="宋体"/>
          <w:b/>
          <w:bCs w:val="0"/>
          <w:color w:val="auto"/>
          <w:sz w:val="28"/>
          <w:szCs w:val="28"/>
          <w:highlight w:val="none"/>
          <w:lang w:val="en-US" w:eastAsia="zh-CN"/>
        </w:rPr>
        <w:t>2</w:t>
      </w:r>
      <w:r>
        <w:rPr>
          <w:rFonts w:hint="eastAsia" w:ascii="宋体" w:hAnsi="宋体" w:cs="宋体"/>
          <w:b/>
          <w:bCs w:val="0"/>
          <w:color w:val="auto"/>
          <w:sz w:val="28"/>
          <w:szCs w:val="28"/>
          <w:highlight w:val="none"/>
        </w:rPr>
        <w:t>）</w:t>
      </w:r>
      <w:r>
        <w:rPr>
          <w:rFonts w:hint="eastAsia" w:ascii="宋体" w:hAnsi="宋体" w:cs="宋体"/>
          <w:b/>
          <w:color w:val="auto"/>
          <w:sz w:val="28"/>
          <w:szCs w:val="28"/>
          <w:highlight w:val="none"/>
        </w:rPr>
        <w:t>供应商提供项目管理机构组成表</w:t>
      </w:r>
    </w:p>
    <w:p w14:paraId="360CC6B0">
      <w:pPr>
        <w:spacing w:line="380" w:lineRule="exact"/>
        <w:ind w:firstLine="0" w:firstLineChars="0"/>
        <w:rPr>
          <w:rFonts w:hint="eastAsia" w:ascii="宋体" w:hAnsi="宋体" w:cs="宋体"/>
          <w:b/>
          <w:color w:val="auto"/>
          <w:sz w:val="28"/>
          <w:szCs w:val="28"/>
          <w:highlight w:val="none"/>
        </w:rPr>
      </w:pPr>
    </w:p>
    <w:p w14:paraId="48E235BF">
      <w:pPr>
        <w:spacing w:before="120" w:beforeLines="50" w:after="240" w:afterLines="100" w:line="320" w:lineRule="exact"/>
        <w:ind w:firstLine="562"/>
        <w:jc w:val="left"/>
        <w:rPr>
          <w:rFonts w:ascii="宋体" w:hAnsi="宋体" w:cs="宋体"/>
          <w:b/>
          <w:color w:val="auto"/>
          <w:sz w:val="28"/>
          <w:szCs w:val="28"/>
          <w:highlight w:val="none"/>
        </w:rPr>
      </w:pPr>
      <w:r>
        <w:rPr>
          <w:rFonts w:hint="eastAsia" w:ascii="宋体" w:hAnsi="宋体" w:cs="宋体"/>
          <w:b/>
          <w:color w:val="auto"/>
          <w:sz w:val="28"/>
          <w:szCs w:val="28"/>
          <w:highlight w:val="none"/>
        </w:rPr>
        <w:t>附件</w:t>
      </w:r>
    </w:p>
    <w:p w14:paraId="2934AD57">
      <w:pPr>
        <w:spacing w:before="120" w:beforeLines="50" w:after="240" w:afterLines="100" w:line="440" w:lineRule="exact"/>
        <w:ind w:firstLine="2880" w:firstLineChars="1200"/>
        <w:jc w:val="left"/>
        <w:rPr>
          <w:rFonts w:ascii="宋体" w:hAnsi="宋体" w:cs="宋体"/>
          <w:b/>
          <w:color w:val="auto"/>
          <w:sz w:val="28"/>
          <w:szCs w:val="28"/>
          <w:highlight w:val="none"/>
        </w:rPr>
      </w:pPr>
      <w:r>
        <w:rPr>
          <w:rFonts w:hint="eastAsia" w:ascii="宋体" w:hAnsi="宋体" w:cs="宋体"/>
          <w:color w:val="auto"/>
          <w:highlight w:val="none"/>
        </w:rPr>
        <w:t xml:space="preserve"> </w:t>
      </w:r>
      <w:r>
        <w:rPr>
          <w:rFonts w:hint="eastAsia" w:ascii="宋体" w:hAnsi="宋体" w:cs="宋体"/>
          <w:b/>
          <w:color w:val="auto"/>
          <w:sz w:val="28"/>
          <w:szCs w:val="28"/>
          <w:highlight w:val="none"/>
        </w:rPr>
        <w:t>项目管理机构组成表（格式）</w:t>
      </w:r>
    </w:p>
    <w:p w14:paraId="64EAAAFC">
      <w:pPr>
        <w:ind w:firstLine="480"/>
        <w:rPr>
          <w:rFonts w:ascii="宋体" w:hAnsi="宋体" w:cs="宋体"/>
          <w:color w:val="auto"/>
          <w:highlight w:val="none"/>
          <w:u w:val="single"/>
        </w:rPr>
      </w:pPr>
      <w:r>
        <w:rPr>
          <w:rFonts w:hint="eastAsia" w:ascii="宋体" w:hAnsi="宋体" w:cs="宋体"/>
          <w:color w:val="auto"/>
          <w:highlight w:val="none"/>
        </w:rPr>
        <w:t>项目名称：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19AE7139">
      <w:pPr>
        <w:ind w:firstLine="480"/>
        <w:rPr>
          <w:rFonts w:ascii="宋体" w:hAnsi="宋体" w:cs="宋体"/>
          <w:color w:val="auto"/>
          <w:highlight w:val="none"/>
        </w:rPr>
      </w:pPr>
      <w:r>
        <w:rPr>
          <w:rFonts w:hint="eastAsia" w:ascii="宋体" w:hAnsi="宋体" w:cs="宋体"/>
          <w:color w:val="auto"/>
          <w:highlight w:val="none"/>
        </w:rPr>
        <w:t xml:space="preserve">项目编号： </w:t>
      </w:r>
      <w:r>
        <w:rPr>
          <w:rFonts w:hint="eastAsia" w:ascii="宋体" w:hAnsi="宋体" w:cs="宋体"/>
          <w:color w:val="auto"/>
          <w:highlight w:val="none"/>
          <w:u w:val="single"/>
        </w:rPr>
        <w:t xml:space="preserve">                      </w:t>
      </w:r>
    </w:p>
    <w:tbl>
      <w:tblPr>
        <w:tblStyle w:val="48"/>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723"/>
        <w:gridCol w:w="723"/>
        <w:gridCol w:w="1321"/>
        <w:gridCol w:w="3353"/>
      </w:tblGrid>
      <w:tr w14:paraId="3B14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543A4BDB">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岗位名称</w:t>
            </w:r>
          </w:p>
        </w:tc>
        <w:tc>
          <w:tcPr>
            <w:tcW w:w="723" w:type="dxa"/>
            <w:tcBorders>
              <w:top w:val="single" w:color="auto" w:sz="4" w:space="0"/>
              <w:left w:val="single" w:color="auto" w:sz="4" w:space="0"/>
              <w:bottom w:val="single" w:color="auto" w:sz="4" w:space="0"/>
              <w:right w:val="single" w:color="auto" w:sz="4" w:space="0"/>
            </w:tcBorders>
            <w:noWrap/>
            <w:vAlign w:val="center"/>
          </w:tcPr>
          <w:p w14:paraId="5B7CFA95">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723" w:type="dxa"/>
            <w:tcBorders>
              <w:top w:val="single" w:color="auto" w:sz="4" w:space="0"/>
              <w:left w:val="single" w:color="auto" w:sz="4" w:space="0"/>
              <w:bottom w:val="single" w:color="auto" w:sz="4" w:space="0"/>
              <w:right w:val="single" w:color="auto" w:sz="4" w:space="0"/>
            </w:tcBorders>
            <w:noWrap/>
            <w:vAlign w:val="center"/>
          </w:tcPr>
          <w:p w14:paraId="64A600CA">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职务</w:t>
            </w:r>
          </w:p>
        </w:tc>
        <w:tc>
          <w:tcPr>
            <w:tcW w:w="1321" w:type="dxa"/>
            <w:tcBorders>
              <w:top w:val="single" w:color="auto" w:sz="4" w:space="0"/>
              <w:left w:val="single" w:color="auto" w:sz="4" w:space="0"/>
              <w:bottom w:val="single" w:color="auto" w:sz="4" w:space="0"/>
              <w:right w:val="single" w:color="auto" w:sz="4" w:space="0"/>
            </w:tcBorders>
            <w:noWrap/>
            <w:vAlign w:val="center"/>
          </w:tcPr>
          <w:p w14:paraId="4F793D58">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资质/职称</w:t>
            </w:r>
          </w:p>
        </w:tc>
        <w:tc>
          <w:tcPr>
            <w:tcW w:w="3353" w:type="dxa"/>
            <w:tcBorders>
              <w:top w:val="single" w:color="auto" w:sz="4" w:space="0"/>
              <w:left w:val="single" w:color="auto" w:sz="4" w:space="0"/>
              <w:bottom w:val="single" w:color="auto" w:sz="4" w:space="0"/>
              <w:right w:val="single" w:color="auto" w:sz="4" w:space="0"/>
            </w:tcBorders>
            <w:noWrap/>
            <w:vAlign w:val="center"/>
          </w:tcPr>
          <w:p w14:paraId="79332B63">
            <w:pPr>
              <w:adjustRightInd w:val="0"/>
              <w:spacing w:line="300" w:lineRule="auto"/>
              <w:ind w:firstLine="0" w:firstLineChars="0"/>
              <w:jc w:val="center"/>
              <w:rPr>
                <w:rFonts w:ascii="宋体" w:hAnsi="宋体" w:cs="宋体"/>
                <w:color w:val="auto"/>
                <w:szCs w:val="21"/>
                <w:highlight w:val="none"/>
              </w:rPr>
            </w:pPr>
            <w:r>
              <w:rPr>
                <w:rFonts w:hint="eastAsia" w:ascii="宋体" w:hAnsi="宋体" w:cs="宋体"/>
                <w:color w:val="auto"/>
                <w:szCs w:val="21"/>
                <w:highlight w:val="none"/>
              </w:rPr>
              <w:t>主要资历、经验及承担的项目</w:t>
            </w:r>
          </w:p>
        </w:tc>
      </w:tr>
      <w:tr w14:paraId="6B1A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19C0514E">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01FBCD72">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3405330E">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4684731C">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6240CD8A">
            <w:pPr>
              <w:adjustRightInd w:val="0"/>
              <w:spacing w:line="300" w:lineRule="auto"/>
              <w:ind w:firstLine="480"/>
              <w:rPr>
                <w:rFonts w:ascii="宋体" w:hAnsi="宋体" w:cs="宋体"/>
                <w:color w:val="auto"/>
                <w:szCs w:val="21"/>
                <w:highlight w:val="none"/>
              </w:rPr>
            </w:pPr>
          </w:p>
        </w:tc>
      </w:tr>
      <w:tr w14:paraId="7F67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62AC3F36">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0501D3DC">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32295F36">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78366E9C">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5B3E4843">
            <w:pPr>
              <w:adjustRightInd w:val="0"/>
              <w:spacing w:line="300" w:lineRule="auto"/>
              <w:ind w:firstLine="480"/>
              <w:rPr>
                <w:rFonts w:ascii="宋体" w:hAnsi="宋体" w:cs="宋体"/>
                <w:color w:val="auto"/>
                <w:szCs w:val="21"/>
                <w:highlight w:val="none"/>
              </w:rPr>
            </w:pPr>
          </w:p>
        </w:tc>
      </w:tr>
      <w:tr w14:paraId="4330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31677A12">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69C2D695">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72AF0E5B">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40C6BF68">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3A9C67C">
            <w:pPr>
              <w:adjustRightInd w:val="0"/>
              <w:spacing w:line="300" w:lineRule="auto"/>
              <w:ind w:firstLine="480"/>
              <w:rPr>
                <w:rFonts w:ascii="宋体" w:hAnsi="宋体" w:cs="宋体"/>
                <w:color w:val="auto"/>
                <w:szCs w:val="21"/>
                <w:highlight w:val="none"/>
              </w:rPr>
            </w:pPr>
          </w:p>
        </w:tc>
      </w:tr>
      <w:tr w14:paraId="7572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2DBC4C6D">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2BCCCFDC">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6B4EF1BA">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4E9C5F5C">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600330C0">
            <w:pPr>
              <w:adjustRightInd w:val="0"/>
              <w:spacing w:line="300" w:lineRule="auto"/>
              <w:ind w:firstLine="480"/>
              <w:rPr>
                <w:rFonts w:ascii="宋体" w:hAnsi="宋体" w:cs="宋体"/>
                <w:color w:val="auto"/>
                <w:szCs w:val="21"/>
                <w:highlight w:val="none"/>
              </w:rPr>
            </w:pPr>
          </w:p>
        </w:tc>
      </w:tr>
      <w:tr w14:paraId="22B4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350BF72C">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27162F5F">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92427EE">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1B1C95D4">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32AC9A9E">
            <w:pPr>
              <w:adjustRightInd w:val="0"/>
              <w:spacing w:line="300" w:lineRule="auto"/>
              <w:ind w:firstLine="480"/>
              <w:rPr>
                <w:rFonts w:ascii="宋体" w:hAnsi="宋体" w:cs="宋体"/>
                <w:color w:val="auto"/>
                <w:szCs w:val="21"/>
                <w:highlight w:val="none"/>
              </w:rPr>
            </w:pPr>
          </w:p>
        </w:tc>
      </w:tr>
      <w:tr w14:paraId="1BAE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7DCD4B29">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47C95E1A">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32BEF2E">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17836220">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65811C2">
            <w:pPr>
              <w:adjustRightInd w:val="0"/>
              <w:spacing w:line="300" w:lineRule="auto"/>
              <w:ind w:firstLine="480"/>
              <w:rPr>
                <w:rFonts w:ascii="宋体" w:hAnsi="宋体" w:cs="宋体"/>
                <w:color w:val="auto"/>
                <w:szCs w:val="21"/>
                <w:highlight w:val="none"/>
              </w:rPr>
            </w:pPr>
          </w:p>
        </w:tc>
      </w:tr>
      <w:tr w14:paraId="4922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00F9EB02">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0EB9553D">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7707D0C3">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01E0B8C0">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51C48D6">
            <w:pPr>
              <w:adjustRightInd w:val="0"/>
              <w:spacing w:line="300" w:lineRule="auto"/>
              <w:ind w:firstLine="480"/>
              <w:rPr>
                <w:rFonts w:ascii="宋体" w:hAnsi="宋体" w:cs="宋体"/>
                <w:color w:val="auto"/>
                <w:szCs w:val="21"/>
                <w:highlight w:val="none"/>
              </w:rPr>
            </w:pPr>
          </w:p>
        </w:tc>
      </w:tr>
      <w:tr w14:paraId="61A7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5E7FE8A9">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6C0D8351">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5D73B827">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3B6CA894">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528C0BA2">
            <w:pPr>
              <w:adjustRightInd w:val="0"/>
              <w:spacing w:line="300" w:lineRule="auto"/>
              <w:ind w:firstLine="480"/>
              <w:rPr>
                <w:rFonts w:ascii="宋体" w:hAnsi="宋体" w:cs="宋体"/>
                <w:color w:val="auto"/>
                <w:szCs w:val="21"/>
                <w:highlight w:val="none"/>
              </w:rPr>
            </w:pPr>
          </w:p>
        </w:tc>
      </w:tr>
      <w:tr w14:paraId="6E7F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6463505E">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510F06E1">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4887D2AF">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1DAA6176">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2C69B633">
            <w:pPr>
              <w:adjustRightInd w:val="0"/>
              <w:spacing w:line="300" w:lineRule="auto"/>
              <w:ind w:firstLine="480"/>
              <w:rPr>
                <w:rFonts w:ascii="宋体" w:hAnsi="宋体" w:cs="宋体"/>
                <w:color w:val="auto"/>
                <w:szCs w:val="21"/>
                <w:highlight w:val="none"/>
              </w:rPr>
            </w:pPr>
          </w:p>
        </w:tc>
      </w:tr>
      <w:tr w14:paraId="55B5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2877" w:type="dxa"/>
            <w:tcBorders>
              <w:top w:val="single" w:color="auto" w:sz="4" w:space="0"/>
              <w:left w:val="single" w:color="auto" w:sz="4" w:space="0"/>
              <w:bottom w:val="single" w:color="auto" w:sz="4" w:space="0"/>
              <w:right w:val="single" w:color="auto" w:sz="4" w:space="0"/>
            </w:tcBorders>
            <w:noWrap/>
            <w:vAlign w:val="center"/>
          </w:tcPr>
          <w:p w14:paraId="2BF2C99F">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C2DA651">
            <w:pPr>
              <w:adjustRightInd w:val="0"/>
              <w:spacing w:line="300" w:lineRule="auto"/>
              <w:ind w:firstLine="480"/>
              <w:rPr>
                <w:rFonts w:ascii="宋体" w:hAnsi="宋体" w:cs="宋体"/>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ign w:val="center"/>
          </w:tcPr>
          <w:p w14:paraId="1E5224D4">
            <w:pPr>
              <w:adjustRightInd w:val="0"/>
              <w:spacing w:line="300" w:lineRule="auto"/>
              <w:ind w:firstLine="480"/>
              <w:rPr>
                <w:rFonts w:ascii="宋体" w:hAnsi="宋体" w:cs="宋体"/>
                <w:color w:val="auto"/>
                <w:szCs w:val="21"/>
                <w:highlight w:val="none"/>
              </w:rPr>
            </w:pPr>
          </w:p>
        </w:tc>
        <w:tc>
          <w:tcPr>
            <w:tcW w:w="1321" w:type="dxa"/>
            <w:tcBorders>
              <w:top w:val="single" w:color="auto" w:sz="4" w:space="0"/>
              <w:left w:val="single" w:color="auto" w:sz="4" w:space="0"/>
              <w:bottom w:val="single" w:color="auto" w:sz="4" w:space="0"/>
              <w:right w:val="single" w:color="auto" w:sz="4" w:space="0"/>
            </w:tcBorders>
            <w:noWrap/>
            <w:vAlign w:val="center"/>
          </w:tcPr>
          <w:p w14:paraId="505BA3B8">
            <w:pPr>
              <w:adjustRightInd w:val="0"/>
              <w:spacing w:line="300" w:lineRule="auto"/>
              <w:ind w:firstLine="480"/>
              <w:rPr>
                <w:rFonts w:ascii="宋体" w:hAnsi="宋体" w:cs="宋体"/>
                <w:color w:val="auto"/>
                <w:szCs w:val="21"/>
                <w:highlight w:val="none"/>
              </w:rPr>
            </w:pPr>
          </w:p>
        </w:tc>
        <w:tc>
          <w:tcPr>
            <w:tcW w:w="3353" w:type="dxa"/>
            <w:tcBorders>
              <w:top w:val="single" w:color="auto" w:sz="4" w:space="0"/>
              <w:left w:val="single" w:color="auto" w:sz="4" w:space="0"/>
              <w:bottom w:val="single" w:color="auto" w:sz="4" w:space="0"/>
              <w:right w:val="single" w:color="auto" w:sz="4" w:space="0"/>
            </w:tcBorders>
            <w:noWrap/>
            <w:vAlign w:val="center"/>
          </w:tcPr>
          <w:p w14:paraId="66A4A75A">
            <w:pPr>
              <w:adjustRightInd w:val="0"/>
              <w:spacing w:line="300" w:lineRule="auto"/>
              <w:ind w:firstLine="480"/>
              <w:rPr>
                <w:rFonts w:ascii="宋体" w:hAnsi="宋体" w:cs="宋体"/>
                <w:color w:val="auto"/>
                <w:szCs w:val="21"/>
                <w:highlight w:val="none"/>
              </w:rPr>
            </w:pPr>
          </w:p>
        </w:tc>
      </w:tr>
    </w:tbl>
    <w:p w14:paraId="70344940">
      <w:pPr>
        <w:tabs>
          <w:tab w:val="left" w:pos="1635"/>
        </w:tabs>
        <w:spacing w:line="380" w:lineRule="exact"/>
        <w:ind w:firstLine="435" w:firstLineChars="0"/>
        <w:rPr>
          <w:rFonts w:hint="eastAsia" w:ascii="宋体" w:hAnsi="宋体"/>
          <w:b/>
          <w:bCs/>
          <w:color w:val="auto"/>
          <w:sz w:val="21"/>
          <w:szCs w:val="21"/>
          <w:highlight w:val="none"/>
          <w:lang w:eastAsia="zh-CN"/>
        </w:rPr>
      </w:pPr>
      <w:r>
        <w:rPr>
          <w:rFonts w:hint="eastAsia" w:ascii="宋体" w:hAnsi="宋体"/>
          <w:b/>
          <w:bCs/>
          <w:color w:val="auto"/>
          <w:sz w:val="21"/>
          <w:szCs w:val="21"/>
          <w:highlight w:val="none"/>
        </w:rPr>
        <w:t>附：</w:t>
      </w:r>
      <w:r>
        <w:rPr>
          <w:rFonts w:hint="eastAsia" w:ascii="宋体" w:hAnsi="宋体"/>
          <w:b/>
          <w:bCs/>
          <w:color w:val="auto"/>
          <w:sz w:val="21"/>
          <w:szCs w:val="21"/>
          <w:highlight w:val="none"/>
          <w:lang w:eastAsia="zh-CN"/>
        </w:rPr>
        <w:t>响应文件中必须同时提供：</w:t>
      </w:r>
    </w:p>
    <w:p w14:paraId="75A529D9">
      <w:pPr>
        <w:spacing w:line="400" w:lineRule="exact"/>
        <w:ind w:firstLine="420"/>
        <w:rPr>
          <w:rFonts w:hint="default" w:ascii="宋体" w:hAnsi="宋体" w:cs="宋体"/>
          <w:b w:val="0"/>
          <w:bCs w:val="0"/>
          <w:color w:val="auto"/>
          <w:sz w:val="21"/>
          <w:szCs w:val="21"/>
          <w:highlight w:val="none"/>
          <w:lang w:val="en-US"/>
        </w:rPr>
      </w:pPr>
      <w:r>
        <w:rPr>
          <w:rFonts w:hint="default" w:ascii="宋体" w:hAnsi="宋体" w:cs="宋体"/>
          <w:b w:val="0"/>
          <w:bCs w:val="0"/>
          <w:color w:val="auto"/>
          <w:sz w:val="21"/>
          <w:szCs w:val="21"/>
          <w:highlight w:val="none"/>
          <w:lang w:val="en-US"/>
        </w:rPr>
        <w:t>①项目经理（1人）：提供拟投入的项目经理建筑工程专业二级以上（含二级）注册建造师执业资格证书复印件，具备有效的安全生产考核合格证书（B类）证书复印件及身份证复印件；</w:t>
      </w:r>
    </w:p>
    <w:p w14:paraId="748C10D5">
      <w:pPr>
        <w:spacing w:line="400" w:lineRule="exact"/>
        <w:ind w:firstLine="420"/>
        <w:rPr>
          <w:rFonts w:hint="default" w:ascii="宋体" w:hAnsi="宋体" w:cs="宋体"/>
          <w:b w:val="0"/>
          <w:bCs w:val="0"/>
          <w:color w:val="auto"/>
          <w:sz w:val="21"/>
          <w:szCs w:val="21"/>
          <w:highlight w:val="none"/>
          <w:lang w:val="en-US"/>
        </w:rPr>
      </w:pPr>
      <w:r>
        <w:rPr>
          <w:rFonts w:hint="default" w:ascii="宋体" w:hAnsi="宋体" w:cs="宋体"/>
          <w:b w:val="0"/>
          <w:bCs w:val="0"/>
          <w:color w:val="auto"/>
          <w:sz w:val="21"/>
          <w:szCs w:val="21"/>
          <w:highlight w:val="none"/>
          <w:lang w:val="en-US"/>
        </w:rPr>
        <w:t>②技术负责人（1人）：提供拟投入的技术负责人相关专业中级及以上职称证复印件及身份证复印件；</w:t>
      </w:r>
    </w:p>
    <w:p w14:paraId="64FEC3DB">
      <w:pPr>
        <w:spacing w:line="400" w:lineRule="exact"/>
        <w:ind w:firstLine="420"/>
        <w:rPr>
          <w:rFonts w:hint="default" w:ascii="宋体" w:hAnsi="宋体" w:cs="宋体"/>
          <w:b w:val="0"/>
          <w:bCs w:val="0"/>
          <w:color w:val="auto"/>
          <w:sz w:val="21"/>
          <w:szCs w:val="21"/>
          <w:highlight w:val="none"/>
          <w:lang w:val="en-US"/>
        </w:rPr>
      </w:pPr>
      <w:r>
        <w:rPr>
          <w:rFonts w:hint="default" w:ascii="宋体" w:hAnsi="宋体" w:cs="宋体"/>
          <w:b w:val="0"/>
          <w:bCs w:val="0"/>
          <w:color w:val="auto"/>
          <w:sz w:val="21"/>
          <w:szCs w:val="21"/>
          <w:highlight w:val="none"/>
          <w:lang w:val="en-US"/>
        </w:rPr>
        <w:t>③专职安全生产管理人员（1人）：提供拟投入的专职安全生产管理人员须具有相应有效的专职安全员安全生产考核合格证书（C类）复印件及身份证复印件；</w:t>
      </w:r>
    </w:p>
    <w:p w14:paraId="3562D82B">
      <w:pPr>
        <w:spacing w:line="400" w:lineRule="exact"/>
        <w:ind w:firstLine="420"/>
        <w:rPr>
          <w:rFonts w:hint="default" w:ascii="宋体" w:hAnsi="宋体" w:cs="宋体"/>
          <w:b w:val="0"/>
          <w:bCs w:val="0"/>
          <w:color w:val="auto"/>
          <w:sz w:val="21"/>
          <w:szCs w:val="21"/>
          <w:highlight w:val="none"/>
          <w:lang w:val="en-US"/>
        </w:rPr>
      </w:pPr>
      <w:r>
        <w:rPr>
          <w:rFonts w:hint="default" w:ascii="宋体" w:hAnsi="宋体" w:cs="宋体"/>
          <w:b w:val="0"/>
          <w:bCs w:val="0"/>
          <w:color w:val="auto"/>
          <w:sz w:val="21"/>
          <w:szCs w:val="21"/>
          <w:highlight w:val="none"/>
          <w:lang w:val="en-US"/>
        </w:rPr>
        <w:t>④施工员、质量员、材料员（各配备1人）：提供拟投入的施工员、质量员、材料员须具有相应有效的施工现场专业人员职业培训合格证书复印件及身份证复印件；</w:t>
      </w:r>
    </w:p>
    <w:p w14:paraId="5F36F6C2">
      <w:pPr>
        <w:spacing w:line="400" w:lineRule="exact"/>
        <w:ind w:firstLine="420"/>
        <w:rPr>
          <w:rFonts w:hint="default" w:ascii="宋体" w:hAnsi="宋体" w:cs="宋体"/>
          <w:b w:val="0"/>
          <w:bCs w:val="0"/>
          <w:color w:val="auto"/>
          <w:sz w:val="21"/>
          <w:szCs w:val="21"/>
          <w:highlight w:val="none"/>
          <w:lang w:val="en-US"/>
        </w:rPr>
      </w:pPr>
      <w:r>
        <w:rPr>
          <w:rFonts w:hint="default" w:ascii="宋体" w:hAnsi="宋体" w:cs="宋体"/>
          <w:b w:val="0"/>
          <w:bCs w:val="0"/>
          <w:color w:val="auto"/>
          <w:sz w:val="21"/>
          <w:szCs w:val="21"/>
          <w:highlight w:val="none"/>
          <w:lang w:val="en-US"/>
        </w:rPr>
        <w:t>⑤提供供应商2026年以来任意1个月为以上项目经理、技术负责人、专职安全生产管理人员、施工员、质量员、材料员缴纳的社保证明材料或供应商与其签订的有效劳动合同复印件。</w:t>
      </w:r>
    </w:p>
    <w:p w14:paraId="1FFC88EC">
      <w:pPr>
        <w:tabs>
          <w:tab w:val="left" w:pos="1305"/>
        </w:tabs>
        <w:spacing w:line="360" w:lineRule="exact"/>
        <w:ind w:firstLine="422"/>
        <w:rPr>
          <w:rFonts w:hint="eastAsia" w:ascii="宋体" w:hAnsi="宋体" w:eastAsia="宋体" w:cs="宋体"/>
          <w:b/>
          <w:bCs w:val="0"/>
          <w:color w:val="auto"/>
          <w:sz w:val="21"/>
          <w:szCs w:val="21"/>
          <w:highlight w:val="none"/>
          <w:lang w:eastAsia="zh-CN"/>
        </w:rPr>
      </w:pPr>
    </w:p>
    <w:p w14:paraId="361D7FF4">
      <w:pPr>
        <w:snapToGrid w:val="0"/>
        <w:spacing w:before="120" w:beforeLines="50"/>
        <w:ind w:right="480" w:firstLine="480"/>
        <w:jc w:val="left"/>
        <w:rPr>
          <w:rFonts w:ascii="宋体" w:hAnsi="宋体" w:cs="宋体"/>
          <w:color w:val="auto"/>
          <w:szCs w:val="21"/>
          <w:highlight w:val="none"/>
        </w:rPr>
      </w:pPr>
    </w:p>
    <w:p w14:paraId="24C292A7">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5780D06E">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03C8FBE8">
      <w:pPr>
        <w:spacing w:line="400" w:lineRule="exact"/>
        <w:ind w:firstLine="0" w:firstLineChars="0"/>
        <w:rPr>
          <w:rFonts w:ascii="宋体" w:hAnsi="宋体" w:cs="宋体"/>
          <w:color w:val="auto"/>
          <w:sz w:val="21"/>
          <w:szCs w:val="20"/>
          <w:highlight w:val="none"/>
        </w:rPr>
      </w:pPr>
      <w:r>
        <w:rPr>
          <w:rFonts w:hint="eastAsia" w:ascii="宋体" w:hAnsi="宋体" w:cs="宋体"/>
          <w:color w:val="auto"/>
          <w:sz w:val="21"/>
          <w:szCs w:val="20"/>
          <w:highlight w:val="none"/>
        </w:rPr>
        <w:t>日          期：</w:t>
      </w:r>
    </w:p>
    <w:p w14:paraId="5074B4FE">
      <w:pPr>
        <w:spacing w:line="380" w:lineRule="exact"/>
        <w:ind w:firstLine="0" w:firstLineChars="0"/>
        <w:rPr>
          <w:rFonts w:ascii="宋体" w:hAnsi="宋体" w:cs="宋体"/>
          <w:b/>
          <w:color w:val="auto"/>
          <w:sz w:val="28"/>
          <w:szCs w:val="28"/>
          <w:highlight w:val="none"/>
        </w:rPr>
      </w:pPr>
    </w:p>
    <w:p w14:paraId="28505994">
      <w:pPr>
        <w:widowControl/>
        <w:spacing w:line="240" w:lineRule="auto"/>
        <w:ind w:firstLine="0" w:firstLineChars="0"/>
        <w:jc w:val="left"/>
        <w:rPr>
          <w:rFonts w:ascii="宋体" w:hAnsi="宋体" w:cs="宋体"/>
          <w:b/>
          <w:color w:val="auto"/>
          <w:sz w:val="28"/>
          <w:szCs w:val="28"/>
          <w:highlight w:val="none"/>
        </w:rPr>
      </w:pPr>
      <w:r>
        <w:rPr>
          <w:rFonts w:ascii="宋体" w:hAnsi="宋体" w:cs="宋体"/>
          <w:b/>
          <w:color w:val="auto"/>
          <w:sz w:val="28"/>
          <w:szCs w:val="28"/>
          <w:highlight w:val="none"/>
        </w:rPr>
        <w:br w:type="page"/>
      </w:r>
    </w:p>
    <w:p w14:paraId="074593E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3</w:t>
      </w:r>
      <w:r>
        <w:rPr>
          <w:rFonts w:hint="eastAsia" w:ascii="宋体" w:hAnsi="宋体" w:cs="宋体"/>
          <w:b/>
          <w:color w:val="auto"/>
          <w:sz w:val="28"/>
          <w:szCs w:val="28"/>
          <w:highlight w:val="none"/>
        </w:rPr>
        <w:t>）供应商的“承诺函”【①在人员、设备、资金等方面具有相应的履约能力；②未拟派其他在建、已中标（或成交）未开工或已列为其他项目中标（或成交）候选人第一名的建造师作为项目经理（符合桂建管﹝2013﹞17号文及桂建管﹝2016﹞70号</w:t>
      </w:r>
      <w:r>
        <w:rPr>
          <w:rFonts w:hint="eastAsia" w:ascii="宋体" w:hAnsi="宋体" w:cs="宋体"/>
          <w:b/>
          <w:color w:val="auto"/>
          <w:sz w:val="28"/>
          <w:szCs w:val="28"/>
          <w:highlight w:val="none"/>
          <w:lang w:eastAsia="zh-CN"/>
        </w:rPr>
        <w:t>文</w:t>
      </w:r>
      <w:r>
        <w:rPr>
          <w:rFonts w:hint="eastAsia" w:ascii="宋体" w:hAnsi="宋体" w:cs="宋体"/>
          <w:b/>
          <w:color w:val="auto"/>
          <w:sz w:val="28"/>
          <w:szCs w:val="28"/>
          <w:highlight w:val="none"/>
        </w:rPr>
        <w:t>除外）】（必须提供）</w:t>
      </w:r>
    </w:p>
    <w:p w14:paraId="13485931">
      <w:pPr>
        <w:pStyle w:val="26"/>
        <w:spacing w:line="400" w:lineRule="exact"/>
        <w:rPr>
          <w:rFonts w:hAnsi="宋体" w:cs="宋体"/>
          <w:b/>
          <w:color w:val="auto"/>
          <w:sz w:val="32"/>
          <w:szCs w:val="32"/>
          <w:highlight w:val="none"/>
        </w:rPr>
      </w:pPr>
      <w:r>
        <w:rPr>
          <w:rFonts w:hint="eastAsia" w:hAnsi="宋体" w:cs="宋体"/>
          <w:b/>
          <w:color w:val="auto"/>
          <w:sz w:val="32"/>
          <w:szCs w:val="32"/>
          <w:highlight w:val="none"/>
        </w:rPr>
        <w:t>附件</w:t>
      </w:r>
    </w:p>
    <w:p w14:paraId="599276D4">
      <w:pPr>
        <w:pStyle w:val="26"/>
        <w:spacing w:line="400" w:lineRule="exact"/>
        <w:rPr>
          <w:rFonts w:hAnsi="宋体" w:cs="宋体"/>
          <w:b/>
          <w:color w:val="auto"/>
          <w:sz w:val="32"/>
          <w:szCs w:val="32"/>
          <w:highlight w:val="none"/>
        </w:rPr>
      </w:pPr>
    </w:p>
    <w:p w14:paraId="62E58E89">
      <w:pPr>
        <w:pStyle w:val="26"/>
        <w:spacing w:line="400" w:lineRule="exact"/>
        <w:jc w:val="center"/>
        <w:rPr>
          <w:rFonts w:hAnsi="宋体" w:cs="宋体"/>
          <w:b/>
          <w:color w:val="auto"/>
          <w:sz w:val="32"/>
          <w:szCs w:val="32"/>
          <w:highlight w:val="none"/>
        </w:rPr>
      </w:pPr>
      <w:r>
        <w:rPr>
          <w:rFonts w:hint="eastAsia" w:hAnsi="宋体" w:cs="宋体"/>
          <w:b/>
          <w:color w:val="auto"/>
          <w:sz w:val="32"/>
          <w:szCs w:val="32"/>
          <w:highlight w:val="none"/>
        </w:rPr>
        <w:t>承诺函（格式）</w:t>
      </w:r>
    </w:p>
    <w:p w14:paraId="1B9A10B6">
      <w:pPr>
        <w:pStyle w:val="26"/>
        <w:spacing w:line="400" w:lineRule="exact"/>
        <w:jc w:val="center"/>
        <w:rPr>
          <w:rFonts w:hAnsi="宋体" w:cs="宋体"/>
          <w:b/>
          <w:color w:val="auto"/>
          <w:sz w:val="32"/>
          <w:szCs w:val="32"/>
          <w:highlight w:val="none"/>
        </w:rPr>
      </w:pPr>
    </w:p>
    <w:p w14:paraId="007FE206">
      <w:pPr>
        <w:pStyle w:val="26"/>
        <w:spacing w:line="400" w:lineRule="exact"/>
        <w:rPr>
          <w:rFonts w:hAnsi="宋体" w:cs="宋体"/>
          <w:b/>
          <w:color w:val="auto"/>
          <w:sz w:val="21"/>
          <w:highlight w:val="none"/>
        </w:rPr>
      </w:pPr>
      <w:r>
        <w:rPr>
          <w:rFonts w:hint="eastAsia" w:hAnsi="宋体" w:cs="宋体"/>
          <w:b/>
          <w:color w:val="auto"/>
          <w:sz w:val="21"/>
          <w:highlight w:val="none"/>
        </w:rPr>
        <w:t>桂林市第十三中学：</w:t>
      </w:r>
    </w:p>
    <w:p w14:paraId="450EB3BB">
      <w:pPr>
        <w:pStyle w:val="26"/>
        <w:spacing w:line="400" w:lineRule="exact"/>
        <w:rPr>
          <w:rFonts w:hAnsi="宋体" w:cs="宋体"/>
          <w:b/>
          <w:color w:val="auto"/>
          <w:sz w:val="21"/>
          <w:highlight w:val="none"/>
        </w:rPr>
      </w:pPr>
      <w:r>
        <w:rPr>
          <w:rFonts w:hint="eastAsia" w:hAnsi="宋体" w:cs="宋体"/>
          <w:b/>
          <w:color w:val="auto"/>
          <w:sz w:val="21"/>
          <w:highlight w:val="none"/>
        </w:rPr>
        <w:t xml:space="preserve">    我公司郑重承诺：</w:t>
      </w:r>
    </w:p>
    <w:p w14:paraId="6011E593">
      <w:pPr>
        <w:pStyle w:val="26"/>
        <w:spacing w:line="400" w:lineRule="exact"/>
        <w:rPr>
          <w:rFonts w:hAnsi="宋体" w:cs="宋体"/>
          <w:b/>
          <w:color w:val="auto"/>
          <w:sz w:val="21"/>
          <w:highlight w:val="none"/>
        </w:rPr>
      </w:pPr>
      <w:r>
        <w:rPr>
          <w:rFonts w:hint="eastAsia" w:hAnsi="宋体" w:cs="宋体"/>
          <w:b/>
          <w:color w:val="auto"/>
          <w:sz w:val="21"/>
          <w:highlight w:val="none"/>
        </w:rPr>
        <w:t xml:space="preserve">    （1）我公司在人员、设备、资金等方面具有与桂林市第十三中学校园操场改造及校园硅PU篮球场项目（GLZC2026-C2-990171-YZLZ）的相应的</w:t>
      </w:r>
      <w:r>
        <w:rPr>
          <w:rFonts w:hint="eastAsia" w:hAnsi="宋体" w:cs="宋体"/>
          <w:b/>
          <w:color w:val="auto"/>
          <w:sz w:val="21"/>
          <w:highlight w:val="none"/>
          <w:lang w:eastAsia="zh-CN"/>
        </w:rPr>
        <w:t>履约</w:t>
      </w:r>
      <w:r>
        <w:rPr>
          <w:rFonts w:hint="eastAsia" w:hAnsi="宋体" w:cs="宋体"/>
          <w:b/>
          <w:color w:val="auto"/>
          <w:sz w:val="21"/>
          <w:highlight w:val="none"/>
        </w:rPr>
        <w:t>能力。</w:t>
      </w:r>
    </w:p>
    <w:p w14:paraId="29A11923">
      <w:pPr>
        <w:pStyle w:val="26"/>
        <w:spacing w:line="400" w:lineRule="exact"/>
        <w:rPr>
          <w:rFonts w:hAnsi="宋体" w:cs="宋体"/>
          <w:b/>
          <w:color w:val="auto"/>
          <w:sz w:val="21"/>
          <w:highlight w:val="none"/>
        </w:rPr>
      </w:pPr>
      <w:r>
        <w:rPr>
          <w:rFonts w:hint="eastAsia" w:hAnsi="宋体" w:cs="宋体"/>
          <w:b/>
          <w:color w:val="auto"/>
          <w:sz w:val="21"/>
          <w:highlight w:val="none"/>
        </w:rPr>
        <w:t xml:space="preserve">    （2）我公司未拟派其他在建、已中标（或成交）未开工或已列为其他项目中标（或成交）候选人第一名的建造师作为项目经理（符合桂建管﹝2013﹞17号文及桂建管﹝2016﹞70号</w:t>
      </w:r>
      <w:r>
        <w:rPr>
          <w:rFonts w:hint="eastAsia" w:hAnsi="宋体" w:cs="宋体"/>
          <w:b/>
          <w:color w:val="auto"/>
          <w:sz w:val="21"/>
          <w:highlight w:val="none"/>
          <w:lang w:eastAsia="zh-CN"/>
        </w:rPr>
        <w:t>文</w:t>
      </w:r>
      <w:r>
        <w:rPr>
          <w:rFonts w:hint="eastAsia" w:hAnsi="宋体" w:cs="宋体"/>
          <w:b/>
          <w:color w:val="auto"/>
          <w:sz w:val="21"/>
          <w:highlight w:val="none"/>
        </w:rPr>
        <w:t>除外）。</w:t>
      </w:r>
    </w:p>
    <w:p w14:paraId="244E1A4D">
      <w:pPr>
        <w:pStyle w:val="26"/>
        <w:spacing w:line="400" w:lineRule="exact"/>
        <w:rPr>
          <w:rFonts w:hAnsi="宋体" w:cs="宋体"/>
          <w:b/>
          <w:color w:val="auto"/>
          <w:sz w:val="21"/>
          <w:highlight w:val="none"/>
        </w:rPr>
      </w:pPr>
      <w:r>
        <w:rPr>
          <w:rFonts w:hint="eastAsia" w:hAnsi="宋体" w:cs="宋体"/>
          <w:color w:val="auto"/>
          <w:sz w:val="21"/>
          <w:highlight w:val="none"/>
        </w:rPr>
        <w:t xml:space="preserve">     </w:t>
      </w:r>
      <w:r>
        <w:rPr>
          <w:rFonts w:hint="eastAsia" w:hAnsi="宋体" w:cs="宋体"/>
          <w:b/>
          <w:color w:val="auto"/>
          <w:sz w:val="21"/>
          <w:highlight w:val="none"/>
        </w:rPr>
        <w:t>我公司对上述承诺承担一切法律责任。</w:t>
      </w:r>
    </w:p>
    <w:p w14:paraId="6353B37E">
      <w:pPr>
        <w:pStyle w:val="26"/>
        <w:spacing w:line="400" w:lineRule="exact"/>
        <w:rPr>
          <w:rFonts w:hAnsi="宋体" w:cs="宋体"/>
          <w:b/>
          <w:color w:val="auto"/>
          <w:sz w:val="32"/>
          <w:szCs w:val="32"/>
          <w:highlight w:val="none"/>
        </w:rPr>
      </w:pPr>
    </w:p>
    <w:p w14:paraId="1D19D978">
      <w:pPr>
        <w:pStyle w:val="26"/>
        <w:spacing w:line="400" w:lineRule="exact"/>
        <w:rPr>
          <w:rFonts w:hAnsi="宋体" w:cs="宋体"/>
          <w:b/>
          <w:color w:val="auto"/>
          <w:sz w:val="32"/>
          <w:szCs w:val="32"/>
          <w:highlight w:val="none"/>
        </w:rPr>
      </w:pPr>
    </w:p>
    <w:p w14:paraId="03B88B44">
      <w:pPr>
        <w:pStyle w:val="26"/>
        <w:spacing w:line="400" w:lineRule="exact"/>
        <w:rPr>
          <w:rFonts w:hAnsi="宋体" w:cs="宋体"/>
          <w:b/>
          <w:color w:val="auto"/>
          <w:sz w:val="32"/>
          <w:szCs w:val="32"/>
          <w:highlight w:val="none"/>
        </w:rPr>
      </w:pPr>
    </w:p>
    <w:p w14:paraId="59C36BCB">
      <w:pPr>
        <w:pStyle w:val="26"/>
        <w:spacing w:line="400" w:lineRule="exact"/>
        <w:rPr>
          <w:rFonts w:hAnsi="宋体" w:cs="宋体"/>
          <w:b/>
          <w:color w:val="auto"/>
          <w:sz w:val="32"/>
          <w:szCs w:val="32"/>
          <w:highlight w:val="none"/>
        </w:rPr>
      </w:pPr>
    </w:p>
    <w:p w14:paraId="390B3E83">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7F69F36A">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1EAC22D2">
      <w:pPr>
        <w:spacing w:line="400" w:lineRule="exact"/>
        <w:ind w:firstLine="0" w:firstLineChars="0"/>
        <w:rPr>
          <w:rFonts w:ascii="宋体" w:hAnsi="宋体" w:cs="宋体"/>
          <w:color w:val="auto"/>
          <w:sz w:val="21"/>
          <w:szCs w:val="20"/>
          <w:highlight w:val="none"/>
        </w:rPr>
      </w:pPr>
      <w:r>
        <w:rPr>
          <w:rFonts w:hint="eastAsia" w:ascii="宋体" w:hAnsi="宋体" w:cs="宋体"/>
          <w:color w:val="auto"/>
          <w:sz w:val="21"/>
          <w:szCs w:val="20"/>
          <w:highlight w:val="none"/>
        </w:rPr>
        <w:t>日          期：</w:t>
      </w:r>
    </w:p>
    <w:p w14:paraId="4CC088C3">
      <w:pPr>
        <w:pStyle w:val="23"/>
        <w:rPr>
          <w:rFonts w:ascii="宋体" w:hAnsi="宋体" w:cs="宋体"/>
          <w:color w:val="auto"/>
          <w:sz w:val="21"/>
          <w:highlight w:val="none"/>
        </w:rPr>
      </w:pPr>
    </w:p>
    <w:p w14:paraId="114B7CB5">
      <w:pPr>
        <w:pStyle w:val="23"/>
        <w:rPr>
          <w:rFonts w:ascii="宋体" w:hAnsi="宋体" w:cs="宋体"/>
          <w:color w:val="auto"/>
          <w:sz w:val="21"/>
          <w:highlight w:val="none"/>
        </w:rPr>
      </w:pPr>
    </w:p>
    <w:p w14:paraId="17FBD365">
      <w:pPr>
        <w:pStyle w:val="23"/>
        <w:rPr>
          <w:rFonts w:ascii="宋体" w:hAnsi="宋体" w:cs="宋体"/>
          <w:color w:val="auto"/>
          <w:sz w:val="21"/>
          <w:highlight w:val="none"/>
        </w:rPr>
      </w:pPr>
    </w:p>
    <w:p w14:paraId="32E9808A">
      <w:pPr>
        <w:pStyle w:val="23"/>
        <w:rPr>
          <w:rFonts w:ascii="宋体" w:hAnsi="宋体" w:cs="宋体"/>
          <w:color w:val="auto"/>
          <w:sz w:val="21"/>
          <w:highlight w:val="none"/>
        </w:rPr>
      </w:pPr>
    </w:p>
    <w:p w14:paraId="42F50679">
      <w:pPr>
        <w:pStyle w:val="23"/>
        <w:rPr>
          <w:rFonts w:ascii="宋体" w:hAnsi="宋体" w:cs="宋体"/>
          <w:color w:val="auto"/>
          <w:sz w:val="21"/>
          <w:highlight w:val="none"/>
        </w:rPr>
      </w:pPr>
    </w:p>
    <w:p w14:paraId="4D062FB7">
      <w:pPr>
        <w:pStyle w:val="23"/>
        <w:rPr>
          <w:rFonts w:ascii="宋体" w:hAnsi="宋体" w:cs="宋体"/>
          <w:b/>
          <w:color w:val="auto"/>
          <w:sz w:val="21"/>
          <w:szCs w:val="21"/>
          <w:highlight w:val="none"/>
        </w:rPr>
      </w:pPr>
    </w:p>
    <w:p w14:paraId="01615E92">
      <w:pPr>
        <w:pStyle w:val="23"/>
        <w:rPr>
          <w:rFonts w:ascii="宋体" w:hAnsi="宋体" w:cs="宋体"/>
          <w:b/>
          <w:color w:val="auto"/>
          <w:sz w:val="21"/>
          <w:szCs w:val="21"/>
          <w:highlight w:val="none"/>
        </w:rPr>
      </w:pPr>
    </w:p>
    <w:p w14:paraId="0F75A769">
      <w:pPr>
        <w:pStyle w:val="23"/>
        <w:rPr>
          <w:rFonts w:ascii="宋体" w:hAnsi="宋体" w:cs="宋体"/>
          <w:b/>
          <w:color w:val="auto"/>
          <w:sz w:val="21"/>
          <w:szCs w:val="21"/>
          <w:highlight w:val="none"/>
        </w:rPr>
      </w:pPr>
    </w:p>
    <w:p w14:paraId="2FA42C9B">
      <w:pPr>
        <w:pStyle w:val="23"/>
        <w:rPr>
          <w:rFonts w:ascii="宋体" w:hAnsi="宋体" w:cs="宋体"/>
          <w:b/>
          <w:color w:val="auto"/>
          <w:sz w:val="21"/>
          <w:szCs w:val="21"/>
          <w:highlight w:val="none"/>
        </w:rPr>
      </w:pPr>
    </w:p>
    <w:p w14:paraId="485003E6">
      <w:pPr>
        <w:pStyle w:val="23"/>
        <w:rPr>
          <w:rFonts w:ascii="宋体" w:hAnsi="宋体" w:cs="宋体"/>
          <w:b/>
          <w:color w:val="auto"/>
          <w:sz w:val="21"/>
          <w:szCs w:val="21"/>
          <w:highlight w:val="none"/>
        </w:rPr>
      </w:pPr>
    </w:p>
    <w:p w14:paraId="40B2589F">
      <w:pPr>
        <w:pStyle w:val="23"/>
        <w:rPr>
          <w:rFonts w:ascii="宋体" w:hAnsi="宋体" w:cs="宋体"/>
          <w:b/>
          <w:color w:val="auto"/>
          <w:sz w:val="21"/>
          <w:szCs w:val="21"/>
          <w:highlight w:val="none"/>
        </w:rPr>
      </w:pPr>
    </w:p>
    <w:p w14:paraId="14FEA7A0">
      <w:pPr>
        <w:pStyle w:val="23"/>
        <w:rPr>
          <w:rFonts w:ascii="宋体" w:hAnsi="宋体" w:cs="宋体"/>
          <w:b/>
          <w:color w:val="auto"/>
          <w:sz w:val="21"/>
          <w:szCs w:val="21"/>
          <w:highlight w:val="none"/>
        </w:rPr>
      </w:pPr>
    </w:p>
    <w:p w14:paraId="08717321">
      <w:pPr>
        <w:pStyle w:val="23"/>
        <w:rPr>
          <w:rFonts w:ascii="宋体" w:hAnsi="宋体" w:cs="宋体"/>
          <w:b/>
          <w:color w:val="auto"/>
          <w:sz w:val="21"/>
          <w:szCs w:val="21"/>
          <w:highlight w:val="none"/>
        </w:rPr>
      </w:pPr>
    </w:p>
    <w:p w14:paraId="035A6FD7">
      <w:pPr>
        <w:pStyle w:val="23"/>
        <w:rPr>
          <w:rFonts w:ascii="宋体" w:hAnsi="宋体" w:cs="宋体"/>
          <w:b/>
          <w:color w:val="auto"/>
          <w:sz w:val="21"/>
          <w:szCs w:val="21"/>
          <w:highlight w:val="none"/>
        </w:rPr>
      </w:pPr>
    </w:p>
    <w:p w14:paraId="3F813D15">
      <w:pPr>
        <w:pStyle w:val="23"/>
        <w:rPr>
          <w:rFonts w:ascii="宋体" w:hAnsi="宋体" w:cs="宋体"/>
          <w:b/>
          <w:color w:val="auto"/>
          <w:sz w:val="21"/>
          <w:szCs w:val="21"/>
          <w:highlight w:val="none"/>
        </w:rPr>
      </w:pPr>
    </w:p>
    <w:p w14:paraId="5C112E63">
      <w:pPr>
        <w:pStyle w:val="23"/>
        <w:rPr>
          <w:rFonts w:ascii="宋体" w:hAnsi="宋体" w:cs="宋体"/>
          <w:b/>
          <w:color w:val="auto"/>
          <w:sz w:val="21"/>
          <w:szCs w:val="21"/>
          <w:highlight w:val="none"/>
        </w:rPr>
      </w:pPr>
    </w:p>
    <w:p w14:paraId="1A2D6B0D">
      <w:pPr>
        <w:pStyle w:val="23"/>
        <w:rPr>
          <w:rFonts w:ascii="宋体" w:hAnsi="宋体" w:cs="宋体"/>
          <w:b/>
          <w:color w:val="auto"/>
          <w:sz w:val="21"/>
          <w:szCs w:val="21"/>
          <w:highlight w:val="none"/>
        </w:rPr>
      </w:pPr>
    </w:p>
    <w:p w14:paraId="3C20C82B">
      <w:pPr>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hint="eastAsia" w:ascii="宋体" w:hAnsi="宋体" w:cs="宋体"/>
          <w:b/>
          <w:color w:val="auto"/>
          <w:sz w:val="28"/>
          <w:szCs w:val="28"/>
          <w:highlight w:val="none"/>
          <w:lang w:val="en-US" w:eastAsia="zh-CN"/>
        </w:rPr>
        <w:t>11</w:t>
      </w:r>
      <w:r>
        <w:rPr>
          <w:rFonts w:hint="eastAsia" w:ascii="宋体" w:hAnsi="宋体" w:cs="宋体"/>
          <w:b/>
          <w:color w:val="auto"/>
          <w:sz w:val="28"/>
          <w:szCs w:val="28"/>
          <w:highlight w:val="none"/>
        </w:rPr>
        <w:t>）供应商为小微企业的相关有效证明材料（必须提供）</w:t>
      </w:r>
    </w:p>
    <w:p w14:paraId="50ABE42D">
      <w:pPr>
        <w:pStyle w:val="26"/>
        <w:spacing w:line="400" w:lineRule="exact"/>
        <w:rPr>
          <w:rFonts w:hAnsi="宋体" w:cs="宋体"/>
          <w:b/>
          <w:color w:val="auto"/>
          <w:sz w:val="32"/>
          <w:szCs w:val="32"/>
          <w:highlight w:val="none"/>
        </w:rPr>
      </w:pPr>
      <w:r>
        <w:rPr>
          <w:rFonts w:ascii="宋体" w:hAnsi="宋体" w:cs="宋体"/>
          <w:color w:val="auto"/>
          <w:sz w:val="21"/>
          <w:szCs w:val="21"/>
          <w:highlight w:val="none"/>
        </w:rPr>
        <w:t>注：本项目专门面向</w:t>
      </w:r>
      <w:r>
        <w:rPr>
          <w:rFonts w:hint="eastAsia" w:ascii="宋体" w:hAnsi="宋体" w:cs="宋体"/>
          <w:color w:val="auto"/>
          <w:sz w:val="21"/>
          <w:szCs w:val="21"/>
          <w:highlight w:val="none"/>
        </w:rPr>
        <w:t>小微</w:t>
      </w:r>
      <w:r>
        <w:rPr>
          <w:rFonts w:ascii="宋体" w:hAnsi="宋体" w:cs="宋体"/>
          <w:color w:val="auto"/>
          <w:sz w:val="21"/>
          <w:szCs w:val="21"/>
          <w:highlight w:val="none"/>
        </w:rPr>
        <w:t>企业采购</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供应商须满足《政府采购促进中小企业发展管理办法》</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财库〔2020〕46号</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第二条规定。监狱企业、残疾人福利</w:t>
      </w:r>
      <w:r>
        <w:rPr>
          <w:rFonts w:hint="eastAsia" w:ascii="宋体" w:hAnsi="宋体" w:cs="宋体"/>
          <w:color w:val="auto"/>
          <w:sz w:val="21"/>
          <w:szCs w:val="21"/>
          <w:highlight w:val="none"/>
          <w:lang w:eastAsia="zh-CN"/>
        </w:rPr>
        <w:t>性</w:t>
      </w:r>
      <w:r>
        <w:rPr>
          <w:rFonts w:ascii="宋体" w:hAnsi="宋体" w:cs="宋体"/>
          <w:color w:val="auto"/>
          <w:sz w:val="21"/>
          <w:szCs w:val="21"/>
          <w:highlight w:val="none"/>
        </w:rPr>
        <w:t>单位视同小型、微型企业。供应商根据自身情况，相应提供以下证明材料：</w:t>
      </w:r>
      <w:r>
        <w:rPr>
          <w:rFonts w:hint="eastAsia" w:ascii="宋体" w:hAnsi="宋体" w:cs="宋体"/>
          <w:color w:val="auto"/>
          <w:sz w:val="21"/>
          <w:szCs w:val="21"/>
          <w:highlight w:val="none"/>
        </w:rPr>
        <w:t>①</w:t>
      </w:r>
      <w:r>
        <w:rPr>
          <w:rFonts w:ascii="宋体" w:hAnsi="宋体" w:cs="宋体"/>
          <w:color w:val="auto"/>
          <w:sz w:val="21"/>
          <w:szCs w:val="21"/>
          <w:highlight w:val="none"/>
        </w:rPr>
        <w:t>供应商如为符合政策要求的</w:t>
      </w:r>
      <w:r>
        <w:rPr>
          <w:rFonts w:hint="eastAsia" w:ascii="宋体" w:hAnsi="宋体" w:cs="宋体"/>
          <w:color w:val="auto"/>
          <w:sz w:val="21"/>
          <w:szCs w:val="21"/>
          <w:highlight w:val="none"/>
        </w:rPr>
        <w:t>小微</w:t>
      </w:r>
      <w:r>
        <w:rPr>
          <w:rFonts w:ascii="宋体" w:hAnsi="宋体" w:cs="宋体"/>
          <w:color w:val="auto"/>
          <w:sz w:val="21"/>
          <w:szCs w:val="21"/>
          <w:highlight w:val="none"/>
        </w:rPr>
        <w:t>企业且承接本项目全部工程的，提供《中小企业声明函》。</w:t>
      </w:r>
      <w:r>
        <w:rPr>
          <w:rFonts w:hint="eastAsia" w:ascii="宋体" w:hAnsi="宋体" w:cs="宋体"/>
          <w:color w:val="auto"/>
          <w:sz w:val="21"/>
          <w:szCs w:val="21"/>
          <w:highlight w:val="none"/>
        </w:rPr>
        <w:t>②</w:t>
      </w:r>
      <w:r>
        <w:rPr>
          <w:rFonts w:ascii="宋体" w:hAnsi="宋体" w:cs="宋体"/>
          <w:color w:val="auto"/>
          <w:sz w:val="21"/>
          <w:szCs w:val="21"/>
          <w:highlight w:val="none"/>
        </w:rPr>
        <w:t>供应商如属于监狱企业且承接本项目全部工程的，提供由省级以上监狱管理局、戒毒管理局</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含新疆生产建设兵团</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t>出具的属于监狱企业的证明文件。</w:t>
      </w:r>
      <w:r>
        <w:rPr>
          <w:rFonts w:hint="eastAsia" w:ascii="宋体" w:hAnsi="宋体" w:cs="宋体"/>
          <w:color w:val="auto"/>
          <w:sz w:val="21"/>
          <w:szCs w:val="21"/>
          <w:highlight w:val="none"/>
        </w:rPr>
        <w:t>③</w:t>
      </w:r>
      <w:r>
        <w:rPr>
          <w:rFonts w:ascii="宋体" w:hAnsi="宋体" w:cs="宋体"/>
          <w:color w:val="auto"/>
          <w:sz w:val="21"/>
          <w:szCs w:val="21"/>
          <w:highlight w:val="none"/>
        </w:rPr>
        <w:t>供应商如属于符合条件的残疾人福利性单位且承接本项目全部工程的，提供《残疾人福利性单位声明函》（并对声明的真实性负责）</w:t>
      </w:r>
      <w:r>
        <w:rPr>
          <w:rFonts w:hint="eastAsia" w:ascii="宋体" w:hAnsi="宋体" w:cs="宋体"/>
          <w:bCs/>
          <w:color w:val="auto"/>
          <w:sz w:val="21"/>
          <w:szCs w:val="21"/>
          <w:highlight w:val="none"/>
        </w:rPr>
        <w:t>；</w:t>
      </w:r>
    </w:p>
    <w:p w14:paraId="6D5D61EB">
      <w:pPr>
        <w:pStyle w:val="26"/>
        <w:spacing w:line="400" w:lineRule="exact"/>
        <w:rPr>
          <w:rFonts w:hAnsi="宋体" w:cs="宋体"/>
          <w:b/>
          <w:color w:val="auto"/>
          <w:szCs w:val="24"/>
          <w:highlight w:val="none"/>
        </w:rPr>
      </w:pPr>
      <w:r>
        <w:rPr>
          <w:rFonts w:hint="eastAsia" w:hAnsi="宋体" w:cs="宋体"/>
          <w:b/>
          <w:color w:val="auto"/>
          <w:szCs w:val="24"/>
          <w:highlight w:val="none"/>
        </w:rPr>
        <w:t>附件</w:t>
      </w:r>
    </w:p>
    <w:p w14:paraId="328270D4">
      <w:pPr>
        <w:pStyle w:val="43"/>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中小企业声明函（工程）</w:t>
      </w:r>
    </w:p>
    <w:p w14:paraId="512F439D">
      <w:pPr>
        <w:ind w:firstLine="480"/>
        <w:rPr>
          <w:bCs/>
          <w:color w:val="auto"/>
          <w:highlight w:val="none"/>
        </w:rPr>
      </w:pPr>
      <w:r>
        <w:rPr>
          <w:bCs/>
          <w:color w:val="auto"/>
          <w:highlight w:val="none"/>
        </w:rPr>
        <w:t>本公司郑重声明，根据《政府采购促进中小企业发展管理办法》（财库﹝2020﹞46号）的规定，本公司参加</w:t>
      </w:r>
      <w:r>
        <w:rPr>
          <w:bCs/>
          <w:color w:val="auto"/>
          <w:highlight w:val="none"/>
          <w:u w:val="single"/>
        </w:rPr>
        <w:t>（单位名称）</w:t>
      </w:r>
      <w:r>
        <w:rPr>
          <w:bCs/>
          <w:color w:val="auto"/>
          <w:highlight w:val="none"/>
        </w:rPr>
        <w:t>的</w:t>
      </w:r>
      <w:r>
        <w:rPr>
          <w:bCs/>
          <w:color w:val="auto"/>
          <w:highlight w:val="none"/>
          <w:u w:val="single"/>
        </w:rPr>
        <w:t>（项目名称）</w:t>
      </w:r>
      <w:r>
        <w:rPr>
          <w:bCs/>
          <w:color w:val="auto"/>
          <w:highlight w:val="none"/>
        </w:rPr>
        <w:t>采购活动，工程的施工单位全部为符合政策要求的</w:t>
      </w:r>
      <w:r>
        <w:rPr>
          <w:rFonts w:hint="eastAsia"/>
          <w:bCs/>
          <w:color w:val="auto"/>
          <w:highlight w:val="none"/>
        </w:rPr>
        <w:t>小微</w:t>
      </w:r>
      <w:r>
        <w:rPr>
          <w:bCs/>
          <w:color w:val="auto"/>
          <w:highlight w:val="none"/>
        </w:rPr>
        <w:t>企业。相关企业的具体情况如下：</w:t>
      </w:r>
    </w:p>
    <w:p w14:paraId="1D41CCA2">
      <w:pPr>
        <w:ind w:firstLine="480"/>
        <w:rPr>
          <w:bCs/>
          <w:color w:val="auto"/>
          <w:highlight w:val="none"/>
        </w:rPr>
      </w:pPr>
      <w:r>
        <w:rPr>
          <w:bCs/>
          <w:color w:val="auto"/>
          <w:highlight w:val="none"/>
        </w:rPr>
        <w:t>1.</w:t>
      </w:r>
      <w:r>
        <w:rPr>
          <w:rFonts w:hint="eastAsia" w:ascii="宋体" w:hAnsi="宋体" w:cs="宋体"/>
          <w:color w:val="auto"/>
          <w:sz w:val="21"/>
          <w:szCs w:val="24"/>
          <w:highlight w:val="none"/>
        </w:rPr>
        <w:t xml:space="preserve"> </w:t>
      </w:r>
      <w:r>
        <w:rPr>
          <w:rFonts w:hint="eastAsia"/>
          <w:bCs/>
          <w:color w:val="auto"/>
          <w:highlight w:val="none"/>
          <w:u w:val="single"/>
        </w:rPr>
        <w:t>桂林市第十三中学校园操场改造</w:t>
      </w:r>
      <w:r>
        <w:rPr>
          <w:rFonts w:hint="eastAsia"/>
          <w:bCs/>
          <w:color w:val="auto"/>
          <w:highlight w:val="none"/>
        </w:rPr>
        <w:t>，属于</w:t>
      </w:r>
      <w:r>
        <w:rPr>
          <w:rFonts w:hint="eastAsia"/>
          <w:bCs/>
          <w:color w:val="auto"/>
          <w:highlight w:val="none"/>
          <w:u w:val="single"/>
        </w:rPr>
        <w:t>建筑</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（小型企业、微型企业）</w:t>
      </w:r>
      <w:r>
        <w:rPr>
          <w:rFonts w:hint="eastAsia"/>
          <w:bCs/>
          <w:color w:val="auto"/>
          <w:highlight w:val="none"/>
        </w:rPr>
        <w:t>；</w:t>
      </w:r>
    </w:p>
    <w:p w14:paraId="00541A3A">
      <w:pPr>
        <w:ind w:firstLine="480"/>
        <w:rPr>
          <w:bCs/>
          <w:color w:val="auto"/>
          <w:highlight w:val="none"/>
        </w:rPr>
      </w:pPr>
      <w:r>
        <w:rPr>
          <w:rFonts w:hint="eastAsia"/>
          <w:bCs/>
          <w:color w:val="auto"/>
          <w:highlight w:val="none"/>
          <w:lang w:val="en-US" w:eastAsia="zh-CN"/>
        </w:rPr>
        <w:t>2.</w:t>
      </w:r>
      <w:r>
        <w:rPr>
          <w:rFonts w:hint="eastAsia"/>
          <w:bCs/>
          <w:color w:val="auto"/>
          <w:highlight w:val="none"/>
          <w:u w:val="single"/>
          <w:lang w:val="en-US" w:eastAsia="zh-CN"/>
        </w:rPr>
        <w:t>桂林市第十三中学校园硅PU篮球场</w:t>
      </w:r>
      <w:r>
        <w:rPr>
          <w:rFonts w:hint="eastAsia"/>
          <w:bCs/>
          <w:color w:val="auto"/>
          <w:highlight w:val="none"/>
        </w:rPr>
        <w:t>，属于</w:t>
      </w:r>
      <w:r>
        <w:rPr>
          <w:rFonts w:hint="eastAsia"/>
          <w:bCs/>
          <w:color w:val="auto"/>
          <w:highlight w:val="none"/>
          <w:u w:val="single"/>
        </w:rPr>
        <w:t>建筑</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（小型企业、微型企业）</w:t>
      </w:r>
      <w:r>
        <w:rPr>
          <w:rFonts w:hint="eastAsia"/>
          <w:bCs/>
          <w:color w:val="auto"/>
          <w:highlight w:val="none"/>
        </w:rPr>
        <w:t>；</w:t>
      </w:r>
    </w:p>
    <w:p w14:paraId="357EDF77">
      <w:pPr>
        <w:ind w:firstLine="480"/>
        <w:rPr>
          <w:bCs/>
          <w:color w:val="auto"/>
          <w:highlight w:val="none"/>
        </w:rPr>
      </w:pPr>
      <w:r>
        <w:rPr>
          <w:rFonts w:hint="eastAsia"/>
          <w:bCs/>
          <w:color w:val="auto"/>
          <w:highlight w:val="none"/>
        </w:rPr>
        <w:t xml:space="preserve">…… </w:t>
      </w:r>
    </w:p>
    <w:p w14:paraId="5F4F9B24">
      <w:pPr>
        <w:ind w:firstLine="48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0BFFA42D">
      <w:pPr>
        <w:ind w:firstLine="480"/>
        <w:rPr>
          <w:bCs/>
          <w:color w:val="auto"/>
          <w:highlight w:val="none"/>
        </w:rPr>
      </w:pPr>
      <w:r>
        <w:rPr>
          <w:rFonts w:hint="eastAsia"/>
          <w:bCs/>
          <w:color w:val="auto"/>
          <w:highlight w:val="none"/>
        </w:rPr>
        <w:t>本企业对上述声明内容的真实性负责。如有虚假，将依法承担相应责任。</w:t>
      </w:r>
    </w:p>
    <w:p w14:paraId="6949FBA2">
      <w:pPr>
        <w:ind w:firstLine="3600" w:firstLineChars="1500"/>
        <w:rPr>
          <w:bCs/>
          <w:color w:val="auto"/>
          <w:highlight w:val="none"/>
        </w:rPr>
      </w:pPr>
    </w:p>
    <w:p w14:paraId="564752E9">
      <w:pPr>
        <w:ind w:firstLine="3600" w:firstLineChars="1500"/>
        <w:rPr>
          <w:bCs/>
          <w:color w:val="auto"/>
          <w:highlight w:val="none"/>
        </w:rPr>
      </w:pPr>
      <w:r>
        <w:rPr>
          <w:rFonts w:hint="eastAsia"/>
          <w:bCs/>
          <w:color w:val="auto"/>
          <w:highlight w:val="none"/>
        </w:rPr>
        <w:t>企业名称（</w:t>
      </w:r>
      <w:r>
        <w:rPr>
          <w:rFonts w:hint="eastAsia" w:ascii="宋体" w:hAnsi="宋体"/>
          <w:color w:val="auto"/>
          <w:spacing w:val="6"/>
          <w:highlight w:val="none"/>
        </w:rPr>
        <w:t>盖</w:t>
      </w:r>
      <w:r>
        <w:rPr>
          <w:rFonts w:hint="eastAsia" w:ascii="宋体" w:hAnsi="宋体"/>
          <w:color w:val="auto"/>
          <w:spacing w:val="6"/>
          <w:highlight w:val="none"/>
          <w:lang w:eastAsia="zh-CN"/>
        </w:rPr>
        <w:t>供应商</w:t>
      </w:r>
      <w:r>
        <w:rPr>
          <w:rFonts w:hint="eastAsia" w:ascii="宋体" w:hAnsi="宋体"/>
          <w:color w:val="auto"/>
          <w:spacing w:val="6"/>
          <w:highlight w:val="none"/>
        </w:rPr>
        <w:t>电子签章</w:t>
      </w:r>
      <w:r>
        <w:rPr>
          <w:rFonts w:hint="eastAsia"/>
          <w:bCs/>
          <w:color w:val="auto"/>
          <w:highlight w:val="none"/>
        </w:rPr>
        <w:t>）：</w:t>
      </w:r>
    </w:p>
    <w:p w14:paraId="0944A56A">
      <w:pPr>
        <w:ind w:firstLine="3600" w:firstLineChars="1500"/>
        <w:rPr>
          <w:bCs/>
          <w:color w:val="auto"/>
          <w:highlight w:val="none"/>
        </w:rPr>
      </w:pPr>
      <w:r>
        <w:rPr>
          <w:rFonts w:hint="eastAsia"/>
          <w:bCs/>
          <w:color w:val="auto"/>
          <w:highlight w:val="none"/>
        </w:rPr>
        <w:t>日期：</w:t>
      </w:r>
    </w:p>
    <w:p w14:paraId="298A9526">
      <w:pPr>
        <w:spacing w:line="320" w:lineRule="exact"/>
        <w:ind w:firstLine="420"/>
        <w:jc w:val="left"/>
        <w:rPr>
          <w:bCs/>
          <w:color w:val="auto"/>
          <w:sz w:val="21"/>
          <w:szCs w:val="21"/>
          <w:highlight w:val="none"/>
        </w:rPr>
      </w:pPr>
      <w:r>
        <w:rPr>
          <w:rFonts w:hint="eastAsia"/>
          <w:bCs/>
          <w:color w:val="auto"/>
          <w:sz w:val="21"/>
          <w:szCs w:val="21"/>
          <w:highlight w:val="none"/>
        </w:rPr>
        <w:t>注：</w:t>
      </w:r>
    </w:p>
    <w:p w14:paraId="44888AC7">
      <w:pPr>
        <w:spacing w:line="320" w:lineRule="exact"/>
        <w:ind w:firstLine="420"/>
        <w:jc w:val="left"/>
        <w:rPr>
          <w:bCs/>
          <w:color w:val="auto"/>
          <w:sz w:val="21"/>
          <w:szCs w:val="21"/>
          <w:highlight w:val="none"/>
        </w:rPr>
      </w:pPr>
      <w:r>
        <w:rPr>
          <w:rFonts w:hint="eastAsia"/>
          <w:bCs/>
          <w:color w:val="auto"/>
          <w:sz w:val="21"/>
          <w:szCs w:val="21"/>
          <w:highlight w:val="none"/>
        </w:rPr>
        <w:t>1.从业人员、营业收入、资产总额填报上一年度数据，无上一年度数据的新成立企业可不填报。</w:t>
      </w:r>
    </w:p>
    <w:p w14:paraId="4540C212">
      <w:pPr>
        <w:spacing w:line="320" w:lineRule="exact"/>
        <w:ind w:firstLine="420"/>
        <w:jc w:val="left"/>
        <w:rPr>
          <w:bCs/>
          <w:color w:val="auto"/>
          <w:sz w:val="21"/>
          <w:szCs w:val="21"/>
          <w:highlight w:val="none"/>
        </w:rPr>
      </w:pPr>
      <w:r>
        <w:rPr>
          <w:rFonts w:hint="eastAsia"/>
          <w:bCs/>
          <w:color w:val="auto"/>
          <w:sz w:val="21"/>
          <w:szCs w:val="21"/>
          <w:highlight w:val="none"/>
        </w:rPr>
        <w:t>2.小微企业在政府采购活动过程中，请根据自己的真实情况出具本声明函。依法享受中小企业优惠政策的，采购人或采购代理机构在公告成交结果时，同时公告其《中小企业声明函》，接受社会监督。</w:t>
      </w:r>
    </w:p>
    <w:p w14:paraId="1F0093CC">
      <w:pPr>
        <w:pStyle w:val="23"/>
        <w:rPr>
          <w:rFonts w:ascii="宋体" w:hAnsi="宋体" w:cs="宋体"/>
          <w:b/>
          <w:color w:val="auto"/>
          <w:sz w:val="21"/>
          <w:szCs w:val="21"/>
          <w:highlight w:val="none"/>
        </w:rPr>
      </w:pPr>
      <w:r>
        <w:rPr>
          <w:color w:val="auto"/>
          <w:highlight w:val="none"/>
        </w:rPr>
        <w:br w:type="page"/>
      </w:r>
    </w:p>
    <w:p w14:paraId="3BEF62AB">
      <w:pPr>
        <w:spacing w:line="30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w:t>
      </w:r>
      <w:r>
        <w:rPr>
          <w:rFonts w:hint="eastAsia" w:ascii="宋体" w:hAnsi="宋体" w:cs="宋体"/>
          <w:b/>
          <w:color w:val="auto"/>
          <w:sz w:val="28"/>
          <w:szCs w:val="28"/>
          <w:highlight w:val="none"/>
          <w:lang w:val="en-US" w:eastAsia="zh-CN"/>
        </w:rPr>
        <w:t>12</w:t>
      </w:r>
      <w:r>
        <w:rPr>
          <w:rFonts w:hint="eastAsia" w:ascii="宋体" w:hAnsi="宋体" w:cs="宋体"/>
          <w:b/>
          <w:color w:val="auto"/>
          <w:sz w:val="28"/>
          <w:szCs w:val="28"/>
          <w:highlight w:val="none"/>
        </w:rPr>
        <w:t>）供应商参加政府采购活动前3年内在经营活动中没有重大违法记录及有关信用信息的书面声明或专项信用报告（必须提供）</w:t>
      </w:r>
    </w:p>
    <w:p w14:paraId="69A91BFA">
      <w:pPr>
        <w:spacing w:line="400" w:lineRule="exact"/>
        <w:ind w:firstLine="199" w:firstLineChars="62"/>
        <w:rPr>
          <w:rFonts w:ascii="宋体" w:hAnsi="宋体" w:cs="宋体"/>
          <w:b/>
          <w:color w:val="auto"/>
          <w:kern w:val="0"/>
          <w:sz w:val="32"/>
          <w:szCs w:val="32"/>
          <w:highlight w:val="none"/>
        </w:rPr>
      </w:pPr>
    </w:p>
    <w:p w14:paraId="17A32834">
      <w:pPr>
        <w:spacing w:line="400" w:lineRule="exact"/>
        <w:ind w:firstLine="199" w:firstLineChars="6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694A1952">
      <w:pPr>
        <w:spacing w:line="400" w:lineRule="exact"/>
        <w:ind w:firstLine="3685" w:firstLineChars="1147"/>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5ABA5519">
      <w:pPr>
        <w:snapToGrid w:val="0"/>
        <w:spacing w:line="400" w:lineRule="exact"/>
        <w:ind w:firstLine="0" w:firstLineChars="0"/>
        <w:rPr>
          <w:rFonts w:ascii="宋体" w:hAnsi="宋体" w:cs="宋体"/>
          <w:color w:val="auto"/>
          <w:kern w:val="0"/>
          <w:sz w:val="21"/>
          <w:szCs w:val="24"/>
          <w:highlight w:val="none"/>
        </w:rPr>
      </w:pPr>
      <w:r>
        <w:rPr>
          <w:rFonts w:hint="eastAsia" w:ascii="宋体" w:hAnsi="宋体" w:cs="宋体"/>
          <w:b/>
          <w:color w:val="auto"/>
          <w:kern w:val="0"/>
          <w:sz w:val="21"/>
          <w:szCs w:val="21"/>
          <w:highlight w:val="none"/>
        </w:rPr>
        <w:t>致</w:t>
      </w:r>
      <w:r>
        <w:rPr>
          <w:rFonts w:hint="eastAsia" w:ascii="宋体" w:hAnsi="宋体" w:cs="宋体"/>
          <w:color w:val="auto"/>
          <w:kern w:val="0"/>
          <w:sz w:val="21"/>
          <w:szCs w:val="21"/>
          <w:highlight w:val="none"/>
        </w:rPr>
        <w:t>：</w:t>
      </w:r>
      <w:r>
        <w:rPr>
          <w:rFonts w:hint="eastAsia" w:ascii="宋体" w:hAnsi="宋体" w:cs="宋体"/>
          <w:color w:val="auto"/>
          <w:kern w:val="0"/>
          <w:sz w:val="21"/>
          <w:szCs w:val="24"/>
          <w:highlight w:val="none"/>
          <w:u w:val="single"/>
        </w:rPr>
        <w:t>云之龙咨询集团有限公司</w:t>
      </w:r>
    </w:p>
    <w:p w14:paraId="395F9904">
      <w:pPr>
        <w:spacing w:line="240" w:lineRule="auto"/>
        <w:ind w:firstLine="0" w:firstLineChars="0"/>
        <w:rPr>
          <w:rFonts w:ascii="宋体" w:hAnsi="宋体" w:cs="宋体"/>
          <w:color w:val="auto"/>
          <w:kern w:val="0"/>
          <w:sz w:val="21"/>
          <w:szCs w:val="24"/>
          <w:highlight w:val="none"/>
        </w:rPr>
      </w:pPr>
    </w:p>
    <w:p w14:paraId="237E0EBD">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6082BCC">
      <w:pPr>
        <w:spacing w:line="400" w:lineRule="exact"/>
        <w:ind w:firstLine="420"/>
        <w:rPr>
          <w:rFonts w:ascii="宋体" w:hAnsi="宋体" w:cs="宋体"/>
          <w:color w:val="auto"/>
          <w:kern w:val="0"/>
          <w:sz w:val="21"/>
          <w:szCs w:val="20"/>
          <w:highlight w:val="none"/>
        </w:rPr>
      </w:pPr>
    </w:p>
    <w:p w14:paraId="7285015B">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w:t>
      </w:r>
      <w:r>
        <w:rPr>
          <w:rFonts w:hint="eastAsia" w:ascii="宋体" w:hAnsi="宋体" w:cs="宋体"/>
          <w:bCs/>
          <w:color w:val="auto"/>
          <w:sz w:val="21"/>
          <w:szCs w:val="21"/>
          <w:highlight w:val="none"/>
        </w:rPr>
        <w:t>电子签章</w:t>
      </w:r>
      <w:r>
        <w:rPr>
          <w:rFonts w:hint="eastAsia" w:ascii="宋体" w:hAnsi="宋体" w:cs="宋体"/>
          <w:b/>
          <w:color w:val="auto"/>
          <w:sz w:val="21"/>
          <w:szCs w:val="21"/>
          <w:highlight w:val="none"/>
        </w:rPr>
        <w:t>）</w:t>
      </w:r>
      <w:r>
        <w:rPr>
          <w:rFonts w:hint="eastAsia" w:ascii="宋体" w:hAnsi="宋体" w:cs="宋体"/>
          <w:color w:val="auto"/>
          <w:sz w:val="21"/>
          <w:szCs w:val="21"/>
          <w:highlight w:val="none"/>
        </w:rPr>
        <w:t>：</w:t>
      </w:r>
    </w:p>
    <w:p w14:paraId="7391EE80">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0"/>
          <w:highlight w:val="none"/>
        </w:rPr>
        <w:t>（或电子签名）</w:t>
      </w:r>
      <w:r>
        <w:rPr>
          <w:rFonts w:hint="eastAsia" w:ascii="宋体" w:hAnsi="宋体" w:cs="宋体"/>
          <w:color w:val="auto"/>
          <w:sz w:val="21"/>
          <w:szCs w:val="24"/>
          <w:highlight w:val="none"/>
        </w:rPr>
        <w:t>：</w:t>
      </w:r>
    </w:p>
    <w:p w14:paraId="40779AD0">
      <w:pPr>
        <w:pStyle w:val="23"/>
        <w:ind w:left="0"/>
        <w:rPr>
          <w:rFonts w:ascii="宋体" w:hAnsi="宋体" w:cs="宋体"/>
          <w:color w:val="auto"/>
          <w:kern w:val="2"/>
          <w:sz w:val="21"/>
          <w:highlight w:val="none"/>
        </w:rPr>
      </w:pPr>
      <w:r>
        <w:rPr>
          <w:rFonts w:hint="eastAsia" w:ascii="宋体" w:hAnsi="宋体" w:cs="宋体"/>
          <w:color w:val="auto"/>
          <w:kern w:val="2"/>
          <w:sz w:val="21"/>
          <w:highlight w:val="none"/>
        </w:rPr>
        <w:t>日          期：</w:t>
      </w:r>
    </w:p>
    <w:p w14:paraId="477AF035">
      <w:pPr>
        <w:pStyle w:val="23"/>
        <w:ind w:left="0"/>
        <w:rPr>
          <w:rFonts w:ascii="宋体" w:hAnsi="宋体" w:cs="宋体"/>
          <w:color w:val="auto"/>
          <w:kern w:val="2"/>
          <w:sz w:val="21"/>
          <w:highlight w:val="none"/>
        </w:rPr>
      </w:pPr>
    </w:p>
    <w:p w14:paraId="525E0881">
      <w:pPr>
        <w:pStyle w:val="23"/>
        <w:ind w:left="0"/>
        <w:rPr>
          <w:rFonts w:ascii="宋体" w:hAnsi="宋体" w:cs="宋体"/>
          <w:color w:val="auto"/>
          <w:kern w:val="2"/>
          <w:sz w:val="21"/>
          <w:highlight w:val="none"/>
        </w:rPr>
      </w:pPr>
    </w:p>
    <w:p w14:paraId="7C79223D">
      <w:pPr>
        <w:pStyle w:val="23"/>
        <w:ind w:left="0"/>
        <w:rPr>
          <w:rFonts w:ascii="宋体" w:hAnsi="宋体" w:cs="宋体"/>
          <w:color w:val="auto"/>
          <w:kern w:val="2"/>
          <w:sz w:val="21"/>
          <w:highlight w:val="none"/>
        </w:rPr>
      </w:pPr>
    </w:p>
    <w:p w14:paraId="4E237525">
      <w:pPr>
        <w:pStyle w:val="23"/>
        <w:ind w:left="0"/>
        <w:rPr>
          <w:rFonts w:ascii="宋体" w:hAnsi="宋体" w:cs="宋体"/>
          <w:color w:val="auto"/>
          <w:kern w:val="2"/>
          <w:sz w:val="21"/>
          <w:highlight w:val="none"/>
        </w:rPr>
      </w:pPr>
    </w:p>
    <w:p w14:paraId="4151F75D">
      <w:pPr>
        <w:spacing w:line="400" w:lineRule="exact"/>
        <w:ind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注：供应商为广西经营主体的，可通过信用中国</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广西</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 xml:space="preserve">网站 </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http://xygx.fgw.gxzf.gov.cn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w:t>
      </w:r>
      <w:r>
        <w:rPr>
          <w:rFonts w:hint="eastAsia" w:ascii="宋体" w:hAnsi="宋体" w:cs="宋体"/>
          <w:bCs/>
          <w:color w:val="auto"/>
          <w:sz w:val="21"/>
          <w:szCs w:val="21"/>
          <w:highlight w:val="none"/>
          <w:lang w:eastAsia="zh-CN"/>
        </w:rPr>
        <w:t>供应商</w:t>
      </w:r>
      <w:r>
        <w:rPr>
          <w:rFonts w:hint="eastAsia" w:ascii="宋体" w:hAnsi="宋体" w:cs="宋体"/>
          <w:bCs/>
          <w:color w:val="auto"/>
          <w:sz w:val="21"/>
          <w:szCs w:val="21"/>
          <w:highlight w:val="none"/>
        </w:rPr>
        <w:t>根据注册地信用中国网站的要求获取。</w:t>
      </w:r>
    </w:p>
    <w:p w14:paraId="008B8C59">
      <w:pPr>
        <w:pStyle w:val="23"/>
        <w:ind w:left="0"/>
        <w:rPr>
          <w:color w:val="auto"/>
          <w:highlight w:val="none"/>
        </w:rPr>
      </w:pPr>
    </w:p>
    <w:p w14:paraId="0493D27B">
      <w:pPr>
        <w:widowControl/>
        <w:spacing w:line="240" w:lineRule="auto"/>
        <w:ind w:firstLine="0" w:firstLineChars="0"/>
        <w:jc w:val="left"/>
        <w:rPr>
          <w:rFonts w:ascii="宋体" w:hAnsi="宋体" w:cs="宋体"/>
          <w:b/>
          <w:color w:val="auto"/>
          <w:kern w:val="0"/>
          <w:sz w:val="21"/>
          <w:szCs w:val="21"/>
          <w:highlight w:val="none"/>
        </w:rPr>
      </w:pPr>
      <w:r>
        <w:rPr>
          <w:rFonts w:ascii="宋体" w:hAnsi="宋体" w:cs="宋体"/>
          <w:b/>
          <w:color w:val="auto"/>
          <w:sz w:val="21"/>
          <w:szCs w:val="21"/>
          <w:highlight w:val="none"/>
        </w:rPr>
        <w:br w:type="page"/>
      </w:r>
    </w:p>
    <w:p w14:paraId="4507AA82">
      <w:pPr>
        <w:pStyle w:val="26"/>
        <w:spacing w:line="320" w:lineRule="exact"/>
        <w:rPr>
          <w:rFonts w:hAnsi="宋体" w:cs="宋体"/>
          <w:b/>
          <w:color w:val="auto"/>
          <w:sz w:val="28"/>
          <w:szCs w:val="28"/>
          <w:highlight w:val="none"/>
        </w:rPr>
      </w:pPr>
      <w:r>
        <w:rPr>
          <w:rFonts w:hint="eastAsia" w:hAnsi="宋体" w:cs="宋体"/>
          <w:b/>
          <w:color w:val="auto"/>
          <w:sz w:val="28"/>
          <w:szCs w:val="28"/>
          <w:highlight w:val="none"/>
        </w:rPr>
        <w:t>2.商务证明文件</w:t>
      </w:r>
    </w:p>
    <w:p w14:paraId="5225260D">
      <w:pPr>
        <w:pStyle w:val="26"/>
        <w:spacing w:line="320" w:lineRule="exact"/>
        <w:rPr>
          <w:rFonts w:hAnsi="宋体" w:cs="宋体"/>
          <w:b/>
          <w:color w:val="auto"/>
          <w:sz w:val="21"/>
          <w:highlight w:val="none"/>
        </w:rPr>
      </w:pPr>
    </w:p>
    <w:p w14:paraId="76319EFB">
      <w:pPr>
        <w:pStyle w:val="26"/>
        <w:spacing w:line="500" w:lineRule="exact"/>
        <w:rPr>
          <w:rFonts w:hAnsi="宋体" w:cs="宋体"/>
          <w:b/>
          <w:color w:val="auto"/>
          <w:sz w:val="21"/>
          <w:highlight w:val="none"/>
        </w:rPr>
      </w:pPr>
      <w:r>
        <w:rPr>
          <w:rFonts w:hint="eastAsia" w:hAnsi="宋体" w:cs="宋体"/>
          <w:b/>
          <w:color w:val="auto"/>
          <w:sz w:val="21"/>
          <w:highlight w:val="none"/>
        </w:rPr>
        <w:t>（1）供应商必须按要求提供“</w:t>
      </w:r>
      <w:r>
        <w:rPr>
          <w:rFonts w:hint="eastAsia" w:hAnsi="宋体" w:cs="宋体"/>
          <w:b/>
          <w:color w:val="auto"/>
          <w:sz w:val="21"/>
          <w:highlight w:val="none"/>
          <w:lang w:eastAsia="zh-CN"/>
        </w:rPr>
        <w:t>技术及商务要求响应表</w:t>
      </w:r>
      <w:r>
        <w:rPr>
          <w:rFonts w:hint="eastAsia" w:hAnsi="宋体" w:cs="宋体"/>
          <w:b/>
          <w:color w:val="auto"/>
          <w:sz w:val="21"/>
          <w:highlight w:val="none"/>
        </w:rPr>
        <w:t>”（必须提供）</w:t>
      </w:r>
    </w:p>
    <w:p w14:paraId="68ACF05A">
      <w:pPr>
        <w:pStyle w:val="26"/>
        <w:spacing w:line="500" w:lineRule="exact"/>
        <w:rPr>
          <w:rFonts w:hAnsi="宋体" w:cs="宋体"/>
          <w:b/>
          <w:color w:val="auto"/>
          <w:sz w:val="21"/>
          <w:highlight w:val="none"/>
        </w:rPr>
      </w:pPr>
      <w:r>
        <w:rPr>
          <w:rFonts w:hint="eastAsia" w:hAnsi="宋体" w:cs="宋体"/>
          <w:b/>
          <w:color w:val="auto"/>
          <w:sz w:val="21"/>
          <w:highlight w:val="none"/>
        </w:rPr>
        <w:t>（2）供应商必须按格式填写“工程报价汇总表”（必须提供）</w:t>
      </w:r>
    </w:p>
    <w:p w14:paraId="4D8D9F8F">
      <w:pPr>
        <w:pStyle w:val="26"/>
        <w:spacing w:line="500" w:lineRule="exact"/>
        <w:rPr>
          <w:rFonts w:hAnsi="宋体" w:cs="宋体"/>
          <w:b/>
          <w:color w:val="auto"/>
          <w:sz w:val="21"/>
          <w:highlight w:val="none"/>
        </w:rPr>
      </w:pPr>
      <w:r>
        <w:rPr>
          <w:rFonts w:hint="eastAsia" w:hAnsi="宋体" w:cs="宋体"/>
          <w:b/>
          <w:color w:val="auto"/>
          <w:sz w:val="21"/>
          <w:highlight w:val="none"/>
        </w:rPr>
        <w:t>（3）供应商必须按要求提供“工程量清单报价表”（必须提供）</w:t>
      </w:r>
    </w:p>
    <w:p w14:paraId="4D2F1C3F">
      <w:pPr>
        <w:pStyle w:val="26"/>
        <w:spacing w:line="500" w:lineRule="exact"/>
        <w:rPr>
          <w:rFonts w:hAnsi="宋体" w:cs="宋体"/>
          <w:color w:val="auto"/>
          <w:sz w:val="21"/>
          <w:highlight w:val="none"/>
        </w:rPr>
      </w:pPr>
      <w:r>
        <w:rPr>
          <w:rFonts w:hint="eastAsia" w:hAnsi="宋体" w:cs="宋体"/>
          <w:color w:val="auto"/>
          <w:sz w:val="21"/>
          <w:highlight w:val="none"/>
        </w:rPr>
        <w:t>（4）</w:t>
      </w:r>
      <w:r>
        <w:rPr>
          <w:rFonts w:hint="eastAsia" w:ascii="宋体" w:hAnsi="宋体" w:cs="宋体"/>
          <w:bCs/>
          <w:color w:val="auto"/>
          <w:sz w:val="21"/>
          <w:szCs w:val="21"/>
          <w:highlight w:val="none"/>
        </w:rPr>
        <w:t>供应商202</w:t>
      </w:r>
      <w:r>
        <w:rPr>
          <w:rFonts w:ascii="宋体" w:hAnsi="宋体" w:cs="宋体"/>
          <w:bCs/>
          <w:color w:val="auto"/>
          <w:sz w:val="21"/>
          <w:szCs w:val="21"/>
          <w:highlight w:val="none"/>
        </w:rPr>
        <w:t>2</w:t>
      </w:r>
      <w:r>
        <w:rPr>
          <w:rFonts w:hint="eastAsia" w:ascii="宋体" w:hAnsi="宋体" w:cs="宋体"/>
          <w:bCs/>
          <w:color w:val="auto"/>
          <w:sz w:val="21"/>
          <w:szCs w:val="21"/>
          <w:highlight w:val="none"/>
        </w:rPr>
        <w:t>年1月1日以来承建或经竣工验收的</w:t>
      </w:r>
      <w:r>
        <w:rPr>
          <w:rFonts w:hint="eastAsia" w:ascii="宋体" w:hAnsi="宋体" w:cs="宋体"/>
          <w:bCs/>
          <w:color w:val="auto"/>
          <w:sz w:val="21"/>
          <w:szCs w:val="21"/>
          <w:highlight w:val="none"/>
          <w:lang w:eastAsia="zh-CN"/>
        </w:rPr>
        <w:t>类似工程业绩的相关证</w:t>
      </w:r>
      <w:r>
        <w:rPr>
          <w:rFonts w:hint="eastAsia" w:ascii="宋体" w:hAnsi="宋体" w:cs="宋体"/>
          <w:bCs/>
          <w:color w:val="auto"/>
          <w:sz w:val="21"/>
          <w:szCs w:val="21"/>
          <w:highlight w:val="none"/>
        </w:rPr>
        <w:t>明材料</w:t>
      </w:r>
      <w:r>
        <w:rPr>
          <w:rFonts w:hint="eastAsia" w:hAnsi="宋体" w:cs="宋体"/>
          <w:color w:val="auto"/>
          <w:sz w:val="21"/>
          <w:highlight w:val="none"/>
        </w:rPr>
        <w:t>（如有，请提供）</w:t>
      </w:r>
    </w:p>
    <w:p w14:paraId="235B7AEC">
      <w:pPr>
        <w:pStyle w:val="26"/>
        <w:spacing w:line="500" w:lineRule="exact"/>
        <w:rPr>
          <w:rFonts w:hAnsi="宋体" w:cs="宋体"/>
          <w:color w:val="auto"/>
          <w:sz w:val="21"/>
          <w:highlight w:val="none"/>
        </w:rPr>
      </w:pPr>
      <w:r>
        <w:rPr>
          <w:rFonts w:hint="eastAsia" w:hAnsi="宋体" w:cs="宋体"/>
          <w:color w:val="auto"/>
          <w:sz w:val="21"/>
          <w:highlight w:val="none"/>
        </w:rPr>
        <w:t>（5）供应商相关获奖证书、认证证书等（如有，请提供）</w:t>
      </w:r>
    </w:p>
    <w:p w14:paraId="07878801">
      <w:pPr>
        <w:pStyle w:val="26"/>
        <w:spacing w:line="500" w:lineRule="exact"/>
        <w:rPr>
          <w:rFonts w:hAnsi="宋体" w:cs="宋体"/>
          <w:color w:val="auto"/>
          <w:sz w:val="21"/>
          <w:highlight w:val="none"/>
        </w:rPr>
      </w:pPr>
      <w:r>
        <w:rPr>
          <w:rFonts w:hint="eastAsia" w:hAnsi="宋体" w:cs="宋体"/>
          <w:color w:val="auto"/>
          <w:sz w:val="21"/>
          <w:highlight w:val="none"/>
        </w:rPr>
        <w:t>（6）供应商可结合本项目的评审办法视自身情况自行提交相关证明材料（如有，请提供）</w:t>
      </w:r>
    </w:p>
    <w:p w14:paraId="757940C9">
      <w:pPr>
        <w:pStyle w:val="23"/>
        <w:rPr>
          <w:rFonts w:ascii="宋体" w:hAnsi="宋体" w:cs="宋体"/>
          <w:b/>
          <w:color w:val="auto"/>
          <w:sz w:val="21"/>
          <w:szCs w:val="21"/>
          <w:highlight w:val="none"/>
        </w:rPr>
      </w:pPr>
    </w:p>
    <w:p w14:paraId="47B76896">
      <w:pPr>
        <w:pStyle w:val="23"/>
        <w:rPr>
          <w:rFonts w:ascii="宋体" w:hAnsi="宋体" w:cs="宋体"/>
          <w:b/>
          <w:color w:val="auto"/>
          <w:sz w:val="21"/>
          <w:szCs w:val="21"/>
          <w:highlight w:val="none"/>
        </w:rPr>
      </w:pPr>
    </w:p>
    <w:p w14:paraId="62342F36">
      <w:pPr>
        <w:pStyle w:val="23"/>
        <w:rPr>
          <w:rFonts w:ascii="宋体" w:hAnsi="宋体" w:cs="宋体"/>
          <w:b/>
          <w:color w:val="auto"/>
          <w:sz w:val="21"/>
          <w:szCs w:val="21"/>
          <w:highlight w:val="none"/>
        </w:rPr>
      </w:pPr>
    </w:p>
    <w:p w14:paraId="070419F7">
      <w:pPr>
        <w:pStyle w:val="23"/>
        <w:rPr>
          <w:rFonts w:ascii="宋体" w:hAnsi="宋体" w:cs="宋体"/>
          <w:b/>
          <w:color w:val="auto"/>
          <w:sz w:val="21"/>
          <w:szCs w:val="21"/>
          <w:highlight w:val="none"/>
        </w:rPr>
      </w:pPr>
    </w:p>
    <w:p w14:paraId="4364C90F">
      <w:pPr>
        <w:pStyle w:val="23"/>
        <w:rPr>
          <w:rFonts w:ascii="宋体" w:hAnsi="宋体" w:cs="宋体"/>
          <w:b/>
          <w:color w:val="auto"/>
          <w:sz w:val="21"/>
          <w:szCs w:val="21"/>
          <w:highlight w:val="none"/>
        </w:rPr>
      </w:pPr>
    </w:p>
    <w:p w14:paraId="0C82245C">
      <w:pPr>
        <w:pStyle w:val="23"/>
        <w:rPr>
          <w:rFonts w:ascii="宋体" w:hAnsi="宋体" w:cs="宋体"/>
          <w:b/>
          <w:color w:val="auto"/>
          <w:sz w:val="21"/>
          <w:szCs w:val="21"/>
          <w:highlight w:val="none"/>
        </w:rPr>
      </w:pPr>
    </w:p>
    <w:p w14:paraId="77B9A414">
      <w:pPr>
        <w:pStyle w:val="23"/>
        <w:rPr>
          <w:rFonts w:ascii="宋体" w:hAnsi="宋体" w:cs="宋体"/>
          <w:b/>
          <w:color w:val="auto"/>
          <w:sz w:val="21"/>
          <w:szCs w:val="21"/>
          <w:highlight w:val="none"/>
        </w:rPr>
      </w:pPr>
    </w:p>
    <w:p w14:paraId="27D8781F">
      <w:pPr>
        <w:pStyle w:val="23"/>
        <w:rPr>
          <w:rFonts w:ascii="宋体" w:hAnsi="宋体" w:cs="宋体"/>
          <w:b/>
          <w:color w:val="auto"/>
          <w:sz w:val="21"/>
          <w:szCs w:val="21"/>
          <w:highlight w:val="none"/>
        </w:rPr>
      </w:pPr>
    </w:p>
    <w:p w14:paraId="3685039F">
      <w:pPr>
        <w:pStyle w:val="23"/>
        <w:rPr>
          <w:rFonts w:ascii="宋体" w:hAnsi="宋体" w:cs="宋体"/>
          <w:b/>
          <w:color w:val="auto"/>
          <w:sz w:val="21"/>
          <w:szCs w:val="21"/>
          <w:highlight w:val="none"/>
        </w:rPr>
      </w:pPr>
    </w:p>
    <w:p w14:paraId="27E8B3BE">
      <w:pPr>
        <w:pStyle w:val="23"/>
        <w:rPr>
          <w:rFonts w:ascii="宋体" w:hAnsi="宋体" w:cs="宋体"/>
          <w:b/>
          <w:color w:val="auto"/>
          <w:sz w:val="21"/>
          <w:szCs w:val="21"/>
          <w:highlight w:val="none"/>
        </w:rPr>
      </w:pPr>
    </w:p>
    <w:p w14:paraId="254456B8">
      <w:pPr>
        <w:pStyle w:val="23"/>
        <w:rPr>
          <w:rFonts w:ascii="宋体" w:hAnsi="宋体" w:cs="宋体"/>
          <w:b/>
          <w:color w:val="auto"/>
          <w:sz w:val="21"/>
          <w:szCs w:val="21"/>
          <w:highlight w:val="none"/>
        </w:rPr>
      </w:pPr>
    </w:p>
    <w:p w14:paraId="49BF8A63">
      <w:pPr>
        <w:pStyle w:val="23"/>
        <w:rPr>
          <w:rFonts w:ascii="宋体" w:hAnsi="宋体" w:cs="宋体"/>
          <w:b/>
          <w:color w:val="auto"/>
          <w:sz w:val="21"/>
          <w:szCs w:val="21"/>
          <w:highlight w:val="none"/>
        </w:rPr>
      </w:pPr>
    </w:p>
    <w:p w14:paraId="542CE4FC">
      <w:pPr>
        <w:pStyle w:val="23"/>
        <w:rPr>
          <w:rFonts w:ascii="宋体" w:hAnsi="宋体" w:cs="宋体"/>
          <w:b/>
          <w:color w:val="auto"/>
          <w:sz w:val="21"/>
          <w:szCs w:val="21"/>
          <w:highlight w:val="none"/>
        </w:rPr>
      </w:pPr>
    </w:p>
    <w:p w14:paraId="59597C66">
      <w:pPr>
        <w:pStyle w:val="23"/>
        <w:rPr>
          <w:rFonts w:ascii="宋体" w:hAnsi="宋体" w:cs="宋体"/>
          <w:b/>
          <w:color w:val="auto"/>
          <w:sz w:val="21"/>
          <w:szCs w:val="21"/>
          <w:highlight w:val="none"/>
        </w:rPr>
      </w:pPr>
    </w:p>
    <w:p w14:paraId="590641A0">
      <w:pPr>
        <w:pStyle w:val="23"/>
        <w:rPr>
          <w:rFonts w:ascii="宋体" w:hAnsi="宋体" w:cs="宋体"/>
          <w:b/>
          <w:color w:val="auto"/>
          <w:sz w:val="21"/>
          <w:szCs w:val="21"/>
          <w:highlight w:val="none"/>
        </w:rPr>
      </w:pPr>
    </w:p>
    <w:p w14:paraId="60107888">
      <w:pPr>
        <w:pStyle w:val="23"/>
        <w:rPr>
          <w:rFonts w:ascii="宋体" w:hAnsi="宋体" w:cs="宋体"/>
          <w:b/>
          <w:color w:val="auto"/>
          <w:sz w:val="21"/>
          <w:szCs w:val="21"/>
          <w:highlight w:val="none"/>
        </w:rPr>
      </w:pPr>
    </w:p>
    <w:p w14:paraId="72ECD856">
      <w:pPr>
        <w:pStyle w:val="23"/>
        <w:rPr>
          <w:rFonts w:ascii="宋体" w:hAnsi="宋体" w:cs="宋体"/>
          <w:b/>
          <w:color w:val="auto"/>
          <w:sz w:val="21"/>
          <w:szCs w:val="21"/>
          <w:highlight w:val="none"/>
        </w:rPr>
      </w:pPr>
    </w:p>
    <w:p w14:paraId="033460C5">
      <w:pPr>
        <w:pStyle w:val="23"/>
        <w:rPr>
          <w:rFonts w:ascii="宋体" w:hAnsi="宋体" w:cs="宋体"/>
          <w:b/>
          <w:color w:val="auto"/>
          <w:sz w:val="21"/>
          <w:szCs w:val="21"/>
          <w:highlight w:val="none"/>
        </w:rPr>
      </w:pPr>
    </w:p>
    <w:p w14:paraId="0B710D0F">
      <w:pPr>
        <w:pStyle w:val="23"/>
        <w:rPr>
          <w:rFonts w:ascii="宋体" w:hAnsi="宋体" w:cs="宋体"/>
          <w:b/>
          <w:color w:val="auto"/>
          <w:sz w:val="21"/>
          <w:szCs w:val="21"/>
          <w:highlight w:val="none"/>
        </w:rPr>
      </w:pPr>
    </w:p>
    <w:p w14:paraId="0B0EA15E">
      <w:pPr>
        <w:pStyle w:val="23"/>
        <w:rPr>
          <w:rFonts w:ascii="宋体" w:hAnsi="宋体" w:cs="宋体"/>
          <w:b/>
          <w:color w:val="auto"/>
          <w:sz w:val="21"/>
          <w:szCs w:val="21"/>
          <w:highlight w:val="none"/>
        </w:rPr>
      </w:pPr>
    </w:p>
    <w:p w14:paraId="4B513DFF">
      <w:pPr>
        <w:pStyle w:val="23"/>
        <w:rPr>
          <w:rFonts w:ascii="宋体" w:hAnsi="宋体" w:cs="宋体"/>
          <w:b/>
          <w:color w:val="auto"/>
          <w:sz w:val="21"/>
          <w:szCs w:val="21"/>
          <w:highlight w:val="none"/>
        </w:rPr>
      </w:pPr>
    </w:p>
    <w:p w14:paraId="06C44CB0">
      <w:pPr>
        <w:pStyle w:val="23"/>
        <w:rPr>
          <w:rFonts w:ascii="宋体" w:hAnsi="宋体" w:cs="宋体"/>
          <w:b/>
          <w:color w:val="auto"/>
          <w:sz w:val="21"/>
          <w:szCs w:val="21"/>
          <w:highlight w:val="none"/>
        </w:rPr>
      </w:pPr>
    </w:p>
    <w:p w14:paraId="33BEC1D9">
      <w:pPr>
        <w:pStyle w:val="23"/>
        <w:rPr>
          <w:rFonts w:ascii="宋体" w:hAnsi="宋体" w:cs="宋体"/>
          <w:b/>
          <w:color w:val="auto"/>
          <w:sz w:val="21"/>
          <w:szCs w:val="21"/>
          <w:highlight w:val="none"/>
        </w:rPr>
      </w:pPr>
    </w:p>
    <w:p w14:paraId="381F675E">
      <w:pPr>
        <w:pStyle w:val="23"/>
        <w:rPr>
          <w:rFonts w:ascii="宋体" w:hAnsi="宋体" w:cs="宋体"/>
          <w:b/>
          <w:color w:val="auto"/>
          <w:sz w:val="21"/>
          <w:szCs w:val="21"/>
          <w:highlight w:val="none"/>
        </w:rPr>
      </w:pPr>
    </w:p>
    <w:p w14:paraId="27CD4A35">
      <w:pPr>
        <w:pStyle w:val="23"/>
        <w:rPr>
          <w:rFonts w:ascii="宋体" w:hAnsi="宋体" w:cs="宋体"/>
          <w:b/>
          <w:color w:val="auto"/>
          <w:sz w:val="21"/>
          <w:szCs w:val="21"/>
          <w:highlight w:val="none"/>
        </w:rPr>
      </w:pPr>
    </w:p>
    <w:p w14:paraId="09A48A8E">
      <w:pPr>
        <w:pStyle w:val="23"/>
        <w:rPr>
          <w:rFonts w:ascii="宋体" w:hAnsi="宋体" w:cs="宋体"/>
          <w:b/>
          <w:color w:val="auto"/>
          <w:sz w:val="21"/>
          <w:szCs w:val="21"/>
          <w:highlight w:val="none"/>
        </w:rPr>
      </w:pPr>
    </w:p>
    <w:p w14:paraId="08641F03">
      <w:pPr>
        <w:pStyle w:val="23"/>
        <w:rPr>
          <w:rFonts w:ascii="宋体" w:hAnsi="宋体" w:cs="宋体"/>
          <w:b/>
          <w:color w:val="auto"/>
          <w:sz w:val="21"/>
          <w:szCs w:val="21"/>
          <w:highlight w:val="none"/>
        </w:rPr>
      </w:pPr>
    </w:p>
    <w:p w14:paraId="04067D20">
      <w:pPr>
        <w:pStyle w:val="23"/>
        <w:rPr>
          <w:rFonts w:ascii="宋体" w:hAnsi="宋体" w:cs="宋体"/>
          <w:b/>
          <w:color w:val="auto"/>
          <w:sz w:val="21"/>
          <w:szCs w:val="21"/>
          <w:highlight w:val="none"/>
        </w:rPr>
      </w:pPr>
    </w:p>
    <w:p w14:paraId="07FAEF99">
      <w:pPr>
        <w:pStyle w:val="23"/>
        <w:rPr>
          <w:rFonts w:ascii="宋体" w:hAnsi="宋体" w:cs="宋体"/>
          <w:b/>
          <w:color w:val="auto"/>
          <w:sz w:val="21"/>
          <w:szCs w:val="21"/>
          <w:highlight w:val="none"/>
        </w:rPr>
      </w:pPr>
    </w:p>
    <w:p w14:paraId="40C6722F">
      <w:pPr>
        <w:pStyle w:val="23"/>
        <w:rPr>
          <w:rFonts w:ascii="宋体" w:hAnsi="宋体" w:cs="宋体"/>
          <w:b/>
          <w:color w:val="auto"/>
          <w:sz w:val="21"/>
          <w:szCs w:val="21"/>
          <w:highlight w:val="none"/>
        </w:rPr>
      </w:pPr>
    </w:p>
    <w:p w14:paraId="1817585B">
      <w:pPr>
        <w:pStyle w:val="23"/>
        <w:rPr>
          <w:rFonts w:ascii="宋体" w:hAnsi="宋体" w:cs="宋体"/>
          <w:b/>
          <w:color w:val="auto"/>
          <w:sz w:val="21"/>
          <w:szCs w:val="21"/>
          <w:highlight w:val="none"/>
        </w:rPr>
      </w:pPr>
    </w:p>
    <w:p w14:paraId="52A56862">
      <w:pPr>
        <w:pStyle w:val="23"/>
        <w:rPr>
          <w:rFonts w:ascii="宋体" w:hAnsi="宋体" w:cs="宋体"/>
          <w:b/>
          <w:color w:val="auto"/>
          <w:sz w:val="21"/>
          <w:szCs w:val="21"/>
          <w:highlight w:val="none"/>
        </w:rPr>
      </w:pPr>
    </w:p>
    <w:p w14:paraId="2EA262D3">
      <w:pPr>
        <w:pStyle w:val="23"/>
        <w:rPr>
          <w:rFonts w:ascii="宋体" w:hAnsi="宋体" w:cs="宋体"/>
          <w:b/>
          <w:color w:val="auto"/>
          <w:sz w:val="21"/>
          <w:szCs w:val="21"/>
          <w:highlight w:val="none"/>
        </w:rPr>
      </w:pPr>
    </w:p>
    <w:p w14:paraId="0443D02C">
      <w:pPr>
        <w:pStyle w:val="23"/>
        <w:rPr>
          <w:rFonts w:ascii="宋体" w:hAnsi="宋体" w:cs="宋体"/>
          <w:b/>
          <w:color w:val="auto"/>
          <w:sz w:val="21"/>
          <w:szCs w:val="21"/>
          <w:highlight w:val="none"/>
        </w:rPr>
      </w:pPr>
    </w:p>
    <w:p w14:paraId="26B60FB9">
      <w:pPr>
        <w:pStyle w:val="23"/>
        <w:rPr>
          <w:rFonts w:ascii="宋体" w:hAnsi="宋体" w:cs="宋体"/>
          <w:b/>
          <w:color w:val="auto"/>
          <w:sz w:val="21"/>
          <w:szCs w:val="21"/>
          <w:highlight w:val="none"/>
        </w:rPr>
      </w:pPr>
    </w:p>
    <w:p w14:paraId="3185E23B">
      <w:pPr>
        <w:pStyle w:val="26"/>
        <w:spacing w:line="320" w:lineRule="exact"/>
        <w:rPr>
          <w:rFonts w:hAnsi="宋体" w:cs="宋体"/>
          <w:b/>
          <w:color w:val="auto"/>
          <w:sz w:val="28"/>
          <w:szCs w:val="28"/>
          <w:highlight w:val="none"/>
        </w:rPr>
      </w:pPr>
      <w:r>
        <w:rPr>
          <w:rFonts w:hint="eastAsia" w:hAnsi="宋体" w:cs="宋体"/>
          <w:b/>
          <w:color w:val="auto"/>
          <w:sz w:val="28"/>
          <w:szCs w:val="28"/>
          <w:highlight w:val="none"/>
        </w:rPr>
        <w:t>（1）供应商必须按要求提供“</w:t>
      </w:r>
      <w:r>
        <w:rPr>
          <w:rFonts w:hint="eastAsia" w:hAnsi="宋体" w:cs="宋体"/>
          <w:b/>
          <w:color w:val="auto"/>
          <w:sz w:val="28"/>
          <w:szCs w:val="28"/>
          <w:highlight w:val="none"/>
          <w:lang w:eastAsia="zh-CN"/>
        </w:rPr>
        <w:t>技术及商务要求响应表</w:t>
      </w:r>
      <w:r>
        <w:rPr>
          <w:rFonts w:hint="eastAsia" w:hAnsi="宋体" w:cs="宋体"/>
          <w:b/>
          <w:color w:val="auto"/>
          <w:sz w:val="28"/>
          <w:szCs w:val="28"/>
          <w:highlight w:val="none"/>
        </w:rPr>
        <w:t>”（必须提供）</w:t>
      </w:r>
    </w:p>
    <w:p w14:paraId="7844C9D9">
      <w:pPr>
        <w:widowControl/>
        <w:ind w:firstLine="562"/>
        <w:jc w:val="center"/>
        <w:rPr>
          <w:rFonts w:ascii="宋体" w:hAnsi="宋体" w:cs="宋体"/>
          <w:b/>
          <w:color w:val="auto"/>
          <w:sz w:val="28"/>
          <w:szCs w:val="28"/>
          <w:highlight w:val="none"/>
        </w:rPr>
      </w:pPr>
    </w:p>
    <w:p w14:paraId="02007090">
      <w:pPr>
        <w:widowControl/>
        <w:ind w:firstLine="562"/>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lang w:eastAsia="zh-CN"/>
        </w:rPr>
        <w:t>技术及商务要求响应表</w:t>
      </w:r>
    </w:p>
    <w:p w14:paraId="02ED974F">
      <w:pPr>
        <w:widowControl/>
        <w:ind w:left="0" w:leftChars="0" w:firstLine="0" w:firstLineChars="0"/>
        <w:jc w:val="left"/>
        <w:rPr>
          <w:rFonts w:hint="eastAsia" w:ascii="宋体" w:hAnsi="宋体" w:cs="宋体"/>
          <w:b/>
          <w:color w:val="auto"/>
          <w:sz w:val="24"/>
          <w:szCs w:val="24"/>
          <w:highlight w:val="none"/>
          <w:lang w:eastAsia="zh-CN"/>
        </w:rPr>
      </w:pPr>
      <w:r>
        <w:rPr>
          <w:rFonts w:hint="eastAsia" w:ascii="宋体" w:hAnsi="宋体" w:cs="宋体"/>
          <w:b/>
          <w:color w:val="auto"/>
          <w:sz w:val="24"/>
          <w:szCs w:val="24"/>
          <w:highlight w:val="none"/>
        </w:rPr>
        <w:t>桂林市第十三中学校园操场改造1项</w:t>
      </w:r>
      <w:r>
        <w:rPr>
          <w:rFonts w:hint="eastAsia" w:ascii="宋体" w:hAnsi="宋体" w:cs="宋体"/>
          <w:b/>
          <w:color w:val="auto"/>
          <w:sz w:val="24"/>
          <w:szCs w:val="24"/>
          <w:highlight w:val="none"/>
          <w:lang w:eastAsia="zh-CN"/>
        </w:rPr>
        <w:t>、桂林市第十三中学校园硅PU篮球场</w:t>
      </w:r>
      <w:r>
        <w:rPr>
          <w:rFonts w:hint="eastAsia" w:ascii="宋体" w:hAnsi="宋体" w:cs="宋体"/>
          <w:b/>
          <w:color w:val="auto"/>
          <w:sz w:val="24"/>
          <w:szCs w:val="24"/>
          <w:highlight w:val="none"/>
        </w:rPr>
        <w:t>1项</w:t>
      </w:r>
    </w:p>
    <w:tbl>
      <w:tblPr>
        <w:tblStyle w:val="48"/>
        <w:tblW w:w="50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128"/>
        <w:gridCol w:w="34"/>
        <w:gridCol w:w="3988"/>
      </w:tblGrid>
      <w:tr w14:paraId="510F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65EAF8FC">
            <w:pPr>
              <w:snapToGrid w:val="0"/>
              <w:spacing w:before="50" w:line="240" w:lineRule="auto"/>
              <w:ind w:firstLine="0" w:firstLineChars="0"/>
              <w:jc w:val="center"/>
              <w:rPr>
                <w:rFonts w:ascii="宋体" w:hAnsi="宋体"/>
                <w:color w:val="auto"/>
                <w:szCs w:val="24"/>
                <w:highlight w:val="none"/>
              </w:rPr>
            </w:pPr>
            <w:r>
              <w:rPr>
                <w:rFonts w:hint="eastAsia" w:ascii="宋体" w:hAnsi="宋体"/>
                <w:color w:val="auto"/>
                <w:szCs w:val="24"/>
                <w:highlight w:val="none"/>
              </w:rPr>
              <w:t>条款</w:t>
            </w:r>
          </w:p>
        </w:tc>
        <w:tc>
          <w:tcPr>
            <w:tcW w:w="1746" w:type="pct"/>
            <w:gridSpan w:val="2"/>
            <w:tcBorders>
              <w:top w:val="single" w:color="auto" w:sz="4" w:space="0"/>
              <w:left w:val="single" w:color="auto" w:sz="4" w:space="0"/>
              <w:bottom w:val="single" w:color="auto" w:sz="4" w:space="0"/>
              <w:right w:val="single" w:color="auto" w:sz="4" w:space="0"/>
            </w:tcBorders>
            <w:vAlign w:val="center"/>
          </w:tcPr>
          <w:p w14:paraId="025ECFFE">
            <w:pPr>
              <w:snapToGrid w:val="0"/>
              <w:spacing w:before="50" w:line="240" w:lineRule="auto"/>
              <w:ind w:firstLine="0" w:firstLineChars="0"/>
              <w:jc w:val="center"/>
              <w:rPr>
                <w:rFonts w:ascii="宋体" w:hAnsi="宋体"/>
                <w:color w:val="auto"/>
                <w:szCs w:val="24"/>
                <w:highlight w:val="none"/>
              </w:rPr>
            </w:pPr>
            <w:r>
              <w:rPr>
                <w:rFonts w:hint="eastAsia" w:ascii="宋体" w:hAnsi="宋体"/>
                <w:color w:val="auto"/>
                <w:szCs w:val="24"/>
                <w:highlight w:val="none"/>
              </w:rPr>
              <w:t>第三章采购需求中的要求</w:t>
            </w:r>
            <w:r>
              <w:rPr>
                <w:rFonts w:ascii="宋体" w:hAnsi="宋体"/>
                <w:color w:val="auto"/>
                <w:szCs w:val="24"/>
                <w:highlight w:val="none"/>
              </w:rPr>
              <w:t xml:space="preserve"> </w:t>
            </w:r>
          </w:p>
        </w:tc>
        <w:tc>
          <w:tcPr>
            <w:tcW w:w="2200" w:type="pct"/>
            <w:tcBorders>
              <w:top w:val="single" w:color="auto" w:sz="4" w:space="0"/>
              <w:left w:val="single" w:color="auto" w:sz="4" w:space="0"/>
              <w:bottom w:val="single" w:color="auto" w:sz="4" w:space="0"/>
              <w:right w:val="single" w:color="auto" w:sz="4" w:space="0"/>
            </w:tcBorders>
            <w:vAlign w:val="center"/>
          </w:tcPr>
          <w:p w14:paraId="0A5DF1BC">
            <w:pPr>
              <w:snapToGrid w:val="0"/>
              <w:spacing w:before="50" w:line="240" w:lineRule="auto"/>
              <w:ind w:firstLine="0" w:firstLineChars="0"/>
              <w:jc w:val="center"/>
              <w:rPr>
                <w:rFonts w:ascii="宋体" w:hAnsi="宋体"/>
                <w:color w:val="auto"/>
                <w:szCs w:val="24"/>
                <w:highlight w:val="none"/>
              </w:rPr>
            </w:pPr>
            <w:r>
              <w:rPr>
                <w:rFonts w:hint="eastAsia" w:ascii="宋体" w:hAnsi="宋体"/>
                <w:color w:val="auto"/>
                <w:szCs w:val="24"/>
                <w:highlight w:val="none"/>
              </w:rPr>
              <w:t>响应情况</w:t>
            </w:r>
          </w:p>
        </w:tc>
      </w:tr>
      <w:tr w14:paraId="7982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59969F1">
            <w:pPr>
              <w:snapToGrid w:val="0"/>
              <w:spacing w:before="50" w:line="240" w:lineRule="auto"/>
              <w:ind w:firstLine="0" w:firstLineChars="0"/>
              <w:jc w:val="left"/>
              <w:rPr>
                <w:rFonts w:hint="eastAsia" w:ascii="宋体" w:hAnsi="宋体" w:eastAsia="宋体" w:cs="Times New Roman"/>
                <w:color w:val="auto"/>
                <w:szCs w:val="24"/>
                <w:highlight w:val="none"/>
                <w:lang w:eastAsia="zh-CN"/>
              </w:rPr>
            </w:pPr>
            <w:r>
              <w:rPr>
                <w:rFonts w:hint="eastAsia" w:ascii="宋体" w:hAnsi="宋体" w:eastAsia="宋体" w:cs="Times New Roman"/>
                <w:color w:val="auto"/>
                <w:szCs w:val="24"/>
                <w:highlight w:val="none"/>
              </w:rPr>
              <w:t>一、</w:t>
            </w:r>
            <w:r>
              <w:rPr>
                <w:rFonts w:hint="eastAsia" w:ascii="宋体" w:hAnsi="宋体" w:eastAsia="宋体" w:cs="Times New Roman"/>
                <w:color w:val="auto"/>
                <w:szCs w:val="24"/>
                <w:highlight w:val="none"/>
                <w:lang w:eastAsia="zh-CN"/>
              </w:rPr>
              <w:t>技术要求</w:t>
            </w:r>
          </w:p>
        </w:tc>
      </w:tr>
      <w:tr w14:paraId="230F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11E0BEF9">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w:t>
            </w:r>
            <w:r>
              <w:rPr>
                <w:rFonts w:hint="eastAsia" w:ascii="宋体" w:hAnsi="宋体" w:eastAsia="宋体" w:cs="Times New Roman"/>
                <w:color w:val="auto"/>
                <w:szCs w:val="24"/>
                <w:highlight w:val="none"/>
                <w:lang w:eastAsia="zh-CN"/>
              </w:rPr>
              <w:t>一</w:t>
            </w:r>
            <w:r>
              <w:rPr>
                <w:rFonts w:hint="eastAsia" w:ascii="宋体" w:hAnsi="宋体" w:eastAsia="宋体" w:cs="Times New Roman"/>
                <w:color w:val="auto"/>
                <w:szCs w:val="24"/>
                <w:highlight w:val="none"/>
              </w:rPr>
              <w:t>）工程内容</w:t>
            </w:r>
          </w:p>
        </w:tc>
        <w:tc>
          <w:tcPr>
            <w:tcW w:w="1727" w:type="pct"/>
            <w:tcBorders>
              <w:top w:val="single" w:color="auto" w:sz="4" w:space="0"/>
              <w:left w:val="single" w:color="auto" w:sz="4" w:space="0"/>
              <w:bottom w:val="single" w:color="auto" w:sz="4" w:space="0"/>
              <w:right w:val="single" w:color="auto" w:sz="4" w:space="0"/>
            </w:tcBorders>
            <w:vAlign w:val="center"/>
          </w:tcPr>
          <w:p w14:paraId="760B1E9C">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23A243CE">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1EC4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29078599">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lang w:eastAsia="zh-CN"/>
              </w:rPr>
              <w:t>（二）技术标准和要求</w:t>
            </w:r>
          </w:p>
        </w:tc>
        <w:tc>
          <w:tcPr>
            <w:tcW w:w="1727" w:type="pct"/>
            <w:tcBorders>
              <w:top w:val="single" w:color="auto" w:sz="4" w:space="0"/>
              <w:left w:val="single" w:color="auto" w:sz="4" w:space="0"/>
              <w:bottom w:val="single" w:color="auto" w:sz="4" w:space="0"/>
              <w:right w:val="single" w:color="auto" w:sz="4" w:space="0"/>
            </w:tcBorders>
            <w:vAlign w:val="center"/>
          </w:tcPr>
          <w:p w14:paraId="34F7060D">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7B593B5F">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3EC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5FAE3A50">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lang w:eastAsia="zh-CN"/>
              </w:rPr>
              <w:t>（三）产品技术要求</w:t>
            </w:r>
          </w:p>
        </w:tc>
        <w:tc>
          <w:tcPr>
            <w:tcW w:w="1727" w:type="pct"/>
            <w:tcBorders>
              <w:top w:val="single" w:color="auto" w:sz="4" w:space="0"/>
              <w:left w:val="single" w:color="auto" w:sz="4" w:space="0"/>
              <w:bottom w:val="single" w:color="auto" w:sz="4" w:space="0"/>
              <w:right w:val="single" w:color="auto" w:sz="4" w:space="0"/>
            </w:tcBorders>
            <w:vAlign w:val="center"/>
          </w:tcPr>
          <w:p w14:paraId="7598B37B">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4126FCAA">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F76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4DA814D4">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w:t>
            </w:r>
            <w:r>
              <w:rPr>
                <w:rFonts w:hint="eastAsia" w:ascii="宋体" w:hAnsi="宋体" w:eastAsia="宋体" w:cs="Times New Roman"/>
                <w:color w:val="auto"/>
                <w:szCs w:val="24"/>
                <w:highlight w:val="none"/>
                <w:lang w:eastAsia="zh-CN"/>
              </w:rPr>
              <w:t>四</w:t>
            </w:r>
            <w:r>
              <w:rPr>
                <w:rFonts w:hint="eastAsia" w:ascii="宋体" w:hAnsi="宋体" w:eastAsia="宋体" w:cs="Times New Roman"/>
                <w:color w:val="auto"/>
                <w:szCs w:val="24"/>
                <w:highlight w:val="none"/>
              </w:rPr>
              <w:t>）</w:t>
            </w:r>
            <w:r>
              <w:rPr>
                <w:rFonts w:hint="eastAsia" w:ascii="宋体" w:hAnsi="宋体" w:eastAsia="宋体" w:cs="Times New Roman"/>
                <w:color w:val="auto"/>
                <w:szCs w:val="24"/>
                <w:highlight w:val="none"/>
                <w:lang w:eastAsia="zh-CN"/>
              </w:rPr>
              <w:t>其他技术服务</w:t>
            </w:r>
            <w:r>
              <w:rPr>
                <w:rFonts w:hint="eastAsia" w:ascii="宋体" w:hAnsi="宋体" w:eastAsia="宋体" w:cs="Times New Roman"/>
                <w:color w:val="auto"/>
                <w:szCs w:val="24"/>
                <w:highlight w:val="none"/>
              </w:rPr>
              <w:t>要求</w:t>
            </w:r>
          </w:p>
        </w:tc>
        <w:tc>
          <w:tcPr>
            <w:tcW w:w="1727" w:type="pct"/>
            <w:tcBorders>
              <w:top w:val="single" w:color="auto" w:sz="4" w:space="0"/>
              <w:left w:val="single" w:color="auto" w:sz="4" w:space="0"/>
              <w:bottom w:val="single" w:color="auto" w:sz="4" w:space="0"/>
              <w:right w:val="single" w:color="auto" w:sz="4" w:space="0"/>
            </w:tcBorders>
            <w:vAlign w:val="center"/>
          </w:tcPr>
          <w:p w14:paraId="74F4C9E0">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44B7A76A">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FAB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6705CF9">
            <w:pPr>
              <w:snapToGrid w:val="0"/>
              <w:spacing w:before="50" w:line="240" w:lineRule="auto"/>
              <w:ind w:firstLine="0" w:firstLineChars="0"/>
              <w:jc w:val="left"/>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二、商务要求</w:t>
            </w:r>
          </w:p>
        </w:tc>
      </w:tr>
      <w:tr w14:paraId="1AC5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452A6DD9">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（一）项目工期</w:t>
            </w:r>
          </w:p>
        </w:tc>
        <w:tc>
          <w:tcPr>
            <w:tcW w:w="1727" w:type="pct"/>
            <w:tcBorders>
              <w:top w:val="single" w:color="auto" w:sz="4" w:space="0"/>
              <w:left w:val="single" w:color="auto" w:sz="4" w:space="0"/>
              <w:bottom w:val="single" w:color="auto" w:sz="4" w:space="0"/>
              <w:right w:val="single" w:color="auto" w:sz="4" w:space="0"/>
            </w:tcBorders>
            <w:vAlign w:val="center"/>
          </w:tcPr>
          <w:p w14:paraId="07C509F5">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2D1BB39A">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036E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604E36F">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（二）安全责任</w:t>
            </w:r>
          </w:p>
        </w:tc>
        <w:tc>
          <w:tcPr>
            <w:tcW w:w="1727" w:type="pct"/>
            <w:tcBorders>
              <w:top w:val="single" w:color="auto" w:sz="4" w:space="0"/>
              <w:left w:val="single" w:color="auto" w:sz="4" w:space="0"/>
              <w:bottom w:val="single" w:color="auto" w:sz="4" w:space="0"/>
              <w:right w:val="single" w:color="auto" w:sz="4" w:space="0"/>
            </w:tcBorders>
            <w:vAlign w:val="center"/>
          </w:tcPr>
          <w:p w14:paraId="7495FC27">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38F75469">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6FD7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27D237F">
            <w:pPr>
              <w:snapToGrid w:val="0"/>
              <w:spacing w:before="50" w:line="240" w:lineRule="auto"/>
              <w:ind w:firstLine="0" w:firstLineChars="0"/>
              <w:jc w:val="center"/>
              <w:rPr>
                <w:rFonts w:hint="eastAsia" w:ascii="宋体" w:hAnsi="宋体" w:eastAsia="宋体" w:cs="Times New Roman"/>
                <w:color w:val="auto"/>
                <w:szCs w:val="24"/>
                <w:highlight w:val="none"/>
                <w:lang w:eastAsia="zh-CN"/>
              </w:rPr>
            </w:pPr>
            <w:r>
              <w:rPr>
                <w:rFonts w:hint="eastAsia" w:ascii="宋体" w:hAnsi="宋体" w:eastAsia="宋体" w:cs="Times New Roman"/>
                <w:color w:val="auto"/>
                <w:szCs w:val="24"/>
                <w:highlight w:val="none"/>
              </w:rPr>
              <w:t>（三）工程质</w:t>
            </w:r>
            <w:r>
              <w:rPr>
                <w:rFonts w:hint="eastAsia" w:ascii="宋体" w:hAnsi="宋体" w:cs="Times New Roman"/>
                <w:color w:val="auto"/>
                <w:szCs w:val="24"/>
                <w:highlight w:val="none"/>
                <w:lang w:eastAsia="zh-CN"/>
              </w:rPr>
              <w:t>量保修</w:t>
            </w:r>
          </w:p>
        </w:tc>
        <w:tc>
          <w:tcPr>
            <w:tcW w:w="1727" w:type="pct"/>
            <w:tcBorders>
              <w:top w:val="single" w:color="auto" w:sz="4" w:space="0"/>
              <w:left w:val="single" w:color="auto" w:sz="4" w:space="0"/>
              <w:bottom w:val="single" w:color="auto" w:sz="4" w:space="0"/>
              <w:right w:val="single" w:color="auto" w:sz="4" w:space="0"/>
            </w:tcBorders>
            <w:vAlign w:val="center"/>
          </w:tcPr>
          <w:p w14:paraId="05C7820D">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51D4E811">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583D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F6CAA70">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（四）验收标准</w:t>
            </w:r>
          </w:p>
        </w:tc>
        <w:tc>
          <w:tcPr>
            <w:tcW w:w="1727" w:type="pct"/>
            <w:tcBorders>
              <w:top w:val="single" w:color="auto" w:sz="4" w:space="0"/>
              <w:left w:val="single" w:color="auto" w:sz="4" w:space="0"/>
              <w:bottom w:val="single" w:color="auto" w:sz="4" w:space="0"/>
              <w:right w:val="single" w:color="auto" w:sz="4" w:space="0"/>
            </w:tcBorders>
            <w:vAlign w:val="center"/>
          </w:tcPr>
          <w:p w14:paraId="46D35A09">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3531F2D2">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56EF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4060CDDA">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（五）磋商报价</w:t>
            </w:r>
          </w:p>
        </w:tc>
        <w:tc>
          <w:tcPr>
            <w:tcW w:w="1727" w:type="pct"/>
            <w:tcBorders>
              <w:top w:val="single" w:color="auto" w:sz="4" w:space="0"/>
              <w:left w:val="single" w:color="auto" w:sz="4" w:space="0"/>
              <w:bottom w:val="single" w:color="auto" w:sz="4" w:space="0"/>
              <w:right w:val="single" w:color="auto" w:sz="4" w:space="0"/>
            </w:tcBorders>
            <w:vAlign w:val="center"/>
          </w:tcPr>
          <w:p w14:paraId="5CC5EA40">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2FB89316">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52D6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3B3A843F">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（六）付款方式</w:t>
            </w:r>
          </w:p>
        </w:tc>
        <w:tc>
          <w:tcPr>
            <w:tcW w:w="1727" w:type="pct"/>
            <w:tcBorders>
              <w:top w:val="single" w:color="auto" w:sz="4" w:space="0"/>
              <w:left w:val="single" w:color="auto" w:sz="4" w:space="0"/>
              <w:bottom w:val="single" w:color="auto" w:sz="4" w:space="0"/>
              <w:right w:val="single" w:color="auto" w:sz="4" w:space="0"/>
            </w:tcBorders>
            <w:vAlign w:val="center"/>
          </w:tcPr>
          <w:p w14:paraId="4EF039A1">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70DFC009">
            <w:pPr>
              <w:snapToGrid w:val="0"/>
              <w:spacing w:before="50" w:line="240" w:lineRule="auto"/>
              <w:ind w:firstLine="0" w:firstLineChars="0"/>
              <w:jc w:val="left"/>
              <w:rPr>
                <w:rFonts w:hint="eastAsia" w:ascii="宋体" w:hAnsi="宋体" w:eastAsia="宋体" w:cs="Times New Roman"/>
                <w:color w:val="auto"/>
                <w:szCs w:val="24"/>
                <w:highlight w:val="none"/>
              </w:rPr>
            </w:pPr>
          </w:p>
        </w:tc>
      </w:tr>
      <w:tr w14:paraId="34AB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3" w:type="pct"/>
            <w:tcBorders>
              <w:top w:val="single" w:color="auto" w:sz="4" w:space="0"/>
              <w:left w:val="single" w:color="auto" w:sz="4" w:space="0"/>
              <w:bottom w:val="single" w:color="auto" w:sz="4" w:space="0"/>
              <w:right w:val="single" w:color="auto" w:sz="4" w:space="0"/>
            </w:tcBorders>
            <w:vAlign w:val="center"/>
          </w:tcPr>
          <w:p w14:paraId="1CE87786">
            <w:pPr>
              <w:snapToGrid w:val="0"/>
              <w:spacing w:before="50" w:line="240" w:lineRule="auto"/>
              <w:ind w:firstLine="0" w:firstLineChars="0"/>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rPr>
              <w:t>（七）其他要求</w:t>
            </w:r>
          </w:p>
        </w:tc>
        <w:tc>
          <w:tcPr>
            <w:tcW w:w="1727" w:type="pct"/>
            <w:tcBorders>
              <w:top w:val="single" w:color="auto" w:sz="4" w:space="0"/>
              <w:left w:val="single" w:color="auto" w:sz="4" w:space="0"/>
              <w:bottom w:val="single" w:color="auto" w:sz="4" w:space="0"/>
              <w:right w:val="single" w:color="auto" w:sz="4" w:space="0"/>
            </w:tcBorders>
            <w:vAlign w:val="center"/>
          </w:tcPr>
          <w:p w14:paraId="1D3E0555">
            <w:pPr>
              <w:snapToGrid w:val="0"/>
              <w:spacing w:before="50" w:line="240" w:lineRule="auto"/>
              <w:ind w:firstLine="0" w:firstLineChars="0"/>
              <w:jc w:val="left"/>
              <w:rPr>
                <w:rFonts w:hint="eastAsia" w:ascii="宋体" w:hAnsi="宋体" w:eastAsia="宋体" w:cs="Times New Roman"/>
                <w:color w:val="auto"/>
                <w:szCs w:val="24"/>
                <w:highlight w:val="none"/>
              </w:rPr>
            </w:pPr>
          </w:p>
        </w:tc>
        <w:tc>
          <w:tcPr>
            <w:tcW w:w="2219" w:type="pct"/>
            <w:gridSpan w:val="2"/>
            <w:tcBorders>
              <w:top w:val="single" w:color="auto" w:sz="4" w:space="0"/>
              <w:left w:val="single" w:color="auto" w:sz="4" w:space="0"/>
              <w:bottom w:val="single" w:color="auto" w:sz="4" w:space="0"/>
              <w:right w:val="single" w:color="auto" w:sz="4" w:space="0"/>
            </w:tcBorders>
            <w:vAlign w:val="center"/>
          </w:tcPr>
          <w:p w14:paraId="6F5F4373">
            <w:pPr>
              <w:snapToGrid w:val="0"/>
              <w:spacing w:before="50" w:line="240" w:lineRule="auto"/>
              <w:ind w:firstLine="0" w:firstLineChars="0"/>
              <w:jc w:val="left"/>
              <w:rPr>
                <w:rFonts w:hint="eastAsia" w:ascii="宋体" w:hAnsi="宋体" w:eastAsia="宋体" w:cs="Times New Roman"/>
                <w:color w:val="auto"/>
                <w:szCs w:val="24"/>
                <w:highlight w:val="none"/>
              </w:rPr>
            </w:pPr>
          </w:p>
        </w:tc>
      </w:tr>
    </w:tbl>
    <w:p w14:paraId="3477A16A">
      <w:pPr>
        <w:ind w:firstLine="0" w:firstLineChars="0"/>
        <w:contextualSpacing/>
        <w:rPr>
          <w:rFonts w:ascii="宋体" w:hAnsi="宋体"/>
          <w:color w:val="auto"/>
          <w:kern w:val="0"/>
          <w:szCs w:val="24"/>
          <w:highlight w:val="none"/>
        </w:rPr>
      </w:pPr>
    </w:p>
    <w:p w14:paraId="6C781FCB">
      <w:pPr>
        <w:ind w:firstLine="0" w:firstLineChars="0"/>
        <w:contextualSpacing/>
        <w:rPr>
          <w:rFonts w:ascii="宋体" w:hAnsi="宋体"/>
          <w:color w:val="auto"/>
          <w:kern w:val="0"/>
          <w:szCs w:val="24"/>
          <w:highlight w:val="none"/>
        </w:rPr>
      </w:pPr>
      <w:r>
        <w:rPr>
          <w:rFonts w:hint="eastAsia" w:ascii="宋体" w:hAnsi="宋体"/>
          <w:color w:val="auto"/>
          <w:kern w:val="0"/>
          <w:szCs w:val="24"/>
          <w:highlight w:val="none"/>
        </w:rPr>
        <w:t>注：应对照磋商文件“第三章 采购需求”中的要求逐条作出明确响应。</w:t>
      </w:r>
    </w:p>
    <w:p w14:paraId="5768A91A">
      <w:pPr>
        <w:ind w:right="-934" w:rightChars="-389" w:firstLine="0" w:firstLineChars="0"/>
        <w:contextualSpacing/>
        <w:rPr>
          <w:rFonts w:ascii="宋体" w:hAnsi="宋体" w:cs="仿宋_GB2312"/>
          <w:color w:val="auto"/>
          <w:szCs w:val="24"/>
          <w:highlight w:val="none"/>
        </w:rPr>
      </w:pPr>
    </w:p>
    <w:p w14:paraId="652C3C1C">
      <w:pPr>
        <w:snapToGrid w:val="0"/>
        <w:spacing w:line="400" w:lineRule="exact"/>
        <w:ind w:firstLine="3120" w:firstLineChars="1300"/>
        <w:rPr>
          <w:rFonts w:ascii="宋体" w:hAnsi="宋体" w:cs="宋体"/>
          <w:color w:val="auto"/>
          <w:szCs w:val="24"/>
          <w:highlight w:val="none"/>
          <w:u w:val="single"/>
        </w:rPr>
      </w:pPr>
      <w:r>
        <w:rPr>
          <w:rFonts w:hint="eastAsia" w:ascii="宋体" w:hAnsi="宋体" w:cs="宋体"/>
          <w:color w:val="auto"/>
          <w:szCs w:val="24"/>
          <w:highlight w:val="none"/>
        </w:rPr>
        <w:t>供应商</w:t>
      </w:r>
      <w:r>
        <w:rPr>
          <w:rFonts w:hint="eastAsia" w:ascii="宋体" w:hAnsi="宋体" w:cs="宋体"/>
          <w:b/>
          <w:color w:val="auto"/>
          <w:szCs w:val="24"/>
          <w:highlight w:val="none"/>
        </w:rPr>
        <w:t>（电子签章）</w:t>
      </w:r>
      <w:r>
        <w:rPr>
          <w:rFonts w:hint="eastAsia" w:ascii="宋体" w:hAnsi="宋体" w:cs="宋体"/>
          <w:color w:val="auto"/>
          <w:szCs w:val="24"/>
          <w:highlight w:val="none"/>
        </w:rPr>
        <w:t>：</w:t>
      </w:r>
    </w:p>
    <w:p w14:paraId="6D0AED10">
      <w:pPr>
        <w:spacing w:line="340" w:lineRule="exact"/>
        <w:ind w:firstLine="3120" w:firstLineChars="1300"/>
        <w:rPr>
          <w:rFonts w:ascii="宋体" w:hAnsi="宋体" w:cs="宋体"/>
          <w:color w:val="auto"/>
          <w:szCs w:val="24"/>
          <w:highlight w:val="none"/>
        </w:rPr>
      </w:pPr>
      <w:r>
        <w:rPr>
          <w:rFonts w:hint="eastAsia" w:ascii="宋体" w:hAnsi="宋体" w:cs="宋体"/>
          <w:color w:val="auto"/>
          <w:szCs w:val="24"/>
          <w:highlight w:val="none"/>
        </w:rPr>
        <w:t>法定代表人或委托代理人签字</w:t>
      </w:r>
      <w:r>
        <w:rPr>
          <w:rFonts w:hint="eastAsia" w:ascii="宋体" w:hAnsi="宋体" w:cs="宋体"/>
          <w:b/>
          <w:color w:val="auto"/>
          <w:szCs w:val="24"/>
          <w:highlight w:val="none"/>
        </w:rPr>
        <w:t>（或电子签名）</w:t>
      </w:r>
      <w:r>
        <w:rPr>
          <w:rFonts w:hint="eastAsia" w:ascii="宋体" w:hAnsi="宋体" w:cs="宋体"/>
          <w:color w:val="auto"/>
          <w:szCs w:val="24"/>
          <w:highlight w:val="none"/>
        </w:rPr>
        <w:t>：</w:t>
      </w:r>
    </w:p>
    <w:p w14:paraId="5735786C">
      <w:pPr>
        <w:spacing w:line="400" w:lineRule="exact"/>
        <w:ind w:firstLine="3199" w:firstLineChars="1333"/>
        <w:rPr>
          <w:rFonts w:ascii="宋体" w:hAnsi="宋体" w:cs="宋体"/>
          <w:color w:val="auto"/>
          <w:szCs w:val="24"/>
          <w:highlight w:val="none"/>
        </w:rPr>
      </w:pPr>
      <w:r>
        <w:rPr>
          <w:rFonts w:hint="eastAsia" w:ascii="宋体" w:hAnsi="宋体" w:cs="宋体"/>
          <w:color w:val="auto"/>
          <w:szCs w:val="24"/>
          <w:highlight w:val="none"/>
        </w:rPr>
        <w:t>日  期：</w:t>
      </w:r>
    </w:p>
    <w:p w14:paraId="39599995">
      <w:pPr>
        <w:pStyle w:val="23"/>
        <w:rPr>
          <w:rFonts w:ascii="宋体" w:hAnsi="宋体" w:cs="宋体"/>
          <w:b/>
          <w:color w:val="auto"/>
          <w:sz w:val="21"/>
          <w:szCs w:val="21"/>
          <w:highlight w:val="none"/>
        </w:rPr>
      </w:pPr>
    </w:p>
    <w:p w14:paraId="3D65B482">
      <w:pPr>
        <w:pStyle w:val="23"/>
        <w:rPr>
          <w:rFonts w:ascii="宋体" w:hAnsi="宋体" w:cs="宋体"/>
          <w:b/>
          <w:color w:val="auto"/>
          <w:sz w:val="21"/>
          <w:szCs w:val="21"/>
          <w:highlight w:val="none"/>
        </w:rPr>
      </w:pPr>
    </w:p>
    <w:p w14:paraId="01CAAEBB">
      <w:pPr>
        <w:widowControl/>
        <w:spacing w:line="240" w:lineRule="auto"/>
        <w:ind w:firstLine="0" w:firstLineChars="0"/>
        <w:jc w:val="left"/>
        <w:rPr>
          <w:rFonts w:hAnsi="宋体" w:cs="宋体"/>
          <w:b/>
          <w:color w:val="auto"/>
          <w:sz w:val="28"/>
          <w:szCs w:val="28"/>
          <w:highlight w:val="none"/>
          <w:lang w:val="en-GB"/>
        </w:rPr>
      </w:pPr>
      <w:r>
        <w:rPr>
          <w:rFonts w:hAnsi="宋体" w:cs="宋体"/>
          <w:b/>
          <w:color w:val="auto"/>
          <w:sz w:val="28"/>
          <w:szCs w:val="28"/>
          <w:highlight w:val="none"/>
        </w:rPr>
        <w:br w:type="page"/>
      </w:r>
    </w:p>
    <w:p w14:paraId="579DE4B2">
      <w:pPr>
        <w:pStyle w:val="26"/>
        <w:spacing w:line="320" w:lineRule="exact"/>
        <w:rPr>
          <w:rFonts w:hAnsi="宋体" w:cs="宋体"/>
          <w:b/>
          <w:color w:val="auto"/>
          <w:sz w:val="28"/>
          <w:szCs w:val="28"/>
          <w:highlight w:val="none"/>
        </w:rPr>
      </w:pPr>
      <w:r>
        <w:rPr>
          <w:rFonts w:hint="eastAsia" w:hAnsi="宋体" w:cs="宋体"/>
          <w:b/>
          <w:color w:val="auto"/>
          <w:sz w:val="28"/>
          <w:szCs w:val="28"/>
          <w:highlight w:val="none"/>
        </w:rPr>
        <w:t>（2）供应商必须按格式填写“工程报价汇总表”（必须提供）</w:t>
      </w:r>
    </w:p>
    <w:p w14:paraId="5F5B5350">
      <w:pPr>
        <w:pStyle w:val="26"/>
        <w:spacing w:line="320" w:lineRule="exact"/>
        <w:rPr>
          <w:rFonts w:hAnsi="宋体" w:cs="宋体"/>
          <w:b/>
          <w:color w:val="auto"/>
          <w:sz w:val="28"/>
          <w:szCs w:val="28"/>
          <w:highlight w:val="none"/>
        </w:rPr>
      </w:pPr>
      <w:r>
        <w:rPr>
          <w:rFonts w:hint="eastAsia" w:hAnsi="宋体" w:cs="宋体"/>
          <w:b/>
          <w:color w:val="auto"/>
          <w:sz w:val="30"/>
          <w:szCs w:val="30"/>
          <w:highlight w:val="none"/>
        </w:rPr>
        <w:t>附件：</w:t>
      </w:r>
      <w:r>
        <w:rPr>
          <w:rFonts w:hint="eastAsia" w:hAnsi="宋体" w:cs="宋体"/>
          <w:b/>
          <w:color w:val="auto"/>
          <w:sz w:val="28"/>
          <w:szCs w:val="28"/>
          <w:highlight w:val="none"/>
        </w:rPr>
        <w:t xml:space="preserve">  </w:t>
      </w:r>
    </w:p>
    <w:p w14:paraId="4D97FBF4">
      <w:pPr>
        <w:widowControl/>
        <w:ind w:firstLine="562"/>
        <w:jc w:val="center"/>
        <w:rPr>
          <w:rFonts w:ascii="宋体" w:hAnsi="宋体" w:cs="宋体"/>
          <w:b/>
          <w:color w:val="auto"/>
          <w:sz w:val="28"/>
          <w:szCs w:val="28"/>
          <w:highlight w:val="none"/>
        </w:rPr>
      </w:pPr>
      <w:r>
        <w:rPr>
          <w:rFonts w:hint="eastAsia" w:ascii="宋体" w:hAnsi="宋体" w:cs="宋体"/>
          <w:b/>
          <w:color w:val="auto"/>
          <w:sz w:val="28"/>
          <w:szCs w:val="28"/>
          <w:highlight w:val="none"/>
        </w:rPr>
        <w:t>工程报价汇总表（格式）</w:t>
      </w:r>
    </w:p>
    <w:p w14:paraId="5AA99BF3">
      <w:pPr>
        <w:widowControl/>
        <w:ind w:firstLine="480"/>
        <w:jc w:val="center"/>
        <w:rPr>
          <w:rFonts w:ascii="宋体" w:hAnsi="宋体" w:cs="宋体"/>
          <w:color w:val="auto"/>
          <w:highlight w:val="none"/>
        </w:rPr>
      </w:pPr>
    </w:p>
    <w:p w14:paraId="37D0B117">
      <w:pPr>
        <w:widowControl/>
        <w:ind w:firstLine="480"/>
        <w:jc w:val="left"/>
        <w:rPr>
          <w:rFonts w:ascii="宋体" w:hAnsi="宋体" w:cs="宋体"/>
          <w:color w:val="auto"/>
          <w:highlight w:val="none"/>
        </w:rPr>
      </w:pPr>
      <w:r>
        <w:rPr>
          <w:rFonts w:hint="eastAsia" w:ascii="宋体" w:hAnsi="宋体" w:cs="宋体"/>
          <w:color w:val="auto"/>
          <w:highlight w:val="none"/>
        </w:rPr>
        <w:t>项目名称：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5C2683D7">
      <w:pPr>
        <w:widowControl/>
        <w:ind w:firstLine="480"/>
        <w:jc w:val="left"/>
        <w:rPr>
          <w:rFonts w:ascii="宋体" w:hAnsi="宋体" w:cs="宋体"/>
          <w:color w:val="auto"/>
          <w:highlight w:val="none"/>
        </w:rPr>
      </w:pPr>
      <w:r>
        <w:rPr>
          <w:rFonts w:hint="eastAsia" w:ascii="宋体" w:hAnsi="宋体" w:cs="宋体"/>
          <w:color w:val="auto"/>
          <w:highlight w:val="none"/>
        </w:rPr>
        <w:t>项目编号：</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4C9CA9B1">
      <w:pPr>
        <w:widowControl/>
        <w:ind w:firstLine="480"/>
        <w:jc w:val="left"/>
        <w:rPr>
          <w:rFonts w:ascii="宋体" w:hAnsi="宋体" w:cs="宋体"/>
          <w:color w:val="auto"/>
          <w:highlight w:val="none"/>
        </w:rPr>
      </w:pPr>
      <w:r>
        <w:rPr>
          <w:rFonts w:hint="eastAsia" w:ascii="宋体" w:hAnsi="宋体" w:cs="宋体"/>
          <w:color w:val="auto"/>
          <w:highlight w:val="none"/>
        </w:rPr>
        <w:t xml:space="preserve">                                                     币种：人民币</w:t>
      </w:r>
    </w:p>
    <w:tbl>
      <w:tblPr>
        <w:tblStyle w:val="48"/>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2522"/>
        <w:gridCol w:w="812"/>
        <w:gridCol w:w="1097"/>
        <w:gridCol w:w="4225"/>
      </w:tblGrid>
      <w:tr w14:paraId="392F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503" w:type="dxa"/>
            <w:noWrap/>
            <w:vAlign w:val="center"/>
          </w:tcPr>
          <w:p w14:paraId="50AF69E7">
            <w:pPr>
              <w:adjustRightInd w:val="0"/>
              <w:snapToGrid w:val="0"/>
              <w:spacing w:before="48" w:beforeLines="20" w:after="48" w:afterLines="20" w:line="240" w:lineRule="auto"/>
              <w:ind w:firstLine="0" w:firstLineChars="0"/>
              <w:jc w:val="center"/>
              <w:rPr>
                <w:rFonts w:hint="eastAsia" w:eastAsia="宋体"/>
                <w:b/>
                <w:color w:val="auto"/>
                <w:sz w:val="21"/>
                <w:szCs w:val="21"/>
                <w:highlight w:val="none"/>
                <w:lang w:eastAsia="zh-CN"/>
              </w:rPr>
            </w:pPr>
            <w:r>
              <w:rPr>
                <w:rFonts w:hint="eastAsia"/>
                <w:b/>
                <w:color w:val="auto"/>
                <w:sz w:val="21"/>
                <w:szCs w:val="21"/>
                <w:highlight w:val="none"/>
                <w:lang w:eastAsia="zh-CN"/>
              </w:rPr>
              <w:t>项号</w:t>
            </w:r>
          </w:p>
        </w:tc>
        <w:tc>
          <w:tcPr>
            <w:tcW w:w="2522" w:type="dxa"/>
            <w:noWrap/>
            <w:vAlign w:val="center"/>
          </w:tcPr>
          <w:p w14:paraId="1A9C9047">
            <w:pPr>
              <w:adjustRightInd w:val="0"/>
              <w:snapToGrid w:val="0"/>
              <w:spacing w:before="48" w:beforeLines="20" w:after="48" w:afterLines="20" w:line="240" w:lineRule="auto"/>
              <w:ind w:firstLine="0" w:firstLineChars="0"/>
              <w:jc w:val="center"/>
              <w:rPr>
                <w:rFonts w:hint="eastAsia"/>
                <w:b/>
                <w:color w:val="auto"/>
                <w:sz w:val="21"/>
                <w:szCs w:val="21"/>
                <w:highlight w:val="none"/>
              </w:rPr>
            </w:pPr>
            <w:r>
              <w:rPr>
                <w:rFonts w:hint="eastAsia"/>
                <w:b/>
                <w:color w:val="auto"/>
                <w:sz w:val="21"/>
                <w:szCs w:val="21"/>
                <w:highlight w:val="none"/>
              </w:rPr>
              <w:t>标的名称</w:t>
            </w:r>
          </w:p>
        </w:tc>
        <w:tc>
          <w:tcPr>
            <w:tcW w:w="812" w:type="dxa"/>
            <w:vAlign w:val="center"/>
          </w:tcPr>
          <w:p w14:paraId="02396D2D">
            <w:pPr>
              <w:adjustRightInd w:val="0"/>
              <w:snapToGrid w:val="0"/>
              <w:spacing w:before="48" w:beforeLines="20" w:after="48" w:afterLines="20" w:line="240" w:lineRule="auto"/>
              <w:ind w:firstLine="0" w:firstLineChars="0"/>
              <w:jc w:val="center"/>
              <w:rPr>
                <w:b/>
                <w:color w:val="auto"/>
                <w:sz w:val="21"/>
                <w:szCs w:val="21"/>
                <w:highlight w:val="none"/>
              </w:rPr>
            </w:pPr>
            <w:r>
              <w:rPr>
                <w:rFonts w:hint="eastAsia"/>
                <w:b/>
                <w:color w:val="auto"/>
                <w:sz w:val="21"/>
                <w:szCs w:val="21"/>
                <w:highlight w:val="none"/>
              </w:rPr>
              <w:t>数量</w:t>
            </w:r>
          </w:p>
        </w:tc>
        <w:tc>
          <w:tcPr>
            <w:tcW w:w="1097" w:type="dxa"/>
            <w:vAlign w:val="center"/>
          </w:tcPr>
          <w:p w14:paraId="6D5CB394">
            <w:pPr>
              <w:adjustRightInd w:val="0"/>
              <w:snapToGrid w:val="0"/>
              <w:spacing w:before="48" w:beforeLines="20" w:after="48" w:afterLines="20" w:line="240" w:lineRule="auto"/>
              <w:ind w:firstLine="0" w:firstLineChars="0"/>
              <w:jc w:val="center"/>
              <w:rPr>
                <w:b/>
                <w:color w:val="auto"/>
                <w:sz w:val="21"/>
                <w:szCs w:val="21"/>
                <w:highlight w:val="none"/>
              </w:rPr>
            </w:pPr>
            <w:r>
              <w:rPr>
                <w:rFonts w:hint="eastAsia"/>
                <w:b/>
                <w:color w:val="auto"/>
                <w:sz w:val="21"/>
                <w:szCs w:val="21"/>
                <w:highlight w:val="none"/>
              </w:rPr>
              <w:t>单位</w:t>
            </w:r>
          </w:p>
        </w:tc>
        <w:tc>
          <w:tcPr>
            <w:tcW w:w="4225" w:type="dxa"/>
            <w:noWrap/>
            <w:vAlign w:val="center"/>
          </w:tcPr>
          <w:p w14:paraId="747EA290">
            <w:pPr>
              <w:adjustRightInd w:val="0"/>
              <w:snapToGrid w:val="0"/>
              <w:spacing w:before="48" w:beforeLines="20" w:after="48" w:afterLines="20" w:line="240" w:lineRule="auto"/>
              <w:ind w:firstLine="0" w:firstLineChars="0"/>
              <w:jc w:val="center"/>
              <w:rPr>
                <w:b/>
                <w:color w:val="auto"/>
                <w:sz w:val="21"/>
                <w:szCs w:val="21"/>
                <w:highlight w:val="none"/>
              </w:rPr>
            </w:pPr>
            <w:r>
              <w:rPr>
                <w:rFonts w:hint="eastAsia"/>
                <w:b/>
                <w:color w:val="auto"/>
                <w:sz w:val="21"/>
                <w:szCs w:val="21"/>
                <w:highlight w:val="none"/>
              </w:rPr>
              <w:t>磋商报价</w:t>
            </w:r>
          </w:p>
        </w:tc>
      </w:tr>
      <w:tr w14:paraId="746B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03" w:type="dxa"/>
            <w:noWrap/>
            <w:vAlign w:val="center"/>
          </w:tcPr>
          <w:p w14:paraId="49C717CA">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w:t>
            </w:r>
          </w:p>
        </w:tc>
        <w:tc>
          <w:tcPr>
            <w:tcW w:w="2522" w:type="dxa"/>
            <w:noWrap/>
            <w:vAlign w:val="center"/>
          </w:tcPr>
          <w:p w14:paraId="102D3D71">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color w:val="auto"/>
                <w:sz w:val="21"/>
                <w:szCs w:val="21"/>
                <w:highlight w:val="none"/>
                <w:lang w:eastAsia="zh-CN"/>
              </w:rPr>
            </w:pPr>
            <w:r>
              <w:rPr>
                <w:rFonts w:hint="eastAsia" w:ascii="宋体" w:hAnsi="宋体"/>
                <w:color w:val="auto"/>
                <w:sz w:val="21"/>
                <w:szCs w:val="24"/>
                <w:highlight w:val="none"/>
              </w:rPr>
              <w:t>桂林市第十三中学校园操场改造</w:t>
            </w:r>
          </w:p>
        </w:tc>
        <w:tc>
          <w:tcPr>
            <w:tcW w:w="812" w:type="dxa"/>
            <w:vAlign w:val="center"/>
          </w:tcPr>
          <w:p w14:paraId="5732DB5A">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color w:val="auto"/>
                <w:sz w:val="21"/>
                <w:szCs w:val="21"/>
                <w:highlight w:val="none"/>
              </w:rPr>
            </w:pPr>
            <w:r>
              <w:rPr>
                <w:rFonts w:hint="eastAsia"/>
                <w:color w:val="auto"/>
                <w:sz w:val="21"/>
                <w:szCs w:val="21"/>
                <w:highlight w:val="none"/>
              </w:rPr>
              <w:t>1</w:t>
            </w:r>
          </w:p>
        </w:tc>
        <w:tc>
          <w:tcPr>
            <w:tcW w:w="1097" w:type="dxa"/>
            <w:vAlign w:val="center"/>
          </w:tcPr>
          <w:p w14:paraId="20999746">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color w:val="auto"/>
                <w:sz w:val="21"/>
                <w:szCs w:val="21"/>
                <w:highlight w:val="none"/>
              </w:rPr>
            </w:pPr>
            <w:r>
              <w:rPr>
                <w:rFonts w:hint="eastAsia"/>
                <w:color w:val="auto"/>
                <w:sz w:val="21"/>
                <w:szCs w:val="21"/>
                <w:highlight w:val="none"/>
              </w:rPr>
              <w:t>项</w:t>
            </w:r>
          </w:p>
        </w:tc>
        <w:tc>
          <w:tcPr>
            <w:tcW w:w="4225" w:type="dxa"/>
            <w:noWrap/>
            <w:vAlign w:val="center"/>
          </w:tcPr>
          <w:p w14:paraId="75E8860F">
            <w:pPr>
              <w:adjustRightInd w:val="0"/>
              <w:snapToGrid w:val="0"/>
              <w:spacing w:before="48" w:beforeLines="20" w:after="48" w:afterLines="20" w:line="240" w:lineRule="auto"/>
              <w:ind w:firstLine="0" w:firstLineChars="0"/>
              <w:rPr>
                <w:color w:val="auto"/>
                <w:sz w:val="21"/>
                <w:szCs w:val="21"/>
                <w:highlight w:val="none"/>
              </w:rPr>
            </w:pPr>
            <w:r>
              <w:rPr>
                <w:rFonts w:hint="eastAsia"/>
                <w:color w:val="auto"/>
                <w:sz w:val="21"/>
                <w:szCs w:val="21"/>
                <w:highlight w:val="none"/>
              </w:rPr>
              <w:t>大写</w:t>
            </w:r>
            <w:r>
              <w:rPr>
                <w:rFonts w:hint="eastAsia"/>
                <w:color w:val="auto"/>
                <w:sz w:val="21"/>
                <w:szCs w:val="21"/>
                <w:highlight w:val="none"/>
                <w:lang w:eastAsia="zh-CN"/>
              </w:rPr>
              <w:t>：</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w:t>
            </w:r>
          </w:p>
        </w:tc>
      </w:tr>
      <w:tr w14:paraId="1D14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03" w:type="dxa"/>
            <w:noWrap/>
            <w:vAlign w:val="center"/>
          </w:tcPr>
          <w:p w14:paraId="0E962ADA">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w:t>
            </w:r>
          </w:p>
        </w:tc>
        <w:tc>
          <w:tcPr>
            <w:tcW w:w="2522" w:type="dxa"/>
            <w:noWrap/>
            <w:vAlign w:val="center"/>
          </w:tcPr>
          <w:p w14:paraId="1A69F060">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color w:val="auto"/>
                <w:sz w:val="21"/>
                <w:szCs w:val="21"/>
                <w:highlight w:val="none"/>
                <w:lang w:eastAsia="zh-CN"/>
              </w:rPr>
            </w:pPr>
            <w:r>
              <w:rPr>
                <w:rFonts w:hint="eastAsia" w:ascii="宋体" w:hAnsi="宋体"/>
                <w:color w:val="auto"/>
                <w:sz w:val="21"/>
                <w:szCs w:val="24"/>
                <w:highlight w:val="none"/>
                <w:lang w:eastAsia="zh-CN"/>
              </w:rPr>
              <w:t>桂林市第十三中学校园硅PU篮球场</w:t>
            </w:r>
          </w:p>
        </w:tc>
        <w:tc>
          <w:tcPr>
            <w:tcW w:w="812" w:type="dxa"/>
            <w:vAlign w:val="center"/>
          </w:tcPr>
          <w:p w14:paraId="5511E056">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1</w:t>
            </w:r>
          </w:p>
        </w:tc>
        <w:tc>
          <w:tcPr>
            <w:tcW w:w="1097" w:type="dxa"/>
            <w:vAlign w:val="center"/>
          </w:tcPr>
          <w:p w14:paraId="7192FE15">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项</w:t>
            </w:r>
          </w:p>
        </w:tc>
        <w:tc>
          <w:tcPr>
            <w:tcW w:w="4225" w:type="dxa"/>
            <w:noWrap/>
            <w:vAlign w:val="center"/>
          </w:tcPr>
          <w:p w14:paraId="2564E260">
            <w:pPr>
              <w:adjustRightInd w:val="0"/>
              <w:snapToGrid w:val="0"/>
              <w:spacing w:before="48" w:beforeLines="20" w:after="48" w:afterLines="20" w:line="240" w:lineRule="auto"/>
              <w:ind w:firstLine="0" w:firstLineChars="0"/>
              <w:rPr>
                <w:rFonts w:hint="eastAsia"/>
                <w:color w:val="auto"/>
                <w:sz w:val="21"/>
                <w:szCs w:val="21"/>
                <w:highlight w:val="none"/>
              </w:rPr>
            </w:pPr>
            <w:r>
              <w:rPr>
                <w:rFonts w:hint="eastAsia"/>
                <w:color w:val="auto"/>
                <w:sz w:val="21"/>
                <w:szCs w:val="21"/>
                <w:highlight w:val="none"/>
              </w:rPr>
              <w:t>大写</w:t>
            </w:r>
            <w:r>
              <w:rPr>
                <w:rFonts w:hint="eastAsia"/>
                <w:color w:val="auto"/>
                <w:sz w:val="21"/>
                <w:szCs w:val="21"/>
                <w:highlight w:val="none"/>
                <w:lang w:eastAsia="zh-CN"/>
              </w:rPr>
              <w:t>：</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w:t>
            </w:r>
          </w:p>
        </w:tc>
      </w:tr>
      <w:tr w14:paraId="64D1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934" w:type="dxa"/>
            <w:gridSpan w:val="4"/>
            <w:noWrap/>
            <w:vAlign w:val="center"/>
          </w:tcPr>
          <w:p w14:paraId="40D1F5A7">
            <w:pPr>
              <w:adjustRightInd w:val="0"/>
              <w:snapToGrid w:val="0"/>
              <w:spacing w:before="48" w:beforeLines="20" w:after="48" w:afterLines="20"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合计（</w:t>
            </w:r>
            <w:r>
              <w:rPr>
                <w:rFonts w:hint="eastAsia"/>
                <w:color w:val="auto"/>
                <w:sz w:val="21"/>
                <w:szCs w:val="21"/>
                <w:highlight w:val="none"/>
                <w:lang w:val="en-US" w:eastAsia="zh-CN"/>
              </w:rPr>
              <w:t>1+2</w:t>
            </w:r>
            <w:r>
              <w:rPr>
                <w:rFonts w:hint="eastAsia"/>
                <w:color w:val="auto"/>
                <w:sz w:val="21"/>
                <w:szCs w:val="21"/>
                <w:highlight w:val="none"/>
                <w:lang w:eastAsia="zh-CN"/>
              </w:rPr>
              <w:t>）</w:t>
            </w:r>
          </w:p>
        </w:tc>
        <w:tc>
          <w:tcPr>
            <w:tcW w:w="4225" w:type="dxa"/>
            <w:noWrap/>
            <w:vAlign w:val="center"/>
          </w:tcPr>
          <w:p w14:paraId="5667C090">
            <w:pPr>
              <w:adjustRightInd w:val="0"/>
              <w:snapToGrid w:val="0"/>
              <w:spacing w:before="48" w:beforeLines="20" w:after="48" w:afterLines="20" w:line="240" w:lineRule="auto"/>
              <w:ind w:firstLine="0" w:firstLineChars="0"/>
              <w:rPr>
                <w:rFonts w:hint="eastAsia"/>
                <w:color w:val="auto"/>
                <w:sz w:val="21"/>
                <w:szCs w:val="21"/>
                <w:highlight w:val="none"/>
              </w:rPr>
            </w:pPr>
            <w:r>
              <w:rPr>
                <w:rFonts w:hint="eastAsia"/>
                <w:color w:val="auto"/>
                <w:sz w:val="21"/>
                <w:szCs w:val="21"/>
                <w:highlight w:val="none"/>
              </w:rPr>
              <w:t>大写</w:t>
            </w:r>
            <w:r>
              <w:rPr>
                <w:rFonts w:hint="eastAsia"/>
                <w:color w:val="auto"/>
                <w:sz w:val="21"/>
                <w:szCs w:val="21"/>
                <w:highlight w:val="none"/>
                <w:lang w:eastAsia="zh-CN"/>
              </w:rPr>
              <w:t>：</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 xml:space="preserve"> (¥</w:t>
            </w:r>
            <w:r>
              <w:rPr>
                <w:color w:val="auto"/>
                <w:sz w:val="21"/>
                <w:szCs w:val="21"/>
                <w:highlight w:val="none"/>
                <w:u w:val="single"/>
              </w:rPr>
              <w:t xml:space="preserve">             </w:t>
            </w:r>
            <w:r>
              <w:rPr>
                <w:color w:val="auto"/>
                <w:sz w:val="21"/>
                <w:szCs w:val="21"/>
                <w:highlight w:val="none"/>
              </w:rPr>
              <w:t>)</w:t>
            </w:r>
          </w:p>
        </w:tc>
      </w:tr>
    </w:tbl>
    <w:p w14:paraId="602E50DB">
      <w:pPr>
        <w:widowControl/>
        <w:ind w:firstLine="480"/>
        <w:jc w:val="left"/>
        <w:rPr>
          <w:rFonts w:ascii="宋体" w:hAnsi="宋体" w:cs="宋体"/>
          <w:color w:val="auto"/>
          <w:szCs w:val="21"/>
          <w:highlight w:val="none"/>
        </w:rPr>
      </w:pPr>
    </w:p>
    <w:p w14:paraId="6ABE4C0A">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
          <w:color w:val="auto"/>
          <w:sz w:val="21"/>
          <w:szCs w:val="21"/>
          <w:highlight w:val="none"/>
        </w:rPr>
        <w:t>（电子签章）</w:t>
      </w:r>
      <w:r>
        <w:rPr>
          <w:rFonts w:hint="eastAsia" w:ascii="宋体" w:hAnsi="宋体" w:cs="宋体"/>
          <w:color w:val="auto"/>
          <w:sz w:val="21"/>
          <w:szCs w:val="21"/>
          <w:highlight w:val="none"/>
        </w:rPr>
        <w:t>：</w:t>
      </w:r>
    </w:p>
    <w:p w14:paraId="217807E8">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
          <w:color w:val="auto"/>
          <w:sz w:val="21"/>
          <w:szCs w:val="21"/>
          <w:highlight w:val="none"/>
        </w:rPr>
        <w:t>（或电子签名）</w:t>
      </w:r>
      <w:r>
        <w:rPr>
          <w:rFonts w:hint="eastAsia" w:ascii="宋体" w:hAnsi="宋体" w:cs="宋体"/>
          <w:color w:val="auto"/>
          <w:sz w:val="21"/>
          <w:szCs w:val="24"/>
          <w:highlight w:val="none"/>
        </w:rPr>
        <w:t>：</w:t>
      </w:r>
    </w:p>
    <w:p w14:paraId="14D414D1">
      <w:pPr>
        <w:spacing w:line="400" w:lineRule="exact"/>
        <w:ind w:firstLine="0" w:firstLineChars="0"/>
        <w:rPr>
          <w:rFonts w:ascii="宋体" w:hAnsi="宋体" w:cs="宋体"/>
          <w:color w:val="auto"/>
          <w:sz w:val="21"/>
          <w:szCs w:val="20"/>
          <w:highlight w:val="none"/>
        </w:rPr>
      </w:pPr>
      <w:r>
        <w:rPr>
          <w:rFonts w:hint="eastAsia" w:ascii="宋体" w:hAnsi="宋体" w:cs="宋体"/>
          <w:color w:val="auto"/>
          <w:sz w:val="21"/>
          <w:szCs w:val="20"/>
          <w:highlight w:val="none"/>
        </w:rPr>
        <w:t>日          期：</w:t>
      </w:r>
    </w:p>
    <w:p w14:paraId="272F5EFC">
      <w:pPr>
        <w:pStyle w:val="26"/>
        <w:spacing w:line="320" w:lineRule="exact"/>
        <w:rPr>
          <w:rFonts w:hAnsi="宋体" w:cs="宋体"/>
          <w:b/>
          <w:color w:val="auto"/>
          <w:sz w:val="28"/>
          <w:szCs w:val="28"/>
          <w:highlight w:val="none"/>
        </w:rPr>
      </w:pPr>
    </w:p>
    <w:p w14:paraId="5F5BA0D8">
      <w:pPr>
        <w:ind w:firstLine="562"/>
        <w:rPr>
          <w:rFonts w:hAnsi="宋体" w:cs="宋体"/>
          <w:b/>
          <w:color w:val="auto"/>
          <w:sz w:val="28"/>
          <w:szCs w:val="28"/>
          <w:highlight w:val="none"/>
        </w:rPr>
      </w:pPr>
    </w:p>
    <w:p w14:paraId="59365A41">
      <w:pPr>
        <w:pStyle w:val="23"/>
        <w:rPr>
          <w:rFonts w:hAnsi="宋体" w:cs="宋体"/>
          <w:b/>
          <w:color w:val="auto"/>
          <w:sz w:val="28"/>
          <w:szCs w:val="28"/>
          <w:highlight w:val="none"/>
        </w:rPr>
      </w:pPr>
    </w:p>
    <w:p w14:paraId="15315D03">
      <w:pPr>
        <w:pStyle w:val="23"/>
        <w:rPr>
          <w:rFonts w:hAnsi="宋体" w:cs="宋体"/>
          <w:b/>
          <w:color w:val="auto"/>
          <w:sz w:val="28"/>
          <w:szCs w:val="28"/>
          <w:highlight w:val="none"/>
        </w:rPr>
      </w:pPr>
    </w:p>
    <w:p w14:paraId="21C9F710">
      <w:pPr>
        <w:widowControl/>
        <w:spacing w:line="240" w:lineRule="auto"/>
        <w:ind w:firstLine="0" w:firstLineChars="0"/>
        <w:jc w:val="left"/>
        <w:rPr>
          <w:rFonts w:hAnsi="宋体" w:cs="宋体"/>
          <w:b/>
          <w:color w:val="auto"/>
          <w:kern w:val="0"/>
          <w:sz w:val="28"/>
          <w:szCs w:val="28"/>
          <w:highlight w:val="none"/>
        </w:rPr>
      </w:pPr>
      <w:r>
        <w:rPr>
          <w:rFonts w:hAnsi="宋体" w:cs="宋体"/>
          <w:b/>
          <w:color w:val="auto"/>
          <w:sz w:val="28"/>
          <w:szCs w:val="28"/>
          <w:highlight w:val="none"/>
        </w:rPr>
        <w:br w:type="page"/>
      </w:r>
    </w:p>
    <w:p w14:paraId="18F00FCA">
      <w:pPr>
        <w:pStyle w:val="26"/>
        <w:rPr>
          <w:rFonts w:hAnsi="宋体" w:cs="宋体"/>
          <w:b/>
          <w:bCs/>
          <w:color w:val="auto"/>
          <w:sz w:val="28"/>
          <w:szCs w:val="28"/>
          <w:highlight w:val="none"/>
        </w:rPr>
      </w:pPr>
      <w:r>
        <w:rPr>
          <w:rFonts w:hint="eastAsia" w:hAnsi="宋体" w:cs="宋体"/>
          <w:b/>
          <w:bCs/>
          <w:color w:val="auto"/>
          <w:sz w:val="28"/>
          <w:szCs w:val="28"/>
          <w:highlight w:val="none"/>
        </w:rPr>
        <w:t>（3）供应商必须按要求提供“工程量清单报价表”</w:t>
      </w:r>
      <w:r>
        <w:rPr>
          <w:rFonts w:hint="eastAsia" w:hAnsi="宋体" w:cs="宋体"/>
          <w:b/>
          <w:color w:val="auto"/>
          <w:sz w:val="28"/>
          <w:szCs w:val="28"/>
          <w:highlight w:val="none"/>
        </w:rPr>
        <w:t xml:space="preserve"> （必须提供）</w:t>
      </w:r>
    </w:p>
    <w:p w14:paraId="4C9A85B5">
      <w:pPr>
        <w:pStyle w:val="26"/>
        <w:rPr>
          <w:rFonts w:hAnsi="宋体" w:cs="宋体"/>
          <w:b/>
          <w:color w:val="auto"/>
          <w:sz w:val="28"/>
          <w:szCs w:val="28"/>
          <w:highlight w:val="none"/>
        </w:rPr>
      </w:pPr>
    </w:p>
    <w:p w14:paraId="5F085BFA">
      <w:pPr>
        <w:pStyle w:val="29"/>
        <w:ind w:left="0" w:leftChars="0"/>
        <w:jc w:val="center"/>
        <w:rPr>
          <w:rFonts w:ascii="宋体" w:hAnsi="宋体" w:cs="宋体"/>
          <w:color w:val="auto"/>
          <w:highlight w:val="none"/>
        </w:rPr>
      </w:pPr>
      <w:r>
        <w:rPr>
          <w:rFonts w:hint="eastAsia" w:ascii="宋体" w:hAnsi="宋体" w:cs="宋体"/>
          <w:b/>
          <w:color w:val="auto"/>
          <w:sz w:val="24"/>
          <w:highlight w:val="none"/>
        </w:rPr>
        <w:t>工程量清单报价表</w:t>
      </w:r>
    </w:p>
    <w:p w14:paraId="5EBD5CE3">
      <w:pPr>
        <w:pStyle w:val="29"/>
        <w:ind w:left="0" w:leftChars="0"/>
        <w:rPr>
          <w:rFonts w:ascii="宋体" w:hAnsi="宋体" w:cs="宋体"/>
          <w:b/>
          <w:color w:val="auto"/>
          <w:sz w:val="24"/>
          <w:highlight w:val="none"/>
        </w:rPr>
      </w:pPr>
      <w:r>
        <w:rPr>
          <w:rFonts w:hint="eastAsia" w:ascii="宋体" w:hAnsi="宋体" w:cs="宋体"/>
          <w:b/>
          <w:color w:val="auto"/>
          <w:sz w:val="24"/>
          <w:highlight w:val="none"/>
        </w:rPr>
        <w:t>注：表格可按（GB50500-2013</w:t>
      </w:r>
      <w:r>
        <w:rPr>
          <w:rFonts w:hint="eastAsia" w:ascii="宋体" w:hAnsi="宋体" w:cs="宋体"/>
          <w:b/>
          <w:color w:val="auto"/>
          <w:sz w:val="24"/>
          <w:highlight w:val="none"/>
          <w:lang w:eastAsia="zh-CN"/>
        </w:rPr>
        <w:t>）</w:t>
      </w:r>
      <w:r>
        <w:rPr>
          <w:rFonts w:hint="eastAsia" w:ascii="宋体" w:hAnsi="宋体" w:cs="宋体"/>
          <w:b/>
          <w:color w:val="auto"/>
          <w:sz w:val="24"/>
          <w:highlight w:val="none"/>
        </w:rPr>
        <w:t>《建设工程工程量清单计价规范》、（GB50854~50862-2013）《建设工程工程量计算规范广西壮族自治区实施细则》（修订本）工程量清单计价表格提供。</w:t>
      </w:r>
    </w:p>
    <w:p w14:paraId="21A14CDB">
      <w:pPr>
        <w:pStyle w:val="26"/>
        <w:rPr>
          <w:rFonts w:hAnsi="宋体" w:cs="宋体"/>
          <w:color w:val="auto"/>
          <w:sz w:val="28"/>
          <w:szCs w:val="28"/>
          <w:highlight w:val="none"/>
        </w:rPr>
      </w:pPr>
    </w:p>
    <w:p w14:paraId="440E1F9C">
      <w:pPr>
        <w:pStyle w:val="26"/>
        <w:rPr>
          <w:rFonts w:hAnsi="宋体" w:cs="宋体"/>
          <w:b/>
          <w:bCs/>
          <w:color w:val="auto"/>
          <w:sz w:val="28"/>
          <w:szCs w:val="28"/>
          <w:highlight w:val="none"/>
        </w:rPr>
      </w:pPr>
      <w:r>
        <w:rPr>
          <w:rFonts w:hint="eastAsia" w:hAnsi="宋体" w:cs="宋体"/>
          <w:b/>
          <w:bCs/>
          <w:color w:val="auto"/>
          <w:sz w:val="28"/>
          <w:szCs w:val="28"/>
          <w:highlight w:val="none"/>
        </w:rPr>
        <w:t>（4）供应商202</w:t>
      </w:r>
      <w:r>
        <w:rPr>
          <w:rFonts w:hAnsi="宋体" w:cs="宋体"/>
          <w:b/>
          <w:bCs/>
          <w:color w:val="auto"/>
          <w:sz w:val="28"/>
          <w:szCs w:val="28"/>
          <w:highlight w:val="none"/>
        </w:rPr>
        <w:t>2</w:t>
      </w:r>
      <w:r>
        <w:rPr>
          <w:rFonts w:hint="eastAsia" w:hAnsi="宋体" w:cs="宋体"/>
          <w:b/>
          <w:bCs/>
          <w:color w:val="auto"/>
          <w:sz w:val="28"/>
          <w:szCs w:val="28"/>
          <w:highlight w:val="none"/>
        </w:rPr>
        <w:t>年1月1日以来承建或经竣工验收的</w:t>
      </w:r>
      <w:r>
        <w:rPr>
          <w:rFonts w:hint="eastAsia" w:hAnsi="宋体" w:cs="宋体"/>
          <w:b/>
          <w:bCs/>
          <w:color w:val="auto"/>
          <w:sz w:val="28"/>
          <w:szCs w:val="28"/>
          <w:highlight w:val="none"/>
          <w:lang w:eastAsia="zh-CN"/>
        </w:rPr>
        <w:t>类似工程业绩的相关证</w:t>
      </w:r>
      <w:r>
        <w:rPr>
          <w:rFonts w:hint="eastAsia" w:hAnsi="宋体" w:cs="宋体"/>
          <w:b/>
          <w:bCs/>
          <w:color w:val="auto"/>
          <w:sz w:val="28"/>
          <w:szCs w:val="28"/>
          <w:highlight w:val="none"/>
        </w:rPr>
        <w:t>明材料（如有，请提供）</w:t>
      </w:r>
    </w:p>
    <w:p w14:paraId="6CDF8A65">
      <w:pPr>
        <w:ind w:firstLine="0" w:firstLineChars="0"/>
        <w:rPr>
          <w:color w:val="auto"/>
          <w:highlight w:val="none"/>
        </w:rPr>
      </w:pPr>
    </w:p>
    <w:p w14:paraId="56CD4604">
      <w:pPr>
        <w:pStyle w:val="26"/>
        <w:rPr>
          <w:rFonts w:hAnsi="宋体" w:cs="宋体"/>
          <w:b/>
          <w:bCs/>
          <w:color w:val="auto"/>
          <w:sz w:val="28"/>
          <w:szCs w:val="28"/>
          <w:highlight w:val="none"/>
        </w:rPr>
      </w:pPr>
    </w:p>
    <w:p w14:paraId="1C03F513">
      <w:pPr>
        <w:pStyle w:val="26"/>
        <w:rPr>
          <w:rFonts w:hAnsi="宋体" w:cs="宋体"/>
          <w:b/>
          <w:bCs/>
          <w:color w:val="auto"/>
          <w:sz w:val="28"/>
          <w:szCs w:val="28"/>
          <w:highlight w:val="none"/>
        </w:rPr>
      </w:pPr>
      <w:r>
        <w:rPr>
          <w:rFonts w:hint="eastAsia" w:hAnsi="宋体" w:cs="宋体"/>
          <w:b/>
          <w:bCs/>
          <w:color w:val="auto"/>
          <w:sz w:val="28"/>
          <w:szCs w:val="28"/>
          <w:highlight w:val="none"/>
        </w:rPr>
        <w:t>（</w:t>
      </w:r>
      <w:r>
        <w:rPr>
          <w:rFonts w:hint="eastAsia" w:hAnsi="宋体" w:cs="宋体"/>
          <w:b/>
          <w:bCs/>
          <w:color w:val="auto"/>
          <w:sz w:val="28"/>
          <w:szCs w:val="28"/>
          <w:highlight w:val="none"/>
          <w:lang w:val="en-US"/>
        </w:rPr>
        <w:t>5</w:t>
      </w:r>
      <w:r>
        <w:rPr>
          <w:rFonts w:hint="eastAsia" w:hAnsi="宋体" w:cs="宋体"/>
          <w:b/>
          <w:bCs/>
          <w:color w:val="auto"/>
          <w:sz w:val="28"/>
          <w:szCs w:val="28"/>
          <w:highlight w:val="none"/>
        </w:rPr>
        <w:t>）供应商相关获奖证书、认证证书等（如有，请提供）</w:t>
      </w:r>
    </w:p>
    <w:p w14:paraId="5EDDA9C6">
      <w:pPr>
        <w:pStyle w:val="26"/>
        <w:rPr>
          <w:rFonts w:hAnsi="宋体" w:cs="宋体"/>
          <w:b/>
          <w:bCs/>
          <w:color w:val="auto"/>
          <w:sz w:val="28"/>
          <w:szCs w:val="28"/>
          <w:highlight w:val="none"/>
        </w:rPr>
      </w:pPr>
    </w:p>
    <w:p w14:paraId="78C702E4">
      <w:pPr>
        <w:pStyle w:val="26"/>
        <w:rPr>
          <w:rFonts w:hAnsi="宋体" w:cs="宋体"/>
          <w:b/>
          <w:bCs/>
          <w:color w:val="auto"/>
          <w:sz w:val="28"/>
          <w:szCs w:val="28"/>
          <w:highlight w:val="none"/>
        </w:rPr>
      </w:pPr>
    </w:p>
    <w:p w14:paraId="05C6EF99">
      <w:pPr>
        <w:ind w:firstLine="480"/>
        <w:rPr>
          <w:color w:val="auto"/>
          <w:highlight w:val="none"/>
        </w:rPr>
      </w:pPr>
    </w:p>
    <w:p w14:paraId="3BE28358">
      <w:pPr>
        <w:pStyle w:val="26"/>
        <w:rPr>
          <w:rFonts w:hAnsi="宋体" w:cs="宋体"/>
          <w:b/>
          <w:bCs/>
          <w:color w:val="auto"/>
          <w:sz w:val="28"/>
          <w:szCs w:val="28"/>
          <w:highlight w:val="none"/>
        </w:rPr>
      </w:pPr>
      <w:r>
        <w:rPr>
          <w:rFonts w:hint="eastAsia" w:hAnsi="宋体" w:cs="宋体"/>
          <w:b/>
          <w:bCs/>
          <w:color w:val="auto"/>
          <w:sz w:val="28"/>
          <w:szCs w:val="28"/>
          <w:highlight w:val="none"/>
        </w:rPr>
        <w:t>（6）供应商可结合本项目的评审办法视自身情况自行提交相关证明材料（如有，请提供）</w:t>
      </w:r>
    </w:p>
    <w:p w14:paraId="7BD59ABC">
      <w:pPr>
        <w:pStyle w:val="29"/>
        <w:ind w:left="0" w:leftChars="0"/>
        <w:rPr>
          <w:rFonts w:ascii="宋体" w:hAnsi="宋体" w:cs="宋体"/>
          <w:b/>
          <w:color w:val="auto"/>
          <w:sz w:val="24"/>
          <w:highlight w:val="none"/>
        </w:rPr>
      </w:pPr>
    </w:p>
    <w:p w14:paraId="4C9E2159">
      <w:pPr>
        <w:pStyle w:val="29"/>
        <w:ind w:left="0" w:leftChars="0"/>
        <w:rPr>
          <w:rFonts w:ascii="宋体" w:hAnsi="宋体" w:cs="宋体"/>
          <w:b/>
          <w:color w:val="auto"/>
          <w:sz w:val="24"/>
          <w:highlight w:val="none"/>
        </w:rPr>
      </w:pPr>
    </w:p>
    <w:p w14:paraId="69722155">
      <w:pPr>
        <w:pStyle w:val="29"/>
        <w:ind w:left="0" w:leftChars="0"/>
        <w:rPr>
          <w:rFonts w:ascii="宋体" w:hAnsi="宋体" w:cs="宋体"/>
          <w:b/>
          <w:color w:val="auto"/>
          <w:sz w:val="24"/>
          <w:highlight w:val="none"/>
        </w:rPr>
      </w:pPr>
    </w:p>
    <w:p w14:paraId="5A759717">
      <w:pPr>
        <w:pStyle w:val="29"/>
        <w:ind w:left="0" w:leftChars="0"/>
        <w:rPr>
          <w:rFonts w:ascii="宋体" w:hAnsi="宋体" w:cs="宋体"/>
          <w:b/>
          <w:color w:val="auto"/>
          <w:sz w:val="24"/>
          <w:highlight w:val="none"/>
        </w:rPr>
      </w:pPr>
    </w:p>
    <w:p w14:paraId="6C3225B2">
      <w:pPr>
        <w:pStyle w:val="29"/>
        <w:ind w:left="0" w:leftChars="0"/>
        <w:rPr>
          <w:rFonts w:ascii="宋体" w:hAnsi="宋体" w:cs="宋体"/>
          <w:b/>
          <w:color w:val="auto"/>
          <w:sz w:val="24"/>
          <w:highlight w:val="none"/>
        </w:rPr>
      </w:pPr>
    </w:p>
    <w:p w14:paraId="5ADCFD6C">
      <w:pPr>
        <w:pStyle w:val="29"/>
        <w:ind w:left="0" w:leftChars="0"/>
        <w:rPr>
          <w:rFonts w:ascii="宋体" w:hAnsi="宋体" w:cs="宋体"/>
          <w:b/>
          <w:color w:val="auto"/>
          <w:sz w:val="24"/>
          <w:highlight w:val="none"/>
        </w:rPr>
      </w:pPr>
    </w:p>
    <w:p w14:paraId="6AF2F777">
      <w:pPr>
        <w:pStyle w:val="29"/>
        <w:ind w:left="0" w:leftChars="0"/>
        <w:rPr>
          <w:rFonts w:ascii="宋体" w:hAnsi="宋体" w:cs="宋体"/>
          <w:b/>
          <w:color w:val="auto"/>
          <w:sz w:val="24"/>
          <w:highlight w:val="none"/>
        </w:rPr>
      </w:pPr>
    </w:p>
    <w:p w14:paraId="060C8B44">
      <w:pPr>
        <w:spacing w:line="360" w:lineRule="exact"/>
        <w:ind w:firstLine="0" w:firstLineChars="0"/>
        <w:rPr>
          <w:rFonts w:ascii="宋体" w:hAnsi="宋体" w:cs="宋体"/>
          <w:b/>
          <w:color w:val="auto"/>
          <w:szCs w:val="21"/>
          <w:highlight w:val="none"/>
        </w:rPr>
      </w:pPr>
      <w:r>
        <w:rPr>
          <w:rFonts w:hint="eastAsia" w:ascii="宋体" w:hAnsi="宋体" w:cs="宋体"/>
          <w:b/>
          <w:color w:val="auto"/>
          <w:sz w:val="28"/>
          <w:szCs w:val="28"/>
          <w:highlight w:val="none"/>
        </w:rPr>
        <w:t>3.技术证明文件</w:t>
      </w:r>
      <w:r>
        <w:rPr>
          <w:rFonts w:hint="eastAsia" w:ascii="宋体" w:hAnsi="宋体" w:cs="宋体"/>
          <w:b/>
          <w:color w:val="auto"/>
          <w:sz w:val="28"/>
          <w:szCs w:val="28"/>
          <w:highlight w:val="none"/>
          <w:lang w:eastAsia="zh-CN"/>
        </w:rPr>
        <w:t>：</w:t>
      </w:r>
    </w:p>
    <w:p w14:paraId="2A476D12">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（1）施工组织设计（如有，请提供）</w:t>
      </w:r>
    </w:p>
    <w:p w14:paraId="11301C51">
      <w:pPr>
        <w:spacing w:line="300" w:lineRule="auto"/>
        <w:ind w:firstLine="562"/>
        <w:rPr>
          <w:rFonts w:ascii="宋体" w:hAnsi="宋体" w:cs="宋体"/>
          <w:b/>
          <w:color w:val="auto"/>
          <w:sz w:val="28"/>
          <w:szCs w:val="28"/>
          <w:highlight w:val="none"/>
        </w:rPr>
      </w:pPr>
      <w:r>
        <w:rPr>
          <w:rFonts w:hint="eastAsia" w:ascii="宋体" w:hAnsi="宋体" w:cs="宋体"/>
          <w:b/>
          <w:color w:val="auto"/>
          <w:sz w:val="28"/>
          <w:szCs w:val="28"/>
          <w:highlight w:val="none"/>
        </w:rPr>
        <w:t xml:space="preserve">附件： </w:t>
      </w:r>
    </w:p>
    <w:p w14:paraId="7DBAFB8E">
      <w:pPr>
        <w:spacing w:line="380" w:lineRule="exact"/>
        <w:ind w:left="600" w:leftChars="250" w:firstLine="2951" w:firstLineChars="1050"/>
        <w:rPr>
          <w:rFonts w:ascii="宋体" w:hAnsi="宋体" w:cs="宋体"/>
          <w:color w:val="auto"/>
          <w:szCs w:val="21"/>
          <w:highlight w:val="none"/>
        </w:rPr>
      </w:pPr>
      <w:r>
        <w:rPr>
          <w:rFonts w:hint="eastAsia" w:ascii="宋体" w:hAnsi="宋体" w:cs="宋体"/>
          <w:b/>
          <w:color w:val="auto"/>
          <w:sz w:val="28"/>
          <w:szCs w:val="28"/>
          <w:highlight w:val="none"/>
        </w:rPr>
        <w:t>施工组织设计（格式）</w:t>
      </w:r>
    </w:p>
    <w:p w14:paraId="09517644">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一、主要施工方法</w:t>
      </w:r>
    </w:p>
    <w:p w14:paraId="1532D5F6">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5A470E3D">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二、关键施工技术、工艺及工程实施的重点、难点和解决方案</w:t>
      </w:r>
    </w:p>
    <w:p w14:paraId="72FA2C20">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027BAC08">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三、确保安全生产的技术组织措施</w:t>
      </w:r>
    </w:p>
    <w:p w14:paraId="5D8371AA">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16AC80E5">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四、确保工程质量的技术组织措施</w:t>
      </w:r>
    </w:p>
    <w:p w14:paraId="72D99E84">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21A3192D">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五、确保工期的技术组织措施</w:t>
      </w:r>
    </w:p>
    <w:p w14:paraId="0909AA7E">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52DE60C4">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六、确保文明施工的技术组织措施</w:t>
      </w:r>
    </w:p>
    <w:p w14:paraId="38331380">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1A7FD63E">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七、拟投入的主要物资计划</w:t>
      </w:r>
    </w:p>
    <w:p w14:paraId="354AB99A">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0EBF21D0">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八、施工平面布置和临时设施布置</w:t>
      </w:r>
    </w:p>
    <w:p w14:paraId="5580EC5F">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4DF8E11C">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九、劳动力安排计划</w:t>
      </w:r>
    </w:p>
    <w:p w14:paraId="5FE0DEE3">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50D3A3FF">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十、项目风险预测与防范，事故应急预案</w:t>
      </w:r>
    </w:p>
    <w:p w14:paraId="62475F4D">
      <w:pPr>
        <w:spacing w:line="400" w:lineRule="exact"/>
        <w:ind w:left="600" w:leftChars="250" w:firstLine="480"/>
        <w:rPr>
          <w:rFonts w:ascii="宋体" w:hAnsi="宋体" w:cs="宋体"/>
          <w:color w:val="auto"/>
          <w:szCs w:val="21"/>
          <w:highlight w:val="none"/>
        </w:rPr>
      </w:pPr>
      <w:r>
        <w:rPr>
          <w:rFonts w:hint="eastAsia" w:ascii="宋体" w:hAnsi="宋体" w:cs="宋体"/>
          <w:color w:val="auto"/>
          <w:szCs w:val="21"/>
          <w:highlight w:val="none"/>
        </w:rPr>
        <w:t>……</w:t>
      </w:r>
    </w:p>
    <w:p w14:paraId="671FFBDD">
      <w:pPr>
        <w:snapToGrid w:val="0"/>
        <w:spacing w:line="400" w:lineRule="exact"/>
        <w:ind w:firstLine="0" w:firstLineChars="0"/>
        <w:rPr>
          <w:rFonts w:ascii="宋体" w:hAnsi="宋体" w:cs="宋体"/>
          <w:color w:val="auto"/>
          <w:sz w:val="21"/>
          <w:szCs w:val="21"/>
          <w:highlight w:val="none"/>
        </w:rPr>
      </w:pPr>
    </w:p>
    <w:p w14:paraId="510E46E5">
      <w:pPr>
        <w:snapToGrid w:val="0"/>
        <w:spacing w:line="380" w:lineRule="exact"/>
        <w:ind w:firstLine="0" w:firstLineChars="0"/>
        <w:rPr>
          <w:rFonts w:ascii="宋体" w:hAnsi="宋体" w:cs="宋体"/>
          <w:color w:val="auto"/>
          <w:szCs w:val="24"/>
          <w:highlight w:val="none"/>
          <w:u w:val="single"/>
        </w:rPr>
      </w:pPr>
      <w:r>
        <w:rPr>
          <w:rFonts w:hint="eastAsia" w:ascii="宋体" w:hAnsi="宋体" w:cs="宋体"/>
          <w:color w:val="auto"/>
          <w:szCs w:val="24"/>
          <w:highlight w:val="none"/>
        </w:rPr>
        <w:t>供应商</w:t>
      </w:r>
      <w:r>
        <w:rPr>
          <w:rFonts w:hint="eastAsia" w:ascii="宋体" w:hAnsi="宋体" w:cs="宋体"/>
          <w:b/>
          <w:color w:val="auto"/>
          <w:szCs w:val="24"/>
          <w:highlight w:val="none"/>
        </w:rPr>
        <w:t>（电子签章）</w:t>
      </w:r>
      <w:r>
        <w:rPr>
          <w:rFonts w:hint="eastAsia" w:ascii="宋体" w:hAnsi="宋体" w:cs="宋体"/>
          <w:color w:val="auto"/>
          <w:szCs w:val="24"/>
          <w:highlight w:val="none"/>
        </w:rPr>
        <w:t>：</w:t>
      </w:r>
    </w:p>
    <w:p w14:paraId="2BC29177">
      <w:pPr>
        <w:spacing w:line="380" w:lineRule="exact"/>
        <w:ind w:firstLine="0" w:firstLineChars="0"/>
        <w:rPr>
          <w:rFonts w:ascii="宋体" w:hAnsi="宋体" w:cs="宋体"/>
          <w:color w:val="auto"/>
          <w:szCs w:val="24"/>
          <w:highlight w:val="none"/>
        </w:rPr>
      </w:pPr>
      <w:r>
        <w:rPr>
          <w:rFonts w:hint="eastAsia" w:ascii="宋体" w:hAnsi="宋体" w:cs="宋体"/>
          <w:color w:val="auto"/>
          <w:szCs w:val="24"/>
          <w:highlight w:val="none"/>
        </w:rPr>
        <w:t>法定代表人或委托代理人签字</w:t>
      </w:r>
      <w:r>
        <w:rPr>
          <w:rFonts w:hint="eastAsia" w:ascii="宋体" w:hAnsi="宋体" w:cs="宋体"/>
          <w:b/>
          <w:color w:val="auto"/>
          <w:szCs w:val="24"/>
          <w:highlight w:val="none"/>
        </w:rPr>
        <w:t>（或电子签名）</w:t>
      </w:r>
      <w:r>
        <w:rPr>
          <w:rFonts w:hint="eastAsia" w:ascii="宋体" w:hAnsi="宋体" w:cs="宋体"/>
          <w:color w:val="auto"/>
          <w:szCs w:val="24"/>
          <w:highlight w:val="none"/>
        </w:rPr>
        <w:t>：</w:t>
      </w:r>
    </w:p>
    <w:p w14:paraId="625346A3">
      <w:pPr>
        <w:spacing w:line="380" w:lineRule="exact"/>
        <w:ind w:firstLine="0" w:firstLineChars="0"/>
        <w:rPr>
          <w:rFonts w:ascii="宋体" w:hAnsi="宋体" w:cs="宋体"/>
          <w:color w:val="auto"/>
          <w:szCs w:val="24"/>
          <w:highlight w:val="none"/>
        </w:rPr>
      </w:pPr>
      <w:r>
        <w:rPr>
          <w:rFonts w:hint="eastAsia" w:ascii="宋体" w:hAnsi="宋体" w:cs="宋体"/>
          <w:color w:val="auto"/>
          <w:szCs w:val="24"/>
          <w:highlight w:val="none"/>
        </w:rPr>
        <w:t>日          期：</w:t>
      </w:r>
    </w:p>
    <w:p w14:paraId="2FC9D533">
      <w:pPr>
        <w:spacing w:line="300" w:lineRule="auto"/>
        <w:ind w:firstLine="0" w:firstLineChars="0"/>
        <w:rPr>
          <w:rFonts w:ascii="宋体" w:hAnsi="宋体" w:cs="宋体"/>
          <w:b/>
          <w:color w:val="auto"/>
          <w:sz w:val="28"/>
          <w:szCs w:val="28"/>
          <w:highlight w:val="none"/>
        </w:rPr>
      </w:pPr>
    </w:p>
    <w:p w14:paraId="6D04D446">
      <w:pPr>
        <w:numPr>
          <w:ilvl w:val="0"/>
          <w:numId w:val="5"/>
        </w:numPr>
        <w:spacing w:line="30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供应商可结合本项目的评审办法视自身情况自行提交相关证明材料（如有，请提供）</w:t>
      </w:r>
    </w:p>
    <w:p w14:paraId="6D507DF5">
      <w:pPr>
        <w:widowControl/>
        <w:spacing w:line="240" w:lineRule="auto"/>
        <w:ind w:firstLine="0" w:firstLineChars="0"/>
        <w:jc w:val="left"/>
        <w:rPr>
          <w:rFonts w:ascii="宋体" w:hAnsi="宋体" w:cs="宋体"/>
          <w:b/>
          <w:color w:val="auto"/>
          <w:kern w:val="0"/>
          <w:sz w:val="32"/>
          <w:szCs w:val="32"/>
          <w:highlight w:val="none"/>
        </w:rPr>
      </w:pPr>
      <w:bookmarkStart w:id="72" w:name="_Toc317457375"/>
      <w:bookmarkStart w:id="73" w:name="_Toc78449776"/>
      <w:bookmarkStart w:id="74" w:name="_Toc407135190"/>
      <w:bookmarkStart w:id="75" w:name="_Toc163918790"/>
      <w:bookmarkStart w:id="76" w:name="_Toc358476596"/>
      <w:r>
        <w:rPr>
          <w:rFonts w:ascii="宋体" w:hAnsi="宋体" w:cs="宋体"/>
          <w:b/>
          <w:color w:val="auto"/>
          <w:kern w:val="0"/>
          <w:sz w:val="32"/>
          <w:szCs w:val="32"/>
          <w:highlight w:val="none"/>
        </w:rPr>
        <w:br w:type="page"/>
      </w:r>
    </w:p>
    <w:p w14:paraId="43FD1C03">
      <w:pPr>
        <w:widowControl/>
        <w:spacing w:line="240" w:lineRule="auto"/>
        <w:ind w:firstLine="0" w:firstLineChars="0"/>
        <w:jc w:val="left"/>
        <w:rPr>
          <w:rFonts w:ascii="宋体" w:hAnsi="宋体" w:cs="宋体"/>
          <w:b/>
          <w:color w:val="auto"/>
          <w:kern w:val="0"/>
          <w:sz w:val="32"/>
          <w:szCs w:val="32"/>
          <w:highlight w:val="none"/>
        </w:rPr>
      </w:pPr>
    </w:p>
    <w:p w14:paraId="60286A3E">
      <w:pPr>
        <w:spacing w:line="440" w:lineRule="atLeast"/>
        <w:ind w:firstLine="2249" w:firstLineChars="700"/>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第七章  </w:t>
      </w:r>
      <w:bookmarkEnd w:id="72"/>
      <w:bookmarkEnd w:id="73"/>
      <w:bookmarkEnd w:id="74"/>
      <w:bookmarkEnd w:id="75"/>
      <w:r>
        <w:rPr>
          <w:rFonts w:hint="eastAsia" w:ascii="宋体" w:hAnsi="宋体"/>
          <w:b/>
          <w:bCs/>
          <w:color w:val="auto"/>
          <w:sz w:val="32"/>
          <w:szCs w:val="32"/>
          <w:highlight w:val="none"/>
        </w:rPr>
        <w:t>合同主要条款及格式</w:t>
      </w:r>
    </w:p>
    <w:bookmarkEnd w:id="76"/>
    <w:p w14:paraId="0980AD7C">
      <w:pPr>
        <w:spacing w:line="380" w:lineRule="exact"/>
        <w:ind w:firstLine="0" w:firstLineChars="0"/>
        <w:jc w:val="left"/>
        <w:rPr>
          <w:rFonts w:ascii="宋体" w:hAnsi="Calibri"/>
          <w:b/>
          <w:bCs/>
          <w:color w:val="auto"/>
          <w:sz w:val="32"/>
          <w:szCs w:val="24"/>
          <w:highlight w:val="none"/>
        </w:rPr>
      </w:pPr>
    </w:p>
    <w:p w14:paraId="288C232C">
      <w:pPr>
        <w:spacing w:line="440" w:lineRule="atLeast"/>
        <w:ind w:firstLine="2891" w:firstLineChars="900"/>
        <w:outlineLvl w:val="1"/>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合同条款及格式</w:t>
      </w:r>
    </w:p>
    <w:p w14:paraId="232E2082">
      <w:pPr>
        <w:snapToGrid w:val="0"/>
        <w:spacing w:line="400" w:lineRule="exact"/>
        <w:ind w:firstLine="2409" w:firstLineChars="750"/>
        <w:rPr>
          <w:rFonts w:ascii="宋体" w:hAnsi="宋体" w:cs="宋体"/>
          <w:b/>
          <w:bCs/>
          <w:color w:val="auto"/>
          <w:sz w:val="32"/>
          <w:szCs w:val="32"/>
          <w:highlight w:val="none"/>
        </w:rPr>
      </w:pPr>
    </w:p>
    <w:p w14:paraId="3BA1E6AE">
      <w:pPr>
        <w:snapToGrid w:val="0"/>
        <w:spacing w:line="400" w:lineRule="exact"/>
        <w:ind w:firstLine="2409" w:firstLineChars="750"/>
        <w:rPr>
          <w:rFonts w:ascii="宋体" w:hAnsi="宋体" w:cs="宋体"/>
          <w:b/>
          <w:bCs/>
          <w:color w:val="auto"/>
          <w:sz w:val="32"/>
          <w:szCs w:val="32"/>
          <w:highlight w:val="none"/>
        </w:rPr>
      </w:pPr>
      <w:r>
        <w:rPr>
          <w:rFonts w:hint="eastAsia" w:ascii="宋体" w:hAnsi="宋体" w:cs="宋体"/>
          <w:b/>
          <w:bCs/>
          <w:color w:val="auto"/>
          <w:sz w:val="32"/>
          <w:szCs w:val="32"/>
          <w:highlight w:val="none"/>
        </w:rPr>
        <w:t>第一部分  合同协议书</w:t>
      </w:r>
    </w:p>
    <w:p w14:paraId="4D1B77AD">
      <w:pPr>
        <w:spacing w:line="400" w:lineRule="exact"/>
        <w:ind w:firstLine="422"/>
        <w:rPr>
          <w:rFonts w:ascii="宋体" w:hAnsi="宋体" w:cs="宋体"/>
          <w:b/>
          <w:color w:val="auto"/>
          <w:sz w:val="21"/>
          <w:szCs w:val="21"/>
          <w:highlight w:val="none"/>
          <w:u w:val="single"/>
        </w:rPr>
      </w:pPr>
      <w:r>
        <w:rPr>
          <w:rFonts w:hint="eastAsia" w:ascii="宋体" w:hAnsi="宋体" w:cs="宋体"/>
          <w:b/>
          <w:color w:val="auto"/>
          <w:sz w:val="21"/>
          <w:szCs w:val="21"/>
          <w:highlight w:val="none"/>
        </w:rPr>
        <w:t>发包人（全称）：</w:t>
      </w:r>
      <w:r>
        <w:rPr>
          <w:rFonts w:hint="eastAsia" w:ascii="宋体" w:hAnsi="宋体" w:cs="宋体"/>
          <w:b w:val="0"/>
          <w:bCs/>
          <w:color w:val="auto"/>
          <w:sz w:val="21"/>
          <w:szCs w:val="21"/>
          <w:highlight w:val="none"/>
          <w:u w:val="single"/>
        </w:rPr>
        <w:t>桂林市第十三中学</w:t>
      </w:r>
    </w:p>
    <w:p w14:paraId="31CB1937">
      <w:pPr>
        <w:spacing w:line="400" w:lineRule="exact"/>
        <w:ind w:firstLine="422"/>
        <w:rPr>
          <w:rFonts w:ascii="宋体" w:hAnsi="宋体" w:cs="宋体"/>
          <w:b/>
          <w:color w:val="auto"/>
          <w:sz w:val="21"/>
          <w:szCs w:val="21"/>
          <w:highlight w:val="none"/>
          <w:u w:val="single"/>
        </w:rPr>
      </w:pPr>
      <w:r>
        <w:rPr>
          <w:rFonts w:hint="eastAsia" w:ascii="宋体" w:hAnsi="宋体" w:cs="宋体"/>
          <w:b/>
          <w:color w:val="auto"/>
          <w:sz w:val="21"/>
          <w:szCs w:val="21"/>
          <w:highlight w:val="none"/>
        </w:rPr>
        <w:t>承包人（全称）：</w:t>
      </w:r>
      <w:r>
        <w:rPr>
          <w:rFonts w:hint="eastAsia" w:ascii="宋体" w:hAnsi="宋体" w:cs="宋体"/>
          <w:b/>
          <w:color w:val="auto"/>
          <w:sz w:val="21"/>
          <w:szCs w:val="21"/>
          <w:highlight w:val="none"/>
          <w:u w:val="single"/>
        </w:rPr>
        <w:t xml:space="preserve">               </w:t>
      </w:r>
    </w:p>
    <w:p w14:paraId="57932600">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根据《中华人民共和国民法典</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中华人民共和国建筑法》及相关法律法规及行业规定等相关</w:t>
      </w:r>
      <w:r>
        <w:rPr>
          <w:rFonts w:hint="eastAsia" w:ascii="宋体" w:hAnsi="宋体" w:cs="宋体"/>
          <w:color w:val="auto"/>
          <w:sz w:val="21"/>
          <w:szCs w:val="21"/>
          <w:highlight w:val="none"/>
          <w:lang w:eastAsia="zh-CN"/>
        </w:rPr>
        <w:t>法律法规</w:t>
      </w:r>
      <w:r>
        <w:rPr>
          <w:rFonts w:hint="eastAsia" w:ascii="宋体" w:hAnsi="宋体" w:cs="宋体"/>
          <w:color w:val="auto"/>
          <w:sz w:val="21"/>
          <w:szCs w:val="21"/>
          <w:highlight w:val="none"/>
        </w:rPr>
        <w:t>规定，遵循平等、自愿、公平和诚实信用的原则，双方就工程施工及有关事项协商一致共同达成如下协议：</w:t>
      </w:r>
    </w:p>
    <w:p w14:paraId="4325B1BB">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一、工程概况</w:t>
      </w:r>
    </w:p>
    <w:p w14:paraId="182023B6">
      <w:pPr>
        <w:snapToGrid w:val="0"/>
        <w:spacing w:line="340" w:lineRule="exact"/>
        <w:ind w:firstLine="411" w:firstLineChars="196"/>
        <w:rPr>
          <w:rFonts w:ascii="宋体" w:hAnsi="宋体" w:cs="宋体"/>
          <w:color w:val="auto"/>
          <w:sz w:val="21"/>
          <w:szCs w:val="21"/>
          <w:highlight w:val="none"/>
          <w:u w:val="single"/>
        </w:rPr>
      </w:pPr>
      <w:r>
        <w:rPr>
          <w:rFonts w:hint="eastAsia" w:ascii="宋体" w:hAnsi="宋体" w:cs="宋体"/>
          <w:bCs/>
          <w:color w:val="auto"/>
          <w:sz w:val="21"/>
          <w:szCs w:val="21"/>
          <w:highlight w:val="none"/>
        </w:rPr>
        <w:t>1.工程名称</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桂林市第十三中学校园操场改造及校园硅PU篮球场项目</w:t>
      </w:r>
      <w:r>
        <w:rPr>
          <w:rFonts w:hint="eastAsia" w:ascii="宋体" w:hAnsi="宋体" w:cs="宋体"/>
          <w:color w:val="auto"/>
          <w:sz w:val="21"/>
          <w:szCs w:val="21"/>
          <w:highlight w:val="none"/>
        </w:rPr>
        <w:t>。</w:t>
      </w:r>
    </w:p>
    <w:p w14:paraId="2406A941">
      <w:pPr>
        <w:snapToGrid w:val="0"/>
        <w:spacing w:line="340" w:lineRule="exact"/>
        <w:ind w:firstLine="411" w:firstLineChars="196"/>
        <w:rPr>
          <w:rFonts w:ascii="宋体" w:hAnsi="宋体" w:cs="宋体"/>
          <w:bCs/>
          <w:color w:val="auto"/>
          <w:sz w:val="21"/>
          <w:szCs w:val="21"/>
          <w:highlight w:val="none"/>
        </w:rPr>
      </w:pPr>
      <w:r>
        <w:rPr>
          <w:rFonts w:hint="eastAsia" w:ascii="宋体" w:hAnsi="宋体" w:cs="宋体"/>
          <w:bCs/>
          <w:color w:val="auto"/>
          <w:sz w:val="21"/>
          <w:szCs w:val="21"/>
          <w:highlight w:val="none"/>
        </w:rPr>
        <w:t>2.工程地点：</w:t>
      </w:r>
      <w:r>
        <w:rPr>
          <w:rFonts w:hint="eastAsia" w:ascii="宋体" w:hAnsi="宋体" w:cs="宋体"/>
          <w:color w:val="auto"/>
          <w:sz w:val="21"/>
          <w:szCs w:val="21"/>
          <w:highlight w:val="none"/>
          <w:u w:val="single"/>
          <w:lang w:val="en-US" w:eastAsia="zh-CN"/>
        </w:rPr>
        <w:t>桂林市秀峰区（</w:t>
      </w:r>
      <w:r>
        <w:rPr>
          <w:rFonts w:hint="eastAsia" w:ascii="宋体" w:hAnsi="宋体" w:eastAsia="宋体" w:cs="宋体"/>
          <w:color w:val="auto"/>
          <w:sz w:val="21"/>
          <w:szCs w:val="21"/>
          <w:highlight w:val="none"/>
          <w:u w:val="single"/>
          <w:lang w:eastAsia="zh-CN"/>
        </w:rPr>
        <w:t>桂林市第十三中学校园内</w:t>
      </w:r>
      <w:r>
        <w:rPr>
          <w:rFonts w:hint="eastAsia" w:ascii="宋体" w:hAnsi="宋体" w:cs="宋体"/>
          <w:color w:val="auto"/>
          <w:sz w:val="21"/>
          <w:szCs w:val="21"/>
          <w:highlight w:val="none"/>
          <w:u w:val="single"/>
          <w:lang w:val="en-US" w:eastAsia="zh-CN"/>
        </w:rPr>
        <w:t>）</w:t>
      </w:r>
      <w:r>
        <w:rPr>
          <w:rFonts w:hint="eastAsia" w:ascii="宋体" w:hAnsi="宋体" w:cs="宋体"/>
          <w:color w:val="auto"/>
          <w:sz w:val="21"/>
          <w:szCs w:val="21"/>
          <w:highlight w:val="none"/>
        </w:rPr>
        <w:t>。</w:t>
      </w:r>
    </w:p>
    <w:p w14:paraId="2E97D591">
      <w:pPr>
        <w:snapToGrid w:val="0"/>
        <w:spacing w:line="340" w:lineRule="exact"/>
        <w:ind w:firstLine="411" w:firstLineChars="196"/>
        <w:rPr>
          <w:rFonts w:ascii="宋体" w:hAnsi="宋体" w:cs="宋体"/>
          <w:bCs/>
          <w:color w:val="auto"/>
          <w:sz w:val="21"/>
          <w:szCs w:val="21"/>
          <w:highlight w:val="none"/>
        </w:rPr>
      </w:pPr>
      <w:r>
        <w:rPr>
          <w:rFonts w:hint="eastAsia" w:ascii="宋体" w:hAnsi="宋体" w:cs="宋体"/>
          <w:bCs/>
          <w:color w:val="auto"/>
          <w:sz w:val="21"/>
          <w:szCs w:val="21"/>
          <w:highlight w:val="none"/>
        </w:rPr>
        <w:t>3.工程立项批准文号：</w:t>
      </w:r>
      <w:r>
        <w:rPr>
          <w:rFonts w:hint="eastAsia" w:ascii="宋体" w:hAnsi="宋体" w:cs="宋体"/>
          <w:color w:val="auto"/>
          <w:sz w:val="21"/>
          <w:szCs w:val="21"/>
          <w:highlight w:val="none"/>
          <w:u w:val="single"/>
        </w:rPr>
        <w:t>/</w:t>
      </w:r>
      <w:r>
        <w:rPr>
          <w:rFonts w:hint="eastAsia" w:ascii="宋体" w:hAnsi="宋体" w:cs="宋体"/>
          <w:bCs/>
          <w:color w:val="auto"/>
          <w:sz w:val="21"/>
          <w:szCs w:val="21"/>
          <w:highlight w:val="none"/>
        </w:rPr>
        <w:t>。</w:t>
      </w:r>
    </w:p>
    <w:p w14:paraId="11E8E2F0">
      <w:pPr>
        <w:snapToGrid w:val="0"/>
        <w:spacing w:line="340" w:lineRule="exact"/>
        <w:ind w:firstLine="411" w:firstLineChars="196"/>
        <w:rPr>
          <w:rFonts w:ascii="宋体" w:hAnsi="宋体" w:cs="宋体"/>
          <w:color w:val="auto"/>
          <w:sz w:val="21"/>
          <w:szCs w:val="21"/>
          <w:highlight w:val="none"/>
          <w:u w:val="single"/>
        </w:rPr>
      </w:pPr>
      <w:r>
        <w:rPr>
          <w:rFonts w:hint="eastAsia" w:ascii="宋体" w:hAnsi="宋体" w:cs="宋体"/>
          <w:bCs/>
          <w:color w:val="auto"/>
          <w:sz w:val="21"/>
          <w:szCs w:val="21"/>
          <w:highlight w:val="none"/>
        </w:rPr>
        <w:t>4.工程承包范围：</w:t>
      </w:r>
      <w:r>
        <w:rPr>
          <w:rFonts w:hint="eastAsia" w:ascii="宋体" w:hAnsi="宋体" w:cs="宋体"/>
          <w:bCs/>
          <w:color w:val="auto"/>
          <w:sz w:val="21"/>
          <w:szCs w:val="21"/>
          <w:highlight w:val="none"/>
          <w:u w:val="single"/>
        </w:rPr>
        <w:t>桂林市第十三中学校园操场改造1项，包含内容为原混合型塑胶跑道拆除、13mm混合型塑胶跑道敷设、80mm沥青铺装、排水沟、主席台砌筑等项目；桂林市第十三中学校园硅PU篮球场1项，包含内容为原硅PU拆除、8mm硅PU敷设、80mm沥青铺装等项目。具体详见工程量清单及图纸</w:t>
      </w:r>
      <w:r>
        <w:rPr>
          <w:rFonts w:hint="eastAsia" w:ascii="宋体" w:hAnsi="宋体" w:cs="宋体"/>
          <w:bCs/>
          <w:color w:val="auto"/>
          <w:sz w:val="21"/>
          <w:szCs w:val="21"/>
          <w:highlight w:val="none"/>
        </w:rPr>
        <w:t>。</w:t>
      </w:r>
    </w:p>
    <w:p w14:paraId="2E56BAB3">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二、合同工期</w:t>
      </w:r>
    </w:p>
    <w:p w14:paraId="504530A1">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计划开工日期：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r>
        <w:rPr>
          <w:rFonts w:hint="eastAsia" w:ascii="宋体" w:hAnsi="宋体" w:cs="宋体"/>
          <w:color w:val="auto"/>
          <w:sz w:val="21"/>
          <w:szCs w:val="21"/>
          <w:highlight w:val="none"/>
          <w:lang w:eastAsia="zh-CN"/>
        </w:rPr>
        <w:t>（</w:t>
      </w:r>
      <w:r>
        <w:rPr>
          <w:rFonts w:hint="eastAsia" w:ascii="宋体" w:hAnsi="宋体" w:cs="宋体"/>
          <w:bCs/>
          <w:color w:val="auto"/>
          <w:sz w:val="21"/>
          <w:szCs w:val="21"/>
          <w:highlight w:val="none"/>
        </w:rPr>
        <w:t>具体以监理工程师实际下发的开工令为准</w:t>
      </w:r>
      <w:r>
        <w:rPr>
          <w:rFonts w:hint="eastAsia" w:ascii="宋体" w:hAnsi="宋体" w:cs="宋体"/>
          <w:bCs/>
          <w:color w:val="auto"/>
          <w:sz w:val="21"/>
          <w:szCs w:val="21"/>
          <w:highlight w:val="none"/>
          <w:lang w:eastAsia="zh-CN"/>
        </w:rPr>
        <w:t>）</w:t>
      </w:r>
    </w:p>
    <w:p w14:paraId="096774E5">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计划竣工日期：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w:t>
      </w:r>
    </w:p>
    <w:p w14:paraId="60FC37F3">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工期总日历天数：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日历</w:t>
      </w:r>
      <w:r>
        <w:rPr>
          <w:rFonts w:hint="eastAsia" w:ascii="宋体" w:hAnsi="宋体" w:cs="宋体"/>
          <w:color w:val="auto"/>
          <w:sz w:val="21"/>
          <w:szCs w:val="21"/>
          <w:highlight w:val="none"/>
          <w:lang w:eastAsia="zh-CN"/>
        </w:rPr>
        <w:t>天</w:t>
      </w:r>
      <w:r>
        <w:rPr>
          <w:rFonts w:hint="eastAsia" w:ascii="宋体" w:hAnsi="宋体" w:cs="宋体"/>
          <w:color w:val="auto"/>
          <w:sz w:val="21"/>
          <w:szCs w:val="21"/>
          <w:highlight w:val="none"/>
        </w:rPr>
        <w:t>。工期总日历天数与根据前述计划开竣工日期计算的工期天数不一致的，以工期总日历天数为准。</w:t>
      </w:r>
    </w:p>
    <w:p w14:paraId="46FB5F69">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三、质量标准：工程质量符合</w:t>
      </w:r>
      <w:r>
        <w:rPr>
          <w:rFonts w:hint="eastAsia" w:ascii="宋体" w:hAnsi="宋体" w:cs="宋体"/>
          <w:color w:val="auto"/>
          <w:sz w:val="21"/>
          <w:szCs w:val="21"/>
          <w:highlight w:val="none"/>
          <w:u w:val="single"/>
        </w:rPr>
        <w:t>国家施工验收规范合格</w:t>
      </w:r>
      <w:r>
        <w:rPr>
          <w:rFonts w:hint="eastAsia" w:ascii="宋体" w:hAnsi="宋体" w:cs="宋体"/>
          <w:color w:val="auto"/>
          <w:sz w:val="21"/>
          <w:szCs w:val="21"/>
          <w:highlight w:val="none"/>
        </w:rPr>
        <w:t>标准。</w:t>
      </w:r>
    </w:p>
    <w:p w14:paraId="34881BD5">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四、签约合同价与合同价格形式</w:t>
      </w:r>
      <w:r>
        <w:rPr>
          <w:rFonts w:hint="eastAsia" w:ascii="宋体" w:hAnsi="宋体" w:cs="宋体"/>
          <w:color w:val="auto"/>
          <w:sz w:val="21"/>
          <w:szCs w:val="21"/>
          <w:highlight w:val="none"/>
        </w:rPr>
        <w:tab/>
      </w:r>
    </w:p>
    <w:p w14:paraId="64A0884D">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1.签约合同价为：人民币（大写）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7D99EE93">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其中：</w:t>
      </w:r>
    </w:p>
    <w:p w14:paraId="1562803B">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1</w:t>
      </w:r>
      <w:r>
        <w:rPr>
          <w:rFonts w:hint="eastAsia" w:ascii="宋体" w:hAnsi="宋体" w:cs="宋体"/>
          <w:color w:val="auto"/>
          <w:sz w:val="21"/>
          <w:szCs w:val="21"/>
          <w:highlight w:val="none"/>
        </w:rPr>
        <w:t>）安全文明施工费：人民币（大写）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 ；</w:t>
      </w:r>
    </w:p>
    <w:p w14:paraId="7EDE109A">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2</w:t>
      </w:r>
      <w:r>
        <w:rPr>
          <w:rFonts w:hint="eastAsia" w:ascii="宋体" w:hAnsi="宋体" w:cs="宋体"/>
          <w:color w:val="auto"/>
          <w:sz w:val="21"/>
          <w:szCs w:val="21"/>
          <w:highlight w:val="none"/>
        </w:rPr>
        <w:t>）规费：人民币（大写）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282FD47D">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3</w:t>
      </w:r>
      <w:r>
        <w:rPr>
          <w:rFonts w:hint="eastAsia" w:ascii="宋体" w:hAnsi="宋体" w:cs="宋体"/>
          <w:color w:val="auto"/>
          <w:sz w:val="21"/>
          <w:szCs w:val="21"/>
          <w:highlight w:val="none"/>
        </w:rPr>
        <w:t>）增值税：人民币（大写）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4DF792A8">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4</w:t>
      </w:r>
      <w:r>
        <w:rPr>
          <w:rFonts w:hint="eastAsia" w:ascii="宋体" w:hAnsi="宋体" w:cs="宋体"/>
          <w:color w:val="auto"/>
          <w:sz w:val="21"/>
          <w:szCs w:val="21"/>
          <w:highlight w:val="none"/>
        </w:rPr>
        <w:t>）暂列金额：人民币（大写）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2DC2094E">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w:t>
      </w:r>
      <w:r>
        <w:rPr>
          <w:rFonts w:ascii="宋体" w:hAnsi="宋体" w:cs="宋体"/>
          <w:color w:val="auto"/>
          <w:sz w:val="21"/>
          <w:szCs w:val="21"/>
          <w:highlight w:val="none"/>
        </w:rPr>
        <w:t>5</w:t>
      </w:r>
      <w:r>
        <w:rPr>
          <w:rFonts w:hint="eastAsia" w:ascii="宋体" w:hAnsi="宋体" w:cs="宋体"/>
          <w:color w:val="auto"/>
          <w:sz w:val="21"/>
          <w:szCs w:val="21"/>
          <w:highlight w:val="none"/>
        </w:rPr>
        <w:t>）专业工程暂估价：人民币（大写）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元）。</w:t>
      </w:r>
    </w:p>
    <w:p w14:paraId="07EBB9C0">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2.合同价格形式：</w:t>
      </w:r>
      <w:r>
        <w:rPr>
          <w:rFonts w:hint="eastAsia" w:ascii="宋体" w:hAnsi="宋体" w:cs="宋体"/>
          <w:color w:val="auto"/>
          <w:sz w:val="21"/>
          <w:szCs w:val="21"/>
          <w:highlight w:val="none"/>
          <w:u w:val="single"/>
        </w:rPr>
        <w:t xml:space="preserve">固定综合单价，总价可调 </w:t>
      </w:r>
      <w:r>
        <w:rPr>
          <w:rFonts w:hint="eastAsia" w:ascii="宋体" w:hAnsi="宋体" w:cs="宋体"/>
          <w:color w:val="auto"/>
          <w:sz w:val="21"/>
          <w:szCs w:val="21"/>
          <w:highlight w:val="none"/>
        </w:rPr>
        <w:t>。</w:t>
      </w:r>
    </w:p>
    <w:p w14:paraId="7941A801">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五、合同文件构成</w:t>
      </w:r>
    </w:p>
    <w:p w14:paraId="66D72379">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本协议书与下列文件一起构成合同文件：</w:t>
      </w:r>
    </w:p>
    <w:p w14:paraId="6678D590">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（1）成交通知书（如果有）；</w:t>
      </w:r>
    </w:p>
    <w:p w14:paraId="44A5D1C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（2）响应函及其附录（如果有）； </w:t>
      </w:r>
    </w:p>
    <w:p w14:paraId="286D7851">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（3）专用合同条款及其附件；</w:t>
      </w:r>
    </w:p>
    <w:p w14:paraId="0AAD77AC">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（4）通用合同条款；</w:t>
      </w:r>
    </w:p>
    <w:p w14:paraId="3BD4B67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（5）技术标准和要求；</w:t>
      </w:r>
    </w:p>
    <w:p w14:paraId="6A689073">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（6）已标价工程量清单或预算书；</w:t>
      </w:r>
    </w:p>
    <w:p w14:paraId="487A85D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（7）其他合同文件。</w:t>
      </w:r>
    </w:p>
    <w:p w14:paraId="1F6D3876">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在合同订立及履行过程中形成的与合同有关的文件均构成合同文件组成部分。</w:t>
      </w:r>
    </w:p>
    <w:p w14:paraId="3C1BD8EA">
      <w:pPr>
        <w:autoSpaceDE w:val="0"/>
        <w:autoSpaceDN w:val="0"/>
        <w:snapToGrid w:val="0"/>
        <w:spacing w:line="3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上述各项合同文件包括合同当事人就该项合同文件所作出的补充和修改，属于同一类内容的文件，应以最新签署的为准。</w:t>
      </w:r>
    </w:p>
    <w:p w14:paraId="135D5EE1">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六、承诺</w:t>
      </w:r>
    </w:p>
    <w:p w14:paraId="000D975D">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1.发包人承诺按照法律规定履行项目审批手续、筹集工程建设资金并按照合同约定的期限和方式支付合同价款。</w:t>
      </w:r>
    </w:p>
    <w:p w14:paraId="2474720D">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22481718">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3.发包人和承包人通过磋商形式签订合同的，双方理解并同意不再就同一工程另行签订与合同实质性内容相背离的协议。</w:t>
      </w:r>
    </w:p>
    <w:p w14:paraId="42AAC7F0">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七、词语含义</w:t>
      </w:r>
    </w:p>
    <w:p w14:paraId="2CC52252">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本协议书中词语含义与第二部分通用合同条款中赋予的含义相同。</w:t>
      </w:r>
    </w:p>
    <w:p w14:paraId="21C27F5B">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八、签订时间</w:t>
      </w:r>
    </w:p>
    <w:p w14:paraId="3D9C7830">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本合同于</w:t>
      </w:r>
      <w:r>
        <w:rPr>
          <w:rFonts w:hint="eastAsia" w:ascii="宋体" w:hAnsi="宋体" w:cs="宋体"/>
          <w:bCs/>
          <w:color w:val="auto"/>
          <w:sz w:val="21"/>
          <w:szCs w:val="21"/>
          <w:highlight w:val="none"/>
          <w:u w:val="single"/>
        </w:rPr>
        <w:t xml:space="preserve">     </w:t>
      </w:r>
      <w:r>
        <w:rPr>
          <w:rFonts w:hint="eastAsia" w:ascii="宋体" w:hAnsi="宋体" w:cs="宋体"/>
          <w:bCs/>
          <w:color w:val="auto"/>
          <w:sz w:val="21"/>
          <w:szCs w:val="21"/>
          <w:highlight w:val="none"/>
        </w:rPr>
        <w:t>年</w:t>
      </w:r>
      <w:r>
        <w:rPr>
          <w:rFonts w:hint="eastAsia" w:ascii="宋体" w:hAnsi="宋体" w:cs="宋体"/>
          <w:bCs/>
          <w:color w:val="auto"/>
          <w:sz w:val="21"/>
          <w:szCs w:val="21"/>
          <w:highlight w:val="none"/>
          <w:u w:val="single"/>
        </w:rPr>
        <w:t xml:space="preserve">   </w:t>
      </w:r>
      <w:r>
        <w:rPr>
          <w:rFonts w:hint="eastAsia" w:ascii="宋体" w:hAnsi="宋体" w:cs="宋体"/>
          <w:bCs/>
          <w:color w:val="auto"/>
          <w:sz w:val="21"/>
          <w:szCs w:val="21"/>
          <w:highlight w:val="none"/>
        </w:rPr>
        <w:t>月</w:t>
      </w:r>
      <w:r>
        <w:rPr>
          <w:rFonts w:hint="eastAsia" w:ascii="宋体" w:hAnsi="宋体" w:cs="宋体"/>
          <w:bCs/>
          <w:color w:val="auto"/>
          <w:sz w:val="21"/>
          <w:szCs w:val="21"/>
          <w:highlight w:val="none"/>
          <w:u w:val="single"/>
        </w:rPr>
        <w:t xml:space="preserve">   </w:t>
      </w:r>
      <w:r>
        <w:rPr>
          <w:rFonts w:hint="eastAsia" w:ascii="宋体" w:hAnsi="宋体" w:cs="宋体"/>
          <w:bCs/>
          <w:color w:val="auto"/>
          <w:sz w:val="21"/>
          <w:szCs w:val="21"/>
          <w:highlight w:val="none"/>
        </w:rPr>
        <w:t>日签订。</w:t>
      </w:r>
    </w:p>
    <w:p w14:paraId="36BB90C5">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九、签订地点</w:t>
      </w:r>
    </w:p>
    <w:p w14:paraId="54ADAC68">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本合同在</w:t>
      </w:r>
      <w:r>
        <w:rPr>
          <w:rFonts w:hint="eastAsia" w:ascii="宋体" w:hAnsi="宋体"/>
          <w:color w:val="auto"/>
          <w:sz w:val="21"/>
          <w:szCs w:val="24"/>
          <w:highlight w:val="none"/>
          <w:u w:val="single"/>
        </w:rPr>
        <w:t>桂林市第十三中学</w:t>
      </w:r>
      <w:r>
        <w:rPr>
          <w:rFonts w:hint="eastAsia" w:ascii="宋体" w:hAnsi="宋体" w:cs="宋体"/>
          <w:bCs/>
          <w:color w:val="auto"/>
          <w:sz w:val="21"/>
          <w:szCs w:val="21"/>
          <w:highlight w:val="none"/>
        </w:rPr>
        <w:t>签订。</w:t>
      </w:r>
    </w:p>
    <w:p w14:paraId="25BBFFA1">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十、补充协议</w:t>
      </w:r>
    </w:p>
    <w:p w14:paraId="384A81E8">
      <w:pPr>
        <w:snapToGrid w:val="0"/>
        <w:spacing w:line="340" w:lineRule="exact"/>
        <w:ind w:firstLine="420"/>
        <w:rPr>
          <w:rFonts w:ascii="宋体" w:hAnsi="宋体" w:cs="宋体"/>
          <w:b/>
          <w:bCs/>
          <w:color w:val="auto"/>
          <w:sz w:val="21"/>
          <w:szCs w:val="21"/>
          <w:highlight w:val="none"/>
        </w:rPr>
      </w:pPr>
      <w:r>
        <w:rPr>
          <w:rFonts w:hint="eastAsia" w:ascii="宋体" w:hAnsi="宋体" w:cs="宋体"/>
          <w:bCs/>
          <w:color w:val="auto"/>
          <w:sz w:val="21"/>
          <w:szCs w:val="21"/>
          <w:highlight w:val="none"/>
        </w:rPr>
        <w:t>合同未尽事宜，合同当事人另行签订补充协议。补充协议是合同的组成部分。</w:t>
      </w:r>
    </w:p>
    <w:p w14:paraId="1D666086">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十一、合同生效</w:t>
      </w:r>
    </w:p>
    <w:p w14:paraId="7B91B3D7">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本合同自</w:t>
      </w:r>
      <w:r>
        <w:rPr>
          <w:rFonts w:hint="eastAsia" w:ascii="宋体" w:hAnsi="宋体" w:cs="宋体"/>
          <w:bCs/>
          <w:color w:val="auto"/>
          <w:sz w:val="21"/>
          <w:szCs w:val="21"/>
          <w:highlight w:val="none"/>
          <w:u w:val="single"/>
        </w:rPr>
        <w:t>发包人、承包人双方法定代表人或委托代理人签字并加盖单位公章后</w:t>
      </w:r>
      <w:r>
        <w:rPr>
          <w:rFonts w:hint="eastAsia" w:ascii="宋体" w:hAnsi="宋体" w:cs="宋体"/>
          <w:bCs/>
          <w:color w:val="auto"/>
          <w:sz w:val="21"/>
          <w:szCs w:val="21"/>
          <w:highlight w:val="none"/>
        </w:rPr>
        <w:t>生效。</w:t>
      </w:r>
    </w:p>
    <w:p w14:paraId="1FAD4408">
      <w:pPr>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十二、合同份数</w:t>
      </w:r>
    </w:p>
    <w:p w14:paraId="5517A35F">
      <w:pPr>
        <w:snapToGrid w:val="0"/>
        <w:spacing w:line="34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本合同一式十二份，均具有同等法律效力，发包人执八份，承包人执四份。</w:t>
      </w:r>
    </w:p>
    <w:p w14:paraId="06E363C2">
      <w:pPr>
        <w:spacing w:line="340" w:lineRule="exact"/>
        <w:ind w:firstLine="420"/>
        <w:rPr>
          <w:rFonts w:ascii="宋体" w:hAnsi="宋体" w:cs="宋体"/>
          <w:b/>
          <w:color w:val="auto"/>
          <w:sz w:val="21"/>
          <w:szCs w:val="21"/>
          <w:highlight w:val="none"/>
          <w:u w:val="single"/>
        </w:rPr>
      </w:pPr>
      <w:r>
        <w:rPr>
          <w:rFonts w:hint="eastAsia" w:ascii="宋体" w:hAnsi="宋体" w:cs="宋体"/>
          <w:color w:val="auto"/>
          <w:sz w:val="21"/>
          <w:szCs w:val="21"/>
          <w:highlight w:val="none"/>
        </w:rPr>
        <w:t>发包人（公章）：</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承包人（公章）：</w:t>
      </w:r>
      <w:r>
        <w:rPr>
          <w:rFonts w:hint="eastAsia" w:ascii="宋体" w:hAnsi="宋体" w:cs="宋体"/>
          <w:color w:val="auto"/>
          <w:sz w:val="21"/>
          <w:szCs w:val="21"/>
          <w:highlight w:val="none"/>
          <w:u w:val="single"/>
        </w:rPr>
        <w:t xml:space="preserve">                                    </w:t>
      </w:r>
    </w:p>
    <w:p w14:paraId="5C76C0B3">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  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地 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52CB67D8">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法定代表人（签字）：</w:t>
      </w:r>
      <w:r>
        <w:rPr>
          <w:rFonts w:hint="eastAsia" w:ascii="宋体" w:hAnsi="宋体" w:cs="宋体"/>
          <w:color w:val="auto"/>
          <w:sz w:val="21"/>
          <w:szCs w:val="21"/>
          <w:highlight w:val="none"/>
          <w:u w:val="single"/>
        </w:rPr>
        <w:t xml:space="preserve">       </w:t>
      </w:r>
      <w:r>
        <w:rPr>
          <w:rFonts w:hint="eastAsia" w:ascii="宋体" w:hAnsi="宋体" w:cs="宋体"/>
          <w:color w:val="auto"/>
          <w:sz w:val="21"/>
          <w:szCs w:val="21"/>
          <w:highlight w:val="none"/>
        </w:rPr>
        <w:t xml:space="preserve">       法定代表人（签字）：</w:t>
      </w:r>
      <w:r>
        <w:rPr>
          <w:rFonts w:hint="eastAsia" w:ascii="宋体" w:hAnsi="宋体" w:cs="宋体"/>
          <w:color w:val="auto"/>
          <w:sz w:val="21"/>
          <w:szCs w:val="21"/>
          <w:highlight w:val="none"/>
          <w:u w:val="single"/>
        </w:rPr>
        <w:t xml:space="preserve">                </w:t>
      </w:r>
    </w:p>
    <w:p w14:paraId="605BBAFC">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委托代理人（签字）：</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委托代理人（签字）：</w:t>
      </w:r>
      <w:r>
        <w:rPr>
          <w:rFonts w:hint="eastAsia" w:ascii="宋体" w:hAnsi="宋体" w:cs="宋体"/>
          <w:color w:val="auto"/>
          <w:sz w:val="21"/>
          <w:szCs w:val="21"/>
          <w:highlight w:val="none"/>
          <w:u w:val="single"/>
        </w:rPr>
        <w:t xml:space="preserve">                 </w:t>
      </w:r>
    </w:p>
    <w:p w14:paraId="3A213681">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电  话：</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电  话：</w:t>
      </w:r>
      <w:r>
        <w:rPr>
          <w:rFonts w:hint="eastAsia" w:ascii="宋体" w:hAnsi="宋体" w:cs="宋体"/>
          <w:color w:val="auto"/>
          <w:sz w:val="21"/>
          <w:szCs w:val="21"/>
          <w:highlight w:val="none"/>
          <w:u w:val="single"/>
        </w:rPr>
        <w:t xml:space="preserve">                      </w:t>
      </w:r>
    </w:p>
    <w:p w14:paraId="2734CE5A">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传  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传  真：</w:t>
      </w:r>
      <w:r>
        <w:rPr>
          <w:rFonts w:hint="eastAsia" w:ascii="宋体" w:hAnsi="宋体" w:cs="宋体"/>
          <w:color w:val="auto"/>
          <w:sz w:val="21"/>
          <w:szCs w:val="21"/>
          <w:highlight w:val="none"/>
          <w:u w:val="single"/>
        </w:rPr>
        <w:t xml:space="preserve">                    </w:t>
      </w:r>
    </w:p>
    <w:p w14:paraId="2FDD2438">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电子信箱：</w:t>
      </w:r>
      <w:r>
        <w:rPr>
          <w:rFonts w:hint="eastAsia" w:ascii="宋体" w:hAnsi="宋体" w:cs="宋体"/>
          <w:color w:val="auto"/>
          <w:sz w:val="21"/>
          <w:szCs w:val="21"/>
          <w:highlight w:val="none"/>
          <w:u w:val="single"/>
        </w:rPr>
        <w:t xml:space="preserve">          </w:t>
      </w:r>
    </w:p>
    <w:p w14:paraId="51C343CC">
      <w:pPr>
        <w:snapToGrid w:val="0"/>
        <w:spacing w:line="3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开户银行：</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开户银行：</w:t>
      </w:r>
      <w:r>
        <w:rPr>
          <w:rFonts w:hint="eastAsia" w:ascii="宋体" w:hAnsi="宋体" w:cs="宋体"/>
          <w:color w:val="auto"/>
          <w:sz w:val="21"/>
          <w:szCs w:val="21"/>
          <w:highlight w:val="none"/>
          <w:u w:val="single"/>
        </w:rPr>
        <w:t xml:space="preserve">                    </w:t>
      </w:r>
    </w:p>
    <w:p w14:paraId="4B0CBF94">
      <w:pPr>
        <w:snapToGrid w:val="0"/>
        <w:spacing w:line="3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账  号：</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账  号：</w:t>
      </w:r>
      <w:r>
        <w:rPr>
          <w:rFonts w:hint="eastAsia" w:ascii="宋体" w:hAnsi="宋体" w:cs="宋体"/>
          <w:color w:val="auto"/>
          <w:sz w:val="21"/>
          <w:szCs w:val="21"/>
          <w:highlight w:val="none"/>
          <w:u w:val="single"/>
        </w:rPr>
        <w:t xml:space="preserve">                           </w:t>
      </w:r>
    </w:p>
    <w:p w14:paraId="431E5BC5">
      <w:pPr>
        <w:snapToGrid w:val="0"/>
        <w:spacing w:line="340" w:lineRule="exact"/>
        <w:ind w:firstLine="420"/>
        <w:rPr>
          <w:rFonts w:ascii="宋体" w:hAnsi="宋体" w:cs="宋体"/>
          <w:color w:val="auto"/>
          <w:szCs w:val="21"/>
          <w:highlight w:val="none"/>
          <w:u w:val="single"/>
        </w:rPr>
      </w:pPr>
      <w:r>
        <w:rPr>
          <w:rFonts w:hint="eastAsia" w:ascii="宋体" w:hAnsi="宋体" w:cs="宋体"/>
          <w:color w:val="auto"/>
          <w:sz w:val="21"/>
          <w:szCs w:val="21"/>
          <w:highlight w:val="none"/>
        </w:rPr>
        <w:t>邮政编码：</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邮政编码：</w:t>
      </w:r>
      <w:r>
        <w:rPr>
          <w:rFonts w:hint="eastAsia" w:ascii="宋体" w:hAnsi="宋体" w:cs="宋体"/>
          <w:color w:val="auto"/>
          <w:sz w:val="21"/>
          <w:szCs w:val="21"/>
          <w:highlight w:val="none"/>
          <w:u w:val="single"/>
        </w:rPr>
        <w:t xml:space="preserve">                    </w:t>
      </w:r>
      <w:r>
        <w:rPr>
          <w:rFonts w:hint="eastAsia" w:ascii="宋体" w:hAnsi="宋体" w:cs="宋体"/>
          <w:color w:val="auto"/>
          <w:szCs w:val="21"/>
          <w:highlight w:val="none"/>
          <w:u w:val="single"/>
        </w:rPr>
        <w:t xml:space="preserve">      </w:t>
      </w:r>
    </w:p>
    <w:p w14:paraId="7EB36795">
      <w:pPr>
        <w:widowControl/>
        <w:spacing w:line="240" w:lineRule="auto"/>
        <w:ind w:firstLine="0" w:firstLineChars="0"/>
        <w:jc w:val="left"/>
        <w:rPr>
          <w:rFonts w:ascii="宋体" w:hAnsi="宋体" w:eastAsia="黑体" w:cs="宋体"/>
          <w:b/>
          <w:bCs/>
          <w:color w:val="auto"/>
          <w:kern w:val="44"/>
          <w:sz w:val="28"/>
          <w:szCs w:val="28"/>
          <w:highlight w:val="none"/>
          <w:lang w:val="zh-CN"/>
        </w:rPr>
      </w:pPr>
      <w:bookmarkStart w:id="77" w:name="_Toc395382492"/>
      <w:bookmarkStart w:id="78" w:name="_Toc478389010"/>
      <w:bookmarkStart w:id="79" w:name="_Toc389065256"/>
      <w:bookmarkStart w:id="80" w:name="_Toc351203632"/>
      <w:bookmarkStart w:id="81" w:name="_Toc373478338"/>
      <w:bookmarkStart w:id="82" w:name="_Toc373227691"/>
      <w:r>
        <w:rPr>
          <w:rFonts w:ascii="宋体" w:hAnsi="宋体" w:cs="宋体"/>
          <w:color w:val="auto"/>
          <w:highlight w:val="none"/>
        </w:rPr>
        <w:br w:type="page"/>
      </w:r>
    </w:p>
    <w:p w14:paraId="4399C939">
      <w:pPr>
        <w:keepNext/>
        <w:keepLines/>
        <w:widowControl/>
        <w:ind w:left="432" w:firstLine="0" w:firstLineChars="0"/>
        <w:jc w:val="center"/>
        <w:outlineLvl w:val="0"/>
        <w:rPr>
          <w:rFonts w:ascii="宋体" w:hAnsi="宋体" w:eastAsia="黑体" w:cs="宋体"/>
          <w:b/>
          <w:bCs/>
          <w:color w:val="auto"/>
          <w:kern w:val="0"/>
          <w:sz w:val="28"/>
          <w:szCs w:val="21"/>
          <w:highlight w:val="none"/>
          <w:lang w:val="zh-CN"/>
        </w:rPr>
      </w:pPr>
      <w:r>
        <w:rPr>
          <w:rFonts w:hint="eastAsia" w:ascii="宋体" w:hAnsi="宋体" w:eastAsia="黑体" w:cs="宋体"/>
          <w:b/>
          <w:bCs/>
          <w:color w:val="auto"/>
          <w:kern w:val="44"/>
          <w:sz w:val="28"/>
          <w:szCs w:val="28"/>
          <w:highlight w:val="none"/>
          <w:lang w:val="zh-CN"/>
        </w:rPr>
        <w:t>第二部分 通用合同条款</w:t>
      </w:r>
      <w:bookmarkEnd w:id="77"/>
      <w:bookmarkEnd w:id="78"/>
      <w:bookmarkEnd w:id="79"/>
    </w:p>
    <w:p w14:paraId="7DC9608D">
      <w:pPr>
        <w:keepNext/>
        <w:keepLines/>
        <w:spacing w:line="420" w:lineRule="exact"/>
        <w:ind w:firstLine="0" w:firstLineChars="0"/>
        <w:outlineLvl w:val="0"/>
        <w:rPr>
          <w:rFonts w:ascii="宋体" w:hAnsi="宋体" w:cs="宋体"/>
          <w:b/>
          <w:bCs/>
          <w:color w:val="auto"/>
          <w:kern w:val="44"/>
          <w:sz w:val="21"/>
          <w:szCs w:val="21"/>
          <w:highlight w:val="none"/>
        </w:rPr>
      </w:pPr>
      <w:bookmarkStart w:id="83" w:name="_Toc337558727"/>
      <w:bookmarkStart w:id="84" w:name="_Toc351203495"/>
      <w:bookmarkStart w:id="85" w:name="_Toc478389011"/>
      <w:r>
        <w:rPr>
          <w:rFonts w:hint="eastAsia" w:ascii="宋体" w:hAnsi="宋体" w:cs="宋体"/>
          <w:b/>
          <w:bCs/>
          <w:color w:val="auto"/>
          <w:kern w:val="44"/>
          <w:sz w:val="21"/>
          <w:szCs w:val="21"/>
          <w:highlight w:val="none"/>
        </w:rPr>
        <w:t>1.</w:t>
      </w:r>
      <w:bookmarkStart w:id="86" w:name="_Toc303538975"/>
      <w:bookmarkEnd w:id="86"/>
      <w:bookmarkStart w:id="87" w:name="_Toc303538974"/>
      <w:bookmarkEnd w:id="87"/>
      <w:bookmarkStart w:id="88" w:name="_Toc303538973"/>
      <w:bookmarkEnd w:id="88"/>
      <w:bookmarkStart w:id="89" w:name="_Toc303538972"/>
      <w:bookmarkEnd w:id="89"/>
      <w:bookmarkStart w:id="90" w:name="_Toc303538976"/>
      <w:bookmarkEnd w:id="90"/>
      <w:bookmarkStart w:id="91" w:name="_Toc296346528"/>
      <w:bookmarkStart w:id="92" w:name="_Toc296503027"/>
      <w:r>
        <w:rPr>
          <w:rFonts w:hint="eastAsia" w:ascii="宋体" w:hAnsi="宋体" w:cs="宋体"/>
          <w:b/>
          <w:bCs/>
          <w:color w:val="auto"/>
          <w:kern w:val="44"/>
          <w:sz w:val="21"/>
          <w:szCs w:val="21"/>
          <w:highlight w:val="none"/>
        </w:rPr>
        <w:t xml:space="preserve"> 一般约定</w:t>
      </w:r>
      <w:bookmarkEnd w:id="83"/>
      <w:bookmarkEnd w:id="84"/>
      <w:bookmarkEnd w:id="85"/>
      <w:bookmarkEnd w:id="91"/>
      <w:bookmarkEnd w:id="92"/>
      <w:bookmarkStart w:id="93" w:name="_Toc296503028"/>
      <w:bookmarkStart w:id="94" w:name="_Toc337558728"/>
      <w:bookmarkStart w:id="95" w:name="_Toc296346529"/>
      <w:bookmarkStart w:id="96" w:name="_Toc351203496"/>
      <w:bookmarkStart w:id="97" w:name="_Toc478389012"/>
    </w:p>
    <w:p w14:paraId="318A010D">
      <w:pPr>
        <w:keepNext/>
        <w:keepLines/>
        <w:spacing w:line="420" w:lineRule="exact"/>
        <w:ind w:firstLine="0" w:firstLineChars="0"/>
        <w:outlineLvl w:val="0"/>
        <w:rPr>
          <w:rFonts w:ascii="宋体" w:hAnsi="宋体" w:cs="宋体"/>
          <w:b/>
          <w:bCs/>
          <w:color w:val="auto"/>
          <w:kern w:val="44"/>
          <w:sz w:val="21"/>
          <w:szCs w:val="21"/>
          <w:highlight w:val="none"/>
        </w:rPr>
      </w:pPr>
      <w:r>
        <w:rPr>
          <w:rFonts w:hint="eastAsia" w:ascii="宋体" w:hAnsi="宋体" w:cs="宋体"/>
          <w:b/>
          <w:bCs/>
          <w:color w:val="auto"/>
          <w:kern w:val="44"/>
          <w:sz w:val="21"/>
          <w:szCs w:val="21"/>
          <w:highlight w:val="none"/>
        </w:rPr>
        <w:t>1.1词语定义</w:t>
      </w:r>
      <w:bookmarkEnd w:id="93"/>
      <w:bookmarkEnd w:id="94"/>
      <w:bookmarkEnd w:id="95"/>
      <w:r>
        <w:rPr>
          <w:rFonts w:hint="eastAsia" w:ascii="宋体" w:hAnsi="宋体" w:cs="宋体"/>
          <w:b/>
          <w:bCs/>
          <w:color w:val="auto"/>
          <w:kern w:val="44"/>
          <w:sz w:val="21"/>
          <w:szCs w:val="21"/>
          <w:highlight w:val="none"/>
        </w:rPr>
        <w:t>与解释</w:t>
      </w:r>
      <w:bookmarkEnd w:id="96"/>
      <w:bookmarkEnd w:id="97"/>
    </w:p>
    <w:p w14:paraId="16572512">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合同协议书、通用合同条款、专用合同条款中的下列词语具有本款所赋予的含义：</w:t>
      </w:r>
    </w:p>
    <w:p w14:paraId="2835D2BF">
      <w:pPr>
        <w:spacing w:line="420" w:lineRule="exact"/>
        <w:ind w:firstLine="422"/>
        <w:outlineLvl w:val="0"/>
        <w:rPr>
          <w:rFonts w:ascii="宋体" w:hAnsi="宋体" w:cs="宋体"/>
          <w:b/>
          <w:color w:val="auto"/>
          <w:kern w:val="0"/>
          <w:sz w:val="21"/>
          <w:szCs w:val="21"/>
          <w:highlight w:val="none"/>
        </w:rPr>
      </w:pPr>
      <w:bookmarkStart w:id="98" w:name="_Toc478389013"/>
      <w:bookmarkStart w:id="99" w:name="_Toc406522044"/>
      <w:bookmarkStart w:id="100" w:name="_Toc406419169"/>
      <w:r>
        <w:rPr>
          <w:rFonts w:hint="eastAsia" w:ascii="宋体" w:hAnsi="宋体" w:cs="宋体"/>
          <w:b/>
          <w:color w:val="auto"/>
          <w:sz w:val="21"/>
          <w:szCs w:val="21"/>
          <w:highlight w:val="none"/>
        </w:rPr>
        <w:t>1.1.1 合同</w:t>
      </w:r>
      <w:bookmarkEnd w:id="98"/>
      <w:bookmarkEnd w:id="99"/>
      <w:bookmarkEnd w:id="100"/>
    </w:p>
    <w:p w14:paraId="33E2AD7F">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1.1.1.1 合同：是指根据法律规定和合同当事人约定具有约束力的文件，构成合同的文件包括合同协议书、成交通知书（如果有）、投标函及其附录（如果有）、专用合同条款</w:t>
      </w:r>
      <w:r>
        <w:rPr>
          <w:rFonts w:hint="eastAsia" w:ascii="宋体" w:hAnsi="宋体" w:cs="宋体"/>
          <w:color w:val="auto"/>
          <w:sz w:val="21"/>
          <w:szCs w:val="21"/>
          <w:highlight w:val="none"/>
        </w:rPr>
        <w:t>及其附件</w:t>
      </w:r>
      <w:r>
        <w:rPr>
          <w:rFonts w:hint="eastAsia" w:ascii="宋体" w:hAnsi="宋体" w:cs="宋体"/>
          <w:color w:val="auto"/>
          <w:kern w:val="0"/>
          <w:sz w:val="21"/>
          <w:szCs w:val="21"/>
          <w:highlight w:val="none"/>
        </w:rPr>
        <w:t>、通用合同条款、技术标准和要求、图纸（如有）、已标价工程量清单或预算书以及其他合同文件。</w:t>
      </w:r>
    </w:p>
    <w:p w14:paraId="1A26BF40">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1.1.1.2 合同协议书：是指构成合同的由发包人和承包人共同签署的称为“合同协议书”的书面文件。</w:t>
      </w:r>
    </w:p>
    <w:p w14:paraId="5B83B31F">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1.1.1.3 成交通知书：是指构成合同的由发包人通知承包人成交的书面文件。</w:t>
      </w:r>
    </w:p>
    <w:p w14:paraId="667B80EE">
      <w:pPr>
        <w:autoSpaceDE w:val="0"/>
        <w:autoSpaceDN w:val="0"/>
        <w:adjustRightInd w:val="0"/>
        <w:spacing w:line="420" w:lineRule="exact"/>
        <w:ind w:firstLine="420"/>
        <w:jc w:val="left"/>
        <w:rPr>
          <w:rFonts w:ascii="宋体" w:hAnsi="宋体" w:cs="宋体"/>
          <w:color w:val="auto"/>
          <w:spacing w:val="-4"/>
          <w:kern w:val="0"/>
          <w:sz w:val="21"/>
          <w:szCs w:val="21"/>
          <w:highlight w:val="none"/>
        </w:rPr>
      </w:pPr>
      <w:r>
        <w:rPr>
          <w:rFonts w:hint="eastAsia" w:ascii="宋体" w:hAnsi="宋体" w:cs="宋体"/>
          <w:color w:val="auto"/>
          <w:kern w:val="0"/>
          <w:sz w:val="21"/>
          <w:szCs w:val="21"/>
          <w:highlight w:val="none"/>
        </w:rPr>
        <w:t>1.1.1.4 投标函：是</w:t>
      </w:r>
      <w:r>
        <w:rPr>
          <w:rFonts w:hint="eastAsia" w:ascii="宋体" w:hAnsi="宋体" w:cs="宋体"/>
          <w:color w:val="auto"/>
          <w:spacing w:val="-4"/>
          <w:kern w:val="0"/>
          <w:sz w:val="21"/>
          <w:szCs w:val="21"/>
          <w:highlight w:val="none"/>
        </w:rPr>
        <w:t>指构成合同的由承包人填写并签署的用于投标的称为“投标函”的文件。</w:t>
      </w:r>
    </w:p>
    <w:p w14:paraId="2B0E0E0B">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1.1.1.5 投标函附录：是指构成合同的附在投标函后的称为“投标函附录”的文件。</w:t>
      </w:r>
    </w:p>
    <w:p w14:paraId="553D7ED5">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1.1.1.6 技术标准和要求：是指构成合同的施工应当遵守的或指导施工的国家、行业或地方的技术标准和要求，以及合同约定的技术标准和要求。</w:t>
      </w:r>
    </w:p>
    <w:p w14:paraId="33378C1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1.1.1.7 图纸（如有）：是指构成合同的图纸，包括由发包人按照合同约定提供或经发包人批准的设计文件、施工图、鸟瞰图及模型等，以及在合同履行过程中形成的图纸文件。图纸应当按照法律规定审查合格。</w:t>
      </w:r>
    </w:p>
    <w:p w14:paraId="75073376">
      <w:pPr>
        <w:autoSpaceDE w:val="0"/>
        <w:autoSpaceDN w:val="0"/>
        <w:adjustRightInd w:val="0"/>
        <w:spacing w:line="420" w:lineRule="exact"/>
        <w:ind w:firstLine="409" w:firstLineChars="195"/>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1.1.1.8 已标价工程量清单：是指构成合同的由承包人按照规定的格式和要求填写并标明价格的工程量清单，包括说明和表格。</w:t>
      </w:r>
    </w:p>
    <w:p w14:paraId="304E2A88">
      <w:pPr>
        <w:autoSpaceDE w:val="0"/>
        <w:autoSpaceDN w:val="0"/>
        <w:adjustRightInd w:val="0"/>
        <w:spacing w:line="420" w:lineRule="exact"/>
        <w:ind w:firstLine="409" w:firstLineChars="195"/>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1.1.1.9 预算书：是指构成合同的由承包人按照发包人规定的格式和要求编制的工程预算文件。</w:t>
      </w:r>
    </w:p>
    <w:p w14:paraId="41C27634">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1.1.1.10 其他合同文件：是指经合同当事人约定的与工程施工有关的具有合同约束力的文件或书面协议。合同当事人可以在专用合同条款中进行约定。</w:t>
      </w:r>
    </w:p>
    <w:p w14:paraId="5C3D77B7">
      <w:pPr>
        <w:spacing w:line="420" w:lineRule="exact"/>
        <w:ind w:firstLine="422"/>
        <w:outlineLvl w:val="0"/>
        <w:rPr>
          <w:rFonts w:ascii="宋体" w:hAnsi="宋体" w:cs="宋体"/>
          <w:b/>
          <w:color w:val="auto"/>
          <w:kern w:val="0"/>
          <w:sz w:val="21"/>
          <w:szCs w:val="21"/>
          <w:highlight w:val="none"/>
        </w:rPr>
      </w:pPr>
      <w:bookmarkStart w:id="101" w:name="_Toc406419170"/>
      <w:bookmarkStart w:id="102" w:name="_Toc406522045"/>
      <w:bookmarkStart w:id="103" w:name="_Toc478389014"/>
      <w:r>
        <w:rPr>
          <w:rFonts w:hint="eastAsia" w:ascii="宋体" w:hAnsi="宋体" w:cs="宋体"/>
          <w:b/>
          <w:color w:val="auto"/>
          <w:sz w:val="21"/>
          <w:szCs w:val="21"/>
          <w:highlight w:val="none"/>
        </w:rPr>
        <w:t>1.1.2 合同当事人及其他相关方</w:t>
      </w:r>
      <w:bookmarkEnd w:id="101"/>
      <w:bookmarkEnd w:id="102"/>
      <w:bookmarkEnd w:id="103"/>
    </w:p>
    <w:p w14:paraId="3D26849E">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1.1.2.1 合同当事人：是指发包人和（或）承包人。</w:t>
      </w:r>
    </w:p>
    <w:p w14:paraId="09BA72C6">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1.1.2.2 发包人：</w:t>
      </w:r>
      <w:r>
        <w:rPr>
          <w:rFonts w:hint="eastAsia" w:ascii="宋体" w:hAnsi="宋体" w:cs="宋体"/>
          <w:color w:val="auto"/>
          <w:spacing w:val="-4"/>
          <w:kern w:val="0"/>
          <w:sz w:val="21"/>
          <w:szCs w:val="21"/>
          <w:highlight w:val="none"/>
        </w:rPr>
        <w:t>是指与承包人签订合同协议书的当事人及取得该当事人资格的合法继承人</w:t>
      </w:r>
      <w:r>
        <w:rPr>
          <w:rFonts w:hint="eastAsia" w:ascii="宋体" w:hAnsi="宋体" w:cs="宋体"/>
          <w:color w:val="auto"/>
          <w:kern w:val="0"/>
          <w:sz w:val="21"/>
          <w:szCs w:val="21"/>
          <w:highlight w:val="none"/>
        </w:rPr>
        <w:t>。</w:t>
      </w:r>
    </w:p>
    <w:p w14:paraId="50D1D372">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1.1.2.3 承包人：是指与发包人签订合同协议书的，具有相应工程施工承包资质的当事人及取得该当事人资格的合法继承人。</w:t>
      </w:r>
    </w:p>
    <w:p w14:paraId="1CA99B20">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1.1.2.4 监理人：是指在专用合同条款中指明的，受发包人委托按照法律规定进行工程监督管理的法人或其他组织。</w:t>
      </w:r>
    </w:p>
    <w:p w14:paraId="31B0E4E1">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1.1.2.5 设计人：是指在专用合同条款中指明的，受发包人委托负责工程设计并具备相应工程设计资质的法人或其他组织。</w:t>
      </w:r>
    </w:p>
    <w:p w14:paraId="6A4965CD">
      <w:pPr>
        <w:spacing w:line="420" w:lineRule="exact"/>
        <w:ind w:firstLine="409" w:firstLineChars="195"/>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1.1.2.6 分包人：</w:t>
      </w:r>
      <w:bookmarkStart w:id="104" w:name="#go5"/>
      <w:bookmarkEnd w:id="104"/>
      <w:r>
        <w:rPr>
          <w:rFonts w:hint="eastAsia" w:ascii="宋体" w:hAnsi="宋体" w:cs="宋体"/>
          <w:color w:val="auto"/>
          <w:kern w:val="0"/>
          <w:sz w:val="21"/>
          <w:szCs w:val="21"/>
          <w:highlight w:val="none"/>
        </w:rPr>
        <w:t>是指按照法律规定和合同约定，分包部分工程或工作，并与承包人签订分包合同的具有相应资质的法人。</w:t>
      </w:r>
    </w:p>
    <w:p w14:paraId="1CD3500D">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1.1.2.7 发包人代表：是指由发包人任命并派驻施工现场在发包人授权范围内行使发包人权利的人。</w:t>
      </w:r>
    </w:p>
    <w:p w14:paraId="71B2CFBF">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1.1.2.8 项目经理：是指由承包人任命并派驻施工现场，在承包人授权范围内负责合同履行，且按照法律规定具有相应资格的项目负责人。</w:t>
      </w:r>
    </w:p>
    <w:p w14:paraId="73D8C819">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1.1.2.9 总监理工程师：是指由监理人任命并派驻施工现场进行工程监理的总负责人。</w:t>
      </w:r>
    </w:p>
    <w:p w14:paraId="5E814EB5">
      <w:pPr>
        <w:spacing w:line="420" w:lineRule="exact"/>
        <w:ind w:firstLine="422"/>
        <w:outlineLvl w:val="0"/>
        <w:rPr>
          <w:rFonts w:ascii="宋体" w:hAnsi="宋体" w:cs="宋体"/>
          <w:b/>
          <w:color w:val="auto"/>
          <w:kern w:val="0"/>
          <w:sz w:val="21"/>
          <w:szCs w:val="21"/>
          <w:highlight w:val="none"/>
        </w:rPr>
      </w:pPr>
      <w:bookmarkStart w:id="105" w:name="_Toc406522046"/>
      <w:bookmarkStart w:id="106" w:name="_Toc478389015"/>
      <w:bookmarkStart w:id="107" w:name="_Toc406419171"/>
      <w:r>
        <w:rPr>
          <w:rFonts w:hint="eastAsia" w:ascii="宋体" w:hAnsi="宋体" w:cs="宋体"/>
          <w:b/>
          <w:color w:val="auto"/>
          <w:sz w:val="21"/>
          <w:szCs w:val="21"/>
          <w:highlight w:val="none"/>
        </w:rPr>
        <w:t>1.1.3 工程和设备</w:t>
      </w:r>
      <w:bookmarkEnd w:id="105"/>
      <w:bookmarkEnd w:id="106"/>
      <w:bookmarkEnd w:id="107"/>
    </w:p>
    <w:p w14:paraId="21B557B0">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1.1.3.1 工程：是指与合同协议书中工程承包范围对应的永久工程和（或）临时工程。</w:t>
      </w:r>
    </w:p>
    <w:p w14:paraId="44F1BDEC">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1.1.3.2 永久工程：是指按合同约定建造并移交给发包人的工程，包括工程设备。</w:t>
      </w:r>
    </w:p>
    <w:p w14:paraId="090FEF6A">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1.1.3.3 临时工程：是指为完成合同约定的永久工程所修建的各类临时性工程，不包括施工设备。</w:t>
      </w:r>
    </w:p>
    <w:p w14:paraId="43605F7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1.1.3.4 单位工程：是指在合同协议书中指明的，具备独立施工条件并能形成独立使用功能的永久工程。</w:t>
      </w:r>
    </w:p>
    <w:p w14:paraId="633B4DA4">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1.1.3.5 工程设备：是指构成永久工程的机电设备、金属结构设备、仪器及其他类似的设备和装置。</w:t>
      </w:r>
    </w:p>
    <w:p w14:paraId="751E7E9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1.1.3.6 施工设备：是指为完成合同约定的各项工作所需的设备、器具和其他物品，但不包括工程设备、临时工程和材料。</w:t>
      </w:r>
    </w:p>
    <w:p w14:paraId="2DEC5EC6">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1.1.3.7 施工现场：是指用于工程施工的场所，以及在专用合同条款中指明作为施工场所组成部分的其他场所，包括永久占地和临时占地。</w:t>
      </w:r>
    </w:p>
    <w:p w14:paraId="5FFC90A5">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1.1.3.8临时设施：是指为完成合同约定的各项工作所服务的临时性生产和生活设施。</w:t>
      </w:r>
    </w:p>
    <w:p w14:paraId="7745E50D">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1.1.3.9 永久占地：是指专用合同条款中指明为实施工程需永久占用的土地。</w:t>
      </w:r>
    </w:p>
    <w:p w14:paraId="4F711F21">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1.1.3.10 临时占地：是指专用合同条款中指明为实施工程需要临时占用的土地。</w:t>
      </w:r>
    </w:p>
    <w:p w14:paraId="41C4151F">
      <w:pPr>
        <w:spacing w:line="420" w:lineRule="exact"/>
        <w:ind w:firstLine="422"/>
        <w:outlineLvl w:val="0"/>
        <w:rPr>
          <w:rFonts w:ascii="宋体" w:hAnsi="宋体" w:cs="宋体"/>
          <w:b/>
          <w:color w:val="auto"/>
          <w:kern w:val="0"/>
          <w:sz w:val="21"/>
          <w:szCs w:val="21"/>
          <w:highlight w:val="none"/>
        </w:rPr>
      </w:pPr>
      <w:bookmarkStart w:id="108" w:name="_Toc478389016"/>
      <w:bookmarkStart w:id="109" w:name="_Toc406522047"/>
      <w:bookmarkStart w:id="110" w:name="_Toc406419172"/>
      <w:r>
        <w:rPr>
          <w:rFonts w:hint="eastAsia" w:ascii="宋体" w:hAnsi="宋体" w:cs="宋体"/>
          <w:b/>
          <w:color w:val="auto"/>
          <w:sz w:val="21"/>
          <w:szCs w:val="21"/>
          <w:highlight w:val="none"/>
        </w:rPr>
        <w:t>1.1.4 日期和期限</w:t>
      </w:r>
      <w:bookmarkEnd w:id="108"/>
      <w:bookmarkEnd w:id="109"/>
      <w:bookmarkEnd w:id="110"/>
    </w:p>
    <w:p w14:paraId="1A6B21D4">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1AFD7425">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1.1.4.2 竣工日期：包括计划竣工日期和实际竣工日期。计划竣工日期是指合同协议书约定的竣工日期；实际竣工日期按照第13.2.3项〔竣工日期〕的约定确定。 </w:t>
      </w:r>
    </w:p>
    <w:p w14:paraId="085D76C7">
      <w:pPr>
        <w:spacing w:line="420" w:lineRule="exact"/>
        <w:ind w:firstLine="426" w:firstLineChars="203"/>
        <w:rPr>
          <w:rFonts w:ascii="宋体" w:hAnsi="宋体" w:cs="宋体"/>
          <w:color w:val="auto"/>
          <w:sz w:val="21"/>
          <w:szCs w:val="21"/>
          <w:highlight w:val="none"/>
        </w:rPr>
      </w:pPr>
      <w:r>
        <w:rPr>
          <w:rFonts w:hint="eastAsia" w:ascii="宋体" w:hAnsi="宋体" w:cs="宋体"/>
          <w:color w:val="auto"/>
          <w:kern w:val="0"/>
          <w:sz w:val="21"/>
          <w:szCs w:val="21"/>
          <w:highlight w:val="none"/>
        </w:rPr>
        <w:t>1.1.4.3 工期：是指在合同协议书约定的承包人完成工程所需的期限，包括按照合同约定所作的期限变更。</w:t>
      </w:r>
    </w:p>
    <w:p w14:paraId="04A260C7">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1.1.4.4 缺陷责任期：是指承包人按照合同约定承担缺陷修复义务，且发包人预留质量保证金的期限，自工程实际竣工日期起计算。</w:t>
      </w:r>
    </w:p>
    <w:p w14:paraId="64675369">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1.1.4.5 保修期：是指承包人按照合同约定对工程承担保修责任的期限，从工程竣工验收合格之日起计算。</w:t>
      </w:r>
    </w:p>
    <w:p w14:paraId="6AF7C7EC">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1.1.4.6 基准日期：招标发包的工程以</w:t>
      </w:r>
      <w:r>
        <w:rPr>
          <w:rFonts w:hint="eastAsia" w:ascii="宋体" w:hAnsi="宋体" w:cs="宋体"/>
          <w:color w:val="auto"/>
          <w:kern w:val="0"/>
          <w:sz w:val="21"/>
          <w:szCs w:val="21"/>
          <w:highlight w:val="none"/>
          <w:lang w:eastAsia="zh-CN"/>
        </w:rPr>
        <w:t>响应文件递交</w:t>
      </w:r>
      <w:r>
        <w:rPr>
          <w:rFonts w:hint="eastAsia" w:ascii="宋体" w:hAnsi="宋体" w:cs="宋体"/>
          <w:color w:val="auto"/>
          <w:kern w:val="0"/>
          <w:sz w:val="21"/>
          <w:szCs w:val="21"/>
          <w:highlight w:val="none"/>
        </w:rPr>
        <w:t>截止日前28天的日期为基准日期，直接发包的工程以合同签订日前28天的日期为基准日期。</w:t>
      </w:r>
    </w:p>
    <w:p w14:paraId="3EBD8E56">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1.1.4.7 天：除特别指明外，均指日历天。合同中按天计算时间的，开始当天不计入，从次日开始计算，期限最后一天的截止时间为当天24:00时。</w:t>
      </w:r>
    </w:p>
    <w:p w14:paraId="090A5EC6">
      <w:pPr>
        <w:spacing w:line="420" w:lineRule="exact"/>
        <w:ind w:firstLine="422"/>
        <w:outlineLvl w:val="0"/>
        <w:rPr>
          <w:rFonts w:ascii="宋体" w:hAnsi="宋体" w:cs="宋体"/>
          <w:b/>
          <w:color w:val="auto"/>
          <w:kern w:val="0"/>
          <w:sz w:val="21"/>
          <w:szCs w:val="21"/>
          <w:highlight w:val="none"/>
        </w:rPr>
      </w:pPr>
      <w:bookmarkStart w:id="111" w:name="_Toc406522048"/>
      <w:bookmarkStart w:id="112" w:name="_Toc478389017"/>
      <w:bookmarkStart w:id="113" w:name="_Toc406419173"/>
      <w:r>
        <w:rPr>
          <w:rFonts w:hint="eastAsia" w:ascii="宋体" w:hAnsi="宋体" w:cs="宋体"/>
          <w:b/>
          <w:color w:val="auto"/>
          <w:sz w:val="21"/>
          <w:szCs w:val="21"/>
          <w:highlight w:val="none"/>
        </w:rPr>
        <w:t>1.1.5 合同价格和费用</w:t>
      </w:r>
      <w:bookmarkEnd w:id="111"/>
      <w:bookmarkEnd w:id="112"/>
      <w:bookmarkEnd w:id="113"/>
    </w:p>
    <w:p w14:paraId="6DE28A20">
      <w:pPr>
        <w:spacing w:line="420" w:lineRule="exact"/>
        <w:ind w:firstLine="420"/>
        <w:jc w:val="left"/>
        <w:rPr>
          <w:rFonts w:ascii="宋体" w:hAnsi="宋体" w:cs="宋体"/>
          <w:color w:val="auto"/>
          <w:sz w:val="21"/>
          <w:szCs w:val="21"/>
          <w:highlight w:val="none"/>
        </w:rPr>
      </w:pPr>
      <w:r>
        <w:rPr>
          <w:rFonts w:hint="eastAsia" w:ascii="宋体" w:hAnsi="宋体" w:cs="宋体"/>
          <w:color w:val="auto"/>
          <w:kern w:val="0"/>
          <w:sz w:val="21"/>
          <w:szCs w:val="21"/>
          <w:highlight w:val="none"/>
        </w:rPr>
        <w:t>1.1.5.1 签约合同价：是指</w:t>
      </w:r>
      <w:r>
        <w:rPr>
          <w:rFonts w:hint="eastAsia" w:ascii="宋体" w:hAnsi="宋体" w:cs="宋体"/>
          <w:color w:val="auto"/>
          <w:sz w:val="21"/>
          <w:szCs w:val="21"/>
          <w:highlight w:val="none"/>
        </w:rPr>
        <w:t>发包人和承包人在合同协议书中确定的总金额，包括安全文明施工费、暂估价及暂列金额等。</w:t>
      </w:r>
    </w:p>
    <w:p w14:paraId="26D9D04F">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1.1.5.2 合同价格：是指发包人用于支付承包人按照合同约定完成承包范围内全部工作的金额，包括合同履行过程中按合同约定发生的价格变化。</w:t>
      </w:r>
    </w:p>
    <w:p w14:paraId="0D1922B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1.1.5.3 费用：是指为履行合同所发生的或将要发生的所有必需的开支，包括管理费和应分摊的其他费用，但不包括利润。</w:t>
      </w:r>
    </w:p>
    <w:p w14:paraId="1855B347">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1.1.5.4 暂估价：是指发包人在工程量清单或预算书中提供的用于支付必然发生但暂时不能确定价格的材料、工程设备的单价、专业工程以及服务工作的金额。</w:t>
      </w:r>
    </w:p>
    <w:p w14:paraId="2ACB7AB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w:t>
      </w:r>
      <w:r>
        <w:rPr>
          <w:rFonts w:hint="eastAsia" w:ascii="宋体" w:hAnsi="宋体" w:cs="宋体"/>
          <w:color w:val="auto"/>
          <w:kern w:val="0"/>
          <w:sz w:val="21"/>
          <w:szCs w:val="21"/>
          <w:highlight w:val="none"/>
          <w:lang w:eastAsia="zh-CN"/>
        </w:rPr>
        <w:t>等</w:t>
      </w:r>
      <w:r>
        <w:rPr>
          <w:rFonts w:hint="eastAsia" w:ascii="宋体" w:hAnsi="宋体" w:cs="宋体"/>
          <w:color w:val="auto"/>
          <w:kern w:val="0"/>
          <w:sz w:val="21"/>
          <w:szCs w:val="21"/>
          <w:highlight w:val="none"/>
        </w:rPr>
        <w:t>费用。</w:t>
      </w:r>
    </w:p>
    <w:p w14:paraId="5B309D9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1.1.5.6 计日工：是指合同履行过程中，承包人完成发包人提出的零星工作或需要采用计日工计价的变更工作时，按合同中约定的单价计价的一种方式。</w:t>
      </w:r>
    </w:p>
    <w:p w14:paraId="731AB080">
      <w:pPr>
        <w:spacing w:line="420" w:lineRule="exact"/>
        <w:ind w:firstLine="420"/>
        <w:jc w:val="left"/>
        <w:rPr>
          <w:rFonts w:ascii="宋体" w:hAnsi="宋体" w:cs="宋体"/>
          <w:color w:val="auto"/>
          <w:sz w:val="21"/>
          <w:szCs w:val="21"/>
          <w:highlight w:val="none"/>
        </w:rPr>
      </w:pPr>
      <w:r>
        <w:rPr>
          <w:rFonts w:hint="eastAsia" w:ascii="宋体" w:hAnsi="宋体" w:cs="宋体"/>
          <w:color w:val="auto"/>
          <w:kern w:val="0"/>
          <w:sz w:val="21"/>
          <w:szCs w:val="21"/>
          <w:highlight w:val="none"/>
        </w:rPr>
        <w:t>1.1.5.7 质量保证金</w:t>
      </w:r>
      <w:bookmarkStart w:id="114" w:name="#go2"/>
      <w:bookmarkEnd w:id="114"/>
      <w:r>
        <w:rPr>
          <w:rFonts w:hint="eastAsia" w:ascii="宋体" w:hAnsi="宋体" w:cs="宋体"/>
          <w:color w:val="auto"/>
          <w:kern w:val="0"/>
          <w:sz w:val="21"/>
          <w:szCs w:val="21"/>
          <w:highlight w:val="none"/>
        </w:rPr>
        <w:t>：是指按照第15.3款〔质量保证金〕约定承包人用于保证其在缺陷责任期内履行缺陷修补义务的担保</w:t>
      </w:r>
      <w:r>
        <w:rPr>
          <w:rFonts w:hint="eastAsia" w:ascii="宋体" w:hAnsi="宋体" w:cs="宋体"/>
          <w:color w:val="auto"/>
          <w:sz w:val="21"/>
          <w:szCs w:val="21"/>
          <w:highlight w:val="none"/>
        </w:rPr>
        <w:t>。</w:t>
      </w:r>
    </w:p>
    <w:p w14:paraId="61F207FF">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1.1.5.8 总价项目：是指在现行国家、行业以及地方的计量规则中无工程量计算规则，在已标价工程量清单或预算书中以总价或以费率形式计算的项目。</w:t>
      </w:r>
    </w:p>
    <w:p w14:paraId="1D29B840">
      <w:pPr>
        <w:spacing w:line="420" w:lineRule="exact"/>
        <w:ind w:firstLine="422"/>
        <w:outlineLvl w:val="0"/>
        <w:rPr>
          <w:rFonts w:ascii="宋体" w:hAnsi="宋体" w:cs="宋体"/>
          <w:b/>
          <w:color w:val="auto"/>
          <w:kern w:val="0"/>
          <w:sz w:val="21"/>
          <w:szCs w:val="21"/>
          <w:highlight w:val="none"/>
        </w:rPr>
      </w:pPr>
      <w:bookmarkStart w:id="115" w:name="_Toc406522049"/>
      <w:bookmarkStart w:id="116" w:name="_Toc478389018"/>
      <w:bookmarkStart w:id="117" w:name="_Toc406419174"/>
      <w:r>
        <w:rPr>
          <w:rFonts w:hint="eastAsia" w:ascii="宋体" w:hAnsi="宋体" w:cs="宋体"/>
          <w:b/>
          <w:color w:val="auto"/>
          <w:sz w:val="21"/>
          <w:szCs w:val="21"/>
          <w:highlight w:val="none"/>
        </w:rPr>
        <w:t>1.1.6 其他</w:t>
      </w:r>
      <w:bookmarkEnd w:id="115"/>
      <w:bookmarkEnd w:id="116"/>
      <w:bookmarkEnd w:id="117"/>
    </w:p>
    <w:p w14:paraId="648E3754">
      <w:pPr>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1.1.6.1 书面形式：是指合同文件、信函、电报、传真等可以有形地表现所载内容的形式。</w:t>
      </w:r>
    </w:p>
    <w:p w14:paraId="3EED87AE">
      <w:pPr>
        <w:keepNext/>
        <w:keepLines/>
        <w:spacing w:line="420" w:lineRule="exact"/>
        <w:ind w:firstLine="0" w:firstLineChars="0"/>
        <w:outlineLvl w:val="0"/>
        <w:rPr>
          <w:rFonts w:ascii="宋体" w:hAnsi="宋体" w:cs="宋体"/>
          <w:b/>
          <w:bCs/>
          <w:color w:val="auto"/>
          <w:kern w:val="44"/>
          <w:sz w:val="21"/>
          <w:szCs w:val="21"/>
          <w:highlight w:val="none"/>
        </w:rPr>
      </w:pPr>
      <w:bookmarkStart w:id="118" w:name="_Toc296503029"/>
      <w:bookmarkStart w:id="119" w:name="_Toc478389019"/>
      <w:bookmarkStart w:id="120" w:name="_Toc351203497"/>
      <w:bookmarkStart w:id="121" w:name="_Toc337558729"/>
      <w:bookmarkStart w:id="122" w:name="_Toc296346530"/>
      <w:r>
        <w:rPr>
          <w:rFonts w:hint="eastAsia" w:ascii="宋体" w:hAnsi="宋体" w:cs="宋体"/>
          <w:b/>
          <w:bCs/>
          <w:color w:val="auto"/>
          <w:kern w:val="44"/>
          <w:sz w:val="21"/>
          <w:szCs w:val="21"/>
          <w:highlight w:val="none"/>
        </w:rPr>
        <w:t>1.2语言文字</w:t>
      </w:r>
      <w:bookmarkEnd w:id="118"/>
      <w:bookmarkEnd w:id="119"/>
      <w:bookmarkEnd w:id="120"/>
      <w:bookmarkEnd w:id="121"/>
      <w:bookmarkEnd w:id="122"/>
    </w:p>
    <w:p w14:paraId="397AE2D9">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合同以中国的汉语简体文字编写、解释和说明。合同当事人在专用合同条款中约定使用两种以上语言时，汉语为优先解释和说明合同的语言。</w:t>
      </w:r>
    </w:p>
    <w:p w14:paraId="3A5D60FF">
      <w:pPr>
        <w:keepNext/>
        <w:keepLines/>
        <w:spacing w:line="420" w:lineRule="exact"/>
        <w:ind w:firstLine="0" w:firstLineChars="0"/>
        <w:outlineLvl w:val="0"/>
        <w:rPr>
          <w:rFonts w:ascii="宋体" w:hAnsi="宋体" w:cs="宋体"/>
          <w:b/>
          <w:bCs/>
          <w:color w:val="auto"/>
          <w:kern w:val="44"/>
          <w:sz w:val="21"/>
          <w:szCs w:val="21"/>
          <w:highlight w:val="none"/>
        </w:rPr>
      </w:pPr>
      <w:bookmarkStart w:id="123" w:name="_Toc351203498"/>
      <w:bookmarkStart w:id="124" w:name="_Toc296503030"/>
      <w:bookmarkStart w:id="125" w:name="_Toc478389020"/>
      <w:bookmarkStart w:id="126" w:name="_Toc296346531"/>
      <w:bookmarkStart w:id="127" w:name="_Toc337558730"/>
      <w:r>
        <w:rPr>
          <w:rFonts w:hint="eastAsia" w:ascii="宋体" w:hAnsi="宋体" w:cs="宋体"/>
          <w:b/>
          <w:bCs/>
          <w:color w:val="auto"/>
          <w:kern w:val="44"/>
          <w:sz w:val="21"/>
          <w:szCs w:val="21"/>
          <w:highlight w:val="none"/>
        </w:rPr>
        <w:t>1.3法律</w:t>
      </w:r>
      <w:bookmarkEnd w:id="123"/>
      <w:bookmarkEnd w:id="124"/>
      <w:bookmarkEnd w:id="125"/>
      <w:bookmarkEnd w:id="126"/>
      <w:bookmarkEnd w:id="127"/>
    </w:p>
    <w:p w14:paraId="2B5ED906">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合同所称法律是指中华人民共和国法律、行政法规、部门规章，以及工程所在地的地方性法规、自治条例、单行条例和地方规章等。</w:t>
      </w:r>
    </w:p>
    <w:p w14:paraId="70B89278">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合同当事人可以在专用合同条款中约定合同适用的其他规范性文件。</w:t>
      </w:r>
    </w:p>
    <w:p w14:paraId="73D7F6E2">
      <w:pPr>
        <w:keepNext/>
        <w:keepLines/>
        <w:spacing w:line="420" w:lineRule="exact"/>
        <w:ind w:firstLine="0" w:firstLineChars="0"/>
        <w:outlineLvl w:val="0"/>
        <w:rPr>
          <w:rFonts w:ascii="宋体" w:hAnsi="宋体" w:cs="宋体"/>
          <w:b/>
          <w:bCs/>
          <w:color w:val="auto"/>
          <w:kern w:val="44"/>
          <w:sz w:val="21"/>
          <w:szCs w:val="21"/>
          <w:highlight w:val="none"/>
        </w:rPr>
      </w:pPr>
      <w:bookmarkStart w:id="128" w:name="_Toc478389021"/>
      <w:bookmarkStart w:id="129" w:name="_Toc351203499"/>
      <w:r>
        <w:rPr>
          <w:rFonts w:hint="eastAsia" w:ascii="宋体" w:hAnsi="宋体" w:cs="宋体"/>
          <w:b/>
          <w:bCs/>
          <w:color w:val="auto"/>
          <w:kern w:val="44"/>
          <w:sz w:val="21"/>
          <w:szCs w:val="21"/>
          <w:highlight w:val="none"/>
        </w:rPr>
        <w:t>1.4 标准和规范</w:t>
      </w:r>
      <w:bookmarkEnd w:id="128"/>
      <w:bookmarkEnd w:id="129"/>
    </w:p>
    <w:p w14:paraId="3F272E84">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1.4.1 适用于工程的国家标准、行业标准、工程所在地的地方性标准，以及相应的规范、规程等，合同当事人有特别要求的，应在专用合同条款中约定。</w:t>
      </w:r>
    </w:p>
    <w:p w14:paraId="5D3065E1">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1.4.2 发包人要求使用国外标准、规范的，发包人负责提供原文版本和中文译本，并在专用合同条款中约定提供标准规范的名称、份数和时间。</w:t>
      </w:r>
    </w:p>
    <w:p w14:paraId="24C1401B">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24C51DB5">
      <w:pPr>
        <w:keepNext/>
        <w:keepLines/>
        <w:spacing w:line="420" w:lineRule="exact"/>
        <w:ind w:firstLine="0" w:firstLineChars="0"/>
        <w:outlineLvl w:val="0"/>
        <w:rPr>
          <w:rFonts w:ascii="宋体" w:hAnsi="宋体" w:cs="宋体"/>
          <w:b/>
          <w:bCs/>
          <w:color w:val="auto"/>
          <w:kern w:val="44"/>
          <w:sz w:val="21"/>
          <w:szCs w:val="21"/>
          <w:highlight w:val="none"/>
        </w:rPr>
      </w:pPr>
      <w:bookmarkStart w:id="130" w:name="_Toc478389022"/>
      <w:bookmarkStart w:id="131" w:name="_Toc351203500"/>
      <w:r>
        <w:rPr>
          <w:rFonts w:hint="eastAsia" w:ascii="宋体" w:hAnsi="宋体" w:cs="宋体"/>
          <w:b/>
          <w:bCs/>
          <w:color w:val="auto"/>
          <w:kern w:val="44"/>
          <w:sz w:val="21"/>
          <w:szCs w:val="21"/>
          <w:highlight w:val="none"/>
        </w:rPr>
        <w:t>1</w:t>
      </w:r>
      <w:bookmarkStart w:id="132" w:name="_Toc337558731"/>
      <w:bookmarkStart w:id="133" w:name="_Toc296346532"/>
      <w:bookmarkStart w:id="134" w:name="_Toc296503031"/>
      <w:r>
        <w:rPr>
          <w:rFonts w:hint="eastAsia" w:ascii="宋体" w:hAnsi="宋体" w:cs="宋体"/>
          <w:b/>
          <w:bCs/>
          <w:color w:val="auto"/>
          <w:kern w:val="44"/>
          <w:sz w:val="21"/>
          <w:szCs w:val="21"/>
          <w:highlight w:val="none"/>
        </w:rPr>
        <w:t>.5 合同文件的优先顺序</w:t>
      </w:r>
      <w:bookmarkEnd w:id="130"/>
      <w:bookmarkEnd w:id="131"/>
    </w:p>
    <w:bookmarkEnd w:id="132"/>
    <w:bookmarkEnd w:id="133"/>
    <w:bookmarkEnd w:id="134"/>
    <w:p w14:paraId="391170B0">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组成合同的各项文件应互相解释，互为说明。除专用合同条款另有约定外，解释合同文件的优先顺序如下：</w:t>
      </w:r>
    </w:p>
    <w:p w14:paraId="6D1CD1CC">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（1）合同协议书；</w:t>
      </w:r>
    </w:p>
    <w:p w14:paraId="05A9725A">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（2）成交通知书（如果有）；</w:t>
      </w:r>
    </w:p>
    <w:p w14:paraId="5094A842">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（3）投标函及其附录（如果有）；</w:t>
      </w:r>
    </w:p>
    <w:p w14:paraId="7207C357">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（4）专用合同条款</w:t>
      </w:r>
      <w:r>
        <w:rPr>
          <w:rFonts w:hint="eastAsia" w:ascii="宋体" w:hAnsi="宋体" w:cs="宋体"/>
          <w:color w:val="auto"/>
          <w:sz w:val="21"/>
          <w:szCs w:val="21"/>
          <w:highlight w:val="none"/>
        </w:rPr>
        <w:t>及其附件</w:t>
      </w:r>
      <w:r>
        <w:rPr>
          <w:rFonts w:hint="eastAsia" w:ascii="宋体" w:hAnsi="宋体" w:cs="宋体"/>
          <w:color w:val="auto"/>
          <w:kern w:val="0"/>
          <w:sz w:val="21"/>
          <w:szCs w:val="21"/>
          <w:highlight w:val="none"/>
        </w:rPr>
        <w:t>；</w:t>
      </w:r>
    </w:p>
    <w:p w14:paraId="2EDDD8DE">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（5）通用合同条款；</w:t>
      </w:r>
    </w:p>
    <w:p w14:paraId="0FD584A8">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（6）技术标准和要求；</w:t>
      </w:r>
    </w:p>
    <w:p w14:paraId="0D4EE9DD">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（7）已标价工程量清单或预算书；</w:t>
      </w:r>
    </w:p>
    <w:p w14:paraId="276E8C0B">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（8）其他合同文件。</w:t>
      </w:r>
    </w:p>
    <w:p w14:paraId="56FF43C8">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（9）（GB50500-2013</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建设工程工程量清单计价规范》及其广西实施细则及《关于建筑业实施营业税改征增值税后广西壮族自治区建设工程计价依据调整的通知》（桂建标〔2019〕12号）、（GB50854~50862-2013）《建设工程工程量计算规范广西壮族自治区实施细则》（修订本）。</w:t>
      </w:r>
    </w:p>
    <w:p w14:paraId="19D83BEE">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上述各项合同文件包括合同当事人就该项合同文件所作出的补充和修改，属于同一类内容的文件，应以最新签署的为准。</w:t>
      </w:r>
    </w:p>
    <w:p w14:paraId="177FDEFF">
      <w:pPr>
        <w:spacing w:line="420" w:lineRule="exact"/>
        <w:ind w:firstLine="447" w:firstLineChars="213"/>
        <w:rPr>
          <w:rFonts w:ascii="宋体" w:hAnsi="宋体" w:cs="宋体"/>
          <w:color w:val="auto"/>
          <w:sz w:val="21"/>
          <w:szCs w:val="21"/>
          <w:highlight w:val="none"/>
        </w:rPr>
      </w:pPr>
      <w:r>
        <w:rPr>
          <w:rFonts w:hint="eastAsia" w:ascii="宋体" w:hAnsi="宋体" w:cs="宋体"/>
          <w:color w:val="auto"/>
          <w:sz w:val="21"/>
          <w:szCs w:val="21"/>
          <w:highlight w:val="none"/>
        </w:rPr>
        <w:t>在合同订立及履行过程中形成的与合同有关的文件均构成合同文件组成部分，并根据其性质确定优先解释顺序。</w:t>
      </w:r>
    </w:p>
    <w:p w14:paraId="1F9AA5B2">
      <w:pPr>
        <w:keepNext/>
        <w:keepLines/>
        <w:spacing w:line="420" w:lineRule="exact"/>
        <w:ind w:firstLine="0" w:firstLineChars="0"/>
        <w:outlineLvl w:val="0"/>
        <w:rPr>
          <w:rFonts w:ascii="宋体" w:hAnsi="宋体" w:cs="宋体"/>
          <w:b/>
          <w:bCs/>
          <w:color w:val="auto"/>
          <w:kern w:val="44"/>
          <w:sz w:val="21"/>
          <w:szCs w:val="21"/>
          <w:highlight w:val="none"/>
        </w:rPr>
      </w:pPr>
      <w:bookmarkStart w:id="135" w:name="_Toc478389023"/>
      <w:bookmarkStart w:id="136" w:name="_Toc351203501"/>
      <w:r>
        <w:rPr>
          <w:rFonts w:hint="eastAsia" w:ascii="宋体" w:hAnsi="宋体" w:cs="宋体"/>
          <w:b/>
          <w:bCs/>
          <w:color w:val="auto"/>
          <w:kern w:val="44"/>
          <w:sz w:val="21"/>
          <w:szCs w:val="21"/>
          <w:highlight w:val="none"/>
        </w:rPr>
        <w:t>1</w:t>
      </w:r>
      <w:bookmarkStart w:id="137" w:name="_Toc296346533"/>
      <w:bookmarkStart w:id="138" w:name="_Toc296503032"/>
      <w:bookmarkStart w:id="139" w:name="_Toc337558732"/>
      <w:r>
        <w:rPr>
          <w:rFonts w:hint="eastAsia" w:ascii="宋体" w:hAnsi="宋体" w:cs="宋体"/>
          <w:b/>
          <w:bCs/>
          <w:color w:val="auto"/>
          <w:kern w:val="44"/>
          <w:sz w:val="21"/>
          <w:szCs w:val="21"/>
          <w:highlight w:val="none"/>
        </w:rPr>
        <w:t>.6图纸和承包人文件</w:t>
      </w:r>
      <w:bookmarkEnd w:id="135"/>
      <w:bookmarkEnd w:id="136"/>
    </w:p>
    <w:bookmarkEnd w:id="137"/>
    <w:bookmarkEnd w:id="138"/>
    <w:bookmarkEnd w:id="139"/>
    <w:p w14:paraId="0AD354F7">
      <w:pPr>
        <w:spacing w:line="420" w:lineRule="exact"/>
        <w:ind w:firstLine="420"/>
        <w:jc w:val="left"/>
        <w:outlineLvl w:val="0"/>
        <w:rPr>
          <w:rFonts w:ascii="宋体" w:hAnsi="宋体" w:cs="宋体"/>
          <w:color w:val="auto"/>
          <w:kern w:val="0"/>
          <w:sz w:val="21"/>
          <w:szCs w:val="21"/>
          <w:highlight w:val="none"/>
        </w:rPr>
      </w:pPr>
      <w:bookmarkStart w:id="140" w:name="_Toc478389024"/>
      <w:bookmarkStart w:id="141" w:name="_Toc406522055"/>
      <w:r>
        <w:rPr>
          <w:rFonts w:hint="eastAsia" w:ascii="宋体" w:hAnsi="宋体" w:cs="宋体"/>
          <w:color w:val="auto"/>
          <w:kern w:val="0"/>
          <w:sz w:val="21"/>
          <w:szCs w:val="21"/>
          <w:highlight w:val="none"/>
        </w:rPr>
        <w:t>1.6.1 图纸的提供和交底</w:t>
      </w:r>
      <w:bookmarkEnd w:id="140"/>
      <w:bookmarkEnd w:id="141"/>
    </w:p>
    <w:p w14:paraId="686F3D27">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0E89EE91">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因发包人未按合同约定提供图纸导致承包人费用增加和（或）工期延误的，按照第7.5.1项〔因发包人原因导致工期延误〕约定办理。</w:t>
      </w:r>
    </w:p>
    <w:p w14:paraId="5C91EBA5">
      <w:pPr>
        <w:spacing w:line="420" w:lineRule="exact"/>
        <w:ind w:firstLine="420"/>
        <w:jc w:val="left"/>
        <w:outlineLvl w:val="0"/>
        <w:rPr>
          <w:rFonts w:ascii="宋体" w:hAnsi="宋体" w:cs="宋体"/>
          <w:color w:val="auto"/>
          <w:kern w:val="0"/>
          <w:sz w:val="21"/>
          <w:szCs w:val="21"/>
          <w:highlight w:val="none"/>
        </w:rPr>
      </w:pPr>
      <w:bookmarkStart w:id="142" w:name="_Toc406522056"/>
      <w:bookmarkStart w:id="143" w:name="_Toc478389025"/>
      <w:r>
        <w:rPr>
          <w:rFonts w:hint="eastAsia" w:ascii="宋体" w:hAnsi="宋体" w:cs="宋体"/>
          <w:color w:val="auto"/>
          <w:kern w:val="0"/>
          <w:sz w:val="21"/>
          <w:szCs w:val="21"/>
          <w:highlight w:val="none"/>
        </w:rPr>
        <w:t>1.6.2 图纸的错误</w:t>
      </w:r>
      <w:bookmarkEnd w:id="142"/>
      <w:bookmarkEnd w:id="143"/>
    </w:p>
    <w:p w14:paraId="6509F0E8">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496BD790">
      <w:pPr>
        <w:spacing w:line="420" w:lineRule="exact"/>
        <w:ind w:firstLine="420"/>
        <w:jc w:val="left"/>
        <w:outlineLvl w:val="0"/>
        <w:rPr>
          <w:rFonts w:ascii="宋体" w:hAnsi="宋体" w:cs="宋体"/>
          <w:color w:val="auto"/>
          <w:kern w:val="0"/>
          <w:sz w:val="21"/>
          <w:szCs w:val="21"/>
          <w:highlight w:val="none"/>
        </w:rPr>
      </w:pPr>
      <w:bookmarkStart w:id="144" w:name="_Toc406522057"/>
      <w:bookmarkStart w:id="145" w:name="_Toc478389026"/>
      <w:r>
        <w:rPr>
          <w:rFonts w:hint="eastAsia" w:ascii="宋体" w:hAnsi="宋体" w:cs="宋体"/>
          <w:color w:val="auto"/>
          <w:kern w:val="0"/>
          <w:sz w:val="21"/>
          <w:szCs w:val="21"/>
          <w:highlight w:val="none"/>
        </w:rPr>
        <w:t>1.6.3 图纸的修改和补充</w:t>
      </w:r>
      <w:bookmarkEnd w:id="144"/>
      <w:bookmarkEnd w:id="145"/>
    </w:p>
    <w:p w14:paraId="49397CA3">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3D6F6470">
      <w:pPr>
        <w:spacing w:line="420" w:lineRule="exact"/>
        <w:ind w:firstLine="420"/>
        <w:jc w:val="left"/>
        <w:outlineLvl w:val="0"/>
        <w:rPr>
          <w:rFonts w:ascii="宋体" w:hAnsi="宋体" w:cs="宋体"/>
          <w:color w:val="auto"/>
          <w:kern w:val="0"/>
          <w:sz w:val="21"/>
          <w:szCs w:val="21"/>
          <w:highlight w:val="none"/>
        </w:rPr>
      </w:pPr>
      <w:bookmarkStart w:id="146" w:name="_Toc406522058"/>
      <w:bookmarkStart w:id="147" w:name="_Toc478389027"/>
      <w:r>
        <w:rPr>
          <w:rFonts w:hint="eastAsia" w:ascii="宋体" w:hAnsi="宋体" w:cs="宋体"/>
          <w:color w:val="auto"/>
          <w:kern w:val="0"/>
          <w:sz w:val="21"/>
          <w:szCs w:val="21"/>
          <w:highlight w:val="none"/>
        </w:rPr>
        <w:t>1.6.4 承包人文件</w:t>
      </w:r>
      <w:bookmarkEnd w:id="146"/>
      <w:bookmarkEnd w:id="147"/>
    </w:p>
    <w:p w14:paraId="756CF3C0">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承包人应按照专用合同条款的约定提供应当由其编制的与工程施工有关的文件，并按照专用合同条款约定的期限、数量和形式提交监理人，并由监理人报送发包人。</w:t>
      </w:r>
    </w:p>
    <w:p w14:paraId="6FD00F7F">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1BEF79FE">
      <w:pPr>
        <w:spacing w:line="420" w:lineRule="exact"/>
        <w:ind w:firstLine="420"/>
        <w:jc w:val="left"/>
        <w:outlineLvl w:val="0"/>
        <w:rPr>
          <w:rFonts w:ascii="宋体" w:hAnsi="宋体" w:cs="宋体"/>
          <w:color w:val="auto"/>
          <w:kern w:val="0"/>
          <w:sz w:val="21"/>
          <w:szCs w:val="21"/>
          <w:highlight w:val="none"/>
        </w:rPr>
      </w:pPr>
      <w:bookmarkStart w:id="148" w:name="_Toc406522059"/>
      <w:bookmarkStart w:id="149" w:name="_Toc478389028"/>
      <w:r>
        <w:rPr>
          <w:rFonts w:hint="eastAsia" w:ascii="宋体" w:hAnsi="宋体" w:cs="宋体"/>
          <w:color w:val="auto"/>
          <w:kern w:val="0"/>
          <w:sz w:val="21"/>
          <w:szCs w:val="21"/>
          <w:highlight w:val="none"/>
        </w:rPr>
        <w:t>1.6.5 图纸和承包人文件的保管</w:t>
      </w:r>
      <w:bookmarkEnd w:id="148"/>
      <w:bookmarkEnd w:id="149"/>
    </w:p>
    <w:p w14:paraId="4D27CCAE">
      <w:pPr>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除专用合同条款另有约定外，承包人应在施工现场另外保存一套完整的图纸和承包人文件，供发包人、监理人及有关人员进行工程检查时使用。</w:t>
      </w:r>
    </w:p>
    <w:p w14:paraId="0AE40D06">
      <w:pPr>
        <w:keepNext/>
        <w:keepLines/>
        <w:spacing w:line="420" w:lineRule="exact"/>
        <w:ind w:firstLine="0" w:firstLineChars="0"/>
        <w:outlineLvl w:val="0"/>
        <w:rPr>
          <w:rFonts w:ascii="宋体" w:hAnsi="宋体" w:cs="宋体"/>
          <w:b/>
          <w:bCs/>
          <w:color w:val="auto"/>
          <w:kern w:val="44"/>
          <w:sz w:val="21"/>
          <w:szCs w:val="21"/>
          <w:highlight w:val="none"/>
        </w:rPr>
      </w:pPr>
      <w:bookmarkStart w:id="150" w:name="_Toc478389029"/>
      <w:bookmarkStart w:id="151" w:name="_Toc351203502"/>
      <w:r>
        <w:rPr>
          <w:rFonts w:hint="eastAsia" w:ascii="宋体" w:hAnsi="宋体" w:cs="宋体"/>
          <w:b/>
          <w:bCs/>
          <w:color w:val="auto"/>
          <w:kern w:val="44"/>
          <w:sz w:val="21"/>
          <w:szCs w:val="21"/>
          <w:highlight w:val="none"/>
        </w:rPr>
        <w:t>1</w:t>
      </w:r>
      <w:bookmarkStart w:id="152" w:name="_Toc296346534"/>
      <w:bookmarkStart w:id="153" w:name="_Toc337558733"/>
      <w:bookmarkStart w:id="154" w:name="_Toc296503033"/>
      <w:r>
        <w:rPr>
          <w:rFonts w:hint="eastAsia" w:ascii="宋体" w:hAnsi="宋体" w:cs="宋体"/>
          <w:b/>
          <w:bCs/>
          <w:color w:val="auto"/>
          <w:kern w:val="44"/>
          <w:sz w:val="21"/>
          <w:szCs w:val="21"/>
          <w:highlight w:val="none"/>
        </w:rPr>
        <w:t>.7联络</w:t>
      </w:r>
      <w:bookmarkEnd w:id="150"/>
      <w:bookmarkEnd w:id="151"/>
    </w:p>
    <w:bookmarkEnd w:id="152"/>
    <w:bookmarkEnd w:id="153"/>
    <w:bookmarkEnd w:id="154"/>
    <w:p w14:paraId="69D4628A">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1.7.1 与合同有关的通知、批准、证明、证书、指示、指令、要求、请求、同意、意见、确定和决定等，均应采用书面形式，并应在合同约定的期限内送达接收人和送达地点。</w:t>
      </w:r>
    </w:p>
    <w:p w14:paraId="13D52D4A">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1.7.2 发包人和承包人应在专用合同条款中约定各自的送达接收人和送达地点。任何一方合同当事人指定的接收人或送达地点发生变动的，应提前3天以书面形式通知对方。</w:t>
      </w:r>
    </w:p>
    <w:p w14:paraId="74372B99">
      <w:pPr>
        <w:autoSpaceDE w:val="0"/>
        <w:autoSpaceDN w:val="0"/>
        <w:adjustRightInd w:val="0"/>
        <w:spacing w:line="42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1.7.3 发包人和承包人应当及时签收另一方送达至送达地点和指定接收人的来往信函。拒不签收的，由此增加的费</w:t>
      </w:r>
      <w:r>
        <w:rPr>
          <w:rFonts w:ascii="宋体" w:hAnsi="宋体" w:cs="宋体"/>
          <w:color w:val="auto"/>
          <w:sz w:val="21"/>
          <w:szCs w:val="21"/>
          <w:highlight w:val="none"/>
        </w:rPr>
        <w:t>用和（或）延误的工期由拒绝接收一方承担。</w:t>
      </w:r>
    </w:p>
    <w:p w14:paraId="039083DF">
      <w:pPr>
        <w:keepNext/>
        <w:keepLines/>
        <w:spacing w:line="420" w:lineRule="exact"/>
        <w:ind w:firstLine="0" w:firstLineChars="0"/>
        <w:outlineLvl w:val="0"/>
        <w:rPr>
          <w:rFonts w:ascii="宋体" w:hAnsi="宋体" w:cs="宋体"/>
          <w:b/>
          <w:bCs/>
          <w:color w:val="auto"/>
          <w:kern w:val="44"/>
          <w:sz w:val="21"/>
          <w:szCs w:val="21"/>
          <w:highlight w:val="none"/>
        </w:rPr>
      </w:pPr>
      <w:bookmarkStart w:id="155" w:name="_Toc478389030"/>
      <w:bookmarkStart w:id="156" w:name="_Toc351203503"/>
      <w:r>
        <w:rPr>
          <w:rFonts w:hint="eastAsia" w:ascii="宋体" w:hAnsi="宋体" w:cs="宋体"/>
          <w:b/>
          <w:bCs/>
          <w:color w:val="auto"/>
          <w:kern w:val="44"/>
          <w:sz w:val="21"/>
          <w:szCs w:val="21"/>
          <w:highlight w:val="none"/>
        </w:rPr>
        <w:t>1</w:t>
      </w:r>
      <w:bookmarkStart w:id="157" w:name="_Toc296503035"/>
      <w:bookmarkStart w:id="158" w:name="_Toc296346536"/>
      <w:bookmarkStart w:id="159" w:name="_Toc337558734"/>
      <w:r>
        <w:rPr>
          <w:rFonts w:hint="eastAsia" w:ascii="宋体" w:hAnsi="宋体" w:cs="宋体"/>
          <w:b/>
          <w:bCs/>
          <w:color w:val="auto"/>
          <w:kern w:val="44"/>
          <w:sz w:val="21"/>
          <w:szCs w:val="21"/>
          <w:highlight w:val="none"/>
        </w:rPr>
        <w:t>.8严禁贿赂</w:t>
      </w:r>
      <w:bookmarkEnd w:id="155"/>
      <w:bookmarkEnd w:id="156"/>
    </w:p>
    <w:bookmarkEnd w:id="157"/>
    <w:bookmarkEnd w:id="158"/>
    <w:bookmarkEnd w:id="159"/>
    <w:p w14:paraId="5A1FBC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合同当事人不得以贿赂或变相贿赂的方式，谋取非法利益或损害对方权益。因一方合同当事人的贿赂造成对方损失的，应赔偿损失，并承担相应的法律责任。</w:t>
      </w:r>
    </w:p>
    <w:p w14:paraId="0E7F42B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432EBB66">
      <w:pPr>
        <w:keepNext/>
        <w:keepLines/>
        <w:spacing w:line="420" w:lineRule="exact"/>
        <w:ind w:firstLine="0" w:firstLineChars="0"/>
        <w:outlineLvl w:val="0"/>
        <w:rPr>
          <w:rFonts w:ascii="宋体" w:hAnsi="宋体" w:cs="宋体"/>
          <w:b/>
          <w:bCs/>
          <w:color w:val="auto"/>
          <w:kern w:val="44"/>
          <w:sz w:val="21"/>
          <w:szCs w:val="21"/>
          <w:highlight w:val="none"/>
        </w:rPr>
      </w:pPr>
      <w:bookmarkStart w:id="160" w:name="_Toc351203504"/>
      <w:bookmarkStart w:id="161" w:name="_Toc478389031"/>
      <w:r>
        <w:rPr>
          <w:rFonts w:hint="eastAsia" w:ascii="宋体" w:hAnsi="宋体" w:cs="宋体"/>
          <w:b/>
          <w:bCs/>
          <w:color w:val="auto"/>
          <w:kern w:val="44"/>
          <w:sz w:val="21"/>
          <w:szCs w:val="21"/>
          <w:highlight w:val="none"/>
        </w:rPr>
        <w:t>1</w:t>
      </w:r>
      <w:bookmarkStart w:id="162" w:name="_Toc296503036"/>
      <w:bookmarkStart w:id="163" w:name="_Toc296346537"/>
      <w:bookmarkStart w:id="164" w:name="_Toc337558735"/>
      <w:r>
        <w:rPr>
          <w:rFonts w:hint="eastAsia" w:ascii="宋体" w:hAnsi="宋体" w:cs="宋体"/>
          <w:b/>
          <w:bCs/>
          <w:color w:val="auto"/>
          <w:kern w:val="44"/>
          <w:sz w:val="21"/>
          <w:szCs w:val="21"/>
          <w:highlight w:val="none"/>
        </w:rPr>
        <w:t>.9化石、文物</w:t>
      </w:r>
      <w:bookmarkEnd w:id="160"/>
      <w:bookmarkEnd w:id="161"/>
    </w:p>
    <w:bookmarkEnd w:id="162"/>
    <w:bookmarkEnd w:id="163"/>
    <w:bookmarkEnd w:id="164"/>
    <w:p w14:paraId="72D800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行政管理部门，同时通知监理人。</w:t>
      </w:r>
    </w:p>
    <w:p w14:paraId="63A6CD3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发包人、监理人和承包人应按有关行政管理部门要求采取妥善的保护措施，由此增加的费用和（或）延误的工期由发包人承担。</w:t>
      </w:r>
    </w:p>
    <w:p w14:paraId="111BC59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承包人发现文物后不及时报告或隐瞒不报，致使文物丢失或损坏的，应赔偿损失，并承担相应的法律责任。</w:t>
      </w:r>
    </w:p>
    <w:p w14:paraId="71773EEA">
      <w:pPr>
        <w:keepNext/>
        <w:keepLines/>
        <w:spacing w:line="420" w:lineRule="exact"/>
        <w:ind w:firstLine="0" w:firstLineChars="0"/>
        <w:outlineLvl w:val="0"/>
        <w:rPr>
          <w:rFonts w:ascii="宋体" w:hAnsi="宋体" w:cs="宋体"/>
          <w:b/>
          <w:bCs/>
          <w:color w:val="auto"/>
          <w:kern w:val="44"/>
          <w:sz w:val="21"/>
          <w:szCs w:val="21"/>
          <w:highlight w:val="none"/>
        </w:rPr>
      </w:pPr>
      <w:bookmarkStart w:id="165" w:name="_Toc478389032"/>
      <w:bookmarkStart w:id="166" w:name="_Toc351203505"/>
      <w:r>
        <w:rPr>
          <w:rFonts w:hint="eastAsia" w:ascii="宋体" w:hAnsi="宋体" w:cs="宋体"/>
          <w:b/>
          <w:bCs/>
          <w:color w:val="auto"/>
          <w:kern w:val="44"/>
          <w:sz w:val="21"/>
          <w:szCs w:val="21"/>
          <w:highlight w:val="none"/>
        </w:rPr>
        <w:t>1</w:t>
      </w:r>
      <w:bookmarkStart w:id="167" w:name="_Toc337558736"/>
      <w:r>
        <w:rPr>
          <w:rFonts w:hint="eastAsia" w:ascii="宋体" w:hAnsi="宋体" w:cs="宋体"/>
          <w:b/>
          <w:bCs/>
          <w:color w:val="auto"/>
          <w:kern w:val="44"/>
          <w:sz w:val="21"/>
          <w:szCs w:val="21"/>
          <w:highlight w:val="none"/>
        </w:rPr>
        <w:t>.10交通运输</w:t>
      </w:r>
      <w:bookmarkEnd w:id="165"/>
      <w:bookmarkEnd w:id="166"/>
    </w:p>
    <w:bookmarkEnd w:id="167"/>
    <w:p w14:paraId="06B57ECA">
      <w:pPr>
        <w:spacing w:line="420" w:lineRule="exact"/>
        <w:ind w:firstLine="420"/>
        <w:outlineLvl w:val="0"/>
        <w:rPr>
          <w:rFonts w:ascii="宋体" w:hAnsi="宋体" w:cs="宋体"/>
          <w:color w:val="auto"/>
          <w:sz w:val="21"/>
          <w:szCs w:val="21"/>
          <w:highlight w:val="none"/>
        </w:rPr>
      </w:pPr>
      <w:bookmarkStart w:id="168" w:name="_Toc406522064"/>
      <w:bookmarkStart w:id="169" w:name="_Toc478389033"/>
      <w:r>
        <w:rPr>
          <w:rFonts w:hint="eastAsia" w:ascii="宋体" w:hAnsi="宋体" w:cs="宋体"/>
          <w:color w:val="auto"/>
          <w:sz w:val="21"/>
          <w:szCs w:val="21"/>
          <w:highlight w:val="none"/>
        </w:rPr>
        <w:t>1.10.1 出入现场的权利</w:t>
      </w:r>
      <w:bookmarkEnd w:id="168"/>
      <w:bookmarkEnd w:id="169"/>
    </w:p>
    <w:p w14:paraId="7BCDAE8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1CAD2B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3A75A772">
      <w:pPr>
        <w:spacing w:line="420" w:lineRule="exact"/>
        <w:ind w:firstLine="420"/>
        <w:outlineLvl w:val="0"/>
        <w:rPr>
          <w:rFonts w:ascii="宋体" w:hAnsi="宋体" w:cs="宋体"/>
          <w:color w:val="auto"/>
          <w:sz w:val="21"/>
          <w:szCs w:val="21"/>
          <w:highlight w:val="none"/>
        </w:rPr>
      </w:pPr>
      <w:bookmarkStart w:id="170" w:name="_Toc406522065"/>
      <w:bookmarkStart w:id="171" w:name="_Toc478389034"/>
      <w:r>
        <w:rPr>
          <w:rFonts w:hint="eastAsia" w:ascii="宋体" w:hAnsi="宋体" w:cs="宋体"/>
          <w:color w:val="auto"/>
          <w:sz w:val="21"/>
          <w:szCs w:val="21"/>
          <w:highlight w:val="none"/>
        </w:rPr>
        <w:t>1.10.2 场外交通</w:t>
      </w:r>
      <w:bookmarkEnd w:id="170"/>
      <w:bookmarkEnd w:id="171"/>
    </w:p>
    <w:p w14:paraId="4EA589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发包人应提供场外交通设施的技术参数和具体条件，承包人应遵守有关交通法规，严格按照道路和桥梁的限制荷载行驶，执行有关道路限速、限行、禁止超载的规定，并配合交通管理</w:t>
      </w:r>
      <w:r>
        <w:rPr>
          <w:rFonts w:hint="eastAsia" w:ascii="宋体" w:hAnsi="宋体" w:cs="宋体"/>
          <w:color w:val="auto"/>
          <w:spacing w:val="-4"/>
          <w:sz w:val="21"/>
          <w:szCs w:val="21"/>
          <w:highlight w:val="none"/>
        </w:rPr>
        <w:t>部门的监督和检查。场外交通设施无法满足工程施工需要的，由发包人负责完善并承担相关费用。</w:t>
      </w:r>
    </w:p>
    <w:p w14:paraId="3FA03DD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1.10.3场内交通</w:t>
      </w:r>
    </w:p>
    <w:p w14:paraId="01723D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169DCA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3E5D783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场外交通和场内交通的边界由合同当事人在专用合同条款中约定。</w:t>
      </w:r>
    </w:p>
    <w:p w14:paraId="22D9C85C">
      <w:pPr>
        <w:spacing w:line="420" w:lineRule="exact"/>
        <w:ind w:firstLine="420"/>
        <w:outlineLvl w:val="0"/>
        <w:rPr>
          <w:rFonts w:ascii="宋体" w:hAnsi="宋体" w:cs="宋体"/>
          <w:color w:val="auto"/>
          <w:sz w:val="21"/>
          <w:szCs w:val="21"/>
          <w:highlight w:val="none"/>
        </w:rPr>
      </w:pPr>
      <w:bookmarkStart w:id="172" w:name="_Toc478389035"/>
      <w:bookmarkStart w:id="173" w:name="_Toc406522066"/>
      <w:r>
        <w:rPr>
          <w:rFonts w:hint="eastAsia" w:ascii="宋体" w:hAnsi="宋体" w:cs="宋体"/>
          <w:color w:val="auto"/>
          <w:sz w:val="21"/>
          <w:szCs w:val="21"/>
          <w:highlight w:val="none"/>
        </w:rPr>
        <w:t>1.10.4 超大件和超重件的运输</w:t>
      </w:r>
      <w:bookmarkEnd w:id="172"/>
      <w:bookmarkEnd w:id="173"/>
    </w:p>
    <w:p w14:paraId="17E842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45189E2">
      <w:pPr>
        <w:spacing w:line="420" w:lineRule="exact"/>
        <w:ind w:firstLine="420"/>
        <w:outlineLvl w:val="0"/>
        <w:rPr>
          <w:rFonts w:ascii="宋体" w:hAnsi="宋体" w:cs="宋体"/>
          <w:color w:val="auto"/>
          <w:sz w:val="21"/>
          <w:szCs w:val="21"/>
          <w:highlight w:val="none"/>
        </w:rPr>
      </w:pPr>
      <w:bookmarkStart w:id="174" w:name="_Toc478389036"/>
      <w:bookmarkStart w:id="175" w:name="_Toc406522067"/>
      <w:r>
        <w:rPr>
          <w:rFonts w:hint="eastAsia" w:ascii="宋体" w:hAnsi="宋体" w:cs="宋体"/>
          <w:color w:val="auto"/>
          <w:sz w:val="21"/>
          <w:szCs w:val="21"/>
          <w:highlight w:val="none"/>
        </w:rPr>
        <w:t>1.10.5 道路和桥梁的损坏责任</w:t>
      </w:r>
      <w:bookmarkEnd w:id="174"/>
      <w:bookmarkEnd w:id="175"/>
    </w:p>
    <w:p w14:paraId="07238A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因承包人运输造成施工场地内外公共道路和桥梁损坏的，由承包人承担修复损坏的全部费用和可能引起的赔偿。</w:t>
      </w:r>
    </w:p>
    <w:p w14:paraId="79740496">
      <w:pPr>
        <w:spacing w:line="420" w:lineRule="exact"/>
        <w:ind w:firstLine="420"/>
        <w:outlineLvl w:val="0"/>
        <w:rPr>
          <w:rFonts w:ascii="宋体" w:hAnsi="宋体" w:cs="宋体"/>
          <w:color w:val="auto"/>
          <w:sz w:val="21"/>
          <w:szCs w:val="21"/>
          <w:highlight w:val="none"/>
        </w:rPr>
      </w:pPr>
      <w:bookmarkStart w:id="176" w:name="_Toc406522068"/>
      <w:bookmarkStart w:id="177" w:name="_Toc478389037"/>
      <w:r>
        <w:rPr>
          <w:rFonts w:hint="eastAsia" w:ascii="宋体" w:hAnsi="宋体" w:cs="宋体"/>
          <w:color w:val="auto"/>
          <w:sz w:val="21"/>
          <w:szCs w:val="21"/>
          <w:highlight w:val="none"/>
        </w:rPr>
        <w:t>1.10.6 水路和航空运输</w:t>
      </w:r>
      <w:bookmarkEnd w:id="176"/>
      <w:bookmarkEnd w:id="177"/>
    </w:p>
    <w:p w14:paraId="72E0F5F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本款前述各项的内容适用于水路运输和航空运输，其中“道路”一词的</w:t>
      </w:r>
      <w:r>
        <w:rPr>
          <w:rFonts w:hint="eastAsia" w:ascii="宋体" w:hAnsi="宋体" w:cs="宋体"/>
          <w:color w:val="auto"/>
          <w:sz w:val="21"/>
          <w:szCs w:val="21"/>
          <w:highlight w:val="none"/>
          <w:lang w:eastAsia="zh-CN"/>
        </w:rPr>
        <w:t>含义</w:t>
      </w:r>
      <w:r>
        <w:rPr>
          <w:rFonts w:hint="eastAsia" w:ascii="宋体" w:hAnsi="宋体" w:cs="宋体"/>
          <w:color w:val="auto"/>
          <w:sz w:val="21"/>
          <w:szCs w:val="21"/>
          <w:highlight w:val="none"/>
        </w:rPr>
        <w:t>包括河道、航线、船闸、机场、码头、堤防以及水路或航空运输中其他相似结构物；“车辆”一词的</w:t>
      </w:r>
      <w:r>
        <w:rPr>
          <w:rFonts w:hint="eastAsia" w:ascii="宋体" w:hAnsi="宋体" w:cs="宋体"/>
          <w:color w:val="auto"/>
          <w:sz w:val="21"/>
          <w:szCs w:val="21"/>
          <w:highlight w:val="none"/>
          <w:lang w:eastAsia="zh-CN"/>
        </w:rPr>
        <w:t>含义</w:t>
      </w:r>
      <w:r>
        <w:rPr>
          <w:rFonts w:hint="eastAsia" w:ascii="宋体" w:hAnsi="宋体" w:cs="宋体"/>
          <w:color w:val="auto"/>
          <w:sz w:val="21"/>
          <w:szCs w:val="21"/>
          <w:highlight w:val="none"/>
        </w:rPr>
        <w:t>包括船舶和飞机等。</w:t>
      </w:r>
    </w:p>
    <w:p w14:paraId="3B48C7CB">
      <w:pPr>
        <w:keepNext/>
        <w:keepLines/>
        <w:spacing w:line="420" w:lineRule="exact"/>
        <w:ind w:firstLine="0" w:firstLineChars="0"/>
        <w:outlineLvl w:val="0"/>
        <w:rPr>
          <w:rFonts w:ascii="宋体" w:hAnsi="宋体" w:cs="宋体"/>
          <w:b/>
          <w:bCs/>
          <w:color w:val="auto"/>
          <w:kern w:val="44"/>
          <w:sz w:val="21"/>
          <w:szCs w:val="21"/>
          <w:highlight w:val="none"/>
        </w:rPr>
      </w:pPr>
      <w:bookmarkStart w:id="178" w:name="_Toc351203506"/>
      <w:bookmarkStart w:id="179" w:name="_Toc478389038"/>
      <w:r>
        <w:rPr>
          <w:rFonts w:hint="eastAsia" w:ascii="宋体" w:hAnsi="宋体" w:cs="宋体"/>
          <w:b/>
          <w:bCs/>
          <w:color w:val="auto"/>
          <w:kern w:val="44"/>
          <w:sz w:val="21"/>
          <w:szCs w:val="21"/>
          <w:highlight w:val="none"/>
        </w:rPr>
        <w:t>1</w:t>
      </w:r>
      <w:bookmarkStart w:id="180" w:name="_Toc337558737"/>
      <w:bookmarkStart w:id="181" w:name="_Toc296503037"/>
      <w:bookmarkStart w:id="182" w:name="_Toc296346538"/>
      <w:r>
        <w:rPr>
          <w:rFonts w:hint="eastAsia" w:ascii="宋体" w:hAnsi="宋体" w:cs="宋体"/>
          <w:b/>
          <w:bCs/>
          <w:color w:val="auto"/>
          <w:kern w:val="44"/>
          <w:sz w:val="21"/>
          <w:szCs w:val="21"/>
          <w:highlight w:val="none"/>
        </w:rPr>
        <w:t>.11知识产权</w:t>
      </w:r>
      <w:bookmarkEnd w:id="178"/>
      <w:bookmarkEnd w:id="179"/>
      <w:bookmarkEnd w:id="180"/>
    </w:p>
    <w:bookmarkEnd w:id="181"/>
    <w:bookmarkEnd w:id="182"/>
    <w:p w14:paraId="7225801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3B038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3A78D0D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1.11.3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47F111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1.11.4除专用合同条款另有约定外，承包人在合同签订前和签订时已确定采用的专利、专有技术、技术秘密的使用费已包含在签约合同价中。</w:t>
      </w:r>
    </w:p>
    <w:p w14:paraId="063F71C4">
      <w:pPr>
        <w:keepNext/>
        <w:keepLines/>
        <w:spacing w:line="420" w:lineRule="exact"/>
        <w:ind w:firstLine="0" w:firstLineChars="0"/>
        <w:outlineLvl w:val="0"/>
        <w:rPr>
          <w:rFonts w:ascii="宋体" w:hAnsi="宋体" w:cs="宋体"/>
          <w:b/>
          <w:bCs/>
          <w:color w:val="auto"/>
          <w:kern w:val="44"/>
          <w:sz w:val="21"/>
          <w:szCs w:val="21"/>
          <w:highlight w:val="none"/>
        </w:rPr>
      </w:pPr>
      <w:bookmarkStart w:id="183" w:name="_Toc478389039"/>
      <w:bookmarkStart w:id="184" w:name="_Toc351203507"/>
      <w:r>
        <w:rPr>
          <w:rFonts w:hint="eastAsia" w:ascii="宋体" w:hAnsi="宋体" w:cs="宋体"/>
          <w:b/>
          <w:bCs/>
          <w:color w:val="auto"/>
          <w:kern w:val="44"/>
          <w:sz w:val="21"/>
          <w:szCs w:val="21"/>
          <w:highlight w:val="none"/>
        </w:rPr>
        <w:t>1</w:t>
      </w:r>
      <w:bookmarkStart w:id="185" w:name="_Toc337558738"/>
      <w:r>
        <w:rPr>
          <w:rFonts w:hint="eastAsia" w:ascii="宋体" w:hAnsi="宋体" w:cs="宋体"/>
          <w:b/>
          <w:bCs/>
          <w:color w:val="auto"/>
          <w:kern w:val="44"/>
          <w:sz w:val="21"/>
          <w:szCs w:val="21"/>
          <w:highlight w:val="none"/>
        </w:rPr>
        <w:t>.12保密</w:t>
      </w:r>
      <w:bookmarkEnd w:id="183"/>
      <w:bookmarkEnd w:id="184"/>
    </w:p>
    <w:bookmarkEnd w:id="185"/>
    <w:p w14:paraId="4AFC18D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除法律规定或合同另有约定外，未经发包人同意，承包人不得将发包人提供的图纸、文件以及声明需要保密的资料信息等商业秘密泄露给第三方。</w:t>
      </w:r>
    </w:p>
    <w:p w14:paraId="445293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除法律规定或合同另有约定外，未经承包人同意，发包人不得将承包人提供的技术秘密及声明需要保密的资料信息等商业秘密泄露给第三方。</w:t>
      </w:r>
    </w:p>
    <w:p w14:paraId="2EF73E71">
      <w:pPr>
        <w:keepNext/>
        <w:keepLines/>
        <w:spacing w:line="420" w:lineRule="exact"/>
        <w:ind w:firstLine="0" w:firstLineChars="0"/>
        <w:outlineLvl w:val="0"/>
        <w:rPr>
          <w:rFonts w:ascii="宋体" w:hAnsi="宋体" w:cs="宋体"/>
          <w:b/>
          <w:bCs/>
          <w:color w:val="auto"/>
          <w:kern w:val="44"/>
          <w:sz w:val="21"/>
          <w:szCs w:val="21"/>
          <w:highlight w:val="none"/>
        </w:rPr>
      </w:pPr>
      <w:bookmarkStart w:id="186" w:name="_Toc351203508"/>
      <w:bookmarkStart w:id="187" w:name="_Toc478389040"/>
      <w:r>
        <w:rPr>
          <w:rFonts w:hint="eastAsia" w:ascii="宋体" w:hAnsi="宋体" w:cs="宋体"/>
          <w:b/>
          <w:bCs/>
          <w:color w:val="auto"/>
          <w:kern w:val="44"/>
          <w:sz w:val="21"/>
          <w:szCs w:val="21"/>
          <w:highlight w:val="none"/>
        </w:rPr>
        <w:t>1.13工程量清单错误的修正</w:t>
      </w:r>
      <w:bookmarkEnd w:id="186"/>
      <w:bookmarkEnd w:id="187"/>
    </w:p>
    <w:p w14:paraId="5E2347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除专用合同条款另有约定外，发包人提供的工程量清单，应被认为是准确的和完整的。出现下列情形之一时，发包人应予以修正，并相应调整合同价格：</w:t>
      </w:r>
    </w:p>
    <w:p w14:paraId="0A7C9F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（1）工程量清单存在缺项、漏项的；</w:t>
      </w:r>
    </w:p>
    <w:p w14:paraId="69F3489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（2）工程量清单偏差超出专用合同条款约定的工程量偏差范围的；</w:t>
      </w:r>
    </w:p>
    <w:p w14:paraId="353532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（3）未按照国家现行计量规范强制性规定计量的。</w:t>
      </w:r>
    </w:p>
    <w:p w14:paraId="54D300AD">
      <w:pPr>
        <w:keepNext/>
        <w:keepLines/>
        <w:spacing w:line="420" w:lineRule="exact"/>
        <w:ind w:firstLine="0" w:firstLineChars="0"/>
        <w:outlineLvl w:val="0"/>
        <w:rPr>
          <w:rFonts w:ascii="宋体" w:hAnsi="宋体" w:cs="宋体"/>
          <w:b/>
          <w:bCs/>
          <w:color w:val="auto"/>
          <w:kern w:val="44"/>
          <w:sz w:val="21"/>
          <w:szCs w:val="21"/>
          <w:highlight w:val="none"/>
        </w:rPr>
      </w:pPr>
      <w:bookmarkStart w:id="188" w:name="_Toc478389041"/>
      <w:bookmarkStart w:id="189" w:name="_Toc351203509"/>
      <w:r>
        <w:rPr>
          <w:rFonts w:hint="eastAsia" w:ascii="宋体" w:hAnsi="宋体" w:cs="宋体"/>
          <w:b/>
          <w:bCs/>
          <w:color w:val="auto"/>
          <w:kern w:val="44"/>
          <w:sz w:val="21"/>
          <w:szCs w:val="21"/>
          <w:highlight w:val="none"/>
        </w:rPr>
        <w:t>2</w:t>
      </w:r>
      <w:bookmarkStart w:id="190" w:name="_Toc296503038"/>
      <w:bookmarkStart w:id="191" w:name="_Toc337558739"/>
      <w:bookmarkStart w:id="192" w:name="_Toc296346539"/>
      <w:r>
        <w:rPr>
          <w:rFonts w:hint="eastAsia" w:ascii="宋体" w:hAnsi="宋体" w:cs="宋体"/>
          <w:b/>
          <w:bCs/>
          <w:color w:val="auto"/>
          <w:kern w:val="44"/>
          <w:sz w:val="21"/>
          <w:szCs w:val="21"/>
          <w:highlight w:val="none"/>
        </w:rPr>
        <w:t>. 发包人</w:t>
      </w:r>
      <w:bookmarkEnd w:id="188"/>
      <w:bookmarkEnd w:id="189"/>
    </w:p>
    <w:bookmarkEnd w:id="190"/>
    <w:bookmarkEnd w:id="191"/>
    <w:bookmarkEnd w:id="192"/>
    <w:p w14:paraId="3DCDD141">
      <w:pPr>
        <w:keepNext/>
        <w:keepLines/>
        <w:spacing w:line="420" w:lineRule="exact"/>
        <w:ind w:firstLine="0" w:firstLineChars="0"/>
        <w:outlineLvl w:val="0"/>
        <w:rPr>
          <w:rFonts w:ascii="宋体" w:hAnsi="宋体" w:cs="宋体"/>
          <w:b/>
          <w:bCs/>
          <w:color w:val="auto"/>
          <w:kern w:val="44"/>
          <w:sz w:val="21"/>
          <w:szCs w:val="21"/>
          <w:highlight w:val="none"/>
        </w:rPr>
      </w:pPr>
      <w:bookmarkStart w:id="193" w:name="_Toc478389042"/>
      <w:bookmarkStart w:id="194" w:name="_Toc351203510"/>
      <w:r>
        <w:rPr>
          <w:rFonts w:hint="eastAsia" w:ascii="宋体" w:hAnsi="宋体" w:cs="宋体"/>
          <w:b/>
          <w:bCs/>
          <w:color w:val="auto"/>
          <w:kern w:val="44"/>
          <w:sz w:val="21"/>
          <w:szCs w:val="21"/>
          <w:highlight w:val="none"/>
        </w:rPr>
        <w:t>2</w:t>
      </w:r>
      <w:bookmarkStart w:id="195" w:name="_Toc337558740"/>
      <w:bookmarkStart w:id="196" w:name="_Toc296346540"/>
      <w:bookmarkStart w:id="197" w:name="_Toc296503039"/>
      <w:r>
        <w:rPr>
          <w:rFonts w:hint="eastAsia" w:ascii="宋体" w:hAnsi="宋体" w:cs="宋体"/>
          <w:b/>
          <w:bCs/>
          <w:color w:val="auto"/>
          <w:kern w:val="44"/>
          <w:sz w:val="21"/>
          <w:szCs w:val="21"/>
          <w:highlight w:val="none"/>
        </w:rPr>
        <w:t>.1 许可或批准</w:t>
      </w:r>
      <w:bookmarkEnd w:id="193"/>
      <w:bookmarkEnd w:id="194"/>
    </w:p>
    <w:p w14:paraId="1BE16D6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322DCFA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因发包人原因未能及时办理完毕前述许可、批准或备案，由发包人承担由此增加的费用和（或）延误的工期，并支付承包人合理的利润。</w:t>
      </w:r>
    </w:p>
    <w:p w14:paraId="2283C9A1">
      <w:pPr>
        <w:keepNext/>
        <w:keepLines/>
        <w:spacing w:line="420" w:lineRule="exact"/>
        <w:ind w:firstLine="0" w:firstLineChars="0"/>
        <w:outlineLvl w:val="0"/>
        <w:rPr>
          <w:rFonts w:ascii="宋体" w:hAnsi="宋体" w:cs="宋体"/>
          <w:b/>
          <w:bCs/>
          <w:color w:val="auto"/>
          <w:kern w:val="44"/>
          <w:sz w:val="21"/>
          <w:szCs w:val="21"/>
          <w:highlight w:val="none"/>
        </w:rPr>
      </w:pPr>
      <w:bookmarkStart w:id="198" w:name="_Toc351203511"/>
      <w:bookmarkStart w:id="199" w:name="_Toc478389043"/>
      <w:r>
        <w:rPr>
          <w:rFonts w:hint="eastAsia" w:ascii="宋体" w:hAnsi="宋体" w:cs="宋体"/>
          <w:b/>
          <w:bCs/>
          <w:color w:val="auto"/>
          <w:kern w:val="44"/>
          <w:sz w:val="21"/>
          <w:szCs w:val="21"/>
          <w:highlight w:val="none"/>
        </w:rPr>
        <w:t>2.2 发包人代表</w:t>
      </w:r>
      <w:bookmarkEnd w:id="198"/>
      <w:bookmarkEnd w:id="199"/>
    </w:p>
    <w:p w14:paraId="34DAF36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4EB8FF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发包人代表不能按照合同约定履行其职责及义务，并导致合同无法继续正常履行的，承包人可以要求发包人撤换发包人代表。</w:t>
      </w:r>
    </w:p>
    <w:p w14:paraId="2A384537">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不属于法定必须监理的工程，监理人的职权可以由发包人代表或发包人指定的其他人员行使。</w:t>
      </w:r>
    </w:p>
    <w:p w14:paraId="4BC40800">
      <w:pPr>
        <w:keepNext/>
        <w:keepLines/>
        <w:spacing w:line="420" w:lineRule="exact"/>
        <w:ind w:firstLine="0" w:firstLineChars="0"/>
        <w:outlineLvl w:val="0"/>
        <w:rPr>
          <w:rFonts w:ascii="宋体" w:hAnsi="宋体" w:cs="宋体"/>
          <w:b/>
          <w:bCs/>
          <w:color w:val="auto"/>
          <w:kern w:val="44"/>
          <w:sz w:val="21"/>
          <w:szCs w:val="21"/>
          <w:highlight w:val="none"/>
        </w:rPr>
      </w:pPr>
      <w:bookmarkStart w:id="200" w:name="_Toc351203512"/>
      <w:bookmarkStart w:id="201" w:name="_Toc478389044"/>
      <w:r>
        <w:rPr>
          <w:rFonts w:hint="eastAsia" w:ascii="宋体" w:hAnsi="宋体" w:cs="宋体"/>
          <w:b/>
          <w:bCs/>
          <w:color w:val="auto"/>
          <w:kern w:val="44"/>
          <w:sz w:val="21"/>
          <w:szCs w:val="21"/>
          <w:highlight w:val="none"/>
        </w:rPr>
        <w:t>2.3 发包人人员</w:t>
      </w:r>
      <w:bookmarkEnd w:id="200"/>
      <w:bookmarkEnd w:id="201"/>
    </w:p>
    <w:p w14:paraId="3A73CA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发包人应要求在施工现场的发包人人员遵守法律及有关安全、质量、环境保护、文明施工等规定，并保障承包人免于承受因发包人人员未遵守上述要求给承包人造成的损失和责任。</w:t>
      </w:r>
    </w:p>
    <w:p w14:paraId="073077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发包人人员包括发包人代表及其他由发包人派驻施工现场的人员。</w:t>
      </w:r>
      <w:bookmarkEnd w:id="195"/>
      <w:bookmarkEnd w:id="196"/>
      <w:bookmarkEnd w:id="197"/>
    </w:p>
    <w:p w14:paraId="696ADEE3">
      <w:pPr>
        <w:keepNext/>
        <w:keepLines/>
        <w:spacing w:line="420" w:lineRule="exact"/>
        <w:ind w:firstLine="0" w:firstLineChars="0"/>
        <w:outlineLvl w:val="0"/>
        <w:rPr>
          <w:rFonts w:ascii="宋体" w:hAnsi="宋体" w:cs="宋体"/>
          <w:b/>
          <w:bCs/>
          <w:color w:val="auto"/>
          <w:kern w:val="44"/>
          <w:sz w:val="21"/>
          <w:szCs w:val="21"/>
          <w:highlight w:val="none"/>
        </w:rPr>
      </w:pPr>
      <w:bookmarkStart w:id="202" w:name="_Toc351203513"/>
      <w:bookmarkStart w:id="203" w:name="_Toc478389045"/>
      <w:r>
        <w:rPr>
          <w:rFonts w:hint="eastAsia" w:ascii="宋体" w:hAnsi="宋体" w:cs="宋体"/>
          <w:b/>
          <w:bCs/>
          <w:color w:val="auto"/>
          <w:kern w:val="44"/>
          <w:sz w:val="21"/>
          <w:szCs w:val="21"/>
          <w:highlight w:val="none"/>
        </w:rPr>
        <w:t>2</w:t>
      </w:r>
      <w:bookmarkStart w:id="204" w:name="_Toc337558741"/>
      <w:bookmarkStart w:id="205" w:name="_Toc296503040"/>
      <w:bookmarkStart w:id="206" w:name="_Toc296346541"/>
      <w:r>
        <w:rPr>
          <w:rFonts w:hint="eastAsia" w:ascii="宋体" w:hAnsi="宋体" w:cs="宋体"/>
          <w:b/>
          <w:bCs/>
          <w:color w:val="auto"/>
          <w:kern w:val="44"/>
          <w:sz w:val="21"/>
          <w:szCs w:val="21"/>
          <w:highlight w:val="none"/>
        </w:rPr>
        <w:t>.4 施工现场、施工条件和基础资料的提供</w:t>
      </w:r>
      <w:bookmarkEnd w:id="202"/>
      <w:bookmarkEnd w:id="203"/>
      <w:bookmarkEnd w:id="204"/>
      <w:bookmarkEnd w:id="205"/>
      <w:bookmarkEnd w:id="206"/>
    </w:p>
    <w:p w14:paraId="43F5A4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2.4.1 提供施工现场</w:t>
      </w:r>
    </w:p>
    <w:p w14:paraId="41B57E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除专用合同条款另有约定外，发包人应最迟于开工日期7天前向承包人移交施工现场。</w:t>
      </w:r>
    </w:p>
    <w:p w14:paraId="6ABEE11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2.4.2 提供施工条件</w:t>
      </w:r>
    </w:p>
    <w:p w14:paraId="37CE78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除专用合同条款另有约定外，发包人应负责提供施工所需要的条件，包括：</w:t>
      </w:r>
    </w:p>
    <w:p w14:paraId="06EA75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（1）将施工用水、电力、通讯线路等施工所必需的条件接至施工现场内；</w:t>
      </w:r>
    </w:p>
    <w:p w14:paraId="6B991AF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（2）保证向承包人提供正常施工所需要的进入施工现场的交通条件；</w:t>
      </w:r>
    </w:p>
    <w:p w14:paraId="6BAD16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（3）协调处理施工现场周围地下管线和邻近建筑物、构筑物、古树名木的保护工作，并承担相关费用；</w:t>
      </w:r>
    </w:p>
    <w:p w14:paraId="6A3C8E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（4）按照专用合同条款约定应提供的其他设施和条件。</w:t>
      </w:r>
    </w:p>
    <w:p w14:paraId="303FA67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2.4.3 提供基础资料</w:t>
      </w:r>
    </w:p>
    <w:p w14:paraId="14E2FC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630ED39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按照法律规定确需在开工后方能提供的基础资料，发包人应尽其努力及时地在相应工程施工前的合理期限内提供，合理期限应以不影响承包人的正常施工为限。</w:t>
      </w:r>
    </w:p>
    <w:p w14:paraId="4AD71A9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2.4.4 逾期提供的责任</w:t>
      </w:r>
    </w:p>
    <w:p w14:paraId="392521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因发包人原因未能按合同约定及时向承包人提供施工现场、施工条件、基础资料的，由发包人承担由此增加的费用和（或）延误的工期。</w:t>
      </w:r>
    </w:p>
    <w:p w14:paraId="607F2583">
      <w:pPr>
        <w:keepNext/>
        <w:keepLines/>
        <w:spacing w:line="420" w:lineRule="exact"/>
        <w:ind w:firstLine="0" w:firstLineChars="0"/>
        <w:outlineLvl w:val="0"/>
        <w:rPr>
          <w:rFonts w:ascii="宋体" w:hAnsi="宋体" w:cs="宋体"/>
          <w:b/>
          <w:bCs/>
          <w:color w:val="auto"/>
          <w:kern w:val="44"/>
          <w:sz w:val="21"/>
          <w:szCs w:val="21"/>
          <w:highlight w:val="none"/>
        </w:rPr>
      </w:pPr>
      <w:bookmarkStart w:id="207" w:name="_Toc478389046"/>
      <w:bookmarkStart w:id="208" w:name="_Toc351203514"/>
      <w:r>
        <w:rPr>
          <w:rFonts w:hint="eastAsia" w:ascii="宋体" w:hAnsi="宋体" w:cs="宋体"/>
          <w:b/>
          <w:bCs/>
          <w:color w:val="auto"/>
          <w:kern w:val="44"/>
          <w:sz w:val="21"/>
          <w:szCs w:val="21"/>
          <w:highlight w:val="none"/>
        </w:rPr>
        <w:t>2</w:t>
      </w:r>
      <w:bookmarkStart w:id="209" w:name="_Toc337558745"/>
      <w:bookmarkStart w:id="210" w:name="_Toc296346543"/>
      <w:bookmarkStart w:id="211" w:name="_Toc296503042"/>
      <w:r>
        <w:rPr>
          <w:rFonts w:hint="eastAsia" w:ascii="宋体" w:hAnsi="宋体" w:cs="宋体"/>
          <w:b/>
          <w:bCs/>
          <w:color w:val="auto"/>
          <w:kern w:val="44"/>
          <w:sz w:val="21"/>
          <w:szCs w:val="21"/>
          <w:highlight w:val="none"/>
        </w:rPr>
        <w:t>.5 资</w:t>
      </w:r>
      <w:bookmarkEnd w:id="209"/>
      <w:bookmarkEnd w:id="210"/>
      <w:bookmarkEnd w:id="211"/>
      <w:r>
        <w:rPr>
          <w:rFonts w:hint="eastAsia" w:ascii="宋体" w:hAnsi="宋体" w:cs="宋体"/>
          <w:b/>
          <w:bCs/>
          <w:color w:val="auto"/>
          <w:kern w:val="44"/>
          <w:sz w:val="21"/>
          <w:szCs w:val="21"/>
          <w:highlight w:val="none"/>
        </w:rPr>
        <w:t>金来源证明及支付担保</w:t>
      </w:r>
      <w:bookmarkEnd w:id="207"/>
      <w:bookmarkEnd w:id="208"/>
    </w:p>
    <w:p w14:paraId="08CEFC2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除专用合同条款另有约定外，发包人应在收到承包人要求提供资金来源证明的书面通知后28天内，向承包人提供能够按照合同约定支付合同价款的相应资金来源证明。</w:t>
      </w:r>
    </w:p>
    <w:p w14:paraId="07ACAE7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除专用合同条款另有约定外，发包人要求承包人提供履约保证金的，发包人应当向承包人提供支付担保。支付担保可以采用银行保函或担保公司担保等形式，具体由合同当事人在专用合同条款中约定。</w:t>
      </w:r>
    </w:p>
    <w:p w14:paraId="06AE4249">
      <w:pPr>
        <w:keepNext/>
        <w:keepLines/>
        <w:spacing w:line="420" w:lineRule="exact"/>
        <w:ind w:firstLine="0" w:firstLineChars="0"/>
        <w:outlineLvl w:val="0"/>
        <w:rPr>
          <w:rFonts w:ascii="宋体" w:hAnsi="宋体" w:cs="宋体"/>
          <w:b/>
          <w:bCs/>
          <w:color w:val="auto"/>
          <w:kern w:val="44"/>
          <w:sz w:val="21"/>
          <w:szCs w:val="21"/>
          <w:highlight w:val="none"/>
        </w:rPr>
      </w:pPr>
      <w:bookmarkStart w:id="212" w:name="_Toc351203515"/>
      <w:bookmarkStart w:id="213" w:name="_Toc478389047"/>
      <w:r>
        <w:rPr>
          <w:rFonts w:hint="eastAsia" w:ascii="宋体" w:hAnsi="宋体" w:cs="宋体"/>
          <w:b/>
          <w:bCs/>
          <w:color w:val="auto"/>
          <w:kern w:val="44"/>
          <w:sz w:val="21"/>
          <w:szCs w:val="21"/>
          <w:highlight w:val="none"/>
        </w:rPr>
        <w:t>2.6 支付合同价款</w:t>
      </w:r>
      <w:bookmarkEnd w:id="212"/>
      <w:bookmarkEnd w:id="213"/>
    </w:p>
    <w:p w14:paraId="663194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发包人应按合同约定向承包人及时支付合同价款。</w:t>
      </w:r>
    </w:p>
    <w:p w14:paraId="171441FF">
      <w:pPr>
        <w:keepNext/>
        <w:keepLines/>
        <w:spacing w:line="420" w:lineRule="exact"/>
        <w:ind w:firstLine="0" w:firstLineChars="0"/>
        <w:outlineLvl w:val="0"/>
        <w:rPr>
          <w:rFonts w:ascii="宋体" w:hAnsi="宋体" w:cs="宋体"/>
          <w:b/>
          <w:bCs/>
          <w:color w:val="auto"/>
          <w:kern w:val="44"/>
          <w:sz w:val="21"/>
          <w:szCs w:val="21"/>
          <w:highlight w:val="none"/>
        </w:rPr>
      </w:pPr>
      <w:bookmarkStart w:id="214" w:name="_Toc478389048"/>
      <w:bookmarkStart w:id="215" w:name="_Toc351203516"/>
      <w:r>
        <w:rPr>
          <w:rFonts w:hint="eastAsia" w:ascii="宋体" w:hAnsi="宋体" w:cs="宋体"/>
          <w:b/>
          <w:bCs/>
          <w:color w:val="auto"/>
          <w:kern w:val="44"/>
          <w:sz w:val="21"/>
          <w:szCs w:val="21"/>
          <w:highlight w:val="none"/>
        </w:rPr>
        <w:t>2.7 组织竣工验收</w:t>
      </w:r>
      <w:bookmarkEnd w:id="214"/>
      <w:bookmarkEnd w:id="215"/>
    </w:p>
    <w:p w14:paraId="7F34813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发包人应按合同约定及时组织竣工验收。</w:t>
      </w:r>
    </w:p>
    <w:p w14:paraId="1C4D1F6D">
      <w:pPr>
        <w:keepNext/>
        <w:keepLines/>
        <w:spacing w:line="420" w:lineRule="exact"/>
        <w:ind w:firstLine="0" w:firstLineChars="0"/>
        <w:outlineLvl w:val="0"/>
        <w:rPr>
          <w:rFonts w:ascii="宋体" w:hAnsi="宋体" w:cs="宋体"/>
          <w:b/>
          <w:bCs/>
          <w:color w:val="auto"/>
          <w:kern w:val="44"/>
          <w:sz w:val="21"/>
          <w:szCs w:val="21"/>
          <w:highlight w:val="none"/>
        </w:rPr>
      </w:pPr>
      <w:bookmarkStart w:id="216" w:name="_Toc478389049"/>
      <w:bookmarkStart w:id="217" w:name="_Toc351203517"/>
      <w:r>
        <w:rPr>
          <w:rFonts w:hint="eastAsia" w:ascii="宋体" w:hAnsi="宋体" w:cs="宋体"/>
          <w:b/>
          <w:bCs/>
          <w:color w:val="auto"/>
          <w:kern w:val="44"/>
          <w:sz w:val="21"/>
          <w:szCs w:val="21"/>
          <w:highlight w:val="none"/>
        </w:rPr>
        <w:t>2.8 现场统一管理协议</w:t>
      </w:r>
      <w:bookmarkEnd w:id="216"/>
      <w:bookmarkEnd w:id="217"/>
    </w:p>
    <w:p w14:paraId="55BB5E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发包人应与承包人、由发包人直接发包的专业工程的承包人签订施工现场统一管理协议，明确各方的权利义务。施工现场统一管理协议作为专用合同条款的附件。</w:t>
      </w:r>
    </w:p>
    <w:p w14:paraId="101FA706">
      <w:pPr>
        <w:keepNext/>
        <w:keepLines/>
        <w:spacing w:line="420" w:lineRule="exact"/>
        <w:ind w:firstLine="0" w:firstLineChars="0"/>
        <w:outlineLvl w:val="0"/>
        <w:rPr>
          <w:rFonts w:ascii="宋体" w:hAnsi="宋体" w:cs="宋体"/>
          <w:b/>
          <w:bCs/>
          <w:color w:val="auto"/>
          <w:kern w:val="44"/>
          <w:sz w:val="21"/>
          <w:szCs w:val="21"/>
          <w:highlight w:val="none"/>
        </w:rPr>
      </w:pPr>
      <w:bookmarkStart w:id="218" w:name="_Toc351203518"/>
      <w:bookmarkStart w:id="219" w:name="_Toc478389050"/>
      <w:r>
        <w:rPr>
          <w:rFonts w:hint="eastAsia" w:ascii="宋体" w:hAnsi="宋体" w:cs="宋体"/>
          <w:b/>
          <w:bCs/>
          <w:color w:val="auto"/>
          <w:kern w:val="44"/>
          <w:sz w:val="21"/>
          <w:szCs w:val="21"/>
          <w:highlight w:val="none"/>
        </w:rPr>
        <w:t>3</w:t>
      </w:r>
      <w:bookmarkStart w:id="220" w:name="_Toc296503045"/>
      <w:bookmarkStart w:id="221" w:name="_Toc296346546"/>
      <w:bookmarkStart w:id="222" w:name="_Toc337558746"/>
      <w:r>
        <w:rPr>
          <w:rFonts w:hint="eastAsia" w:ascii="宋体" w:hAnsi="宋体" w:cs="宋体"/>
          <w:b/>
          <w:bCs/>
          <w:color w:val="auto"/>
          <w:kern w:val="44"/>
          <w:sz w:val="21"/>
          <w:szCs w:val="21"/>
          <w:highlight w:val="none"/>
        </w:rPr>
        <w:t>. 承包人</w:t>
      </w:r>
      <w:bookmarkEnd w:id="218"/>
      <w:bookmarkEnd w:id="219"/>
    </w:p>
    <w:bookmarkEnd w:id="220"/>
    <w:bookmarkEnd w:id="221"/>
    <w:bookmarkEnd w:id="222"/>
    <w:p w14:paraId="29573C1E">
      <w:pPr>
        <w:keepNext/>
        <w:keepLines/>
        <w:spacing w:line="420" w:lineRule="exact"/>
        <w:ind w:firstLine="0" w:firstLineChars="0"/>
        <w:outlineLvl w:val="0"/>
        <w:rPr>
          <w:rFonts w:ascii="宋体" w:hAnsi="宋体" w:cs="宋体"/>
          <w:b/>
          <w:bCs/>
          <w:color w:val="auto"/>
          <w:kern w:val="44"/>
          <w:sz w:val="21"/>
          <w:szCs w:val="21"/>
          <w:highlight w:val="none"/>
        </w:rPr>
      </w:pPr>
      <w:bookmarkStart w:id="223" w:name="_Toc351203519"/>
      <w:bookmarkStart w:id="224" w:name="_Toc478389051"/>
      <w:r>
        <w:rPr>
          <w:rFonts w:hint="eastAsia" w:ascii="宋体" w:hAnsi="宋体" w:cs="宋体"/>
          <w:b/>
          <w:bCs/>
          <w:color w:val="auto"/>
          <w:kern w:val="44"/>
          <w:sz w:val="21"/>
          <w:szCs w:val="21"/>
          <w:highlight w:val="none"/>
        </w:rPr>
        <w:t>3</w:t>
      </w:r>
      <w:bookmarkStart w:id="225" w:name="_Toc296503046"/>
      <w:bookmarkStart w:id="226" w:name="_Toc337558747"/>
      <w:bookmarkStart w:id="227" w:name="_Toc296346547"/>
      <w:r>
        <w:rPr>
          <w:rFonts w:hint="eastAsia" w:ascii="宋体" w:hAnsi="宋体" w:cs="宋体"/>
          <w:b/>
          <w:bCs/>
          <w:color w:val="auto"/>
          <w:kern w:val="44"/>
          <w:sz w:val="21"/>
          <w:szCs w:val="21"/>
          <w:highlight w:val="none"/>
        </w:rPr>
        <w:t>.1 承包人的一般义务</w:t>
      </w:r>
      <w:bookmarkEnd w:id="223"/>
      <w:bookmarkEnd w:id="224"/>
    </w:p>
    <w:bookmarkEnd w:id="225"/>
    <w:bookmarkEnd w:id="226"/>
    <w:bookmarkEnd w:id="227"/>
    <w:p w14:paraId="12AA01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承包人在履行合同过程中应遵守法律和工程建设标准规范，并履行以下义务：</w:t>
      </w:r>
    </w:p>
    <w:p w14:paraId="1F06553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办理法律规定应由承包人办理的许可和批准，并将办理结果书面报送发包人留存；</w:t>
      </w:r>
    </w:p>
    <w:p w14:paraId="51011BC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（2）按法律规定和合同约定完成工程，并在保修期内承担保修义务；</w:t>
      </w:r>
    </w:p>
    <w:p w14:paraId="32930B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（3）按法律规定和合同约定采取施工安全和环境保护措施，办理工伤保险，确保工程及人员、材料、设备和设施的安全；</w:t>
      </w:r>
    </w:p>
    <w:p w14:paraId="4E38193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（4）按合同约定的工作内容和施工进度要求，编制施工组织设计和施工措施计划，并对所有施工作业和施工方法的完备性和安全可靠性负责；</w:t>
      </w:r>
    </w:p>
    <w:p w14:paraId="592BAB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4DA5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（6）按照第6.3款〔环境保护〕约定负责施工场地及其周边环境与生态的保护工作；</w:t>
      </w:r>
    </w:p>
    <w:p w14:paraId="6CE45D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（7）按第6.1款〔安全文明施工〕约定采取施工安全措施，确保工程及其人员、材料、设备和设施的安全，防止因工程施工造成的人身伤害和财产损失；</w:t>
      </w:r>
    </w:p>
    <w:p w14:paraId="0FD58C9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（8）将发包人按合同约定支付的各项价款专用于合同工程，且应及时支付其雇用人员工资，并及时向分包人支付合同价款；</w:t>
      </w:r>
    </w:p>
    <w:p w14:paraId="0E7F28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（9）按照法律规定和合同约定编制竣工资料，完成竣工资料立卷及归档，并按专用合同条款约定的竣工资料的套数、内容、时间等要求移交发包人；</w:t>
      </w:r>
    </w:p>
    <w:p w14:paraId="3F544B3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（10）应履行的其他义务。</w:t>
      </w:r>
    </w:p>
    <w:p w14:paraId="1FD6B754">
      <w:pPr>
        <w:keepNext/>
        <w:keepLines/>
        <w:spacing w:line="420" w:lineRule="exact"/>
        <w:ind w:firstLine="0" w:firstLineChars="0"/>
        <w:outlineLvl w:val="0"/>
        <w:rPr>
          <w:rFonts w:ascii="宋体" w:hAnsi="宋体" w:cs="宋体"/>
          <w:b/>
          <w:bCs/>
          <w:color w:val="auto"/>
          <w:kern w:val="44"/>
          <w:sz w:val="21"/>
          <w:szCs w:val="21"/>
          <w:highlight w:val="none"/>
        </w:rPr>
      </w:pPr>
      <w:bookmarkStart w:id="228" w:name="_Toc351203520"/>
      <w:bookmarkStart w:id="229" w:name="_Toc478389052"/>
      <w:r>
        <w:rPr>
          <w:rFonts w:hint="eastAsia" w:ascii="宋体" w:hAnsi="宋体" w:cs="宋体"/>
          <w:b/>
          <w:bCs/>
          <w:color w:val="auto"/>
          <w:kern w:val="44"/>
          <w:sz w:val="21"/>
          <w:szCs w:val="21"/>
          <w:highlight w:val="none"/>
        </w:rPr>
        <w:t>3</w:t>
      </w:r>
      <w:bookmarkStart w:id="230" w:name="_Toc337558748"/>
      <w:bookmarkStart w:id="231" w:name="_Toc296503047"/>
      <w:bookmarkStart w:id="232" w:name="_Toc296346548"/>
      <w:r>
        <w:rPr>
          <w:rFonts w:hint="eastAsia" w:ascii="宋体" w:hAnsi="宋体" w:cs="宋体"/>
          <w:b/>
          <w:bCs/>
          <w:color w:val="auto"/>
          <w:kern w:val="44"/>
          <w:sz w:val="21"/>
          <w:szCs w:val="21"/>
          <w:highlight w:val="none"/>
        </w:rPr>
        <w:t xml:space="preserve">.2 </w:t>
      </w:r>
      <w:bookmarkEnd w:id="228"/>
      <w:r>
        <w:rPr>
          <w:rFonts w:hint="eastAsia" w:ascii="宋体" w:hAnsi="宋体" w:cs="宋体"/>
          <w:b/>
          <w:bCs/>
          <w:color w:val="auto"/>
          <w:kern w:val="44"/>
          <w:sz w:val="21"/>
          <w:szCs w:val="21"/>
          <w:highlight w:val="none"/>
        </w:rPr>
        <w:t>项目经理</w:t>
      </w:r>
      <w:bookmarkEnd w:id="229"/>
    </w:p>
    <w:bookmarkEnd w:id="230"/>
    <w:bookmarkEnd w:id="231"/>
    <w:bookmarkEnd w:id="232"/>
    <w:p w14:paraId="0B43E16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3.2.1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2A84E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683A82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承包人违反上述约定的，应按照专用合同条款的约定，承担违约责任。</w:t>
      </w:r>
    </w:p>
    <w:p w14:paraId="27BB416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3.2.2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55C92C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3.2.3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21CCE9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3.2.4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4D2E1F9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3.2.5项目经理因特殊情况授权其下属人员履行其某项工作职责的，该下属人员应具备履行相应职责的能力，并应提前7天将上述人员的姓名和授权范围书面通知监理人，并征得发包人书面同意。</w:t>
      </w:r>
    </w:p>
    <w:p w14:paraId="7D7EBA18">
      <w:pPr>
        <w:keepNext/>
        <w:keepLines/>
        <w:spacing w:line="420" w:lineRule="exact"/>
        <w:ind w:firstLine="0" w:firstLineChars="0"/>
        <w:outlineLvl w:val="0"/>
        <w:rPr>
          <w:rFonts w:ascii="宋体" w:hAnsi="宋体" w:cs="宋体"/>
          <w:b/>
          <w:bCs/>
          <w:color w:val="auto"/>
          <w:kern w:val="44"/>
          <w:sz w:val="21"/>
          <w:szCs w:val="21"/>
          <w:highlight w:val="none"/>
        </w:rPr>
      </w:pPr>
      <w:bookmarkStart w:id="233" w:name="_Toc478389053"/>
      <w:bookmarkStart w:id="234" w:name="_Toc351203521"/>
      <w:r>
        <w:rPr>
          <w:rFonts w:hint="eastAsia" w:ascii="宋体" w:hAnsi="宋体" w:cs="宋体"/>
          <w:b/>
          <w:bCs/>
          <w:color w:val="auto"/>
          <w:kern w:val="44"/>
          <w:sz w:val="21"/>
          <w:szCs w:val="21"/>
          <w:highlight w:val="none"/>
        </w:rPr>
        <w:t>3</w:t>
      </w:r>
      <w:bookmarkStart w:id="235" w:name="_Toc296503048"/>
      <w:bookmarkStart w:id="236" w:name="_Toc296346549"/>
      <w:bookmarkStart w:id="237" w:name="_Toc337558749"/>
      <w:r>
        <w:rPr>
          <w:rFonts w:hint="eastAsia" w:ascii="宋体" w:hAnsi="宋体" w:cs="宋体"/>
          <w:b/>
          <w:bCs/>
          <w:color w:val="auto"/>
          <w:kern w:val="44"/>
          <w:sz w:val="21"/>
          <w:szCs w:val="21"/>
          <w:highlight w:val="none"/>
        </w:rPr>
        <w:t xml:space="preserve">.3 </w:t>
      </w:r>
      <w:bookmarkEnd w:id="235"/>
      <w:bookmarkEnd w:id="236"/>
      <w:r>
        <w:rPr>
          <w:rFonts w:hint="eastAsia" w:ascii="宋体" w:hAnsi="宋体" w:cs="宋体"/>
          <w:b/>
          <w:bCs/>
          <w:color w:val="auto"/>
          <w:kern w:val="44"/>
          <w:sz w:val="21"/>
          <w:szCs w:val="21"/>
          <w:highlight w:val="none"/>
        </w:rPr>
        <w:t>承包人人员</w:t>
      </w:r>
      <w:bookmarkEnd w:id="233"/>
      <w:bookmarkEnd w:id="234"/>
    </w:p>
    <w:bookmarkEnd w:id="237"/>
    <w:p w14:paraId="01B62D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3.3.1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44FE0D0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3.3.2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特殊工种作业人员均应持有相应的资格证明，监理人可以随时检查。</w:t>
      </w:r>
    </w:p>
    <w:p w14:paraId="6146B6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3.3.3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70C4541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3.3.4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6DAD7F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3.3.5承包人擅自更换主要施工管理人员，或前述人员未经监理人或发包人同意擅自离开施工现场的，应按照专用合同条款约定承担违约责任。</w:t>
      </w:r>
    </w:p>
    <w:p w14:paraId="049CD277">
      <w:pPr>
        <w:keepNext/>
        <w:keepLines/>
        <w:spacing w:line="420" w:lineRule="exact"/>
        <w:ind w:firstLine="0" w:firstLineChars="0"/>
        <w:outlineLvl w:val="0"/>
        <w:rPr>
          <w:rFonts w:ascii="宋体" w:hAnsi="宋体" w:cs="宋体"/>
          <w:b/>
          <w:bCs/>
          <w:color w:val="auto"/>
          <w:kern w:val="44"/>
          <w:sz w:val="21"/>
          <w:szCs w:val="21"/>
          <w:highlight w:val="none"/>
        </w:rPr>
      </w:pPr>
      <w:bookmarkStart w:id="238" w:name="_Toc351203522"/>
      <w:bookmarkStart w:id="239" w:name="_Toc478389054"/>
      <w:r>
        <w:rPr>
          <w:rFonts w:hint="eastAsia" w:ascii="宋体" w:hAnsi="宋体" w:cs="宋体"/>
          <w:b/>
          <w:bCs/>
          <w:color w:val="auto"/>
          <w:kern w:val="44"/>
          <w:sz w:val="21"/>
          <w:szCs w:val="21"/>
          <w:highlight w:val="none"/>
        </w:rPr>
        <w:t>3</w:t>
      </w:r>
      <w:bookmarkStart w:id="240" w:name="_Toc296503050"/>
      <w:bookmarkStart w:id="241" w:name="_Toc296346551"/>
      <w:bookmarkStart w:id="242" w:name="_Toc337558750"/>
      <w:r>
        <w:rPr>
          <w:rFonts w:hint="eastAsia" w:ascii="宋体" w:hAnsi="宋体" w:cs="宋体"/>
          <w:b/>
          <w:bCs/>
          <w:color w:val="auto"/>
          <w:kern w:val="44"/>
          <w:sz w:val="21"/>
          <w:szCs w:val="21"/>
          <w:highlight w:val="none"/>
        </w:rPr>
        <w:t>.4 承包人现场查勘</w:t>
      </w:r>
      <w:bookmarkEnd w:id="238"/>
      <w:bookmarkEnd w:id="239"/>
    </w:p>
    <w:bookmarkEnd w:id="240"/>
    <w:bookmarkEnd w:id="241"/>
    <w:bookmarkEnd w:id="242"/>
    <w:p w14:paraId="0F42D2A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承包人应对基于发包人按照第2.4.3项〔提供基础资料〕提交的基础资料所做出的解释和推断负责，但因基础资料存在错误、遗漏导致承包人解释或推断失实的，由发包人承担责任。</w:t>
      </w:r>
    </w:p>
    <w:p w14:paraId="11975B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76A03418">
      <w:pPr>
        <w:keepNext/>
        <w:keepLines/>
        <w:spacing w:line="420" w:lineRule="exact"/>
        <w:ind w:firstLine="0" w:firstLineChars="0"/>
        <w:outlineLvl w:val="0"/>
        <w:rPr>
          <w:rFonts w:ascii="宋体" w:hAnsi="宋体" w:cs="宋体"/>
          <w:b/>
          <w:bCs/>
          <w:color w:val="auto"/>
          <w:kern w:val="44"/>
          <w:sz w:val="21"/>
          <w:szCs w:val="21"/>
          <w:highlight w:val="none"/>
        </w:rPr>
      </w:pPr>
      <w:bookmarkStart w:id="243" w:name="_Toc351203523"/>
      <w:bookmarkStart w:id="244" w:name="_Toc478389055"/>
      <w:r>
        <w:rPr>
          <w:rFonts w:hint="eastAsia" w:ascii="宋体" w:hAnsi="宋体" w:cs="宋体"/>
          <w:b/>
          <w:bCs/>
          <w:color w:val="auto"/>
          <w:kern w:val="44"/>
          <w:sz w:val="21"/>
          <w:szCs w:val="21"/>
          <w:highlight w:val="none"/>
        </w:rPr>
        <w:t>3</w:t>
      </w:r>
      <w:bookmarkStart w:id="245" w:name="_Toc337558751"/>
      <w:bookmarkStart w:id="246" w:name="_Toc296346552"/>
      <w:bookmarkStart w:id="247" w:name="_Toc296503051"/>
      <w:r>
        <w:rPr>
          <w:rFonts w:hint="eastAsia" w:ascii="宋体" w:hAnsi="宋体" w:cs="宋体"/>
          <w:b/>
          <w:bCs/>
          <w:color w:val="auto"/>
          <w:kern w:val="44"/>
          <w:sz w:val="21"/>
          <w:szCs w:val="21"/>
          <w:highlight w:val="none"/>
        </w:rPr>
        <w:t>.5 分包</w:t>
      </w:r>
      <w:bookmarkEnd w:id="243"/>
      <w:bookmarkEnd w:id="244"/>
    </w:p>
    <w:bookmarkEnd w:id="245"/>
    <w:bookmarkEnd w:id="246"/>
    <w:bookmarkEnd w:id="247"/>
    <w:p w14:paraId="7AFB70E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3.5.1 分包的一般约定</w:t>
      </w:r>
    </w:p>
    <w:p w14:paraId="1B2850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74988F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承包人不得以劳务分包的名义转包或违法分包工程。</w:t>
      </w:r>
    </w:p>
    <w:p w14:paraId="1BCA35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3.5.2 分包的确定</w:t>
      </w:r>
    </w:p>
    <w:p w14:paraId="37745E9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065D01C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3.5.3 分包管理</w:t>
      </w:r>
    </w:p>
    <w:p w14:paraId="3919D0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承包人应向监理人提交分包人的主要施工管理人员表，并对分包人的施工人员进行实名制管理，包括但不限于进出场管理、登记造册以及各种证照的办理。</w:t>
      </w:r>
    </w:p>
    <w:p w14:paraId="2E65D0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3.5.4 分包合同价款</w:t>
      </w:r>
    </w:p>
    <w:p w14:paraId="12FDF10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（1）除本项第（2）目约定的情况或专用合同条款另有约定外，分包合同价款由承包人与分包人结算，未经承包人同意，发包人不得向分包人支付分包工程价款；</w:t>
      </w:r>
    </w:p>
    <w:p w14:paraId="3313C06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（2）生效法律文书要求发包人向分包人支付分包合同价款的，发包人有权从应付承包人工程款中扣除该部分款项。</w:t>
      </w:r>
    </w:p>
    <w:p w14:paraId="17C81D3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3.5.5 分包合同权益的转让</w:t>
      </w:r>
    </w:p>
    <w:p w14:paraId="731652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48" w:name="_Toc351203524"/>
    </w:p>
    <w:p w14:paraId="3A55981B">
      <w:pPr>
        <w:keepNext/>
        <w:keepLines/>
        <w:spacing w:line="420" w:lineRule="exact"/>
        <w:ind w:firstLine="0" w:firstLineChars="0"/>
        <w:outlineLvl w:val="0"/>
        <w:rPr>
          <w:rFonts w:ascii="宋体" w:hAnsi="宋体" w:cs="宋体"/>
          <w:b/>
          <w:bCs/>
          <w:color w:val="auto"/>
          <w:kern w:val="44"/>
          <w:sz w:val="21"/>
          <w:szCs w:val="21"/>
          <w:highlight w:val="none"/>
        </w:rPr>
      </w:pPr>
      <w:bookmarkStart w:id="249" w:name="_Toc478389056"/>
      <w:r>
        <w:rPr>
          <w:rFonts w:hint="eastAsia" w:ascii="宋体" w:hAnsi="宋体" w:cs="宋体"/>
          <w:b/>
          <w:bCs/>
          <w:color w:val="auto"/>
          <w:kern w:val="44"/>
          <w:sz w:val="21"/>
          <w:szCs w:val="21"/>
          <w:highlight w:val="none"/>
        </w:rPr>
        <w:t>3.6 工程照管与成品、半成品保护</w:t>
      </w:r>
      <w:bookmarkEnd w:id="248"/>
      <w:bookmarkEnd w:id="249"/>
    </w:p>
    <w:p w14:paraId="00B91B4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（1）除专用合同条款另有约定外，自发包人向承包人移交施工现场之日起，承包人应负责照管工程及工程相关的材料、工程设备，直到颁发工程接收证书之日止。</w:t>
      </w:r>
    </w:p>
    <w:p w14:paraId="58573F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（2）在承包人负责照管期间，因承包人原因造成工程、材料、工程设备损坏的，由承包人负责修复或更换，并承担由此增加的费用和（或）延误的工期。</w:t>
      </w:r>
    </w:p>
    <w:p w14:paraId="261D25B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473C84D1">
      <w:pPr>
        <w:keepNext/>
        <w:keepLines/>
        <w:spacing w:line="420" w:lineRule="exact"/>
        <w:ind w:firstLine="0" w:firstLineChars="0"/>
        <w:outlineLvl w:val="0"/>
        <w:rPr>
          <w:rFonts w:ascii="宋体" w:hAnsi="宋体" w:cs="宋体"/>
          <w:b/>
          <w:bCs/>
          <w:color w:val="auto"/>
          <w:kern w:val="44"/>
          <w:sz w:val="21"/>
          <w:szCs w:val="21"/>
          <w:highlight w:val="none"/>
        </w:rPr>
      </w:pPr>
      <w:bookmarkStart w:id="250" w:name="_Toc478389057"/>
      <w:bookmarkStart w:id="251" w:name="_Toc351203525"/>
      <w:r>
        <w:rPr>
          <w:rFonts w:hint="eastAsia" w:ascii="宋体" w:hAnsi="宋体" w:cs="宋体"/>
          <w:b/>
          <w:bCs/>
          <w:color w:val="auto"/>
          <w:kern w:val="44"/>
          <w:sz w:val="21"/>
          <w:szCs w:val="21"/>
          <w:highlight w:val="none"/>
        </w:rPr>
        <w:t>3</w:t>
      </w:r>
      <w:bookmarkStart w:id="252" w:name="_Toc296503052"/>
      <w:bookmarkStart w:id="253" w:name="_Toc296346553"/>
      <w:bookmarkStart w:id="254" w:name="_Toc337558752"/>
      <w:r>
        <w:rPr>
          <w:rFonts w:hint="eastAsia" w:ascii="宋体" w:hAnsi="宋体" w:cs="宋体"/>
          <w:b/>
          <w:bCs/>
          <w:color w:val="auto"/>
          <w:kern w:val="44"/>
          <w:sz w:val="21"/>
          <w:szCs w:val="21"/>
          <w:highlight w:val="none"/>
        </w:rPr>
        <w:t>.7 履约保证金</w:t>
      </w:r>
      <w:bookmarkEnd w:id="250"/>
      <w:bookmarkEnd w:id="251"/>
    </w:p>
    <w:bookmarkEnd w:id="252"/>
    <w:bookmarkEnd w:id="253"/>
    <w:bookmarkEnd w:id="254"/>
    <w:p w14:paraId="77C02D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发包人需要承包人提供履约保证金的，由合同当事人在专用合同条款中约定履约保证金的方式、金额及期限等。履约保证金可以采用银行保函或担保公司担保等形式，具体由合同当事人在专用合同条款中约定。</w:t>
      </w:r>
    </w:p>
    <w:p w14:paraId="22A33B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因承包人原因导致工期延长的，继续提供履约保证金所增加的费用由承包人承担；非因承包人原因导致工期延长的，继续提供履约保证金所增加的费用由发包人承担。</w:t>
      </w:r>
    </w:p>
    <w:p w14:paraId="6B3FB79C">
      <w:pPr>
        <w:keepNext/>
        <w:keepLines/>
        <w:spacing w:line="420" w:lineRule="exact"/>
        <w:ind w:firstLine="0" w:firstLineChars="0"/>
        <w:outlineLvl w:val="0"/>
        <w:rPr>
          <w:rFonts w:ascii="宋体" w:hAnsi="宋体" w:cs="宋体"/>
          <w:b/>
          <w:bCs/>
          <w:color w:val="auto"/>
          <w:kern w:val="44"/>
          <w:sz w:val="21"/>
          <w:szCs w:val="21"/>
          <w:highlight w:val="none"/>
        </w:rPr>
      </w:pPr>
      <w:bookmarkStart w:id="255" w:name="_Toc478389058"/>
      <w:bookmarkStart w:id="256" w:name="_Toc351203526"/>
      <w:r>
        <w:rPr>
          <w:rFonts w:hint="eastAsia" w:ascii="宋体" w:hAnsi="宋体" w:cs="宋体"/>
          <w:b/>
          <w:bCs/>
          <w:color w:val="auto"/>
          <w:kern w:val="44"/>
          <w:sz w:val="21"/>
          <w:szCs w:val="21"/>
          <w:highlight w:val="none"/>
        </w:rPr>
        <w:t>3.8 联合体</w:t>
      </w:r>
      <w:bookmarkEnd w:id="255"/>
      <w:bookmarkEnd w:id="256"/>
    </w:p>
    <w:p w14:paraId="0673CF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3.8.1联合体各方应共同与发包人签订合同协议书。联合体各方应为履行合同向发包人承担连带责任。</w:t>
      </w:r>
    </w:p>
    <w:p w14:paraId="23F8270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3.8.2联合体协议经发包人确认后作为合同附件。在履行合同过程中，未经发包人同意，不得修改联合体协议。</w:t>
      </w:r>
    </w:p>
    <w:p w14:paraId="01FDB71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3.8.3联合体牵头人负责与发包人和监理人联系，并接受指示，负责组织联合体各成员全面履行合同。</w:t>
      </w:r>
    </w:p>
    <w:p w14:paraId="7D65EA1C">
      <w:pPr>
        <w:keepNext/>
        <w:keepLines/>
        <w:spacing w:line="420" w:lineRule="exact"/>
        <w:ind w:firstLine="0" w:firstLineChars="0"/>
        <w:outlineLvl w:val="0"/>
        <w:rPr>
          <w:rFonts w:ascii="宋体" w:hAnsi="宋体" w:cs="宋体"/>
          <w:b/>
          <w:bCs/>
          <w:color w:val="auto"/>
          <w:kern w:val="44"/>
          <w:sz w:val="21"/>
          <w:szCs w:val="21"/>
          <w:highlight w:val="none"/>
        </w:rPr>
      </w:pPr>
      <w:bookmarkStart w:id="257" w:name="_Toc351203527"/>
      <w:bookmarkStart w:id="258" w:name="_Toc478389059"/>
      <w:r>
        <w:rPr>
          <w:rFonts w:hint="eastAsia" w:ascii="宋体" w:hAnsi="宋体" w:cs="宋体"/>
          <w:b/>
          <w:bCs/>
          <w:color w:val="auto"/>
          <w:kern w:val="44"/>
          <w:sz w:val="21"/>
          <w:szCs w:val="21"/>
          <w:highlight w:val="none"/>
        </w:rPr>
        <w:t>4</w:t>
      </w:r>
      <w:bookmarkStart w:id="259" w:name="_Toc296346554"/>
      <w:bookmarkStart w:id="260" w:name="_Toc296503053"/>
      <w:bookmarkStart w:id="261" w:name="_Toc337558753"/>
      <w:r>
        <w:rPr>
          <w:rFonts w:hint="eastAsia" w:ascii="宋体" w:hAnsi="宋体" w:cs="宋体"/>
          <w:b/>
          <w:bCs/>
          <w:color w:val="auto"/>
          <w:kern w:val="44"/>
          <w:sz w:val="21"/>
          <w:szCs w:val="21"/>
          <w:highlight w:val="none"/>
        </w:rPr>
        <w:t>. 监</w:t>
      </w:r>
      <w:bookmarkEnd w:id="259"/>
      <w:bookmarkEnd w:id="260"/>
      <w:r>
        <w:rPr>
          <w:rFonts w:hint="eastAsia" w:ascii="宋体" w:hAnsi="宋体" w:cs="宋体"/>
          <w:b/>
          <w:bCs/>
          <w:color w:val="auto"/>
          <w:kern w:val="44"/>
          <w:sz w:val="21"/>
          <w:szCs w:val="21"/>
          <w:highlight w:val="none"/>
        </w:rPr>
        <w:t>理人</w:t>
      </w:r>
      <w:bookmarkEnd w:id="257"/>
      <w:bookmarkEnd w:id="258"/>
    </w:p>
    <w:bookmarkEnd w:id="261"/>
    <w:p w14:paraId="49D31E92">
      <w:pPr>
        <w:keepNext/>
        <w:keepLines/>
        <w:spacing w:line="420" w:lineRule="exact"/>
        <w:ind w:firstLine="0" w:firstLineChars="0"/>
        <w:outlineLvl w:val="0"/>
        <w:rPr>
          <w:rFonts w:ascii="宋体" w:hAnsi="宋体" w:cs="宋体"/>
          <w:b/>
          <w:bCs/>
          <w:color w:val="auto"/>
          <w:kern w:val="44"/>
          <w:sz w:val="21"/>
          <w:szCs w:val="21"/>
          <w:highlight w:val="none"/>
        </w:rPr>
      </w:pPr>
      <w:bookmarkStart w:id="262" w:name="_Toc478389060"/>
      <w:bookmarkStart w:id="263" w:name="_Toc351203528"/>
      <w:r>
        <w:rPr>
          <w:rFonts w:hint="eastAsia" w:ascii="宋体" w:hAnsi="宋体" w:cs="宋体"/>
          <w:b/>
          <w:bCs/>
          <w:color w:val="auto"/>
          <w:kern w:val="44"/>
          <w:sz w:val="21"/>
          <w:szCs w:val="21"/>
          <w:highlight w:val="none"/>
        </w:rPr>
        <w:t>4</w:t>
      </w:r>
      <w:bookmarkStart w:id="264" w:name="_Toc296346555"/>
      <w:bookmarkStart w:id="265" w:name="_Toc296503054"/>
      <w:bookmarkStart w:id="266" w:name="_Toc337558754"/>
      <w:r>
        <w:rPr>
          <w:rFonts w:hint="eastAsia" w:ascii="宋体" w:hAnsi="宋体" w:cs="宋体"/>
          <w:b/>
          <w:bCs/>
          <w:color w:val="auto"/>
          <w:kern w:val="44"/>
          <w:sz w:val="21"/>
          <w:szCs w:val="21"/>
          <w:highlight w:val="none"/>
        </w:rPr>
        <w:t>.1监理人的一般规定</w:t>
      </w:r>
      <w:bookmarkEnd w:id="262"/>
      <w:bookmarkEnd w:id="263"/>
    </w:p>
    <w:bookmarkEnd w:id="264"/>
    <w:bookmarkEnd w:id="265"/>
    <w:bookmarkEnd w:id="266"/>
    <w:p w14:paraId="4348B54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575E863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除专用合同条款另有约定外，监理人在施工现场的办公场所、生活场所由承包人提供，所发生的费用由发包人承担。</w:t>
      </w:r>
    </w:p>
    <w:p w14:paraId="60507CCB">
      <w:pPr>
        <w:keepNext/>
        <w:keepLines/>
        <w:spacing w:line="420" w:lineRule="exact"/>
        <w:ind w:firstLine="0" w:firstLineChars="0"/>
        <w:outlineLvl w:val="0"/>
        <w:rPr>
          <w:rFonts w:ascii="宋体" w:hAnsi="宋体" w:cs="宋体"/>
          <w:b/>
          <w:bCs/>
          <w:color w:val="auto"/>
          <w:kern w:val="44"/>
          <w:sz w:val="21"/>
          <w:szCs w:val="21"/>
          <w:highlight w:val="none"/>
        </w:rPr>
      </w:pPr>
      <w:bookmarkStart w:id="267" w:name="_Toc351203529"/>
      <w:bookmarkStart w:id="268" w:name="_Toc478389061"/>
      <w:r>
        <w:rPr>
          <w:rFonts w:hint="eastAsia" w:ascii="宋体" w:hAnsi="宋体" w:cs="宋体"/>
          <w:b/>
          <w:bCs/>
          <w:color w:val="auto"/>
          <w:kern w:val="44"/>
          <w:sz w:val="21"/>
          <w:szCs w:val="21"/>
          <w:highlight w:val="none"/>
        </w:rPr>
        <w:t>4</w:t>
      </w:r>
      <w:bookmarkStart w:id="269" w:name="_Toc337558755"/>
      <w:r>
        <w:rPr>
          <w:rFonts w:hint="eastAsia" w:ascii="宋体" w:hAnsi="宋体" w:cs="宋体"/>
          <w:b/>
          <w:bCs/>
          <w:color w:val="auto"/>
          <w:kern w:val="44"/>
          <w:sz w:val="21"/>
          <w:szCs w:val="21"/>
          <w:highlight w:val="none"/>
        </w:rPr>
        <w:t>.2监理人员</w:t>
      </w:r>
      <w:bookmarkEnd w:id="267"/>
      <w:bookmarkEnd w:id="268"/>
    </w:p>
    <w:bookmarkEnd w:id="269"/>
    <w:p w14:paraId="0AD05F2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76DF01C1">
      <w:pPr>
        <w:keepNext/>
        <w:keepLines/>
        <w:spacing w:line="420" w:lineRule="exact"/>
        <w:ind w:firstLine="0" w:firstLineChars="0"/>
        <w:outlineLvl w:val="0"/>
        <w:rPr>
          <w:rFonts w:ascii="宋体" w:hAnsi="宋体" w:cs="宋体"/>
          <w:b/>
          <w:bCs/>
          <w:color w:val="auto"/>
          <w:kern w:val="44"/>
          <w:sz w:val="21"/>
          <w:szCs w:val="21"/>
          <w:highlight w:val="none"/>
        </w:rPr>
      </w:pPr>
      <w:bookmarkStart w:id="270" w:name="_Toc351203530"/>
      <w:bookmarkStart w:id="271" w:name="_Toc478389062"/>
      <w:r>
        <w:rPr>
          <w:rFonts w:hint="eastAsia" w:ascii="宋体" w:hAnsi="宋体" w:cs="宋体"/>
          <w:b/>
          <w:bCs/>
          <w:color w:val="auto"/>
          <w:kern w:val="44"/>
          <w:sz w:val="21"/>
          <w:szCs w:val="21"/>
          <w:highlight w:val="none"/>
        </w:rPr>
        <w:t>4</w:t>
      </w:r>
      <w:bookmarkStart w:id="272" w:name="_Toc296503055"/>
      <w:bookmarkStart w:id="273" w:name="_Toc296346556"/>
      <w:bookmarkStart w:id="274" w:name="_Toc337558756"/>
      <w:r>
        <w:rPr>
          <w:rFonts w:hint="eastAsia" w:ascii="宋体" w:hAnsi="宋体" w:cs="宋体"/>
          <w:b/>
          <w:bCs/>
          <w:color w:val="auto"/>
          <w:kern w:val="44"/>
          <w:sz w:val="21"/>
          <w:szCs w:val="21"/>
          <w:highlight w:val="none"/>
        </w:rPr>
        <w:t>.3</w:t>
      </w:r>
      <w:bookmarkEnd w:id="272"/>
      <w:bookmarkEnd w:id="273"/>
      <w:r>
        <w:rPr>
          <w:rFonts w:hint="eastAsia" w:ascii="宋体" w:hAnsi="宋体" w:cs="宋体"/>
          <w:b/>
          <w:bCs/>
          <w:color w:val="auto"/>
          <w:kern w:val="44"/>
          <w:sz w:val="21"/>
          <w:szCs w:val="21"/>
          <w:highlight w:val="none"/>
        </w:rPr>
        <w:t>监理人的指</w:t>
      </w:r>
      <w:bookmarkEnd w:id="274"/>
      <w:r>
        <w:rPr>
          <w:rFonts w:hint="eastAsia" w:ascii="宋体" w:hAnsi="宋体" w:cs="宋体"/>
          <w:b/>
          <w:bCs/>
          <w:color w:val="auto"/>
          <w:kern w:val="44"/>
          <w:sz w:val="21"/>
          <w:szCs w:val="21"/>
          <w:highlight w:val="none"/>
        </w:rPr>
        <w:t>示</w:t>
      </w:r>
      <w:bookmarkEnd w:id="270"/>
      <w:bookmarkEnd w:id="271"/>
    </w:p>
    <w:p w14:paraId="645337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6792B86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w:t>
      </w:r>
      <w:r>
        <w:rPr>
          <w:rFonts w:hint="eastAsia" w:ascii="宋体" w:hAnsi="宋体" w:cs="宋体"/>
          <w:color w:val="auto"/>
          <w:sz w:val="21"/>
          <w:szCs w:val="21"/>
          <w:highlight w:val="none"/>
          <w:lang w:eastAsia="zh-CN"/>
        </w:rPr>
        <w:t>利</w:t>
      </w:r>
      <w:r>
        <w:rPr>
          <w:rFonts w:hint="eastAsia" w:ascii="宋体" w:hAnsi="宋体" w:cs="宋体"/>
          <w:color w:val="auto"/>
          <w:sz w:val="21"/>
          <w:szCs w:val="21"/>
          <w:highlight w:val="none"/>
        </w:rPr>
        <w:t>授权或委托给其他监理人员。</w:t>
      </w:r>
    </w:p>
    <w:p w14:paraId="02B849B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承包人对监理人发出的指示有疑问的，应向监理人提出书面异议，监理人应在48小时内对该指示予以确认、更改或撤销，监理人逾期未回复的，承包人有权拒绝执行上述指示。</w:t>
      </w:r>
    </w:p>
    <w:p w14:paraId="72EFC6B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73A75C41">
      <w:pPr>
        <w:keepNext/>
        <w:keepLines/>
        <w:spacing w:line="420" w:lineRule="exact"/>
        <w:ind w:firstLine="0" w:firstLineChars="0"/>
        <w:outlineLvl w:val="0"/>
        <w:rPr>
          <w:rFonts w:ascii="宋体" w:hAnsi="宋体" w:cs="宋体"/>
          <w:b/>
          <w:bCs/>
          <w:color w:val="auto"/>
          <w:kern w:val="44"/>
          <w:sz w:val="21"/>
          <w:szCs w:val="21"/>
          <w:highlight w:val="none"/>
        </w:rPr>
      </w:pPr>
      <w:bookmarkStart w:id="275" w:name="_Toc351203531"/>
      <w:bookmarkStart w:id="276" w:name="_Toc478389063"/>
      <w:r>
        <w:rPr>
          <w:rFonts w:hint="eastAsia" w:ascii="宋体" w:hAnsi="宋体" w:cs="宋体"/>
          <w:b/>
          <w:bCs/>
          <w:color w:val="auto"/>
          <w:kern w:val="44"/>
          <w:sz w:val="21"/>
          <w:szCs w:val="21"/>
          <w:highlight w:val="none"/>
        </w:rPr>
        <w:t>4</w:t>
      </w:r>
      <w:bookmarkStart w:id="277" w:name="_Toc296503057"/>
      <w:bookmarkStart w:id="278" w:name="_Toc337558757"/>
      <w:bookmarkStart w:id="279" w:name="_Toc296346558"/>
      <w:r>
        <w:rPr>
          <w:rFonts w:hint="eastAsia" w:ascii="宋体" w:hAnsi="宋体" w:cs="宋体"/>
          <w:b/>
          <w:bCs/>
          <w:color w:val="auto"/>
          <w:kern w:val="44"/>
          <w:sz w:val="21"/>
          <w:szCs w:val="21"/>
          <w:highlight w:val="none"/>
        </w:rPr>
        <w:t>.4 商定或确定</w:t>
      </w:r>
      <w:bookmarkEnd w:id="275"/>
      <w:bookmarkEnd w:id="276"/>
    </w:p>
    <w:bookmarkEnd w:id="277"/>
    <w:bookmarkEnd w:id="278"/>
    <w:bookmarkEnd w:id="279"/>
    <w:p w14:paraId="768B31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合同当事人进行商定或确定时，总监理工程师应当会同合同当事人尽量通过协商达成一致，不能达成一致的，由总监理工程师按照合同约定审慎</w:t>
      </w:r>
      <w:r>
        <w:rPr>
          <w:rFonts w:hint="eastAsia" w:ascii="宋体" w:hAnsi="宋体" w:cs="宋体"/>
          <w:color w:val="auto"/>
          <w:sz w:val="21"/>
          <w:szCs w:val="21"/>
          <w:highlight w:val="none"/>
          <w:lang w:eastAsia="zh-CN"/>
        </w:rPr>
        <w:t>作出</w:t>
      </w:r>
      <w:r>
        <w:rPr>
          <w:rFonts w:hint="eastAsia" w:ascii="宋体" w:hAnsi="宋体" w:cs="宋体"/>
          <w:color w:val="auto"/>
          <w:sz w:val="21"/>
          <w:szCs w:val="21"/>
          <w:highlight w:val="none"/>
        </w:rPr>
        <w:t>公正的确定。</w:t>
      </w:r>
    </w:p>
    <w:p w14:paraId="54FAFB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B84938C">
      <w:pPr>
        <w:keepNext/>
        <w:keepLines/>
        <w:spacing w:line="420" w:lineRule="exact"/>
        <w:ind w:firstLine="0" w:firstLineChars="0"/>
        <w:outlineLvl w:val="0"/>
        <w:rPr>
          <w:rFonts w:ascii="宋体" w:hAnsi="宋体" w:cs="宋体"/>
          <w:b/>
          <w:bCs/>
          <w:color w:val="auto"/>
          <w:kern w:val="44"/>
          <w:sz w:val="21"/>
          <w:szCs w:val="21"/>
          <w:highlight w:val="none"/>
        </w:rPr>
      </w:pPr>
      <w:bookmarkStart w:id="280" w:name="_Toc478389064"/>
      <w:bookmarkStart w:id="281" w:name="_Toc351203532"/>
      <w:r>
        <w:rPr>
          <w:rFonts w:hint="eastAsia" w:ascii="宋体" w:hAnsi="宋体" w:cs="宋体"/>
          <w:b/>
          <w:bCs/>
          <w:color w:val="auto"/>
          <w:kern w:val="44"/>
          <w:sz w:val="21"/>
          <w:szCs w:val="21"/>
          <w:highlight w:val="none"/>
        </w:rPr>
        <w:t>5</w:t>
      </w:r>
      <w:bookmarkStart w:id="282" w:name="_Toc337558758"/>
      <w:r>
        <w:rPr>
          <w:rFonts w:hint="eastAsia" w:ascii="宋体" w:hAnsi="宋体" w:cs="宋体"/>
          <w:b/>
          <w:bCs/>
          <w:color w:val="auto"/>
          <w:kern w:val="44"/>
          <w:sz w:val="21"/>
          <w:szCs w:val="21"/>
          <w:highlight w:val="none"/>
        </w:rPr>
        <w:t>. 工程质量</w:t>
      </w:r>
      <w:bookmarkEnd w:id="280"/>
      <w:bookmarkEnd w:id="281"/>
    </w:p>
    <w:bookmarkEnd w:id="282"/>
    <w:p w14:paraId="681D3387">
      <w:pPr>
        <w:keepNext/>
        <w:keepLines/>
        <w:spacing w:line="420" w:lineRule="exact"/>
        <w:ind w:firstLine="0" w:firstLineChars="0"/>
        <w:outlineLvl w:val="0"/>
        <w:rPr>
          <w:rFonts w:ascii="宋体" w:hAnsi="宋体" w:cs="宋体"/>
          <w:b/>
          <w:bCs/>
          <w:color w:val="auto"/>
          <w:kern w:val="44"/>
          <w:sz w:val="21"/>
          <w:szCs w:val="21"/>
          <w:highlight w:val="none"/>
        </w:rPr>
      </w:pPr>
      <w:bookmarkStart w:id="283" w:name="_Toc351203533"/>
      <w:bookmarkStart w:id="284" w:name="_Toc478389065"/>
      <w:r>
        <w:rPr>
          <w:rFonts w:hint="eastAsia" w:ascii="宋体" w:hAnsi="宋体" w:cs="宋体"/>
          <w:b/>
          <w:bCs/>
          <w:color w:val="auto"/>
          <w:kern w:val="44"/>
          <w:sz w:val="21"/>
          <w:szCs w:val="21"/>
          <w:highlight w:val="none"/>
        </w:rPr>
        <w:t>5</w:t>
      </w:r>
      <w:bookmarkStart w:id="285" w:name="_Toc337558759"/>
      <w:r>
        <w:rPr>
          <w:rFonts w:hint="eastAsia" w:ascii="宋体" w:hAnsi="宋体" w:cs="宋体"/>
          <w:b/>
          <w:bCs/>
          <w:color w:val="auto"/>
          <w:kern w:val="44"/>
          <w:sz w:val="21"/>
          <w:szCs w:val="21"/>
          <w:highlight w:val="none"/>
        </w:rPr>
        <w:t>.1质量要求</w:t>
      </w:r>
      <w:bookmarkEnd w:id="283"/>
      <w:bookmarkEnd w:id="284"/>
    </w:p>
    <w:bookmarkEnd w:id="285"/>
    <w:p w14:paraId="434EC1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5.1.1工程质量标准必须符合现行国家有关工程施工质量验收规范和标准的要求。有关工程质量的特殊标准或要求由合同当事人在专用合同条款中约定。</w:t>
      </w:r>
    </w:p>
    <w:p w14:paraId="3F6D7D5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5.1.2因发包人原因造成工程质量未达到合同约定标准的，由发包人承担由此增加的费用和（或）延误的工期，并支付承包人合理的利润。</w:t>
      </w:r>
    </w:p>
    <w:p w14:paraId="666E17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5.1.3因承包人原因造成工程质量未达到合同约定标准的，发包人有权要求承包人返工直至工程质量达到合同约定的标准为止，并由承包人承担由此增加的费用和（或）延误的工期。</w:t>
      </w:r>
    </w:p>
    <w:p w14:paraId="289B5D9E">
      <w:pPr>
        <w:keepNext/>
        <w:keepLines/>
        <w:spacing w:line="420" w:lineRule="exact"/>
        <w:ind w:firstLine="0" w:firstLineChars="0"/>
        <w:outlineLvl w:val="0"/>
        <w:rPr>
          <w:rFonts w:ascii="宋体" w:hAnsi="宋体" w:cs="宋体"/>
          <w:b/>
          <w:bCs/>
          <w:color w:val="auto"/>
          <w:kern w:val="44"/>
          <w:sz w:val="21"/>
          <w:szCs w:val="21"/>
          <w:highlight w:val="none"/>
        </w:rPr>
      </w:pPr>
      <w:bookmarkStart w:id="286" w:name="_Toc478389066"/>
      <w:bookmarkStart w:id="287" w:name="_Toc351203534"/>
      <w:r>
        <w:rPr>
          <w:rFonts w:hint="eastAsia" w:ascii="宋体" w:hAnsi="宋体" w:cs="宋体"/>
          <w:b/>
          <w:bCs/>
          <w:color w:val="auto"/>
          <w:kern w:val="44"/>
          <w:sz w:val="21"/>
          <w:szCs w:val="21"/>
          <w:highlight w:val="none"/>
        </w:rPr>
        <w:t>5</w:t>
      </w:r>
      <w:bookmarkStart w:id="288" w:name="_Toc337558760"/>
      <w:r>
        <w:rPr>
          <w:rFonts w:hint="eastAsia" w:ascii="宋体" w:hAnsi="宋体" w:cs="宋体"/>
          <w:b/>
          <w:bCs/>
          <w:color w:val="auto"/>
          <w:kern w:val="44"/>
          <w:sz w:val="21"/>
          <w:szCs w:val="21"/>
          <w:highlight w:val="none"/>
        </w:rPr>
        <w:t>.2质量保证措施</w:t>
      </w:r>
      <w:bookmarkEnd w:id="286"/>
      <w:bookmarkEnd w:id="287"/>
    </w:p>
    <w:bookmarkEnd w:id="288"/>
    <w:p w14:paraId="6B6330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5.2.1 发包人的质量管理</w:t>
      </w:r>
    </w:p>
    <w:p w14:paraId="57587B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发包人应按照法律规定及合同约定完成与工程质量有关的各项工作。</w:t>
      </w:r>
    </w:p>
    <w:p w14:paraId="7895AF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5.2.2 承包人的质量管理</w:t>
      </w:r>
    </w:p>
    <w:p w14:paraId="217980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4D31B3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承包人应对施工人员进行质量教育和技术培训，定期考核施工人员的劳动技能，严格执行施工规范和操作规程。</w:t>
      </w:r>
    </w:p>
    <w:p w14:paraId="06BC8A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承包人应按照法律规定和发包人的要求，对材料、工程设备以及工程的所有部位及其施工工艺进行全过程的质量检查和检验，并</w:t>
      </w:r>
      <w:r>
        <w:rPr>
          <w:rFonts w:hint="eastAsia" w:ascii="宋体" w:hAnsi="宋体" w:cs="宋体"/>
          <w:color w:val="auto"/>
          <w:sz w:val="21"/>
          <w:szCs w:val="21"/>
          <w:highlight w:val="none"/>
          <w:lang w:eastAsia="zh-CN"/>
        </w:rPr>
        <w:t>做</w:t>
      </w:r>
      <w:r>
        <w:rPr>
          <w:rFonts w:hint="eastAsia" w:ascii="宋体" w:hAnsi="宋体" w:cs="宋体"/>
          <w:color w:val="auto"/>
          <w:sz w:val="21"/>
          <w:szCs w:val="21"/>
          <w:highlight w:val="none"/>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A13816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5.2.3 监理人的质量检查和检验</w:t>
      </w:r>
    </w:p>
    <w:p w14:paraId="2958DBF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w:t>
      </w:r>
      <w:r>
        <w:rPr>
          <w:rFonts w:hint="eastAsia" w:ascii="宋体" w:hAnsi="宋体" w:cs="宋体"/>
          <w:color w:val="auto"/>
          <w:sz w:val="21"/>
          <w:szCs w:val="21"/>
          <w:highlight w:val="none"/>
          <w:lang w:eastAsia="zh-CN"/>
        </w:rPr>
        <w:t>查看</w:t>
      </w:r>
      <w:r>
        <w:rPr>
          <w:rFonts w:hint="eastAsia" w:ascii="宋体" w:hAnsi="宋体" w:cs="宋体"/>
          <w:color w:val="auto"/>
          <w:sz w:val="21"/>
          <w:szCs w:val="21"/>
          <w:highlight w:val="none"/>
        </w:rPr>
        <w:t>和查阅施工原始记录。监理人为此进行的检查和检验，不免除或减轻承包人按照合同约定应当承担的责任。</w:t>
      </w:r>
    </w:p>
    <w:p w14:paraId="50FB2A0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4E88618D">
      <w:pPr>
        <w:keepNext/>
        <w:keepLines/>
        <w:spacing w:line="420" w:lineRule="exact"/>
        <w:ind w:firstLine="0" w:firstLineChars="0"/>
        <w:outlineLvl w:val="0"/>
        <w:rPr>
          <w:rFonts w:ascii="宋体" w:hAnsi="宋体" w:cs="宋体"/>
          <w:b/>
          <w:bCs/>
          <w:color w:val="auto"/>
          <w:kern w:val="44"/>
          <w:sz w:val="21"/>
          <w:szCs w:val="21"/>
          <w:highlight w:val="none"/>
        </w:rPr>
      </w:pPr>
      <w:bookmarkStart w:id="289" w:name="_Toc351203535"/>
      <w:bookmarkStart w:id="290" w:name="_Toc478389067"/>
      <w:r>
        <w:rPr>
          <w:rFonts w:hint="eastAsia" w:ascii="宋体" w:hAnsi="宋体" w:cs="宋体"/>
          <w:b/>
          <w:bCs/>
          <w:color w:val="auto"/>
          <w:kern w:val="44"/>
          <w:sz w:val="21"/>
          <w:szCs w:val="21"/>
          <w:highlight w:val="none"/>
        </w:rPr>
        <w:t>5</w:t>
      </w:r>
      <w:bookmarkStart w:id="291" w:name="_Toc337558761"/>
      <w:r>
        <w:rPr>
          <w:rFonts w:hint="eastAsia" w:ascii="宋体" w:hAnsi="宋体" w:cs="宋体"/>
          <w:b/>
          <w:bCs/>
          <w:color w:val="auto"/>
          <w:kern w:val="44"/>
          <w:sz w:val="21"/>
          <w:szCs w:val="21"/>
          <w:highlight w:val="none"/>
        </w:rPr>
        <w:t>.3 隐蔽工程检查</w:t>
      </w:r>
      <w:bookmarkEnd w:id="289"/>
      <w:bookmarkEnd w:id="290"/>
    </w:p>
    <w:bookmarkEnd w:id="291"/>
    <w:p w14:paraId="6113469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5.3.1承包人自检</w:t>
      </w:r>
    </w:p>
    <w:p w14:paraId="3B88366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承包人应当对工程隐蔽部位进行自检，并经自检确认是否具备覆盖条件。</w:t>
      </w:r>
    </w:p>
    <w:p w14:paraId="739BA0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5.3.2检查程序</w:t>
      </w:r>
    </w:p>
    <w:p w14:paraId="345E9B4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2C76B9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61B70F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w:t>
      </w:r>
      <w:r>
        <w:rPr>
          <w:rFonts w:hint="eastAsia" w:ascii="宋体" w:hAnsi="宋体" w:cs="宋体"/>
          <w:color w:val="auto"/>
          <w:sz w:val="21"/>
          <w:szCs w:val="21"/>
          <w:highlight w:val="none"/>
          <w:lang w:eastAsia="zh-CN"/>
        </w:rPr>
        <w:t>做</w:t>
      </w:r>
      <w:r>
        <w:rPr>
          <w:rFonts w:hint="eastAsia" w:ascii="宋体" w:hAnsi="宋体" w:cs="宋体"/>
          <w:color w:val="auto"/>
          <w:sz w:val="21"/>
          <w:szCs w:val="21"/>
          <w:highlight w:val="none"/>
        </w:rPr>
        <w:t>相应记录报送监理人，监理人应签字确认。监理人事后对检查记录有疑问的，可按第5.3.3项〔重新检查〕的约定重新检查。</w:t>
      </w:r>
    </w:p>
    <w:p w14:paraId="46D6F38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5.3.3 重新检查</w:t>
      </w:r>
    </w:p>
    <w:p w14:paraId="3F4A623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23A65A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5.3.4 承包人私自覆盖</w:t>
      </w:r>
    </w:p>
    <w:p w14:paraId="3FD7AE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504F6CE6">
      <w:pPr>
        <w:keepNext/>
        <w:keepLines/>
        <w:spacing w:line="420" w:lineRule="exact"/>
        <w:ind w:firstLine="0" w:firstLineChars="0"/>
        <w:outlineLvl w:val="0"/>
        <w:rPr>
          <w:rFonts w:ascii="宋体" w:hAnsi="宋体" w:cs="宋体"/>
          <w:b/>
          <w:bCs/>
          <w:color w:val="auto"/>
          <w:kern w:val="44"/>
          <w:sz w:val="21"/>
          <w:szCs w:val="21"/>
          <w:highlight w:val="none"/>
        </w:rPr>
      </w:pPr>
      <w:bookmarkStart w:id="292" w:name="_Toc478389068"/>
      <w:bookmarkStart w:id="293" w:name="_Toc351203536"/>
      <w:r>
        <w:rPr>
          <w:rFonts w:hint="eastAsia" w:ascii="宋体" w:hAnsi="宋体" w:cs="宋体"/>
          <w:b/>
          <w:bCs/>
          <w:color w:val="auto"/>
          <w:kern w:val="44"/>
          <w:sz w:val="21"/>
          <w:szCs w:val="21"/>
          <w:highlight w:val="none"/>
        </w:rPr>
        <w:t>5</w:t>
      </w:r>
      <w:bookmarkStart w:id="294" w:name="_Toc337558762"/>
      <w:r>
        <w:rPr>
          <w:rFonts w:hint="eastAsia" w:ascii="宋体" w:hAnsi="宋体" w:cs="宋体"/>
          <w:b/>
          <w:bCs/>
          <w:color w:val="auto"/>
          <w:kern w:val="44"/>
          <w:sz w:val="21"/>
          <w:szCs w:val="21"/>
          <w:highlight w:val="none"/>
        </w:rPr>
        <w:t>.4不合格工程的处理</w:t>
      </w:r>
      <w:bookmarkEnd w:id="292"/>
      <w:bookmarkEnd w:id="293"/>
    </w:p>
    <w:bookmarkEnd w:id="294"/>
    <w:p w14:paraId="121197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5.4.1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47DCFCA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5.4.2因发包人原因造成工程不合格的，由此增加的费用和（或）延误的工期由发包人承担，并支付承包人合理的利润。</w:t>
      </w:r>
    </w:p>
    <w:p w14:paraId="03D67E13">
      <w:pPr>
        <w:keepNext/>
        <w:keepLines/>
        <w:spacing w:line="420" w:lineRule="exact"/>
        <w:ind w:firstLine="0" w:firstLineChars="0"/>
        <w:outlineLvl w:val="0"/>
        <w:rPr>
          <w:rFonts w:ascii="宋体" w:hAnsi="宋体" w:cs="宋体"/>
          <w:b/>
          <w:bCs/>
          <w:color w:val="auto"/>
          <w:kern w:val="44"/>
          <w:sz w:val="21"/>
          <w:szCs w:val="21"/>
          <w:highlight w:val="none"/>
        </w:rPr>
      </w:pPr>
      <w:bookmarkStart w:id="295" w:name="_Toc478389069"/>
      <w:bookmarkStart w:id="296" w:name="_Toc351203537"/>
      <w:r>
        <w:rPr>
          <w:rFonts w:hint="eastAsia" w:ascii="宋体" w:hAnsi="宋体" w:cs="宋体"/>
          <w:b/>
          <w:bCs/>
          <w:color w:val="auto"/>
          <w:kern w:val="44"/>
          <w:sz w:val="21"/>
          <w:szCs w:val="21"/>
          <w:highlight w:val="none"/>
        </w:rPr>
        <w:t>5.5 质量争议检测</w:t>
      </w:r>
      <w:bookmarkEnd w:id="295"/>
      <w:bookmarkEnd w:id="296"/>
    </w:p>
    <w:p w14:paraId="56AF50B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合同当事人对工程质量有争议的，由双方协商确定的工程质量检测机构鉴定，由此产生的费用及因此造成的损失，由责任方承担。</w:t>
      </w:r>
    </w:p>
    <w:p w14:paraId="1EB8E7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合同当事人均有责任的，由双方根据其责任分别承担。合同当事人无法达成一致的，按照第4.4款〔商定或确定〕执行。</w:t>
      </w:r>
    </w:p>
    <w:p w14:paraId="369FBE71">
      <w:pPr>
        <w:keepNext/>
        <w:keepLines/>
        <w:spacing w:line="420" w:lineRule="exact"/>
        <w:ind w:firstLine="0" w:firstLineChars="0"/>
        <w:outlineLvl w:val="0"/>
        <w:rPr>
          <w:rFonts w:ascii="宋体" w:hAnsi="宋体" w:cs="宋体"/>
          <w:b/>
          <w:bCs/>
          <w:color w:val="auto"/>
          <w:kern w:val="44"/>
          <w:sz w:val="21"/>
          <w:szCs w:val="21"/>
          <w:highlight w:val="none"/>
        </w:rPr>
      </w:pPr>
      <w:bookmarkStart w:id="297" w:name="_Toc478389070"/>
      <w:bookmarkStart w:id="298" w:name="_Toc351203538"/>
      <w:r>
        <w:rPr>
          <w:rFonts w:hint="eastAsia" w:ascii="宋体" w:hAnsi="宋体" w:cs="宋体"/>
          <w:b/>
          <w:bCs/>
          <w:color w:val="auto"/>
          <w:kern w:val="44"/>
          <w:sz w:val="21"/>
          <w:szCs w:val="21"/>
          <w:highlight w:val="none"/>
        </w:rPr>
        <w:t>6</w:t>
      </w:r>
      <w:bookmarkStart w:id="299" w:name="_Toc337558763"/>
      <w:r>
        <w:rPr>
          <w:rFonts w:hint="eastAsia" w:ascii="宋体" w:hAnsi="宋体" w:cs="宋体"/>
          <w:b/>
          <w:bCs/>
          <w:color w:val="auto"/>
          <w:kern w:val="44"/>
          <w:sz w:val="21"/>
          <w:szCs w:val="21"/>
          <w:highlight w:val="none"/>
        </w:rPr>
        <w:t>. 安全文明施工与环境保护</w:t>
      </w:r>
      <w:bookmarkEnd w:id="297"/>
      <w:bookmarkEnd w:id="298"/>
    </w:p>
    <w:bookmarkEnd w:id="299"/>
    <w:p w14:paraId="2959BB09">
      <w:pPr>
        <w:keepNext/>
        <w:keepLines/>
        <w:spacing w:line="420" w:lineRule="exact"/>
        <w:ind w:firstLine="0" w:firstLineChars="0"/>
        <w:outlineLvl w:val="0"/>
        <w:rPr>
          <w:rFonts w:ascii="宋体" w:hAnsi="宋体" w:cs="宋体"/>
          <w:b/>
          <w:bCs/>
          <w:color w:val="auto"/>
          <w:kern w:val="44"/>
          <w:sz w:val="21"/>
          <w:szCs w:val="21"/>
          <w:highlight w:val="none"/>
        </w:rPr>
      </w:pPr>
      <w:bookmarkStart w:id="300" w:name="_Toc478389071"/>
      <w:bookmarkStart w:id="301" w:name="_Toc351203539"/>
      <w:r>
        <w:rPr>
          <w:rFonts w:hint="eastAsia" w:ascii="宋体" w:hAnsi="宋体" w:cs="宋体"/>
          <w:b/>
          <w:bCs/>
          <w:color w:val="auto"/>
          <w:kern w:val="44"/>
          <w:sz w:val="21"/>
          <w:szCs w:val="21"/>
          <w:highlight w:val="none"/>
        </w:rPr>
        <w:t>6</w:t>
      </w:r>
      <w:bookmarkStart w:id="302" w:name="_Toc337558764"/>
      <w:r>
        <w:rPr>
          <w:rFonts w:hint="eastAsia" w:ascii="宋体" w:hAnsi="宋体" w:cs="宋体"/>
          <w:b/>
          <w:bCs/>
          <w:color w:val="auto"/>
          <w:kern w:val="44"/>
          <w:sz w:val="21"/>
          <w:szCs w:val="21"/>
          <w:highlight w:val="none"/>
        </w:rPr>
        <w:t>.1安全文明施工</w:t>
      </w:r>
      <w:bookmarkEnd w:id="300"/>
      <w:bookmarkEnd w:id="301"/>
    </w:p>
    <w:bookmarkEnd w:id="302"/>
    <w:p w14:paraId="726914C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6.1.1安全生产要求</w:t>
      </w:r>
    </w:p>
    <w:p w14:paraId="444EB4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1A7D605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在施工过程中，如遇到突发的地质变动、事先未知的地下施工障碍等影响施工安全的紧急情况，承包人应及时报告监理人和发包人，发包人应当及时下令停工并报有关行政管理部门采取应急措施。</w:t>
      </w:r>
    </w:p>
    <w:p w14:paraId="56E5020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因安全生产需要暂停施工的，按照第7.8款〔暂停施工〕的约定执行。</w:t>
      </w:r>
    </w:p>
    <w:p w14:paraId="2A8CABE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6.1.2 安全生产保证措施</w:t>
      </w:r>
    </w:p>
    <w:p w14:paraId="71AA939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安全监督部门的检查与监督。</w:t>
      </w:r>
    </w:p>
    <w:p w14:paraId="37EC817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6.1.3特别安全生产事项</w:t>
      </w:r>
    </w:p>
    <w:p w14:paraId="073061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承包人应按照法律规定进行施工，开工前做好安全技术交底工作</w:t>
      </w:r>
      <w:r>
        <w:rPr>
          <w:rFonts w:hint="eastAsia" w:ascii="宋体" w:hAnsi="宋体" w:cs="宋体"/>
          <w:color w:val="auto"/>
          <w:sz w:val="21"/>
          <w:szCs w:val="21"/>
          <w:highlight w:val="none"/>
          <w:lang w:eastAsia="zh-CN"/>
        </w:rPr>
        <w:t>，在</w:t>
      </w:r>
      <w:r>
        <w:rPr>
          <w:rFonts w:hint="eastAsia" w:ascii="宋体" w:hAnsi="宋体" w:cs="宋体"/>
          <w:color w:val="auto"/>
          <w:sz w:val="21"/>
          <w:szCs w:val="21"/>
          <w:highlight w:val="none"/>
        </w:rPr>
        <w:t>施工过程中做好各项安全防护措施。承包人为实施合同而雇用的特殊工种的人员应受过专门的培训并已取得有关管理机构颁发的上岗证书。</w:t>
      </w:r>
    </w:p>
    <w:p w14:paraId="6617EF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3F5AD9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B5B49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需单独编制危险性较大分部分项专项工程施工方案的</w:t>
      </w:r>
      <w:r>
        <w:rPr>
          <w:rFonts w:hint="eastAsia" w:ascii="宋体" w:hAnsi="宋体" w:cs="宋体"/>
          <w:color w:val="auto"/>
          <w:sz w:val="21"/>
          <w:szCs w:val="21"/>
          <w:highlight w:val="none"/>
          <w:lang w:eastAsia="zh-CN"/>
        </w:rPr>
        <w:t>，以</w:t>
      </w:r>
      <w:r>
        <w:rPr>
          <w:rFonts w:hint="eastAsia" w:ascii="宋体" w:hAnsi="宋体" w:cs="宋体"/>
          <w:color w:val="auto"/>
          <w:sz w:val="21"/>
          <w:szCs w:val="21"/>
          <w:highlight w:val="none"/>
        </w:rPr>
        <w:t>及要求进行专家论证的超过一定规模的危险性较大的分部分项工程，承包人应及时编制和组织论证。</w:t>
      </w:r>
    </w:p>
    <w:p w14:paraId="181CE2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6.1.4 治安保卫</w:t>
      </w:r>
    </w:p>
    <w:p w14:paraId="27222F3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除专用合同条款另有约定外，发包人应与当地公安部门协商，在现场建立治安管理机构或联防组织，统一管理施工场地的治安保卫事项，履行合同工程的治安保卫职责。</w:t>
      </w:r>
    </w:p>
    <w:p w14:paraId="657A0DE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发包人和承包人除应协助现场治安管理机构或联防组织维护施工场地的社会治安外，还应做好包括生活区在内的各自管辖区的治安保卫工作。</w:t>
      </w:r>
    </w:p>
    <w:p w14:paraId="1673FD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报告。发包人和承包人应积极协助当地有关部门采取措施平息事态，防止事态扩大，尽量避免人员伤亡和财产损失。</w:t>
      </w:r>
    </w:p>
    <w:p w14:paraId="7ADF8BF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6.1.5 文明施工</w:t>
      </w:r>
    </w:p>
    <w:p w14:paraId="6D09336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承包人在工程施工期间，应当采取措施保持施工现场平整，物料堆放整齐。工程所在地有关行政管理部门有特殊要求的，按照其要求执行。合同当事人对文明施工有其他要求的，可以在专用合同条款中明确。</w:t>
      </w:r>
    </w:p>
    <w:p w14:paraId="150705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978AF5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6.1.6 安全文明施工费</w:t>
      </w:r>
    </w:p>
    <w:p w14:paraId="35EBCEC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安全文明施工费由发包人承担，发包人不得以任何形式扣减该部分费用。因基准日期后合同所适用的法律或有关规定发生变化，增加的安全文明施工费由发包人承担。</w:t>
      </w:r>
    </w:p>
    <w:p w14:paraId="3268CC9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797E63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00BAFA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2037BF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6.1.7 紧急情况处理</w:t>
      </w:r>
    </w:p>
    <w:p w14:paraId="15C957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681FA4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6.1.8 事故处理</w:t>
      </w:r>
    </w:p>
    <w:p w14:paraId="210503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58621B4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 6.1.9 安全生产责任</w:t>
      </w:r>
    </w:p>
    <w:p w14:paraId="46BE78F2">
      <w:pPr>
        <w:spacing w:line="420" w:lineRule="exact"/>
        <w:ind w:firstLine="420"/>
        <w:outlineLvl w:val="0"/>
        <w:rPr>
          <w:rFonts w:ascii="宋体" w:hAnsi="宋体" w:cs="宋体"/>
          <w:color w:val="auto"/>
          <w:sz w:val="21"/>
          <w:szCs w:val="21"/>
          <w:highlight w:val="none"/>
        </w:rPr>
      </w:pPr>
      <w:bookmarkStart w:id="303" w:name="_Toc478389072"/>
      <w:bookmarkStart w:id="304" w:name="_Toc406522103"/>
      <w:r>
        <w:rPr>
          <w:rFonts w:hint="eastAsia" w:ascii="宋体" w:hAnsi="宋体" w:cs="宋体"/>
          <w:color w:val="auto"/>
          <w:sz w:val="21"/>
          <w:szCs w:val="21"/>
          <w:highlight w:val="none"/>
        </w:rPr>
        <w:t>6.1.9.1 发包人的安全责任</w:t>
      </w:r>
      <w:bookmarkEnd w:id="303"/>
      <w:bookmarkEnd w:id="304"/>
    </w:p>
    <w:p w14:paraId="1432AE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 发包人应负责赔偿以下各种情况造成的损失：</w:t>
      </w:r>
    </w:p>
    <w:p w14:paraId="77512BD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（1）工程或工程的任何部分对土地的占用所造成的第三者财产损失；</w:t>
      </w:r>
    </w:p>
    <w:p w14:paraId="000BF7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（2）由于发包人原因在施工场地及其毗邻地带造成的第三者人身伤亡和财产损失；</w:t>
      </w:r>
    </w:p>
    <w:p w14:paraId="6620EBE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（3）由于发包人原因对承包人、监理人造成的人员人身伤亡和财产损失；</w:t>
      </w:r>
    </w:p>
    <w:p w14:paraId="180660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（4）由于发包人原因造成的发包人自身人员的人身伤害以及财产损失。</w:t>
      </w:r>
    </w:p>
    <w:p w14:paraId="479D9CC4">
      <w:pPr>
        <w:spacing w:line="420" w:lineRule="exact"/>
        <w:ind w:firstLine="420"/>
        <w:outlineLvl w:val="0"/>
        <w:rPr>
          <w:rFonts w:ascii="宋体" w:hAnsi="宋体" w:cs="宋体"/>
          <w:color w:val="auto"/>
          <w:sz w:val="21"/>
          <w:szCs w:val="21"/>
          <w:highlight w:val="none"/>
        </w:rPr>
      </w:pPr>
      <w:bookmarkStart w:id="305" w:name="_Toc406522104"/>
      <w:bookmarkStart w:id="306" w:name="_Toc478389073"/>
      <w:r>
        <w:rPr>
          <w:rFonts w:hint="eastAsia" w:ascii="宋体" w:hAnsi="宋体" w:cs="宋体"/>
          <w:color w:val="auto"/>
          <w:sz w:val="21"/>
          <w:szCs w:val="21"/>
          <w:highlight w:val="none"/>
        </w:rPr>
        <w:t>6.1.9.2 承包人的安全责任</w:t>
      </w:r>
      <w:bookmarkEnd w:id="305"/>
      <w:bookmarkEnd w:id="306"/>
    </w:p>
    <w:p w14:paraId="0493F0F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由于承包人原因在施工场地内及其毗邻地带造成的发包人、监理人以及第三者人员伤亡和财产损失，由承包人负责赔偿。</w:t>
      </w:r>
    </w:p>
    <w:p w14:paraId="3A8FB41B">
      <w:pPr>
        <w:keepNext/>
        <w:keepLines/>
        <w:spacing w:line="420" w:lineRule="exact"/>
        <w:ind w:firstLine="0" w:firstLineChars="0"/>
        <w:outlineLvl w:val="0"/>
        <w:rPr>
          <w:rFonts w:ascii="宋体" w:hAnsi="宋体" w:cs="宋体"/>
          <w:b/>
          <w:bCs/>
          <w:color w:val="auto"/>
          <w:kern w:val="44"/>
          <w:sz w:val="21"/>
          <w:szCs w:val="21"/>
          <w:highlight w:val="none"/>
        </w:rPr>
      </w:pPr>
      <w:bookmarkStart w:id="307" w:name="_Toc478389074"/>
      <w:bookmarkStart w:id="308" w:name="_Toc351203540"/>
      <w:r>
        <w:rPr>
          <w:rFonts w:hint="eastAsia" w:ascii="宋体" w:hAnsi="宋体" w:cs="宋体"/>
          <w:b/>
          <w:bCs/>
          <w:color w:val="auto"/>
          <w:kern w:val="44"/>
          <w:sz w:val="21"/>
          <w:szCs w:val="21"/>
          <w:highlight w:val="none"/>
        </w:rPr>
        <w:t>6</w:t>
      </w:r>
      <w:bookmarkStart w:id="309" w:name="_Toc337558765"/>
      <w:r>
        <w:rPr>
          <w:rFonts w:hint="eastAsia" w:ascii="宋体" w:hAnsi="宋体" w:cs="宋体"/>
          <w:b/>
          <w:bCs/>
          <w:color w:val="auto"/>
          <w:kern w:val="44"/>
          <w:sz w:val="21"/>
          <w:szCs w:val="21"/>
          <w:highlight w:val="none"/>
        </w:rPr>
        <w:t>.2 职业健康</w:t>
      </w:r>
      <w:bookmarkEnd w:id="307"/>
      <w:bookmarkEnd w:id="308"/>
    </w:p>
    <w:bookmarkEnd w:id="309"/>
    <w:p w14:paraId="35FD4620">
      <w:pPr>
        <w:spacing w:line="420" w:lineRule="exact"/>
        <w:ind w:firstLine="420"/>
        <w:outlineLvl w:val="0"/>
        <w:rPr>
          <w:rFonts w:ascii="宋体" w:hAnsi="宋体" w:cs="宋体"/>
          <w:color w:val="auto"/>
          <w:sz w:val="21"/>
          <w:szCs w:val="21"/>
          <w:highlight w:val="none"/>
        </w:rPr>
      </w:pPr>
      <w:bookmarkStart w:id="310" w:name="_Toc406522106"/>
      <w:bookmarkStart w:id="311" w:name="_Toc478389075"/>
      <w:r>
        <w:rPr>
          <w:rFonts w:hint="eastAsia" w:ascii="宋体" w:hAnsi="宋体" w:cs="宋体"/>
          <w:color w:val="auto"/>
          <w:sz w:val="21"/>
          <w:szCs w:val="21"/>
          <w:highlight w:val="none"/>
        </w:rPr>
        <w:t>6.2.1 劳动保护</w:t>
      </w:r>
      <w:bookmarkEnd w:id="310"/>
      <w:bookmarkEnd w:id="311"/>
    </w:p>
    <w:p w14:paraId="50781D0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2AFF7D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承包人应按照法律规定保障现场施工人员的劳动安全，并提供劳动保护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2678A2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7CF7AEE0">
      <w:pPr>
        <w:spacing w:line="420" w:lineRule="exact"/>
        <w:ind w:firstLine="420"/>
        <w:outlineLvl w:val="0"/>
        <w:rPr>
          <w:rFonts w:ascii="宋体" w:hAnsi="宋体" w:cs="宋体"/>
          <w:color w:val="auto"/>
          <w:sz w:val="21"/>
          <w:szCs w:val="21"/>
          <w:highlight w:val="none"/>
        </w:rPr>
      </w:pPr>
      <w:bookmarkStart w:id="312" w:name="_Toc478389076"/>
      <w:bookmarkStart w:id="313" w:name="_Toc406522107"/>
      <w:r>
        <w:rPr>
          <w:rFonts w:hint="eastAsia" w:ascii="宋体" w:hAnsi="宋体" w:cs="宋体"/>
          <w:color w:val="auto"/>
          <w:sz w:val="21"/>
          <w:szCs w:val="21"/>
          <w:highlight w:val="none"/>
        </w:rPr>
        <w:t>6.2.2 生活条件</w:t>
      </w:r>
      <w:bookmarkEnd w:id="312"/>
      <w:bookmarkEnd w:id="313"/>
    </w:p>
    <w:p w14:paraId="44FCC31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 在远离城镇的施工场地，还应配备必要的伤病防治和急救的医务人员与医疗设施。</w:t>
      </w:r>
    </w:p>
    <w:p w14:paraId="2FD4D246">
      <w:pPr>
        <w:keepNext/>
        <w:keepLines/>
        <w:spacing w:line="420" w:lineRule="exact"/>
        <w:ind w:firstLine="0" w:firstLineChars="0"/>
        <w:outlineLvl w:val="0"/>
        <w:rPr>
          <w:rFonts w:ascii="宋体" w:hAnsi="宋体" w:cs="宋体"/>
          <w:b/>
          <w:bCs/>
          <w:color w:val="auto"/>
          <w:kern w:val="44"/>
          <w:sz w:val="21"/>
          <w:szCs w:val="21"/>
          <w:highlight w:val="none"/>
        </w:rPr>
      </w:pPr>
      <w:bookmarkStart w:id="314" w:name="_Toc478389077"/>
      <w:bookmarkStart w:id="315" w:name="_Toc351203541"/>
      <w:r>
        <w:rPr>
          <w:rFonts w:hint="eastAsia" w:ascii="宋体" w:hAnsi="宋体" w:cs="宋体"/>
          <w:b/>
          <w:bCs/>
          <w:color w:val="auto"/>
          <w:kern w:val="44"/>
          <w:sz w:val="21"/>
          <w:szCs w:val="21"/>
          <w:highlight w:val="none"/>
        </w:rPr>
        <w:t>6</w:t>
      </w:r>
      <w:bookmarkStart w:id="316" w:name="_Toc337558766"/>
      <w:r>
        <w:rPr>
          <w:rFonts w:hint="eastAsia" w:ascii="宋体" w:hAnsi="宋体" w:cs="宋体"/>
          <w:b/>
          <w:bCs/>
          <w:color w:val="auto"/>
          <w:kern w:val="44"/>
          <w:sz w:val="21"/>
          <w:szCs w:val="21"/>
          <w:highlight w:val="none"/>
        </w:rPr>
        <w:t>.3 环境保护</w:t>
      </w:r>
      <w:bookmarkEnd w:id="314"/>
      <w:bookmarkEnd w:id="315"/>
    </w:p>
    <w:bookmarkEnd w:id="316"/>
    <w:p w14:paraId="1293928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42685F3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承包人应当承担因其原因引起的环境污染侵权损害赔偿责任，因上述环境污染引起纠纷而导致暂停施工的，由此增加的费用和（或）延误的工期由承包人承担。</w:t>
      </w:r>
    </w:p>
    <w:p w14:paraId="3919A097">
      <w:pPr>
        <w:keepNext/>
        <w:keepLines/>
        <w:spacing w:line="420" w:lineRule="exact"/>
        <w:ind w:firstLine="0" w:firstLineChars="0"/>
        <w:outlineLvl w:val="0"/>
        <w:rPr>
          <w:rFonts w:ascii="宋体" w:hAnsi="宋体" w:cs="宋体"/>
          <w:b/>
          <w:bCs/>
          <w:color w:val="auto"/>
          <w:kern w:val="44"/>
          <w:sz w:val="21"/>
          <w:szCs w:val="21"/>
          <w:highlight w:val="none"/>
        </w:rPr>
      </w:pPr>
      <w:bookmarkStart w:id="317" w:name="_Toc478389078"/>
      <w:bookmarkStart w:id="318" w:name="_Toc351203542"/>
      <w:r>
        <w:rPr>
          <w:rFonts w:hint="eastAsia" w:ascii="宋体" w:hAnsi="宋体" w:cs="宋体"/>
          <w:b/>
          <w:bCs/>
          <w:color w:val="auto"/>
          <w:kern w:val="44"/>
          <w:sz w:val="21"/>
          <w:szCs w:val="21"/>
          <w:highlight w:val="none"/>
        </w:rPr>
        <w:t>7</w:t>
      </w:r>
      <w:bookmarkStart w:id="319" w:name="_Toc337558767"/>
      <w:r>
        <w:rPr>
          <w:rFonts w:hint="eastAsia" w:ascii="宋体" w:hAnsi="宋体" w:cs="宋体"/>
          <w:b/>
          <w:bCs/>
          <w:color w:val="auto"/>
          <w:kern w:val="44"/>
          <w:sz w:val="21"/>
          <w:szCs w:val="21"/>
          <w:highlight w:val="none"/>
        </w:rPr>
        <w:t>. 工期和进度</w:t>
      </w:r>
      <w:bookmarkEnd w:id="317"/>
      <w:bookmarkEnd w:id="318"/>
    </w:p>
    <w:bookmarkEnd w:id="319"/>
    <w:p w14:paraId="27329201">
      <w:pPr>
        <w:keepNext/>
        <w:keepLines/>
        <w:spacing w:line="420" w:lineRule="exact"/>
        <w:ind w:firstLine="0" w:firstLineChars="0"/>
        <w:outlineLvl w:val="0"/>
        <w:rPr>
          <w:rFonts w:ascii="宋体" w:hAnsi="宋体" w:cs="宋体"/>
          <w:b/>
          <w:bCs/>
          <w:color w:val="auto"/>
          <w:kern w:val="44"/>
          <w:sz w:val="21"/>
          <w:szCs w:val="21"/>
          <w:highlight w:val="none"/>
        </w:rPr>
      </w:pPr>
      <w:bookmarkStart w:id="320" w:name="_Toc351203543"/>
      <w:bookmarkStart w:id="321" w:name="_Toc478389079"/>
      <w:r>
        <w:rPr>
          <w:rFonts w:hint="eastAsia" w:ascii="宋体" w:hAnsi="宋体" w:cs="宋体"/>
          <w:b/>
          <w:bCs/>
          <w:color w:val="auto"/>
          <w:kern w:val="44"/>
          <w:sz w:val="21"/>
          <w:szCs w:val="21"/>
          <w:highlight w:val="none"/>
        </w:rPr>
        <w:t>7</w:t>
      </w:r>
      <w:bookmarkStart w:id="322" w:name="_Toc337558768"/>
      <w:bookmarkStart w:id="323" w:name="_Toc296346567"/>
      <w:bookmarkStart w:id="324" w:name="_Toc296503066"/>
      <w:r>
        <w:rPr>
          <w:rFonts w:hint="eastAsia" w:ascii="宋体" w:hAnsi="宋体" w:cs="宋体"/>
          <w:b/>
          <w:bCs/>
          <w:color w:val="auto"/>
          <w:kern w:val="44"/>
          <w:sz w:val="21"/>
          <w:szCs w:val="21"/>
          <w:highlight w:val="none"/>
        </w:rPr>
        <w:t>.1施工组织设计</w:t>
      </w:r>
      <w:bookmarkEnd w:id="320"/>
      <w:bookmarkEnd w:id="321"/>
    </w:p>
    <w:bookmarkEnd w:id="322"/>
    <w:p w14:paraId="5A17FF56">
      <w:pPr>
        <w:spacing w:line="420" w:lineRule="exact"/>
        <w:ind w:firstLine="420"/>
        <w:outlineLvl w:val="0"/>
        <w:rPr>
          <w:rFonts w:ascii="宋体" w:hAnsi="宋体" w:cs="宋体"/>
          <w:color w:val="auto"/>
          <w:sz w:val="21"/>
          <w:szCs w:val="21"/>
          <w:highlight w:val="none"/>
        </w:rPr>
      </w:pPr>
      <w:bookmarkStart w:id="325" w:name="_Toc478389080"/>
      <w:bookmarkStart w:id="326" w:name="_Toc406522111"/>
      <w:r>
        <w:rPr>
          <w:rFonts w:hint="eastAsia" w:ascii="宋体" w:hAnsi="宋体" w:cs="宋体"/>
          <w:color w:val="auto"/>
          <w:sz w:val="21"/>
          <w:szCs w:val="21"/>
          <w:highlight w:val="none"/>
        </w:rPr>
        <w:t>7.1.1 施工组织设计的内容</w:t>
      </w:r>
      <w:bookmarkEnd w:id="325"/>
      <w:bookmarkEnd w:id="326"/>
    </w:p>
    <w:p w14:paraId="65AB71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 施工组织设计应包含以下内容：</w:t>
      </w:r>
    </w:p>
    <w:p w14:paraId="7D26F9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（1）施工方案； </w:t>
      </w:r>
    </w:p>
    <w:p w14:paraId="5B40A13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（2）施工现场平面布置图；</w:t>
      </w:r>
    </w:p>
    <w:p w14:paraId="597592B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（3）施工进度计划和保证措施； </w:t>
      </w:r>
    </w:p>
    <w:p w14:paraId="0E8A91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（4）劳动力及材料供应计划；</w:t>
      </w:r>
    </w:p>
    <w:p w14:paraId="74FFDA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（5）施工机械设备的选用；</w:t>
      </w:r>
    </w:p>
    <w:p w14:paraId="167A6E0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（6）质量保证体系及措施；</w:t>
      </w:r>
    </w:p>
    <w:p w14:paraId="71DBBDC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（7）安全生产、文明施工措施；</w:t>
      </w:r>
    </w:p>
    <w:p w14:paraId="160DA2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（8）环境保护、成本控制措施；</w:t>
      </w:r>
    </w:p>
    <w:p w14:paraId="240E2C9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（9）合同当事人约定的其他内容。</w:t>
      </w:r>
    </w:p>
    <w:p w14:paraId="4ED10687">
      <w:pPr>
        <w:spacing w:line="420" w:lineRule="exact"/>
        <w:ind w:firstLine="420"/>
        <w:outlineLvl w:val="0"/>
        <w:rPr>
          <w:rFonts w:ascii="宋体" w:hAnsi="宋体" w:cs="宋体"/>
          <w:color w:val="auto"/>
          <w:sz w:val="21"/>
          <w:szCs w:val="21"/>
          <w:highlight w:val="none"/>
        </w:rPr>
      </w:pPr>
      <w:bookmarkStart w:id="327" w:name="_Toc406522112"/>
      <w:bookmarkStart w:id="328" w:name="_Toc478389081"/>
      <w:r>
        <w:rPr>
          <w:rFonts w:hint="eastAsia" w:ascii="宋体" w:hAnsi="宋体" w:cs="宋体"/>
          <w:color w:val="auto"/>
          <w:sz w:val="21"/>
          <w:szCs w:val="21"/>
          <w:highlight w:val="none"/>
        </w:rPr>
        <w:t>7.1.2 施工组织设计的提交和修改</w:t>
      </w:r>
      <w:bookmarkEnd w:id="327"/>
      <w:bookmarkEnd w:id="328"/>
    </w:p>
    <w:p w14:paraId="43F43DF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w:t>
      </w:r>
      <w:r>
        <w:rPr>
          <w:rFonts w:hint="eastAsia" w:ascii="宋体" w:hAnsi="宋体" w:cs="宋体"/>
          <w:color w:val="auto"/>
          <w:spacing w:val="-4"/>
          <w:sz w:val="21"/>
          <w:szCs w:val="21"/>
          <w:highlight w:val="none"/>
        </w:rPr>
        <w:t>工程实际情况需要修改施工组织设计的，承包人应向发包人和监理人提交修改后的施工组织设计。</w:t>
      </w:r>
    </w:p>
    <w:p w14:paraId="0BF8F2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施工进度计划的编制和修改按照第7.2款〔施工进度计划〕执行。</w:t>
      </w:r>
    </w:p>
    <w:p w14:paraId="68749D89">
      <w:pPr>
        <w:keepNext/>
        <w:keepLines/>
        <w:spacing w:line="420" w:lineRule="exact"/>
        <w:ind w:firstLine="0" w:firstLineChars="0"/>
        <w:outlineLvl w:val="0"/>
        <w:rPr>
          <w:rFonts w:ascii="宋体" w:hAnsi="宋体" w:cs="宋体"/>
          <w:b/>
          <w:bCs/>
          <w:color w:val="auto"/>
          <w:kern w:val="44"/>
          <w:sz w:val="21"/>
          <w:szCs w:val="21"/>
          <w:highlight w:val="none"/>
        </w:rPr>
      </w:pPr>
      <w:bookmarkStart w:id="329" w:name="_Toc478389082"/>
      <w:bookmarkStart w:id="330" w:name="_Toc351203544"/>
      <w:r>
        <w:rPr>
          <w:rFonts w:hint="eastAsia" w:ascii="宋体" w:hAnsi="宋体" w:cs="宋体"/>
          <w:b/>
          <w:bCs/>
          <w:color w:val="auto"/>
          <w:kern w:val="44"/>
          <w:sz w:val="21"/>
          <w:szCs w:val="21"/>
          <w:highlight w:val="none"/>
        </w:rPr>
        <w:t>7</w:t>
      </w:r>
      <w:bookmarkStart w:id="331" w:name="_Toc337558769"/>
      <w:r>
        <w:rPr>
          <w:rFonts w:hint="eastAsia" w:ascii="宋体" w:hAnsi="宋体" w:cs="宋体"/>
          <w:b/>
          <w:bCs/>
          <w:color w:val="auto"/>
          <w:kern w:val="44"/>
          <w:sz w:val="21"/>
          <w:szCs w:val="21"/>
          <w:highlight w:val="none"/>
        </w:rPr>
        <w:t>.2 施工进度计划</w:t>
      </w:r>
      <w:bookmarkEnd w:id="329"/>
      <w:bookmarkEnd w:id="330"/>
    </w:p>
    <w:bookmarkEnd w:id="331"/>
    <w:p w14:paraId="5CCC6CA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7.2.1 施工进度计划的编制</w:t>
      </w:r>
    </w:p>
    <w:p w14:paraId="297050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4DA98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7.2.2 施工进度计划的修订</w:t>
      </w:r>
    </w:p>
    <w:p w14:paraId="6115A6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1692D306">
      <w:pPr>
        <w:keepNext/>
        <w:keepLines/>
        <w:spacing w:line="420" w:lineRule="exact"/>
        <w:ind w:firstLine="0" w:firstLineChars="0"/>
        <w:outlineLvl w:val="0"/>
        <w:rPr>
          <w:rFonts w:ascii="宋体" w:hAnsi="宋体" w:cs="宋体"/>
          <w:b/>
          <w:bCs/>
          <w:color w:val="auto"/>
          <w:kern w:val="44"/>
          <w:sz w:val="21"/>
          <w:szCs w:val="21"/>
          <w:highlight w:val="none"/>
        </w:rPr>
      </w:pPr>
      <w:bookmarkStart w:id="332" w:name="_Toc351203545"/>
      <w:bookmarkStart w:id="333" w:name="_Toc478389083"/>
      <w:r>
        <w:rPr>
          <w:rFonts w:hint="eastAsia" w:ascii="宋体" w:hAnsi="宋体" w:cs="宋体"/>
          <w:b/>
          <w:bCs/>
          <w:color w:val="auto"/>
          <w:kern w:val="44"/>
          <w:sz w:val="21"/>
          <w:szCs w:val="21"/>
          <w:highlight w:val="none"/>
        </w:rPr>
        <w:t>7</w:t>
      </w:r>
      <w:bookmarkStart w:id="334" w:name="_Toc337558770"/>
      <w:r>
        <w:rPr>
          <w:rFonts w:hint="eastAsia" w:ascii="宋体" w:hAnsi="宋体" w:cs="宋体"/>
          <w:b/>
          <w:bCs/>
          <w:color w:val="auto"/>
          <w:kern w:val="44"/>
          <w:sz w:val="21"/>
          <w:szCs w:val="21"/>
          <w:highlight w:val="none"/>
        </w:rPr>
        <w:t>.3 开工</w:t>
      </w:r>
      <w:bookmarkEnd w:id="332"/>
      <w:bookmarkEnd w:id="333"/>
    </w:p>
    <w:p w14:paraId="19B645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7.3.1 开工准备</w:t>
      </w:r>
    </w:p>
    <w:p w14:paraId="00A475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40424D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除专用合同条款另有约定外，合同当事人应按约定完成开工准备工作。</w:t>
      </w:r>
    </w:p>
    <w:p w14:paraId="4A95AD1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7.3.2 开工通知</w:t>
      </w:r>
    </w:p>
    <w:bookmarkEnd w:id="334"/>
    <w:p w14:paraId="6B1D9F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A6F483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4A31ACCF">
      <w:pPr>
        <w:keepNext/>
        <w:keepLines/>
        <w:spacing w:line="420" w:lineRule="exact"/>
        <w:ind w:firstLine="0" w:firstLineChars="0"/>
        <w:outlineLvl w:val="0"/>
        <w:rPr>
          <w:rFonts w:ascii="宋体" w:hAnsi="宋体" w:cs="宋体"/>
          <w:b/>
          <w:bCs/>
          <w:color w:val="auto"/>
          <w:kern w:val="44"/>
          <w:sz w:val="21"/>
          <w:szCs w:val="21"/>
          <w:highlight w:val="none"/>
        </w:rPr>
      </w:pPr>
      <w:bookmarkStart w:id="335" w:name="_Toc478389084"/>
      <w:bookmarkStart w:id="336" w:name="_Toc351203546"/>
      <w:r>
        <w:rPr>
          <w:rFonts w:hint="eastAsia" w:ascii="宋体" w:hAnsi="宋体" w:cs="宋体"/>
          <w:b/>
          <w:bCs/>
          <w:color w:val="auto"/>
          <w:kern w:val="44"/>
          <w:sz w:val="21"/>
          <w:szCs w:val="21"/>
          <w:highlight w:val="none"/>
        </w:rPr>
        <w:t>7.4测量放线</w:t>
      </w:r>
      <w:bookmarkEnd w:id="335"/>
      <w:bookmarkEnd w:id="336"/>
    </w:p>
    <w:p w14:paraId="6EBF6A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7.4.1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406D25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63BDC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7.4.2承包人负责施工过程中的全部施工测量放线工作，并配置具有相应资质的人员、合格的仪器、设备和其他物品。承包人应矫正工程的位置、标高、尺寸或准线中出现的任何差错，并对工程各部分的定位负责。</w:t>
      </w:r>
    </w:p>
    <w:p w14:paraId="31982D0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施工过程中对施工现场内水准点等测量标志物的保护工作由承包人负责。</w:t>
      </w:r>
      <w:bookmarkStart w:id="337" w:name="_Toc351203547"/>
    </w:p>
    <w:p w14:paraId="3604E5E0">
      <w:pPr>
        <w:keepNext/>
        <w:keepLines/>
        <w:spacing w:line="420" w:lineRule="exact"/>
        <w:ind w:firstLine="0" w:firstLineChars="0"/>
        <w:outlineLvl w:val="0"/>
        <w:rPr>
          <w:rFonts w:ascii="宋体" w:hAnsi="宋体" w:cs="宋体"/>
          <w:b/>
          <w:bCs/>
          <w:color w:val="auto"/>
          <w:kern w:val="44"/>
          <w:sz w:val="21"/>
          <w:szCs w:val="21"/>
          <w:highlight w:val="none"/>
        </w:rPr>
      </w:pPr>
      <w:bookmarkStart w:id="338" w:name="_Toc478389085"/>
      <w:r>
        <w:rPr>
          <w:rFonts w:hint="eastAsia" w:ascii="宋体" w:hAnsi="宋体" w:cs="宋体"/>
          <w:b/>
          <w:bCs/>
          <w:color w:val="auto"/>
          <w:kern w:val="44"/>
          <w:sz w:val="21"/>
          <w:szCs w:val="21"/>
          <w:highlight w:val="none"/>
        </w:rPr>
        <w:t>7</w:t>
      </w:r>
      <w:bookmarkEnd w:id="323"/>
      <w:bookmarkEnd w:id="324"/>
      <w:bookmarkStart w:id="339" w:name="_Toc296346574"/>
      <w:bookmarkStart w:id="340" w:name="_Toc337558772"/>
      <w:bookmarkStart w:id="341" w:name="_Toc296503073"/>
      <w:r>
        <w:rPr>
          <w:rFonts w:hint="eastAsia" w:ascii="宋体" w:hAnsi="宋体" w:cs="宋体"/>
          <w:b/>
          <w:bCs/>
          <w:color w:val="auto"/>
          <w:kern w:val="44"/>
          <w:sz w:val="21"/>
          <w:szCs w:val="21"/>
          <w:highlight w:val="none"/>
        </w:rPr>
        <w:t>.5 工期延误</w:t>
      </w:r>
      <w:bookmarkEnd w:id="337"/>
      <w:bookmarkEnd w:id="338"/>
    </w:p>
    <w:bookmarkEnd w:id="339"/>
    <w:bookmarkEnd w:id="340"/>
    <w:bookmarkEnd w:id="341"/>
    <w:p w14:paraId="74F384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7.5.1 因发包人原因导致工期延误</w:t>
      </w:r>
    </w:p>
    <w:p w14:paraId="3D3EC3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在合同履行过程中，因下列情况导致工期延误和（或）费用增加的，由发包人承担由此延误的工期和（或）增加的费用，且发包人应支付承包人合理的利润： </w:t>
      </w:r>
    </w:p>
    <w:p w14:paraId="2BED2B2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（1）发包人未能按合同约定提供图纸或所提供图纸不符合合同约定的；</w:t>
      </w:r>
    </w:p>
    <w:p w14:paraId="449CB17C">
      <w:pPr>
        <w:spacing w:line="420" w:lineRule="exact"/>
        <w:ind w:firstLine="420"/>
        <w:rPr>
          <w:rFonts w:ascii="宋体" w:hAnsi="宋体" w:cs="宋体"/>
          <w:color w:val="auto"/>
          <w:spacing w:val="-4"/>
          <w:sz w:val="21"/>
          <w:szCs w:val="21"/>
          <w:highlight w:val="none"/>
        </w:rPr>
      </w:pPr>
      <w:r>
        <w:rPr>
          <w:rFonts w:hint="eastAsia" w:ascii="宋体" w:hAnsi="宋体" w:cs="宋体"/>
          <w:color w:val="auto"/>
          <w:sz w:val="21"/>
          <w:szCs w:val="21"/>
          <w:highlight w:val="none"/>
        </w:rPr>
        <w:t>（2）</w:t>
      </w:r>
      <w:r>
        <w:rPr>
          <w:rFonts w:hint="eastAsia" w:ascii="宋体" w:hAnsi="宋体" w:cs="宋体"/>
          <w:color w:val="auto"/>
          <w:spacing w:val="-4"/>
          <w:sz w:val="21"/>
          <w:szCs w:val="21"/>
          <w:highlight w:val="none"/>
        </w:rPr>
        <w:t>发包人未能按合同约定提供施工现场、施工条件、基础资料、许可、批准等开工条件的；</w:t>
      </w:r>
    </w:p>
    <w:p w14:paraId="4A51BEB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（3）发包人提供的测量基准点、基准线和水准点及其书面资料存在错误或疏漏的；</w:t>
      </w:r>
    </w:p>
    <w:p w14:paraId="3D0F00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（4）发包人未能在计划开工日期之日起7天内同意下达开工通知的；</w:t>
      </w:r>
    </w:p>
    <w:p w14:paraId="038860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（5）发包人未能按合同约定日期支付工程预付款、进度款或竣工结算款的；</w:t>
      </w:r>
    </w:p>
    <w:p w14:paraId="21FC26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（6）监理人未按合同约定发出指示、批准等文件的；</w:t>
      </w:r>
    </w:p>
    <w:p w14:paraId="616700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（7）专用合同条款中约定的其他情形。</w:t>
      </w:r>
    </w:p>
    <w:p w14:paraId="4779889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1C7A574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7.5.2 因承包人原因导致工期延误</w:t>
      </w:r>
    </w:p>
    <w:p w14:paraId="1C734F1B">
      <w:pPr>
        <w:spacing w:line="420" w:lineRule="exact"/>
        <w:ind w:firstLine="420"/>
        <w:rPr>
          <w:rFonts w:ascii="宋体" w:hAnsi="宋体" w:cs="宋体"/>
          <w:color w:val="auto"/>
          <w:sz w:val="21"/>
          <w:szCs w:val="21"/>
          <w:highlight w:val="none"/>
        </w:rPr>
      </w:pPr>
      <w:bookmarkStart w:id="342" w:name="_Toc296503076"/>
      <w:bookmarkStart w:id="343" w:name="_Toc296346577"/>
      <w:r>
        <w:rPr>
          <w:rFonts w:hint="eastAsia" w:ascii="宋体" w:hAnsi="宋体" w:cs="宋体"/>
          <w:color w:val="auto"/>
          <w:sz w:val="21"/>
          <w:szCs w:val="21"/>
          <w:highlight w:val="none"/>
        </w:rPr>
        <w:t>因</w:t>
      </w:r>
      <w:bookmarkEnd w:id="342"/>
      <w:bookmarkEnd w:id="343"/>
      <w:r>
        <w:rPr>
          <w:rFonts w:hint="eastAsia" w:ascii="宋体" w:hAnsi="宋体" w:cs="宋体"/>
          <w:color w:val="auto"/>
          <w:sz w:val="21"/>
          <w:szCs w:val="21"/>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0EAE9282">
      <w:pPr>
        <w:keepNext/>
        <w:keepLines/>
        <w:spacing w:line="420" w:lineRule="exact"/>
        <w:ind w:firstLine="0" w:firstLineChars="0"/>
        <w:outlineLvl w:val="0"/>
        <w:rPr>
          <w:rFonts w:ascii="宋体" w:hAnsi="宋体" w:cs="宋体"/>
          <w:b/>
          <w:bCs/>
          <w:color w:val="auto"/>
          <w:kern w:val="44"/>
          <w:sz w:val="21"/>
          <w:szCs w:val="21"/>
          <w:highlight w:val="none"/>
        </w:rPr>
      </w:pPr>
      <w:bookmarkStart w:id="344" w:name="_Toc351203548"/>
      <w:bookmarkStart w:id="345" w:name="_Toc478389086"/>
      <w:r>
        <w:rPr>
          <w:rFonts w:hint="eastAsia" w:ascii="宋体" w:hAnsi="宋体" w:cs="宋体"/>
          <w:b/>
          <w:bCs/>
          <w:color w:val="auto"/>
          <w:kern w:val="44"/>
          <w:sz w:val="21"/>
          <w:szCs w:val="21"/>
          <w:highlight w:val="none"/>
        </w:rPr>
        <w:t>7</w:t>
      </w:r>
      <w:bookmarkStart w:id="346" w:name="_Toc337558773"/>
      <w:bookmarkStart w:id="347" w:name="_Toc296503074"/>
      <w:bookmarkStart w:id="348" w:name="_Toc296346575"/>
      <w:bookmarkStart w:id="349" w:name="_Toc296503077"/>
      <w:bookmarkStart w:id="350" w:name="_Toc296346578"/>
      <w:r>
        <w:rPr>
          <w:rFonts w:hint="eastAsia" w:ascii="宋体" w:hAnsi="宋体" w:cs="宋体"/>
          <w:b/>
          <w:bCs/>
          <w:color w:val="auto"/>
          <w:kern w:val="44"/>
          <w:sz w:val="21"/>
          <w:szCs w:val="21"/>
          <w:highlight w:val="none"/>
        </w:rPr>
        <w:t>.6 不利物质条件</w:t>
      </w:r>
      <w:bookmarkEnd w:id="344"/>
      <w:bookmarkEnd w:id="345"/>
    </w:p>
    <w:bookmarkEnd w:id="346"/>
    <w:bookmarkEnd w:id="347"/>
    <w:bookmarkEnd w:id="348"/>
    <w:p w14:paraId="5A37349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12E90A2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11383638">
      <w:pPr>
        <w:keepNext/>
        <w:keepLines/>
        <w:spacing w:line="420" w:lineRule="exact"/>
        <w:ind w:firstLine="0" w:firstLineChars="0"/>
        <w:outlineLvl w:val="0"/>
        <w:rPr>
          <w:rFonts w:ascii="宋体" w:hAnsi="宋体" w:cs="宋体"/>
          <w:b/>
          <w:bCs/>
          <w:color w:val="auto"/>
          <w:kern w:val="44"/>
          <w:sz w:val="21"/>
          <w:szCs w:val="21"/>
          <w:highlight w:val="none"/>
        </w:rPr>
      </w:pPr>
      <w:bookmarkStart w:id="351" w:name="_Toc351203549"/>
      <w:bookmarkStart w:id="352" w:name="_Toc478389087"/>
      <w:r>
        <w:rPr>
          <w:rFonts w:hint="eastAsia" w:ascii="宋体" w:hAnsi="宋体" w:cs="宋体"/>
          <w:b/>
          <w:bCs/>
          <w:color w:val="auto"/>
          <w:kern w:val="44"/>
          <w:sz w:val="21"/>
          <w:szCs w:val="21"/>
          <w:highlight w:val="none"/>
        </w:rPr>
        <w:t>7</w:t>
      </w:r>
      <w:bookmarkStart w:id="353" w:name="_Toc337558774"/>
      <w:bookmarkStart w:id="354" w:name="_Toc296503075"/>
      <w:bookmarkStart w:id="355" w:name="_Toc296346576"/>
      <w:r>
        <w:rPr>
          <w:rFonts w:hint="eastAsia" w:ascii="宋体" w:hAnsi="宋体" w:cs="宋体"/>
          <w:b/>
          <w:bCs/>
          <w:color w:val="auto"/>
          <w:kern w:val="44"/>
          <w:sz w:val="21"/>
          <w:szCs w:val="21"/>
          <w:highlight w:val="none"/>
        </w:rPr>
        <w:t>.7 异常恶劣的气候条件</w:t>
      </w:r>
      <w:bookmarkEnd w:id="351"/>
      <w:bookmarkEnd w:id="352"/>
    </w:p>
    <w:bookmarkEnd w:id="353"/>
    <w:bookmarkEnd w:id="354"/>
    <w:bookmarkEnd w:id="355"/>
    <w:p w14:paraId="3484BBF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32BC0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356" w:name="_Toc351203550"/>
    </w:p>
    <w:p w14:paraId="207F43CB">
      <w:pPr>
        <w:keepNext/>
        <w:keepLines/>
        <w:spacing w:line="420" w:lineRule="exact"/>
        <w:ind w:firstLine="0" w:firstLineChars="0"/>
        <w:outlineLvl w:val="0"/>
        <w:rPr>
          <w:rFonts w:ascii="宋体" w:hAnsi="宋体" w:cs="宋体"/>
          <w:b/>
          <w:bCs/>
          <w:color w:val="auto"/>
          <w:kern w:val="44"/>
          <w:sz w:val="21"/>
          <w:szCs w:val="21"/>
          <w:highlight w:val="none"/>
        </w:rPr>
      </w:pPr>
      <w:bookmarkStart w:id="357" w:name="_Toc478389088"/>
      <w:r>
        <w:rPr>
          <w:rFonts w:hint="eastAsia" w:ascii="宋体" w:hAnsi="宋体" w:cs="宋体"/>
          <w:b/>
          <w:bCs/>
          <w:color w:val="auto"/>
          <w:kern w:val="44"/>
          <w:sz w:val="21"/>
          <w:szCs w:val="21"/>
          <w:highlight w:val="none"/>
        </w:rPr>
        <w:t>7</w:t>
      </w:r>
      <w:bookmarkStart w:id="358" w:name="_Toc337558775"/>
      <w:r>
        <w:rPr>
          <w:rFonts w:hint="eastAsia" w:ascii="宋体" w:hAnsi="宋体" w:cs="宋体"/>
          <w:b/>
          <w:bCs/>
          <w:color w:val="auto"/>
          <w:kern w:val="44"/>
          <w:sz w:val="21"/>
          <w:szCs w:val="21"/>
          <w:highlight w:val="none"/>
        </w:rPr>
        <w:t>.8 暂停施工</w:t>
      </w:r>
      <w:bookmarkEnd w:id="356"/>
      <w:bookmarkEnd w:id="357"/>
    </w:p>
    <w:bookmarkEnd w:id="349"/>
    <w:bookmarkEnd w:id="350"/>
    <w:bookmarkEnd w:id="358"/>
    <w:p w14:paraId="4D5889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7.8.1发包人原因引起的暂停施工</w:t>
      </w:r>
    </w:p>
    <w:p w14:paraId="589939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因发包人原因引起暂停施工的，监理人经发包人同意后，应及时下达暂停施工指示。情况紧急且监理人未及时下达暂停施工指示的，按照第7.8.4项〔紧急情况下的暂停施工〕执行。</w:t>
      </w:r>
    </w:p>
    <w:p w14:paraId="093BEE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因发包人原因引起的暂停施工，发包人应承担由此增加的费用和（或）延误的工期，并支付承包人合理的利润。</w:t>
      </w:r>
    </w:p>
    <w:p w14:paraId="5B42F66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7.8.2 承包人原因引起的暂停施工</w:t>
      </w:r>
    </w:p>
    <w:p w14:paraId="32F449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60ADE8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7.8.3 指示暂停施工</w:t>
      </w:r>
    </w:p>
    <w:p w14:paraId="0ACD4B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监理人认为有必要时，并经发包人批准后，可向承包人作出暂停施工的指示，承包人应按监理人指示暂停施工。</w:t>
      </w:r>
    </w:p>
    <w:p w14:paraId="00CAB67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7.8.4 紧急情况下的暂停施工</w:t>
      </w:r>
    </w:p>
    <w:p w14:paraId="7BC71CB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20A59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7.8.5 暂停施工后的复工</w:t>
      </w:r>
    </w:p>
    <w:p w14:paraId="0B2197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22B9E0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承包人无故拖延和拒绝复工的，承包人承担由此增加的费用和（或）延误的工期；因发包人原因无法按时复工的，按照第7.5.1项〔因发包人原因导致工期延误〕约定办理。</w:t>
      </w:r>
    </w:p>
    <w:p w14:paraId="4FE45E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7.8.6 暂停施工持续56天以上</w:t>
      </w:r>
    </w:p>
    <w:p w14:paraId="071167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41C1F96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98919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7.8.7 暂停施工期间的工程照管</w:t>
      </w:r>
    </w:p>
    <w:p w14:paraId="2BA977C7">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暂停施工期间，承包人应负责妥善照管工程并提供安全保障，由此增加的费用由责任方承担。</w:t>
      </w:r>
    </w:p>
    <w:p w14:paraId="1F64E6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7.8.8 暂停施工的措施</w:t>
      </w:r>
    </w:p>
    <w:p w14:paraId="7CFB35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暂停施工期间，发包人和承包人均应采取必要的措施确保工程质量及安全，防止因暂停施工扩大损失。</w:t>
      </w:r>
    </w:p>
    <w:p w14:paraId="4C3CE2E6">
      <w:pPr>
        <w:keepNext/>
        <w:keepLines/>
        <w:spacing w:line="420" w:lineRule="exact"/>
        <w:ind w:firstLine="0" w:firstLineChars="0"/>
        <w:outlineLvl w:val="0"/>
        <w:rPr>
          <w:rFonts w:ascii="宋体" w:hAnsi="宋体" w:cs="宋体"/>
          <w:b/>
          <w:bCs/>
          <w:color w:val="auto"/>
          <w:kern w:val="44"/>
          <w:sz w:val="21"/>
          <w:szCs w:val="21"/>
          <w:highlight w:val="none"/>
        </w:rPr>
      </w:pPr>
      <w:bookmarkStart w:id="359" w:name="_Toc351203551"/>
      <w:bookmarkStart w:id="360" w:name="_Toc478389089"/>
      <w:r>
        <w:rPr>
          <w:rFonts w:hint="eastAsia" w:ascii="宋体" w:hAnsi="宋体" w:cs="宋体"/>
          <w:b/>
          <w:bCs/>
          <w:color w:val="auto"/>
          <w:kern w:val="44"/>
          <w:sz w:val="21"/>
          <w:szCs w:val="21"/>
          <w:highlight w:val="none"/>
        </w:rPr>
        <w:t>7.9提前竣工</w:t>
      </w:r>
      <w:bookmarkEnd w:id="359"/>
      <w:bookmarkEnd w:id="360"/>
    </w:p>
    <w:p w14:paraId="56D95E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7.9.1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6C16E9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7.9.2发包人要求承包人提前竣工，或承包人提出提前竣工的建议能够给发包人带来效益的，合同当事人可以在专用合同条款中约定提前竣工的奖励。</w:t>
      </w:r>
    </w:p>
    <w:p w14:paraId="45F8F28B">
      <w:pPr>
        <w:keepNext/>
        <w:keepLines/>
        <w:spacing w:line="420" w:lineRule="exact"/>
        <w:ind w:firstLine="0" w:firstLineChars="0"/>
        <w:outlineLvl w:val="0"/>
        <w:rPr>
          <w:rFonts w:ascii="宋体" w:hAnsi="宋体" w:cs="宋体"/>
          <w:b/>
          <w:bCs/>
          <w:color w:val="auto"/>
          <w:kern w:val="44"/>
          <w:sz w:val="21"/>
          <w:szCs w:val="21"/>
          <w:highlight w:val="none"/>
        </w:rPr>
      </w:pPr>
      <w:bookmarkStart w:id="361" w:name="_Toc478389090"/>
      <w:bookmarkStart w:id="362" w:name="_Toc351203552"/>
      <w:r>
        <w:rPr>
          <w:rFonts w:hint="eastAsia" w:ascii="宋体" w:hAnsi="宋体" w:cs="宋体"/>
          <w:b/>
          <w:bCs/>
          <w:color w:val="auto"/>
          <w:kern w:val="44"/>
          <w:sz w:val="21"/>
          <w:szCs w:val="21"/>
          <w:highlight w:val="none"/>
        </w:rPr>
        <w:t>8</w:t>
      </w:r>
      <w:bookmarkStart w:id="363" w:name="_Toc296346559"/>
      <w:bookmarkStart w:id="364" w:name="_Toc296503058"/>
      <w:bookmarkStart w:id="365" w:name="_Toc337558776"/>
      <w:r>
        <w:rPr>
          <w:rFonts w:hint="eastAsia" w:ascii="宋体" w:hAnsi="宋体" w:cs="宋体"/>
          <w:b/>
          <w:bCs/>
          <w:color w:val="auto"/>
          <w:kern w:val="44"/>
          <w:sz w:val="21"/>
          <w:szCs w:val="21"/>
          <w:highlight w:val="none"/>
        </w:rPr>
        <w:t>. 材料与设备</w:t>
      </w:r>
      <w:bookmarkEnd w:id="361"/>
      <w:bookmarkEnd w:id="362"/>
    </w:p>
    <w:bookmarkEnd w:id="363"/>
    <w:bookmarkEnd w:id="364"/>
    <w:bookmarkEnd w:id="365"/>
    <w:p w14:paraId="7A7D9A94">
      <w:pPr>
        <w:keepNext/>
        <w:keepLines/>
        <w:spacing w:line="420" w:lineRule="exact"/>
        <w:ind w:firstLine="0" w:firstLineChars="0"/>
        <w:outlineLvl w:val="0"/>
        <w:rPr>
          <w:rFonts w:ascii="宋体" w:hAnsi="宋体" w:cs="宋体"/>
          <w:b/>
          <w:bCs/>
          <w:color w:val="auto"/>
          <w:kern w:val="44"/>
          <w:sz w:val="21"/>
          <w:szCs w:val="21"/>
          <w:highlight w:val="none"/>
        </w:rPr>
      </w:pPr>
      <w:bookmarkStart w:id="366" w:name="_Toc351203553"/>
      <w:bookmarkStart w:id="367" w:name="_Toc478389091"/>
      <w:r>
        <w:rPr>
          <w:rFonts w:hint="eastAsia" w:ascii="宋体" w:hAnsi="宋体" w:cs="宋体"/>
          <w:b/>
          <w:bCs/>
          <w:color w:val="auto"/>
          <w:kern w:val="44"/>
          <w:sz w:val="21"/>
          <w:szCs w:val="21"/>
          <w:highlight w:val="none"/>
        </w:rPr>
        <w:t>8</w:t>
      </w:r>
      <w:bookmarkStart w:id="368" w:name="_Toc296346560"/>
      <w:bookmarkStart w:id="369" w:name="_Toc296503059"/>
      <w:bookmarkStart w:id="370" w:name="_Toc337558777"/>
      <w:bookmarkStart w:id="371" w:name="_Toc468936960"/>
      <w:r>
        <w:rPr>
          <w:rFonts w:hint="eastAsia" w:ascii="宋体" w:hAnsi="宋体" w:cs="宋体"/>
          <w:b/>
          <w:bCs/>
          <w:color w:val="auto"/>
          <w:kern w:val="44"/>
          <w:sz w:val="21"/>
          <w:szCs w:val="21"/>
          <w:highlight w:val="none"/>
        </w:rPr>
        <w:t>.1发包人供应材料与工程设备</w:t>
      </w:r>
      <w:bookmarkEnd w:id="366"/>
      <w:bookmarkEnd w:id="367"/>
    </w:p>
    <w:bookmarkEnd w:id="368"/>
    <w:bookmarkEnd w:id="369"/>
    <w:bookmarkEnd w:id="370"/>
    <w:p w14:paraId="3FA029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发包人自行供应材料、工程设备的，应在签订合同时在专用合同条款的附件《发包人供应材料设备一览表》中明确材料、工程设备的品种、规格、型号、数量、单价、质量等级和送达地点。</w:t>
      </w:r>
    </w:p>
    <w:p w14:paraId="7E530F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5377CB5D">
      <w:pPr>
        <w:keepNext/>
        <w:keepLines/>
        <w:spacing w:line="420" w:lineRule="exact"/>
        <w:ind w:firstLine="0" w:firstLineChars="0"/>
        <w:outlineLvl w:val="0"/>
        <w:rPr>
          <w:rFonts w:ascii="宋体" w:hAnsi="宋体" w:cs="宋体"/>
          <w:b/>
          <w:bCs/>
          <w:color w:val="auto"/>
          <w:kern w:val="44"/>
          <w:sz w:val="21"/>
          <w:szCs w:val="21"/>
          <w:highlight w:val="none"/>
        </w:rPr>
      </w:pPr>
      <w:bookmarkStart w:id="372" w:name="_Toc351203554"/>
      <w:bookmarkStart w:id="373" w:name="_Toc478389092"/>
      <w:r>
        <w:rPr>
          <w:rFonts w:hint="eastAsia" w:ascii="宋体" w:hAnsi="宋体" w:cs="宋体"/>
          <w:b/>
          <w:bCs/>
          <w:color w:val="auto"/>
          <w:kern w:val="44"/>
          <w:sz w:val="21"/>
          <w:szCs w:val="21"/>
          <w:highlight w:val="none"/>
        </w:rPr>
        <w:t>8</w:t>
      </w:r>
      <w:bookmarkStart w:id="374" w:name="_Toc296503060"/>
      <w:bookmarkStart w:id="375" w:name="_Toc296346561"/>
      <w:bookmarkStart w:id="376" w:name="_Toc337558778"/>
      <w:r>
        <w:rPr>
          <w:rFonts w:hint="eastAsia" w:ascii="宋体" w:hAnsi="宋体" w:cs="宋体"/>
          <w:b/>
          <w:bCs/>
          <w:color w:val="auto"/>
          <w:kern w:val="44"/>
          <w:sz w:val="21"/>
          <w:szCs w:val="21"/>
          <w:highlight w:val="none"/>
        </w:rPr>
        <w:t>.2承包人采购材料与工程设备</w:t>
      </w:r>
      <w:bookmarkEnd w:id="372"/>
      <w:bookmarkEnd w:id="373"/>
    </w:p>
    <w:bookmarkEnd w:id="374"/>
    <w:bookmarkEnd w:id="375"/>
    <w:bookmarkEnd w:id="376"/>
    <w:p w14:paraId="35C184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5BF6BB8E">
      <w:pPr>
        <w:keepNext/>
        <w:keepLines/>
        <w:spacing w:line="420" w:lineRule="exact"/>
        <w:ind w:firstLine="0" w:firstLineChars="0"/>
        <w:outlineLvl w:val="0"/>
        <w:rPr>
          <w:rFonts w:ascii="宋体" w:hAnsi="宋体" w:cs="宋体"/>
          <w:b/>
          <w:bCs/>
          <w:color w:val="auto"/>
          <w:kern w:val="44"/>
          <w:sz w:val="21"/>
          <w:szCs w:val="21"/>
          <w:highlight w:val="none"/>
        </w:rPr>
      </w:pPr>
      <w:bookmarkStart w:id="377" w:name="_Toc478389093"/>
      <w:bookmarkStart w:id="378" w:name="_Toc351203555"/>
      <w:r>
        <w:rPr>
          <w:rFonts w:hint="eastAsia" w:ascii="宋体" w:hAnsi="宋体" w:cs="宋体"/>
          <w:b/>
          <w:bCs/>
          <w:color w:val="auto"/>
          <w:kern w:val="44"/>
          <w:sz w:val="21"/>
          <w:szCs w:val="21"/>
          <w:highlight w:val="none"/>
        </w:rPr>
        <w:t>8</w:t>
      </w:r>
      <w:bookmarkStart w:id="379" w:name="_Toc296346562"/>
      <w:bookmarkStart w:id="380" w:name="_Toc296503061"/>
      <w:bookmarkStart w:id="381" w:name="_Toc337558779"/>
      <w:r>
        <w:rPr>
          <w:rFonts w:hint="eastAsia" w:ascii="宋体" w:hAnsi="宋体" w:cs="宋体"/>
          <w:b/>
          <w:bCs/>
          <w:color w:val="auto"/>
          <w:kern w:val="44"/>
          <w:sz w:val="21"/>
          <w:szCs w:val="21"/>
          <w:highlight w:val="none"/>
        </w:rPr>
        <w:t>.3材料与工程设备的接收与拒收</w:t>
      </w:r>
      <w:bookmarkEnd w:id="377"/>
      <w:bookmarkEnd w:id="378"/>
    </w:p>
    <w:bookmarkEnd w:id="379"/>
    <w:bookmarkEnd w:id="380"/>
    <w:bookmarkEnd w:id="381"/>
    <w:p w14:paraId="238621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8.3.1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6BAF1A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发包人提供的材料和工程设备的规格、数量或质量不符合合同约定的，或因发包人原因导致交货日期延误或交货地点变更等情况的，按照第16.1款〔发包人违约〕约定办理。</w:t>
      </w:r>
    </w:p>
    <w:p w14:paraId="379ABF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8.3.2承包人采购的材料和工程设备，应保证产品质量合格，承包人应在材料和工程设备到货前24小时通知监理人检验。承</w:t>
      </w:r>
      <w:bookmarkStart w:id="382" w:name="_Toc250655469"/>
      <w:r>
        <w:rPr>
          <w:rFonts w:hint="eastAsia" w:ascii="宋体" w:hAnsi="宋体" w:cs="宋体"/>
          <w:color w:val="auto"/>
          <w:sz w:val="21"/>
          <w:szCs w:val="21"/>
          <w:highlight w:val="none"/>
        </w:rPr>
        <w:t>包人进行永久设备、材料的制造和生产的，应符合相关质量标准，并向监理人提交材料的样本以及有关资料，并应在使用该材料或工程设备之前获得监理人同意。</w:t>
      </w:r>
      <w:bookmarkEnd w:id="382"/>
      <w:r>
        <w:rPr>
          <w:rFonts w:hint="eastAsia" w:ascii="宋体" w:hAnsi="宋体" w:cs="宋体"/>
          <w:color w:val="auto"/>
          <w:sz w:val="21"/>
          <w:szCs w:val="21"/>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46A542D1">
      <w:pPr>
        <w:keepNext/>
        <w:keepLines/>
        <w:spacing w:line="420" w:lineRule="exact"/>
        <w:ind w:firstLine="0" w:firstLineChars="0"/>
        <w:outlineLvl w:val="0"/>
        <w:rPr>
          <w:rFonts w:ascii="宋体" w:hAnsi="宋体" w:cs="宋体"/>
          <w:b/>
          <w:bCs/>
          <w:color w:val="auto"/>
          <w:kern w:val="44"/>
          <w:sz w:val="21"/>
          <w:szCs w:val="21"/>
          <w:highlight w:val="none"/>
        </w:rPr>
      </w:pPr>
      <w:bookmarkStart w:id="383" w:name="_Toc351203556"/>
      <w:bookmarkStart w:id="384" w:name="_Toc478389094"/>
      <w:r>
        <w:rPr>
          <w:rFonts w:hint="eastAsia" w:ascii="宋体" w:hAnsi="宋体" w:cs="宋体"/>
          <w:b/>
          <w:bCs/>
          <w:color w:val="auto"/>
          <w:kern w:val="44"/>
          <w:sz w:val="21"/>
          <w:szCs w:val="21"/>
          <w:highlight w:val="none"/>
        </w:rPr>
        <w:t>8</w:t>
      </w:r>
      <w:bookmarkStart w:id="385" w:name="_Toc296346563"/>
      <w:bookmarkStart w:id="386" w:name="_Toc337558780"/>
      <w:bookmarkStart w:id="387" w:name="_Toc296503062"/>
      <w:r>
        <w:rPr>
          <w:rFonts w:hint="eastAsia" w:ascii="宋体" w:hAnsi="宋体" w:cs="宋体"/>
          <w:b/>
          <w:bCs/>
          <w:color w:val="auto"/>
          <w:kern w:val="44"/>
          <w:sz w:val="21"/>
          <w:szCs w:val="21"/>
          <w:highlight w:val="none"/>
        </w:rPr>
        <w:t>.4材料与工程设备的保管与使用</w:t>
      </w:r>
      <w:bookmarkEnd w:id="383"/>
      <w:bookmarkEnd w:id="384"/>
    </w:p>
    <w:bookmarkEnd w:id="385"/>
    <w:bookmarkEnd w:id="386"/>
    <w:bookmarkEnd w:id="387"/>
    <w:p w14:paraId="4D01367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8.4.1 发包人供应材料与工程设备的保管与使用</w:t>
      </w:r>
    </w:p>
    <w:p w14:paraId="4293A5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352F256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发包人供应的材料和工程设备使用前，由承包人负责检验，检验费用由发包人承担，不合格的不得使用。</w:t>
      </w:r>
    </w:p>
    <w:p w14:paraId="6CB9F5A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8.4.2 承包人采购材料与工程设备的保管与使用</w:t>
      </w:r>
    </w:p>
    <w:p w14:paraId="35119B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F742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发包人或监理人发现承包人使用不符合设计或有关标准要求的材料和工程设备时，有权要求承包人进行修复、拆除或重新采购，由此增加的费用和（或）延误的工期，由承包人承担。</w:t>
      </w:r>
    </w:p>
    <w:p w14:paraId="258C1A93">
      <w:pPr>
        <w:keepNext/>
        <w:keepLines/>
        <w:spacing w:line="420" w:lineRule="exact"/>
        <w:ind w:firstLine="0" w:firstLineChars="0"/>
        <w:outlineLvl w:val="0"/>
        <w:rPr>
          <w:rFonts w:ascii="宋体" w:hAnsi="宋体" w:cs="宋体"/>
          <w:b/>
          <w:bCs/>
          <w:color w:val="auto"/>
          <w:kern w:val="44"/>
          <w:sz w:val="21"/>
          <w:szCs w:val="21"/>
          <w:highlight w:val="none"/>
        </w:rPr>
      </w:pPr>
      <w:bookmarkStart w:id="388" w:name="_Toc351203557"/>
      <w:bookmarkStart w:id="389" w:name="_Toc478389095"/>
      <w:r>
        <w:rPr>
          <w:rFonts w:hint="eastAsia" w:ascii="宋体" w:hAnsi="宋体" w:cs="宋体"/>
          <w:b/>
          <w:bCs/>
          <w:color w:val="auto"/>
          <w:kern w:val="44"/>
          <w:sz w:val="21"/>
          <w:szCs w:val="21"/>
          <w:highlight w:val="none"/>
        </w:rPr>
        <w:t>8.5禁止使用不合格的材料和工程设备</w:t>
      </w:r>
      <w:bookmarkEnd w:id="388"/>
      <w:bookmarkEnd w:id="389"/>
    </w:p>
    <w:p w14:paraId="0AE43845">
      <w:pPr>
        <w:snapToGrid w:val="0"/>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8.5.1监理人有权拒绝承包人提供的不合格材料或工程设备，并要求承包人立即进行更换。监理人应在更换后再次进行检查和检验，由此增加的费用和（或）延误的工期由承包人承担。</w:t>
      </w:r>
    </w:p>
    <w:p w14:paraId="704F71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8.5.2监理人发现承包人使用了不合格的材料和工程设备，承包人应按照监理人的指示立即改正，并禁止在工程中继续使用不合格的材料和工程设备。</w:t>
      </w:r>
    </w:p>
    <w:p w14:paraId="32CBC5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8.5.3发包人提供的材料或工程设备不符合合同要求的，承包人有权拒绝，并可要求发包人更换，由此增加的费用和（或）延误的工期由发包人承担，并支付承包人合理的利润。</w:t>
      </w:r>
    </w:p>
    <w:p w14:paraId="4E7482E4">
      <w:pPr>
        <w:keepNext/>
        <w:keepLines/>
        <w:spacing w:line="420" w:lineRule="exact"/>
        <w:ind w:firstLine="0" w:firstLineChars="0"/>
        <w:outlineLvl w:val="0"/>
        <w:rPr>
          <w:rFonts w:ascii="宋体" w:hAnsi="宋体" w:cs="宋体"/>
          <w:b/>
          <w:bCs/>
          <w:color w:val="auto"/>
          <w:kern w:val="44"/>
          <w:sz w:val="21"/>
          <w:szCs w:val="21"/>
          <w:highlight w:val="none"/>
        </w:rPr>
      </w:pPr>
      <w:bookmarkStart w:id="390" w:name="_Toc478389096"/>
      <w:bookmarkStart w:id="391" w:name="_Toc351203558"/>
      <w:r>
        <w:rPr>
          <w:rFonts w:hint="eastAsia" w:ascii="宋体" w:hAnsi="宋体" w:cs="宋体"/>
          <w:b/>
          <w:bCs/>
          <w:color w:val="auto"/>
          <w:kern w:val="44"/>
          <w:sz w:val="21"/>
          <w:szCs w:val="21"/>
          <w:highlight w:val="none"/>
        </w:rPr>
        <w:t>8.6 样品</w:t>
      </w:r>
      <w:bookmarkEnd w:id="390"/>
      <w:bookmarkEnd w:id="391"/>
    </w:p>
    <w:p w14:paraId="66CE395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8.6.1样品的报送与封存</w:t>
      </w:r>
    </w:p>
    <w:p w14:paraId="107AE0F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需要承包人报送样品的材料或工程设备，样品的种类、名称、规格、数量等要求均应在专用合同条款中约定。样品的报送程序如下：</w:t>
      </w:r>
    </w:p>
    <w:p w14:paraId="5515A1E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39F0CE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（2）承包人每次报送样品时应随附申报单，申报单应载明报送样品的相关数据和资料，并标明每件样品对应的图纸号，预留监理人批复意见栏。监理人应在收到承包人报送的样品后7</w:t>
      </w:r>
      <w:r>
        <w:rPr>
          <w:rFonts w:hint="eastAsia" w:ascii="宋体" w:hAnsi="宋体" w:cs="宋体"/>
          <w:color w:val="auto"/>
          <w:sz w:val="21"/>
          <w:szCs w:val="21"/>
          <w:highlight w:val="none"/>
          <w:lang w:eastAsia="zh-CN"/>
        </w:rPr>
        <w:t>天内</w:t>
      </w:r>
      <w:r>
        <w:rPr>
          <w:rFonts w:hint="eastAsia" w:ascii="宋体" w:hAnsi="宋体" w:cs="宋体"/>
          <w:color w:val="auto"/>
          <w:sz w:val="21"/>
          <w:szCs w:val="21"/>
          <w:highlight w:val="none"/>
        </w:rPr>
        <w:t>向承包人回复经发包人签认的样品审批意见。</w:t>
      </w:r>
    </w:p>
    <w:p w14:paraId="66308A1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（3）经发包人和监理人审批确认的样品应按约定的方法封样，封存的样品作为检验工程相关部分的标准之一。承包人在施工过程中不得使用与样品不符的材料或工程设备。</w:t>
      </w:r>
    </w:p>
    <w:p w14:paraId="6F2EFEF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（4）发包人和监理人对样品的审批确认仅为确认相关材料或工程设备的特征或用途，不得被理解为对合同的修改或改变，也并不减轻或免除承包人</w:t>
      </w:r>
      <w:r>
        <w:rPr>
          <w:rFonts w:hint="eastAsia" w:ascii="宋体" w:hAnsi="宋体" w:cs="宋体"/>
          <w:color w:val="auto"/>
          <w:sz w:val="21"/>
          <w:szCs w:val="21"/>
          <w:highlight w:val="none"/>
          <w:lang w:eastAsia="zh-CN"/>
        </w:rPr>
        <w:t>任何</w:t>
      </w:r>
      <w:r>
        <w:rPr>
          <w:rFonts w:hint="eastAsia" w:ascii="宋体" w:hAnsi="宋体" w:cs="宋体"/>
          <w:color w:val="auto"/>
          <w:sz w:val="21"/>
          <w:szCs w:val="21"/>
          <w:highlight w:val="none"/>
        </w:rPr>
        <w:t>责任和义务。如果封存的样品修改或改变了合同约定，合同当事人应当以书面协议予以确认。</w:t>
      </w:r>
    </w:p>
    <w:p w14:paraId="78F7CBF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8.6.2 样品的保管</w:t>
      </w:r>
    </w:p>
    <w:p w14:paraId="5559210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经批准的样品应由监理人负责封存于现场，承包人应在现场为保存样品提供适当和固定的场所并保持适当和良好的存储环境条件。</w:t>
      </w:r>
    </w:p>
    <w:p w14:paraId="57557A23">
      <w:pPr>
        <w:keepNext/>
        <w:keepLines/>
        <w:spacing w:line="420" w:lineRule="exact"/>
        <w:ind w:firstLine="0" w:firstLineChars="0"/>
        <w:outlineLvl w:val="0"/>
        <w:rPr>
          <w:rFonts w:ascii="宋体" w:hAnsi="宋体" w:cs="宋体"/>
          <w:b/>
          <w:bCs/>
          <w:color w:val="auto"/>
          <w:kern w:val="44"/>
          <w:sz w:val="21"/>
          <w:szCs w:val="21"/>
          <w:highlight w:val="none"/>
        </w:rPr>
      </w:pPr>
      <w:bookmarkStart w:id="392" w:name="_Toc478389097"/>
      <w:bookmarkStart w:id="393" w:name="_Toc351203559"/>
      <w:r>
        <w:rPr>
          <w:rFonts w:hint="eastAsia" w:ascii="宋体" w:hAnsi="宋体" w:cs="宋体"/>
          <w:b/>
          <w:bCs/>
          <w:color w:val="auto"/>
          <w:kern w:val="44"/>
          <w:sz w:val="21"/>
          <w:szCs w:val="21"/>
          <w:highlight w:val="none"/>
        </w:rPr>
        <w:t>8.7材料与工程设备的替代</w:t>
      </w:r>
      <w:bookmarkEnd w:id="392"/>
      <w:bookmarkEnd w:id="393"/>
    </w:p>
    <w:p w14:paraId="053B7413">
      <w:pPr>
        <w:spacing w:line="420" w:lineRule="exact"/>
        <w:ind w:firstLine="420"/>
        <w:rPr>
          <w:rFonts w:ascii="宋体" w:hAnsi="宋体" w:cs="宋体"/>
          <w:color w:val="auto"/>
          <w:spacing w:val="-4"/>
          <w:sz w:val="21"/>
          <w:szCs w:val="21"/>
          <w:highlight w:val="none"/>
        </w:rPr>
      </w:pPr>
      <w:r>
        <w:rPr>
          <w:rFonts w:hint="eastAsia" w:ascii="宋体" w:hAnsi="宋体" w:cs="宋体"/>
          <w:color w:val="auto"/>
          <w:sz w:val="21"/>
          <w:szCs w:val="21"/>
          <w:highlight w:val="none"/>
        </w:rPr>
        <w:t>8.7.1</w:t>
      </w:r>
      <w:r>
        <w:rPr>
          <w:rFonts w:hint="eastAsia" w:ascii="宋体" w:hAnsi="宋体" w:cs="宋体"/>
          <w:color w:val="auto"/>
          <w:spacing w:val="-4"/>
          <w:sz w:val="21"/>
          <w:szCs w:val="21"/>
          <w:highlight w:val="none"/>
        </w:rPr>
        <w:t>出现下列情况需要使用替代材料和工程设备的，承包人应按照第8.7.2项约定的程序执行：</w:t>
      </w:r>
    </w:p>
    <w:p w14:paraId="54E0AAD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（1）基准日期后生效的法律规定禁止使用的；</w:t>
      </w:r>
    </w:p>
    <w:p w14:paraId="4A06947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（2）发包人要求使用替代品的；</w:t>
      </w:r>
    </w:p>
    <w:p w14:paraId="797B0A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（3）因其他原因必须使用替代品的。</w:t>
      </w:r>
    </w:p>
    <w:p w14:paraId="004046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8.7.2 承包人应在使用替代材料和工程设备28天前书面通知监理人，并附下列文件：</w:t>
      </w:r>
    </w:p>
    <w:p w14:paraId="3CDD13B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（1）被替代的材料和工程设备的名称、数量、规格、型号、品牌、性能、价格及其他相关资料；</w:t>
      </w:r>
    </w:p>
    <w:p w14:paraId="084AE37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（2）替代品的名称、数量、规格、型号、品牌、性能、价格及其他相关资料；</w:t>
      </w:r>
    </w:p>
    <w:p w14:paraId="3C0568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（3）替代品与被替代产品之间的差异以及使用替代品可能对工程产生的影响；</w:t>
      </w:r>
    </w:p>
    <w:p w14:paraId="36851FA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（4）替代品与被替代产品的价格差异；</w:t>
      </w:r>
    </w:p>
    <w:p w14:paraId="2C1B362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（5）使用替代品的理由和原因说明；</w:t>
      </w:r>
    </w:p>
    <w:p w14:paraId="2AF89D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（6）监理人要求的其他文件。</w:t>
      </w:r>
    </w:p>
    <w:p w14:paraId="1EC3025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监理人应在收到通知后14天内向承包人发出经发包人签认的书面指示；监理人逾期发出书面指示的，视为发包人和监理人同意使用替代品。</w:t>
      </w:r>
    </w:p>
    <w:p w14:paraId="3A3CFAC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8.7.3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506D68DA">
      <w:pPr>
        <w:keepNext/>
        <w:keepLines/>
        <w:spacing w:line="420" w:lineRule="exact"/>
        <w:ind w:firstLine="0" w:firstLineChars="0"/>
        <w:outlineLvl w:val="0"/>
        <w:rPr>
          <w:rFonts w:ascii="宋体" w:hAnsi="宋体" w:cs="宋体"/>
          <w:b/>
          <w:bCs/>
          <w:color w:val="auto"/>
          <w:kern w:val="44"/>
          <w:sz w:val="21"/>
          <w:szCs w:val="21"/>
          <w:highlight w:val="none"/>
        </w:rPr>
      </w:pPr>
      <w:bookmarkStart w:id="394" w:name="_Toc351203560"/>
      <w:bookmarkStart w:id="395" w:name="_Toc478389098"/>
      <w:r>
        <w:rPr>
          <w:rFonts w:hint="eastAsia" w:ascii="宋体" w:hAnsi="宋体" w:cs="宋体"/>
          <w:b/>
          <w:bCs/>
          <w:color w:val="auto"/>
          <w:kern w:val="44"/>
          <w:sz w:val="21"/>
          <w:szCs w:val="21"/>
          <w:highlight w:val="none"/>
        </w:rPr>
        <w:t>8.8施工设备和临时设施</w:t>
      </w:r>
      <w:bookmarkEnd w:id="394"/>
      <w:bookmarkEnd w:id="395"/>
    </w:p>
    <w:p w14:paraId="105C54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8.8.1 承包人提供的施工设备和临时设施</w:t>
      </w:r>
    </w:p>
    <w:p w14:paraId="412C369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583848A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除专用合同条款另有约定外，承包人应自行承担修建临时设施的费用，需要临时占地的，应由发包人办理申请手续并承担相应费用。</w:t>
      </w:r>
    </w:p>
    <w:p w14:paraId="024909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8.8.2发包人提供的施工设备和临时设施</w:t>
      </w:r>
    </w:p>
    <w:p w14:paraId="470479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发包人提供的施工设备或临时设施在专用合同条款中约定。</w:t>
      </w:r>
    </w:p>
    <w:p w14:paraId="11A4CDB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8.8.3要求承包人增加或更换施工设备</w:t>
      </w:r>
    </w:p>
    <w:p w14:paraId="7A7445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59895185">
      <w:pPr>
        <w:keepNext/>
        <w:keepLines/>
        <w:spacing w:line="420" w:lineRule="exact"/>
        <w:ind w:firstLine="0" w:firstLineChars="0"/>
        <w:outlineLvl w:val="0"/>
        <w:rPr>
          <w:rFonts w:ascii="宋体" w:hAnsi="宋体" w:cs="宋体"/>
          <w:b/>
          <w:bCs/>
          <w:color w:val="auto"/>
          <w:kern w:val="44"/>
          <w:sz w:val="21"/>
          <w:szCs w:val="21"/>
          <w:highlight w:val="none"/>
        </w:rPr>
      </w:pPr>
      <w:bookmarkStart w:id="396" w:name="_Toc351203561"/>
      <w:bookmarkStart w:id="397" w:name="_Toc478389099"/>
      <w:r>
        <w:rPr>
          <w:rFonts w:hint="eastAsia" w:ascii="宋体" w:hAnsi="宋体" w:cs="宋体"/>
          <w:b/>
          <w:bCs/>
          <w:color w:val="auto"/>
          <w:kern w:val="44"/>
          <w:sz w:val="21"/>
          <w:szCs w:val="21"/>
          <w:highlight w:val="none"/>
        </w:rPr>
        <w:t>8</w:t>
      </w:r>
      <w:bookmarkStart w:id="398" w:name="_Toc337558781"/>
      <w:bookmarkStart w:id="399" w:name="_Toc296503063"/>
      <w:bookmarkStart w:id="400" w:name="_Toc296346564"/>
      <w:r>
        <w:rPr>
          <w:rFonts w:hint="eastAsia" w:ascii="宋体" w:hAnsi="宋体" w:cs="宋体"/>
          <w:b/>
          <w:bCs/>
          <w:color w:val="auto"/>
          <w:kern w:val="44"/>
          <w:sz w:val="21"/>
          <w:szCs w:val="21"/>
          <w:highlight w:val="none"/>
        </w:rPr>
        <w:t>.9材料与设备专用</w:t>
      </w:r>
      <w:bookmarkEnd w:id="396"/>
      <w:r>
        <w:rPr>
          <w:rFonts w:hint="eastAsia" w:ascii="宋体" w:hAnsi="宋体" w:cs="宋体"/>
          <w:b/>
          <w:bCs/>
          <w:color w:val="auto"/>
          <w:kern w:val="44"/>
          <w:sz w:val="21"/>
          <w:szCs w:val="21"/>
          <w:highlight w:val="none"/>
        </w:rPr>
        <w:t>要求</w:t>
      </w:r>
      <w:bookmarkEnd w:id="397"/>
    </w:p>
    <w:bookmarkEnd w:id="398"/>
    <w:bookmarkEnd w:id="399"/>
    <w:bookmarkEnd w:id="400"/>
    <w:p w14:paraId="040940D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371"/>
      <w:r>
        <w:rPr>
          <w:rFonts w:hint="eastAsia" w:ascii="宋体" w:hAnsi="宋体" w:cs="宋体"/>
          <w:color w:val="auto"/>
          <w:sz w:val="21"/>
          <w:szCs w:val="21"/>
          <w:highlight w:val="none"/>
        </w:rPr>
        <w:t>经发包人批准，承包人可以根据施工进度计划撤走闲置的施工设备和其他物品。</w:t>
      </w:r>
    </w:p>
    <w:p w14:paraId="72097D07">
      <w:pPr>
        <w:keepNext/>
        <w:keepLines/>
        <w:spacing w:line="420" w:lineRule="exact"/>
        <w:ind w:firstLine="0" w:firstLineChars="0"/>
        <w:outlineLvl w:val="0"/>
        <w:rPr>
          <w:rFonts w:ascii="宋体" w:hAnsi="宋体" w:cs="宋体"/>
          <w:b/>
          <w:bCs/>
          <w:color w:val="auto"/>
          <w:kern w:val="44"/>
          <w:sz w:val="21"/>
          <w:szCs w:val="21"/>
          <w:highlight w:val="none"/>
        </w:rPr>
      </w:pPr>
      <w:bookmarkStart w:id="401" w:name="_Toc351203562"/>
      <w:bookmarkStart w:id="402" w:name="_Toc478389100"/>
      <w:r>
        <w:rPr>
          <w:rFonts w:hint="eastAsia" w:ascii="宋体" w:hAnsi="宋体" w:cs="宋体"/>
          <w:b/>
          <w:bCs/>
          <w:color w:val="auto"/>
          <w:kern w:val="44"/>
          <w:sz w:val="21"/>
          <w:szCs w:val="21"/>
          <w:highlight w:val="none"/>
        </w:rPr>
        <w:t>9</w:t>
      </w:r>
      <w:bookmarkStart w:id="403" w:name="_Toc337558782"/>
      <w:bookmarkStart w:id="404" w:name="_Toc296503083"/>
      <w:bookmarkStart w:id="405" w:name="_Toc296346584"/>
      <w:r>
        <w:rPr>
          <w:rFonts w:hint="eastAsia" w:ascii="宋体" w:hAnsi="宋体" w:cs="宋体"/>
          <w:b/>
          <w:bCs/>
          <w:color w:val="auto"/>
          <w:kern w:val="44"/>
          <w:sz w:val="21"/>
          <w:szCs w:val="21"/>
          <w:highlight w:val="none"/>
        </w:rPr>
        <w:t>. 试验与检验</w:t>
      </w:r>
      <w:bookmarkEnd w:id="401"/>
      <w:bookmarkEnd w:id="402"/>
    </w:p>
    <w:bookmarkEnd w:id="403"/>
    <w:p w14:paraId="710E5839">
      <w:pPr>
        <w:keepNext/>
        <w:keepLines/>
        <w:spacing w:line="420" w:lineRule="exact"/>
        <w:ind w:firstLine="0" w:firstLineChars="0"/>
        <w:outlineLvl w:val="0"/>
        <w:rPr>
          <w:rFonts w:ascii="宋体" w:hAnsi="宋体" w:cs="宋体"/>
          <w:b/>
          <w:bCs/>
          <w:color w:val="auto"/>
          <w:kern w:val="44"/>
          <w:sz w:val="21"/>
          <w:szCs w:val="21"/>
          <w:highlight w:val="none"/>
        </w:rPr>
      </w:pPr>
      <w:bookmarkStart w:id="406" w:name="_Toc478389101"/>
      <w:bookmarkStart w:id="407" w:name="_Toc351203563"/>
      <w:r>
        <w:rPr>
          <w:rFonts w:hint="eastAsia" w:ascii="宋体" w:hAnsi="宋体" w:cs="宋体"/>
          <w:b/>
          <w:bCs/>
          <w:color w:val="auto"/>
          <w:kern w:val="44"/>
          <w:sz w:val="21"/>
          <w:szCs w:val="21"/>
          <w:highlight w:val="none"/>
        </w:rPr>
        <w:t>9</w:t>
      </w:r>
      <w:bookmarkStart w:id="408" w:name="_Toc337558783"/>
      <w:r>
        <w:rPr>
          <w:rFonts w:hint="eastAsia" w:ascii="宋体" w:hAnsi="宋体" w:cs="宋体"/>
          <w:b/>
          <w:bCs/>
          <w:color w:val="auto"/>
          <w:kern w:val="44"/>
          <w:sz w:val="21"/>
          <w:szCs w:val="21"/>
          <w:highlight w:val="none"/>
        </w:rPr>
        <w:t>.1试验设备与试验人员</w:t>
      </w:r>
      <w:bookmarkEnd w:id="406"/>
      <w:bookmarkEnd w:id="407"/>
    </w:p>
    <w:bookmarkEnd w:id="408"/>
    <w:p w14:paraId="4E5B65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9.1.1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2341E9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9.1.2承包人应按专用合同条款的约定提供试验设备、取样装置、试验场所和试验条件，并向监理人提交相应进场计划表。</w:t>
      </w:r>
    </w:p>
    <w:p w14:paraId="32B59A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承包人配置的试验设备要符合相应试验规程的要求并经过具有资质的检测单位检测，且在正式使用该试验设备前，需要经过监理人与承包人共同校定。</w:t>
      </w:r>
    </w:p>
    <w:p w14:paraId="7BE98B5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9.1.3承包人应向监理人提交试验人员的名单及其岗位、资格等证明资料，试验人员必须能够熟练进行相应的检测试验，承包人对试验人员的试验程序和试验结果的正确性负责。</w:t>
      </w:r>
    </w:p>
    <w:p w14:paraId="49936943">
      <w:pPr>
        <w:keepNext/>
        <w:keepLines/>
        <w:spacing w:line="420" w:lineRule="exact"/>
        <w:ind w:firstLine="0" w:firstLineChars="0"/>
        <w:outlineLvl w:val="0"/>
        <w:rPr>
          <w:rFonts w:ascii="宋体" w:hAnsi="宋体" w:cs="宋体"/>
          <w:b/>
          <w:bCs/>
          <w:color w:val="auto"/>
          <w:kern w:val="44"/>
          <w:sz w:val="21"/>
          <w:szCs w:val="21"/>
          <w:highlight w:val="none"/>
        </w:rPr>
      </w:pPr>
      <w:bookmarkStart w:id="409" w:name="_Toc351203564"/>
      <w:bookmarkStart w:id="410" w:name="_Toc478389102"/>
      <w:r>
        <w:rPr>
          <w:rFonts w:hint="eastAsia" w:ascii="宋体" w:hAnsi="宋体" w:cs="宋体"/>
          <w:b/>
          <w:bCs/>
          <w:color w:val="auto"/>
          <w:kern w:val="44"/>
          <w:sz w:val="21"/>
          <w:szCs w:val="21"/>
          <w:highlight w:val="none"/>
        </w:rPr>
        <w:t>9</w:t>
      </w:r>
      <w:bookmarkStart w:id="411" w:name="_Toc337558784"/>
      <w:r>
        <w:rPr>
          <w:rFonts w:hint="eastAsia" w:ascii="宋体" w:hAnsi="宋体" w:cs="宋体"/>
          <w:b/>
          <w:bCs/>
          <w:color w:val="auto"/>
          <w:kern w:val="44"/>
          <w:sz w:val="21"/>
          <w:szCs w:val="21"/>
          <w:highlight w:val="none"/>
        </w:rPr>
        <w:t>.2取样</w:t>
      </w:r>
      <w:bookmarkEnd w:id="409"/>
      <w:bookmarkEnd w:id="410"/>
    </w:p>
    <w:bookmarkEnd w:id="411"/>
    <w:p w14:paraId="373A15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试验属于自检性质的，承包人可以单独取样。试验属于监理人抽检性质的，可由监理人取样，也可由承包人的试验人员在监理人的监督下取样。</w:t>
      </w:r>
    </w:p>
    <w:p w14:paraId="4A56662C">
      <w:pPr>
        <w:keepNext/>
        <w:keepLines/>
        <w:spacing w:line="420" w:lineRule="exact"/>
        <w:ind w:firstLine="0" w:firstLineChars="0"/>
        <w:outlineLvl w:val="0"/>
        <w:rPr>
          <w:rFonts w:ascii="宋体" w:hAnsi="宋体" w:cs="宋体"/>
          <w:b/>
          <w:bCs/>
          <w:color w:val="auto"/>
          <w:kern w:val="44"/>
          <w:sz w:val="21"/>
          <w:szCs w:val="21"/>
          <w:highlight w:val="none"/>
        </w:rPr>
      </w:pPr>
      <w:bookmarkStart w:id="412" w:name="_Toc351203565"/>
      <w:bookmarkStart w:id="413" w:name="_Toc478389103"/>
      <w:r>
        <w:rPr>
          <w:rFonts w:hint="eastAsia" w:ascii="宋体" w:hAnsi="宋体" w:cs="宋体"/>
          <w:b/>
          <w:bCs/>
          <w:color w:val="auto"/>
          <w:kern w:val="44"/>
          <w:sz w:val="21"/>
          <w:szCs w:val="21"/>
          <w:highlight w:val="none"/>
        </w:rPr>
        <w:t>9</w:t>
      </w:r>
      <w:bookmarkStart w:id="414" w:name="_Toc337558785"/>
      <w:r>
        <w:rPr>
          <w:rFonts w:hint="eastAsia" w:ascii="宋体" w:hAnsi="宋体" w:cs="宋体"/>
          <w:b/>
          <w:bCs/>
          <w:color w:val="auto"/>
          <w:kern w:val="44"/>
          <w:sz w:val="21"/>
          <w:szCs w:val="21"/>
          <w:highlight w:val="none"/>
        </w:rPr>
        <w:t>.3材料、工程设备和工程的试验和检验</w:t>
      </w:r>
      <w:bookmarkEnd w:id="412"/>
      <w:bookmarkEnd w:id="413"/>
    </w:p>
    <w:bookmarkEnd w:id="414"/>
    <w:p w14:paraId="6F9A8E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1748BA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3147C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99B193F">
      <w:pPr>
        <w:keepNext/>
        <w:keepLines/>
        <w:spacing w:line="420" w:lineRule="exact"/>
        <w:ind w:firstLine="0" w:firstLineChars="0"/>
        <w:outlineLvl w:val="0"/>
        <w:rPr>
          <w:rFonts w:ascii="宋体" w:hAnsi="宋体" w:cs="宋体"/>
          <w:b/>
          <w:bCs/>
          <w:color w:val="auto"/>
          <w:kern w:val="44"/>
          <w:sz w:val="21"/>
          <w:szCs w:val="21"/>
          <w:highlight w:val="none"/>
        </w:rPr>
      </w:pPr>
      <w:bookmarkStart w:id="415" w:name="_Toc478389104"/>
      <w:bookmarkStart w:id="416" w:name="_Toc351203566"/>
      <w:r>
        <w:rPr>
          <w:rFonts w:hint="eastAsia" w:ascii="宋体" w:hAnsi="宋体" w:cs="宋体"/>
          <w:b/>
          <w:bCs/>
          <w:color w:val="auto"/>
          <w:kern w:val="44"/>
          <w:sz w:val="21"/>
          <w:szCs w:val="21"/>
          <w:highlight w:val="none"/>
        </w:rPr>
        <w:t>9</w:t>
      </w:r>
      <w:bookmarkStart w:id="417" w:name="_Toc337558786"/>
      <w:r>
        <w:rPr>
          <w:rFonts w:hint="eastAsia" w:ascii="宋体" w:hAnsi="宋体" w:cs="宋体"/>
          <w:b/>
          <w:bCs/>
          <w:color w:val="auto"/>
          <w:kern w:val="44"/>
          <w:sz w:val="21"/>
          <w:szCs w:val="21"/>
          <w:highlight w:val="none"/>
        </w:rPr>
        <w:t>.4现场工艺试验</w:t>
      </w:r>
      <w:bookmarkEnd w:id="415"/>
      <w:bookmarkEnd w:id="416"/>
    </w:p>
    <w:bookmarkEnd w:id="417"/>
    <w:p w14:paraId="7E2467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承包人应按合同约定或监理人指示进行现场工艺试验。对大型的现场工艺试验，监理人认为必要时，承包人应根据监理人提出的工艺试验要求，编制工艺试验措施计划，报送监理人审查。</w:t>
      </w:r>
    </w:p>
    <w:p w14:paraId="5592E791">
      <w:pPr>
        <w:keepNext/>
        <w:keepLines/>
        <w:spacing w:line="420" w:lineRule="exact"/>
        <w:ind w:firstLine="0" w:firstLineChars="0"/>
        <w:outlineLvl w:val="0"/>
        <w:rPr>
          <w:rFonts w:ascii="宋体" w:hAnsi="宋体" w:cs="宋体"/>
          <w:b/>
          <w:bCs/>
          <w:color w:val="auto"/>
          <w:kern w:val="44"/>
          <w:sz w:val="21"/>
          <w:szCs w:val="21"/>
          <w:highlight w:val="none"/>
        </w:rPr>
      </w:pPr>
      <w:bookmarkStart w:id="418" w:name="_Toc478389105"/>
      <w:bookmarkStart w:id="419" w:name="_Toc351203567"/>
      <w:r>
        <w:rPr>
          <w:rFonts w:hint="eastAsia" w:ascii="宋体" w:hAnsi="宋体" w:cs="宋体"/>
          <w:b/>
          <w:bCs/>
          <w:color w:val="auto"/>
          <w:kern w:val="44"/>
          <w:sz w:val="21"/>
          <w:szCs w:val="21"/>
          <w:highlight w:val="none"/>
        </w:rPr>
        <w:t>1</w:t>
      </w:r>
      <w:bookmarkStart w:id="420" w:name="_Toc337558787"/>
      <w:r>
        <w:rPr>
          <w:rFonts w:hint="eastAsia" w:ascii="宋体" w:hAnsi="宋体" w:cs="宋体"/>
          <w:b/>
          <w:bCs/>
          <w:color w:val="auto"/>
          <w:kern w:val="44"/>
          <w:sz w:val="21"/>
          <w:szCs w:val="21"/>
          <w:highlight w:val="none"/>
        </w:rPr>
        <w:t>0. 变更</w:t>
      </w:r>
      <w:bookmarkEnd w:id="404"/>
      <w:bookmarkEnd w:id="405"/>
      <w:bookmarkEnd w:id="418"/>
      <w:bookmarkEnd w:id="419"/>
    </w:p>
    <w:bookmarkEnd w:id="420"/>
    <w:p w14:paraId="7FCA9132">
      <w:pPr>
        <w:keepNext/>
        <w:keepLines/>
        <w:spacing w:line="420" w:lineRule="exact"/>
        <w:ind w:firstLine="0" w:firstLineChars="0"/>
        <w:outlineLvl w:val="0"/>
        <w:rPr>
          <w:rFonts w:ascii="宋体" w:hAnsi="宋体" w:cs="宋体"/>
          <w:b/>
          <w:bCs/>
          <w:color w:val="auto"/>
          <w:kern w:val="44"/>
          <w:sz w:val="21"/>
          <w:szCs w:val="21"/>
          <w:highlight w:val="none"/>
        </w:rPr>
      </w:pPr>
      <w:bookmarkStart w:id="421" w:name="_Toc351203568"/>
      <w:bookmarkStart w:id="422" w:name="_Toc478389106"/>
      <w:r>
        <w:rPr>
          <w:rFonts w:hint="eastAsia" w:ascii="宋体" w:hAnsi="宋体" w:cs="宋体"/>
          <w:b/>
          <w:bCs/>
          <w:color w:val="auto"/>
          <w:kern w:val="44"/>
          <w:sz w:val="21"/>
          <w:szCs w:val="21"/>
          <w:highlight w:val="none"/>
        </w:rPr>
        <w:t>1</w:t>
      </w:r>
      <w:bookmarkStart w:id="423" w:name="_Toc296346585"/>
      <w:bookmarkStart w:id="424" w:name="_Toc337558788"/>
      <w:bookmarkStart w:id="425" w:name="_Toc296503084"/>
      <w:r>
        <w:rPr>
          <w:rFonts w:hint="eastAsia" w:ascii="宋体" w:hAnsi="宋体" w:cs="宋体"/>
          <w:b/>
          <w:bCs/>
          <w:color w:val="auto"/>
          <w:kern w:val="44"/>
          <w:sz w:val="21"/>
          <w:szCs w:val="21"/>
          <w:highlight w:val="none"/>
        </w:rPr>
        <w:t>0.1变更的范围</w:t>
      </w:r>
      <w:bookmarkEnd w:id="421"/>
      <w:bookmarkEnd w:id="422"/>
    </w:p>
    <w:bookmarkEnd w:id="423"/>
    <w:bookmarkEnd w:id="424"/>
    <w:bookmarkEnd w:id="425"/>
    <w:p w14:paraId="19311E1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除专用合同条款另有约定外，合同履行过程中发生以下情形的，应按照本条约定进行变更：</w:t>
      </w:r>
    </w:p>
    <w:p w14:paraId="0C5CBD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（1）增加或减少合同中任何工作，或追加额外的工作；</w:t>
      </w:r>
    </w:p>
    <w:p w14:paraId="5CEC88C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（2）取消合同中任何工作，但转由他人实施的工作除外；</w:t>
      </w:r>
    </w:p>
    <w:p w14:paraId="7947E45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（3）改变合同中任何工作的质量标准或其他特性；</w:t>
      </w:r>
    </w:p>
    <w:p w14:paraId="560F40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（4）改变工程的基线、标高、位置和尺寸；</w:t>
      </w:r>
    </w:p>
    <w:p w14:paraId="222B8F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（5）改变工程的时间安排或实施顺序。</w:t>
      </w:r>
    </w:p>
    <w:p w14:paraId="7C264EE5">
      <w:pPr>
        <w:keepNext/>
        <w:keepLines/>
        <w:spacing w:line="420" w:lineRule="exact"/>
        <w:ind w:firstLine="0" w:firstLineChars="0"/>
        <w:outlineLvl w:val="0"/>
        <w:rPr>
          <w:rFonts w:ascii="宋体" w:hAnsi="宋体" w:cs="宋体"/>
          <w:b/>
          <w:bCs/>
          <w:color w:val="auto"/>
          <w:kern w:val="44"/>
          <w:sz w:val="21"/>
          <w:szCs w:val="21"/>
          <w:highlight w:val="none"/>
        </w:rPr>
      </w:pPr>
      <w:bookmarkStart w:id="426" w:name="_Toc478389107"/>
      <w:bookmarkStart w:id="427" w:name="_Toc351203569"/>
      <w:r>
        <w:rPr>
          <w:rFonts w:hint="eastAsia" w:ascii="宋体" w:hAnsi="宋体" w:cs="宋体"/>
          <w:b/>
          <w:bCs/>
          <w:color w:val="auto"/>
          <w:kern w:val="44"/>
          <w:sz w:val="21"/>
          <w:szCs w:val="21"/>
          <w:highlight w:val="none"/>
        </w:rPr>
        <w:t>1</w:t>
      </w:r>
      <w:bookmarkStart w:id="428" w:name="_Toc296503085"/>
      <w:bookmarkStart w:id="429" w:name="_Toc296346586"/>
      <w:bookmarkStart w:id="430" w:name="_Toc337558789"/>
      <w:r>
        <w:rPr>
          <w:rFonts w:hint="eastAsia" w:ascii="宋体" w:hAnsi="宋体" w:cs="宋体"/>
          <w:b/>
          <w:bCs/>
          <w:color w:val="auto"/>
          <w:kern w:val="44"/>
          <w:sz w:val="21"/>
          <w:szCs w:val="21"/>
          <w:highlight w:val="none"/>
        </w:rPr>
        <w:t>0.2变更权</w:t>
      </w:r>
      <w:bookmarkEnd w:id="426"/>
      <w:bookmarkEnd w:id="427"/>
    </w:p>
    <w:bookmarkEnd w:id="428"/>
    <w:bookmarkEnd w:id="429"/>
    <w:bookmarkEnd w:id="430"/>
    <w:p w14:paraId="64ADAF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620D23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涉及设计变更的，应由设计人提供变更后的图纸和说明。如变更超过原设计标准或批准的建设规模时，发包人应及时办理规划、设计变更等审批手续。</w:t>
      </w:r>
    </w:p>
    <w:p w14:paraId="642E9CE4">
      <w:pPr>
        <w:keepNext/>
        <w:keepLines/>
        <w:spacing w:line="420" w:lineRule="exact"/>
        <w:ind w:firstLine="0" w:firstLineChars="0"/>
        <w:outlineLvl w:val="0"/>
        <w:rPr>
          <w:rFonts w:ascii="宋体" w:hAnsi="宋体" w:cs="宋体"/>
          <w:b/>
          <w:bCs/>
          <w:color w:val="auto"/>
          <w:kern w:val="44"/>
          <w:sz w:val="21"/>
          <w:szCs w:val="21"/>
          <w:highlight w:val="none"/>
        </w:rPr>
      </w:pPr>
      <w:bookmarkStart w:id="431" w:name="_Toc351203570"/>
      <w:bookmarkStart w:id="432" w:name="_Toc478389108"/>
      <w:r>
        <w:rPr>
          <w:rFonts w:hint="eastAsia" w:ascii="宋体" w:hAnsi="宋体" w:cs="宋体"/>
          <w:b/>
          <w:bCs/>
          <w:color w:val="auto"/>
          <w:kern w:val="44"/>
          <w:sz w:val="21"/>
          <w:szCs w:val="21"/>
          <w:highlight w:val="none"/>
        </w:rPr>
        <w:t>1</w:t>
      </w:r>
      <w:bookmarkStart w:id="433" w:name="_Toc296503086"/>
      <w:bookmarkStart w:id="434" w:name="_Toc337558790"/>
      <w:bookmarkStart w:id="435" w:name="_Toc296346587"/>
      <w:r>
        <w:rPr>
          <w:rFonts w:hint="eastAsia" w:ascii="宋体" w:hAnsi="宋体" w:cs="宋体"/>
          <w:b/>
          <w:bCs/>
          <w:color w:val="auto"/>
          <w:kern w:val="44"/>
          <w:sz w:val="21"/>
          <w:szCs w:val="21"/>
          <w:highlight w:val="none"/>
        </w:rPr>
        <w:t>0.3变更程序</w:t>
      </w:r>
      <w:bookmarkEnd w:id="431"/>
      <w:bookmarkEnd w:id="432"/>
    </w:p>
    <w:bookmarkEnd w:id="433"/>
    <w:bookmarkEnd w:id="434"/>
    <w:bookmarkEnd w:id="435"/>
    <w:p w14:paraId="6B45C7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10.3.1 发包人提出变更</w:t>
      </w:r>
    </w:p>
    <w:p w14:paraId="6EF5BA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发包人提出变更的，应通过监理人向承包人发出变更指示，变更指示应说明计划变更的工程范围和变更的内容。</w:t>
      </w:r>
    </w:p>
    <w:p w14:paraId="641399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10.3.2 监理人提出变更建议</w:t>
      </w:r>
    </w:p>
    <w:p w14:paraId="5EF403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523A6D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10.3.3 变更执行</w:t>
      </w:r>
    </w:p>
    <w:p w14:paraId="268D89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1EE2663A">
      <w:pPr>
        <w:keepNext/>
        <w:keepLines/>
        <w:spacing w:line="420" w:lineRule="exact"/>
        <w:ind w:firstLine="0" w:firstLineChars="0"/>
        <w:outlineLvl w:val="0"/>
        <w:rPr>
          <w:rFonts w:ascii="宋体" w:hAnsi="宋体" w:cs="宋体"/>
          <w:b/>
          <w:bCs/>
          <w:color w:val="auto"/>
          <w:kern w:val="44"/>
          <w:sz w:val="21"/>
          <w:szCs w:val="21"/>
          <w:highlight w:val="none"/>
        </w:rPr>
      </w:pPr>
      <w:bookmarkStart w:id="436" w:name="_Toc351203571"/>
      <w:bookmarkStart w:id="437" w:name="_Toc478389109"/>
      <w:r>
        <w:rPr>
          <w:rFonts w:hint="eastAsia" w:ascii="宋体" w:hAnsi="宋体" w:cs="宋体"/>
          <w:b/>
          <w:bCs/>
          <w:color w:val="auto"/>
          <w:kern w:val="44"/>
          <w:sz w:val="21"/>
          <w:szCs w:val="21"/>
          <w:highlight w:val="none"/>
        </w:rPr>
        <w:t>1</w:t>
      </w:r>
      <w:bookmarkStart w:id="438" w:name="_Toc296346588"/>
      <w:bookmarkStart w:id="439" w:name="_Toc296503087"/>
      <w:bookmarkStart w:id="440" w:name="_Toc337558791"/>
      <w:r>
        <w:rPr>
          <w:rFonts w:hint="eastAsia" w:ascii="宋体" w:hAnsi="宋体" w:cs="宋体"/>
          <w:b/>
          <w:bCs/>
          <w:color w:val="auto"/>
          <w:kern w:val="44"/>
          <w:sz w:val="21"/>
          <w:szCs w:val="21"/>
          <w:highlight w:val="none"/>
        </w:rPr>
        <w:t>0.4变更估价</w:t>
      </w:r>
      <w:bookmarkEnd w:id="436"/>
      <w:bookmarkEnd w:id="437"/>
    </w:p>
    <w:bookmarkEnd w:id="438"/>
    <w:bookmarkEnd w:id="439"/>
    <w:bookmarkEnd w:id="440"/>
    <w:p w14:paraId="6E7872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10.4.1 变更估价原则</w:t>
      </w:r>
    </w:p>
    <w:p w14:paraId="1DCF36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除专用合同条款另有约定外，变更估价按照本款约定处理：</w:t>
      </w:r>
    </w:p>
    <w:p w14:paraId="316BD8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（1）已标价工程量清单或预算书有相同项目的，按照相同项目单价认定；</w:t>
      </w:r>
    </w:p>
    <w:p w14:paraId="116E98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（2）已标价工程量清单或预算书中无相同项目，但有类似项目的，参照类似项目的单价认定；</w:t>
      </w:r>
    </w:p>
    <w:p w14:paraId="5ACCFAC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04BD71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10.4.2 变更估价程序</w:t>
      </w:r>
    </w:p>
    <w:p w14:paraId="72A5A6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57F74CB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因变更引起的价格调整应计入最近一期的进度款中支付。</w:t>
      </w:r>
    </w:p>
    <w:p w14:paraId="45466EEE">
      <w:pPr>
        <w:keepNext/>
        <w:keepLines/>
        <w:spacing w:line="420" w:lineRule="exact"/>
        <w:ind w:firstLine="0" w:firstLineChars="0"/>
        <w:outlineLvl w:val="0"/>
        <w:rPr>
          <w:rFonts w:ascii="宋体" w:hAnsi="宋体" w:cs="宋体"/>
          <w:b/>
          <w:bCs/>
          <w:color w:val="auto"/>
          <w:kern w:val="44"/>
          <w:sz w:val="21"/>
          <w:szCs w:val="21"/>
          <w:highlight w:val="none"/>
        </w:rPr>
      </w:pPr>
      <w:bookmarkStart w:id="441" w:name="_Toc478389110"/>
      <w:bookmarkStart w:id="442" w:name="_Toc351203572"/>
      <w:r>
        <w:rPr>
          <w:rFonts w:hint="eastAsia" w:ascii="宋体" w:hAnsi="宋体" w:cs="宋体"/>
          <w:b/>
          <w:bCs/>
          <w:color w:val="auto"/>
          <w:kern w:val="44"/>
          <w:sz w:val="21"/>
          <w:szCs w:val="21"/>
          <w:highlight w:val="none"/>
        </w:rPr>
        <w:t>1</w:t>
      </w:r>
      <w:bookmarkStart w:id="443" w:name="_Toc296503094"/>
      <w:bookmarkStart w:id="444" w:name="_Toc337558792"/>
      <w:bookmarkStart w:id="445" w:name="_Toc296346595"/>
      <w:r>
        <w:rPr>
          <w:rFonts w:hint="eastAsia" w:ascii="宋体" w:hAnsi="宋体" w:cs="宋体"/>
          <w:b/>
          <w:bCs/>
          <w:color w:val="auto"/>
          <w:kern w:val="44"/>
          <w:sz w:val="21"/>
          <w:szCs w:val="21"/>
          <w:highlight w:val="none"/>
        </w:rPr>
        <w:t>0.5承包人的合理化建议</w:t>
      </w:r>
      <w:bookmarkEnd w:id="441"/>
      <w:bookmarkEnd w:id="442"/>
    </w:p>
    <w:bookmarkEnd w:id="443"/>
    <w:bookmarkEnd w:id="444"/>
    <w:bookmarkEnd w:id="445"/>
    <w:p w14:paraId="3A1A7C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承包人提出合理化建议的，应向监理人提交合理化建议说明，说明建议的内容和理由，以及实施该建议对合同价格和工期的影响。</w:t>
      </w:r>
    </w:p>
    <w:p w14:paraId="252BC9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1BE33E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合理化建议降低了合同价格或者提高了工程经济效益的，发包人可对承包人给予奖励，奖励的方法和金额在专用合同条款中约定。</w:t>
      </w:r>
    </w:p>
    <w:p w14:paraId="77F27D63">
      <w:pPr>
        <w:keepNext/>
        <w:keepLines/>
        <w:spacing w:line="420" w:lineRule="exact"/>
        <w:ind w:firstLine="0" w:firstLineChars="0"/>
        <w:outlineLvl w:val="0"/>
        <w:rPr>
          <w:rFonts w:ascii="宋体" w:hAnsi="宋体" w:cs="宋体"/>
          <w:b/>
          <w:bCs/>
          <w:color w:val="auto"/>
          <w:kern w:val="44"/>
          <w:sz w:val="21"/>
          <w:szCs w:val="21"/>
          <w:highlight w:val="none"/>
        </w:rPr>
      </w:pPr>
      <w:bookmarkStart w:id="446" w:name="_Toc478389111"/>
      <w:bookmarkStart w:id="447" w:name="_Toc351203573"/>
      <w:r>
        <w:rPr>
          <w:rFonts w:hint="eastAsia" w:ascii="宋体" w:hAnsi="宋体" w:cs="宋体"/>
          <w:b/>
          <w:bCs/>
          <w:color w:val="auto"/>
          <w:kern w:val="44"/>
          <w:sz w:val="21"/>
          <w:szCs w:val="21"/>
          <w:highlight w:val="none"/>
        </w:rPr>
        <w:t>1</w:t>
      </w:r>
      <w:bookmarkStart w:id="448" w:name="_Toc337558793"/>
      <w:r>
        <w:rPr>
          <w:rFonts w:hint="eastAsia" w:ascii="宋体" w:hAnsi="宋体" w:cs="宋体"/>
          <w:b/>
          <w:bCs/>
          <w:color w:val="auto"/>
          <w:kern w:val="44"/>
          <w:sz w:val="21"/>
          <w:szCs w:val="21"/>
          <w:highlight w:val="none"/>
        </w:rPr>
        <w:t>0.6变更引起的工期调整</w:t>
      </w:r>
      <w:bookmarkEnd w:id="446"/>
      <w:bookmarkEnd w:id="447"/>
      <w:bookmarkEnd w:id="448"/>
    </w:p>
    <w:p w14:paraId="2CC137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因变更引起工期变化的，合同当事人均可要求调整合同工期，由合同当事人按照第4.4款〔商定或确定〕并参考工程所在地的工期定额标准确定增减工期天数。</w:t>
      </w:r>
    </w:p>
    <w:p w14:paraId="0B67D48B">
      <w:pPr>
        <w:keepNext/>
        <w:keepLines/>
        <w:spacing w:line="420" w:lineRule="exact"/>
        <w:ind w:firstLine="0" w:firstLineChars="0"/>
        <w:outlineLvl w:val="0"/>
        <w:rPr>
          <w:rFonts w:ascii="宋体" w:hAnsi="宋体" w:cs="宋体"/>
          <w:b/>
          <w:bCs/>
          <w:color w:val="auto"/>
          <w:kern w:val="44"/>
          <w:sz w:val="21"/>
          <w:szCs w:val="21"/>
          <w:highlight w:val="none"/>
        </w:rPr>
      </w:pPr>
      <w:bookmarkStart w:id="449" w:name="_Toc351203574"/>
      <w:bookmarkStart w:id="450" w:name="_Toc478389112"/>
      <w:r>
        <w:rPr>
          <w:rFonts w:hint="eastAsia" w:ascii="宋体" w:hAnsi="宋体" w:cs="宋体"/>
          <w:b/>
          <w:bCs/>
          <w:color w:val="auto"/>
          <w:kern w:val="44"/>
          <w:sz w:val="21"/>
          <w:szCs w:val="21"/>
          <w:highlight w:val="none"/>
        </w:rPr>
        <w:t>10.7暂估价</w:t>
      </w:r>
      <w:bookmarkEnd w:id="449"/>
      <w:bookmarkEnd w:id="450"/>
    </w:p>
    <w:p w14:paraId="29518E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暂估价专业分包工程、服务、材料和工程设备的明细由合同当事人在专用合同条款中约定。</w:t>
      </w:r>
    </w:p>
    <w:p w14:paraId="38CCBD1F">
      <w:pPr>
        <w:spacing w:line="420" w:lineRule="exact"/>
        <w:ind w:firstLine="420"/>
        <w:outlineLvl w:val="0"/>
        <w:rPr>
          <w:rFonts w:ascii="宋体" w:hAnsi="宋体" w:cs="宋体"/>
          <w:color w:val="auto"/>
          <w:sz w:val="21"/>
          <w:szCs w:val="21"/>
          <w:highlight w:val="none"/>
        </w:rPr>
      </w:pPr>
      <w:bookmarkStart w:id="451" w:name="_Toc478389113"/>
      <w:r>
        <w:rPr>
          <w:rFonts w:hint="eastAsia" w:ascii="宋体" w:hAnsi="宋体" w:cs="宋体"/>
          <w:color w:val="auto"/>
          <w:sz w:val="21"/>
          <w:szCs w:val="21"/>
          <w:highlight w:val="none"/>
        </w:rPr>
        <w:t>10.7.1 依法必须招标的暂估价项目</w:t>
      </w:r>
      <w:bookmarkEnd w:id="451"/>
    </w:p>
    <w:p w14:paraId="21801AF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对于依法必须招标的暂估价项目，采取以下第1种方式确定。合同当事人也可以在专用合同条款中选择其他招标方式。</w:t>
      </w:r>
    </w:p>
    <w:p w14:paraId="4A9835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第1种方式：对于依法必须招标的暂估价项目，由承包人招标，对该暂估价项目的确认和批准按照以下约定执行：</w:t>
      </w:r>
    </w:p>
    <w:p w14:paraId="4C52D86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214580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应当根据施工进度计划，提前14天将采购文件通过监理人报送发包人审批，发包人应当在收到承包人报送的相关文件后7天内完成审批或提出修改意见；发包人有权确定最高投标限价并按照法律规定参加评标；</w:t>
      </w:r>
    </w:p>
    <w:p w14:paraId="026448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（3）承包人与供应商、分包人在签订暂估价合同前，应当提前7天将确定的</w:t>
      </w:r>
      <w:r>
        <w:rPr>
          <w:rFonts w:hint="eastAsia" w:ascii="宋体" w:hAnsi="宋体" w:cs="宋体"/>
          <w:color w:val="auto"/>
          <w:sz w:val="21"/>
          <w:szCs w:val="21"/>
          <w:highlight w:val="none"/>
          <w:lang w:eastAsia="zh-CN"/>
        </w:rPr>
        <w:t>成交候选供应商</w:t>
      </w:r>
      <w:r>
        <w:rPr>
          <w:rFonts w:hint="eastAsia" w:ascii="宋体" w:hAnsi="宋体" w:cs="宋体"/>
          <w:color w:val="auto"/>
          <w:sz w:val="21"/>
          <w:szCs w:val="21"/>
          <w:highlight w:val="none"/>
        </w:rPr>
        <w:t>或成交候选分包人的资料报送发包人，发包人应在收到资料后3天内与承包人共同确定</w:t>
      </w:r>
      <w:r>
        <w:rPr>
          <w:rFonts w:hint="eastAsia" w:ascii="宋体" w:hAnsi="宋体" w:cs="宋体"/>
          <w:color w:val="auto"/>
          <w:sz w:val="21"/>
          <w:szCs w:val="21"/>
          <w:highlight w:val="none"/>
          <w:lang w:eastAsia="zh-CN"/>
        </w:rPr>
        <w:t>成交供应商</w:t>
      </w:r>
      <w:r>
        <w:rPr>
          <w:rFonts w:hint="eastAsia" w:ascii="宋体" w:hAnsi="宋体" w:cs="宋体"/>
          <w:color w:val="auto"/>
          <w:sz w:val="21"/>
          <w:szCs w:val="21"/>
          <w:highlight w:val="none"/>
        </w:rPr>
        <w:t>；承包人应当在签订合同后7天内，将暂估价合同副本报送发包人留存。</w:t>
      </w:r>
    </w:p>
    <w:p w14:paraId="5C38707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w:t>
      </w:r>
      <w:r>
        <w:rPr>
          <w:rFonts w:hint="eastAsia" w:ascii="宋体" w:hAnsi="宋体" w:cs="宋体"/>
          <w:color w:val="auto"/>
          <w:sz w:val="21"/>
          <w:szCs w:val="21"/>
          <w:highlight w:val="none"/>
          <w:lang w:eastAsia="zh-CN"/>
        </w:rPr>
        <w:t>成交供应商</w:t>
      </w:r>
      <w:r>
        <w:rPr>
          <w:rFonts w:hint="eastAsia" w:ascii="宋体" w:hAnsi="宋体" w:cs="宋体"/>
          <w:color w:val="auto"/>
          <w:sz w:val="21"/>
          <w:szCs w:val="21"/>
          <w:highlight w:val="none"/>
        </w:rPr>
        <w:t>后，由发包人、承包人与</w:t>
      </w:r>
      <w:r>
        <w:rPr>
          <w:rFonts w:hint="eastAsia" w:ascii="宋体" w:hAnsi="宋体" w:cs="宋体"/>
          <w:color w:val="auto"/>
          <w:sz w:val="21"/>
          <w:szCs w:val="21"/>
          <w:highlight w:val="none"/>
          <w:lang w:eastAsia="zh-CN"/>
        </w:rPr>
        <w:t>成交供应商</w:t>
      </w:r>
      <w:r>
        <w:rPr>
          <w:rFonts w:hint="eastAsia" w:ascii="宋体" w:hAnsi="宋体" w:cs="宋体"/>
          <w:color w:val="auto"/>
          <w:sz w:val="21"/>
          <w:szCs w:val="21"/>
          <w:highlight w:val="none"/>
        </w:rPr>
        <w:t>共同签订暂估价合同。</w:t>
      </w:r>
    </w:p>
    <w:p w14:paraId="7C3EB7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10.7.2不属于依法必须招标的暂估价项目</w:t>
      </w:r>
    </w:p>
    <w:p w14:paraId="0D1C5F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除专用合同条款另有约定外，对于不属于依法必须招标的暂估价项目，采取以下第1种方式确定： </w:t>
      </w:r>
    </w:p>
    <w:p w14:paraId="14754E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第1种方式：对于不属于依法必须招标的暂估价项目，按本项约定确认和批准：</w:t>
      </w:r>
    </w:p>
    <w:p w14:paraId="734F8E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4E1EC1A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（2）发包人认为承包人确定的供应商、分包人无法满足工程质量或合同要求的，发包人可以要求承包人重新确定暂估价项目的供应商、分包人</w:t>
      </w:r>
      <w:r>
        <w:rPr>
          <w:rFonts w:hint="eastAsia" w:ascii="宋体" w:hAnsi="宋体" w:cs="宋体"/>
          <w:color w:val="auto"/>
          <w:sz w:val="21"/>
          <w:szCs w:val="21"/>
          <w:highlight w:val="none"/>
          <w:lang w:eastAsia="zh-CN"/>
        </w:rPr>
        <w:t>；</w:t>
      </w:r>
    </w:p>
    <w:p w14:paraId="0CF8DC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（3）承包人应当在签订暂估价合同后7天内，将暂估价合同副本报送发包人留存。</w:t>
      </w:r>
    </w:p>
    <w:p w14:paraId="4240F44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第2种方式：承包人按照第10.7.1项〔依法必须招标的暂估价项目〕约定的第1种方式确定暂估价项目。</w:t>
      </w:r>
    </w:p>
    <w:p w14:paraId="50E707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第3种方式：承包人直接实施的暂估价项目</w:t>
      </w:r>
    </w:p>
    <w:p w14:paraId="4A26FB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承包人具备实施暂估价项目的资格和条件的，经发包人和承包人协商一致后，可由承包人自行实施暂估价项目，合同当事人可以在专用合同条</w:t>
      </w:r>
      <w:r>
        <w:rPr>
          <w:rFonts w:hint="eastAsia" w:ascii="宋体" w:hAnsi="宋体" w:cs="宋体"/>
          <w:color w:val="auto"/>
          <w:sz w:val="21"/>
          <w:szCs w:val="21"/>
          <w:highlight w:val="none"/>
          <w:lang w:eastAsia="zh-CN"/>
        </w:rPr>
        <w:t>款中</w:t>
      </w:r>
      <w:r>
        <w:rPr>
          <w:rFonts w:hint="eastAsia" w:ascii="宋体" w:hAnsi="宋体" w:cs="宋体"/>
          <w:color w:val="auto"/>
          <w:sz w:val="21"/>
          <w:szCs w:val="21"/>
          <w:highlight w:val="none"/>
        </w:rPr>
        <w:t>约定具体事项。</w:t>
      </w:r>
    </w:p>
    <w:p w14:paraId="54964A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10.7.3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24A8795D">
      <w:pPr>
        <w:keepNext/>
        <w:keepLines/>
        <w:spacing w:line="420" w:lineRule="exact"/>
        <w:ind w:firstLine="0" w:firstLineChars="0"/>
        <w:outlineLvl w:val="0"/>
        <w:rPr>
          <w:rFonts w:ascii="宋体" w:hAnsi="宋体" w:cs="宋体"/>
          <w:b/>
          <w:bCs/>
          <w:color w:val="auto"/>
          <w:kern w:val="44"/>
          <w:sz w:val="21"/>
          <w:szCs w:val="21"/>
          <w:highlight w:val="none"/>
        </w:rPr>
      </w:pPr>
      <w:bookmarkStart w:id="452" w:name="_Toc478389114"/>
      <w:bookmarkStart w:id="453" w:name="_Toc351203575"/>
      <w:r>
        <w:rPr>
          <w:rFonts w:hint="eastAsia" w:ascii="宋体" w:hAnsi="宋体" w:cs="宋体"/>
          <w:b/>
          <w:bCs/>
          <w:color w:val="auto"/>
          <w:kern w:val="44"/>
          <w:sz w:val="21"/>
          <w:szCs w:val="21"/>
          <w:highlight w:val="none"/>
        </w:rPr>
        <w:t>1</w:t>
      </w:r>
      <w:bookmarkStart w:id="454" w:name="_Toc337558794"/>
      <w:bookmarkStart w:id="455" w:name="_Toc296503090"/>
      <w:bookmarkStart w:id="456" w:name="_Toc322522561"/>
      <w:bookmarkStart w:id="457" w:name="_Toc296346591"/>
      <w:r>
        <w:rPr>
          <w:rFonts w:hint="eastAsia" w:ascii="宋体" w:hAnsi="宋体" w:cs="宋体"/>
          <w:b/>
          <w:bCs/>
          <w:color w:val="auto"/>
          <w:kern w:val="44"/>
          <w:sz w:val="21"/>
          <w:szCs w:val="21"/>
          <w:highlight w:val="none"/>
        </w:rPr>
        <w:t>0.8暂列金额</w:t>
      </w:r>
      <w:bookmarkEnd w:id="452"/>
      <w:bookmarkEnd w:id="453"/>
    </w:p>
    <w:bookmarkEnd w:id="454"/>
    <w:p w14:paraId="6E44B6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暂列金额应按照发包人的要求使用，发包人的要求应通过监理人发出。合同当事人可以在专用合同条款中协商确定有关事项。</w:t>
      </w:r>
    </w:p>
    <w:bookmarkEnd w:id="455"/>
    <w:bookmarkEnd w:id="456"/>
    <w:bookmarkEnd w:id="457"/>
    <w:p w14:paraId="5D1B5FC3">
      <w:pPr>
        <w:keepNext/>
        <w:keepLines/>
        <w:spacing w:line="420" w:lineRule="exact"/>
        <w:ind w:firstLine="0" w:firstLineChars="0"/>
        <w:outlineLvl w:val="0"/>
        <w:rPr>
          <w:rFonts w:ascii="宋体" w:hAnsi="宋体" w:cs="宋体"/>
          <w:b/>
          <w:bCs/>
          <w:color w:val="auto"/>
          <w:kern w:val="44"/>
          <w:sz w:val="21"/>
          <w:szCs w:val="21"/>
          <w:highlight w:val="none"/>
        </w:rPr>
      </w:pPr>
      <w:bookmarkStart w:id="458" w:name="_Toc351203576"/>
      <w:bookmarkStart w:id="459" w:name="_Toc478389115"/>
      <w:r>
        <w:rPr>
          <w:rFonts w:hint="eastAsia" w:ascii="宋体" w:hAnsi="宋体" w:cs="宋体"/>
          <w:b/>
          <w:bCs/>
          <w:color w:val="auto"/>
          <w:kern w:val="44"/>
          <w:sz w:val="21"/>
          <w:szCs w:val="21"/>
          <w:highlight w:val="none"/>
        </w:rPr>
        <w:t>1</w:t>
      </w:r>
      <w:bookmarkStart w:id="460" w:name="_Toc296346592"/>
      <w:bookmarkStart w:id="461" w:name="_Toc296503091"/>
      <w:bookmarkStart w:id="462" w:name="_Toc337558796"/>
      <w:r>
        <w:rPr>
          <w:rFonts w:hint="eastAsia" w:ascii="宋体" w:hAnsi="宋体" w:cs="宋体"/>
          <w:b/>
          <w:bCs/>
          <w:color w:val="auto"/>
          <w:kern w:val="44"/>
          <w:sz w:val="21"/>
          <w:szCs w:val="21"/>
          <w:highlight w:val="none"/>
        </w:rPr>
        <w:t>0.9计日工</w:t>
      </w:r>
      <w:bookmarkEnd w:id="458"/>
      <w:bookmarkEnd w:id="459"/>
      <w:bookmarkEnd w:id="460"/>
      <w:bookmarkEnd w:id="461"/>
      <w:bookmarkEnd w:id="462"/>
    </w:p>
    <w:p w14:paraId="7E35AC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6C25DE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采用计日工计价的任何一项工作，承包人应在该项工作实施过程中，每天提交以下报表和有关凭证报送监理人审查：</w:t>
      </w:r>
    </w:p>
    <w:p w14:paraId="03D847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（1）工作名称、内容和数量；</w:t>
      </w:r>
    </w:p>
    <w:p w14:paraId="1B38157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（2）投入该工作的所有人员的姓名、专业、工种、级别和耗用工时；</w:t>
      </w:r>
    </w:p>
    <w:p w14:paraId="519BF79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（3）投入该工作的材料类别和数量；</w:t>
      </w:r>
    </w:p>
    <w:p w14:paraId="6775CCF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（4）投入该工作的施工设备型号、台数和耗用台时；</w:t>
      </w:r>
    </w:p>
    <w:p w14:paraId="2D44342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（5）其他有关资料和凭证。</w:t>
      </w:r>
    </w:p>
    <w:p w14:paraId="2C90DC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计日工由承包人汇总后，列入最近一期进度付款申请单，由监理人审查并经发包人批准后列入进度付款。</w:t>
      </w:r>
    </w:p>
    <w:p w14:paraId="4C675C9C">
      <w:pPr>
        <w:keepNext/>
        <w:keepLines/>
        <w:spacing w:line="420" w:lineRule="exact"/>
        <w:ind w:firstLine="0" w:firstLineChars="0"/>
        <w:outlineLvl w:val="0"/>
        <w:rPr>
          <w:rFonts w:ascii="宋体" w:hAnsi="宋体" w:cs="宋体"/>
          <w:b/>
          <w:bCs/>
          <w:color w:val="auto"/>
          <w:kern w:val="44"/>
          <w:sz w:val="21"/>
          <w:szCs w:val="21"/>
          <w:highlight w:val="none"/>
        </w:rPr>
      </w:pPr>
      <w:bookmarkStart w:id="463" w:name="_Toc478389116"/>
      <w:bookmarkStart w:id="464" w:name="_Toc351203577"/>
      <w:r>
        <w:rPr>
          <w:rFonts w:hint="eastAsia" w:ascii="宋体" w:hAnsi="宋体" w:cs="宋体"/>
          <w:b/>
          <w:bCs/>
          <w:color w:val="auto"/>
          <w:kern w:val="44"/>
          <w:sz w:val="21"/>
          <w:szCs w:val="21"/>
          <w:highlight w:val="none"/>
        </w:rPr>
        <w:t>11. 价格调整</w:t>
      </w:r>
      <w:bookmarkEnd w:id="463"/>
      <w:bookmarkEnd w:id="464"/>
    </w:p>
    <w:p w14:paraId="3458A52A">
      <w:pPr>
        <w:keepNext/>
        <w:keepLines/>
        <w:spacing w:line="420" w:lineRule="exact"/>
        <w:ind w:firstLine="0" w:firstLineChars="0"/>
        <w:outlineLvl w:val="0"/>
        <w:rPr>
          <w:rFonts w:ascii="宋体" w:hAnsi="宋体" w:cs="宋体"/>
          <w:b/>
          <w:bCs/>
          <w:color w:val="auto"/>
          <w:kern w:val="44"/>
          <w:sz w:val="21"/>
          <w:szCs w:val="21"/>
          <w:highlight w:val="none"/>
        </w:rPr>
      </w:pPr>
      <w:bookmarkStart w:id="465" w:name="_Toc478389117"/>
      <w:bookmarkStart w:id="466" w:name="_Toc351203578"/>
      <w:bookmarkStart w:id="467" w:name="_Toc337558797"/>
      <w:bookmarkStart w:id="468" w:name="_Toc296503092"/>
      <w:bookmarkStart w:id="469" w:name="_Toc296346593"/>
      <w:r>
        <w:rPr>
          <w:rFonts w:hint="eastAsia" w:ascii="宋体" w:hAnsi="宋体" w:cs="宋体"/>
          <w:b/>
          <w:bCs/>
          <w:color w:val="auto"/>
          <w:kern w:val="44"/>
          <w:sz w:val="21"/>
          <w:szCs w:val="21"/>
          <w:highlight w:val="none"/>
        </w:rPr>
        <w:t>11.1市场价格波动引起的调整</w:t>
      </w:r>
      <w:bookmarkEnd w:id="465"/>
      <w:bookmarkEnd w:id="466"/>
    </w:p>
    <w:bookmarkEnd w:id="467"/>
    <w:bookmarkEnd w:id="468"/>
    <w:bookmarkEnd w:id="469"/>
    <w:p w14:paraId="47C50397">
      <w:pPr>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除专用合同条款另有约定外，市场价格波动超过合同当事人约定的范围，合同价格应当调整。合同当事人可以在专用合同条款中约定选择以下一种方式对合同价格进行调整：</w:t>
      </w:r>
    </w:p>
    <w:p w14:paraId="6C278EB2">
      <w:pPr>
        <w:ind w:firstLine="420"/>
        <w:rPr>
          <w:rFonts w:ascii="宋体" w:hAnsi="宋体" w:cs="宋体"/>
          <w:color w:val="auto"/>
          <w:sz w:val="21"/>
          <w:szCs w:val="21"/>
          <w:highlight w:val="none"/>
        </w:rPr>
      </w:pPr>
      <w:r>
        <w:rPr>
          <w:rFonts w:hint="eastAsia" w:ascii="宋体" w:hAnsi="宋体" w:cs="宋体"/>
          <w:color w:val="auto"/>
          <w:sz w:val="21"/>
          <w:szCs w:val="21"/>
          <w:highlight w:val="none"/>
        </w:rPr>
        <w:t>第1种方式：采用价格指数进行价格调整。</w:t>
      </w:r>
    </w:p>
    <w:p w14:paraId="449A3082">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（1）价格调整公式</w:t>
      </w:r>
    </w:p>
    <w:p w14:paraId="6A43D027">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因人工、材料和设备等价格波动影响合同价格时，根据专用合同条款中约定的数据，按以下公式计算差额并调整合同价格：</w:t>
      </w:r>
    </w:p>
    <w:p w14:paraId="46955BB5">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30"/>
          <w:sz w:val="21"/>
          <w:szCs w:val="21"/>
          <w:highlight w:val="none"/>
        </w:rPr>
        <w:drawing>
          <wp:inline distT="0" distB="0" distL="0" distR="0">
            <wp:extent cx="4572000" cy="552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572000" cy="552450"/>
                    </a:xfrm>
                    <a:prstGeom prst="rect">
                      <a:avLst/>
                    </a:prstGeom>
                    <a:noFill/>
                    <a:ln>
                      <a:noFill/>
                    </a:ln>
                  </pic:spPr>
                </pic:pic>
              </a:graphicData>
            </a:graphic>
          </wp:inline>
        </w:drawing>
      </w:r>
    </w:p>
    <w:p w14:paraId="6AEC0C0A">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公式中：ΔP——需调整的价格差额；</w:t>
      </w:r>
    </w:p>
    <w:p w14:paraId="7C96BAF0">
      <w:pPr>
        <w:tabs>
          <w:tab w:val="left" w:pos="0"/>
          <w:tab w:val="left" w:pos="360"/>
          <w:tab w:val="left" w:pos="540"/>
        </w:tabs>
        <w:ind w:firstLine="1260" w:firstLineChars="600"/>
        <w:rPr>
          <w:rFonts w:ascii="宋体" w:hAnsi="宋体" w:cs="宋体"/>
          <w:color w:val="auto"/>
          <w:sz w:val="21"/>
          <w:szCs w:val="21"/>
          <w:highlight w:val="none"/>
        </w:rPr>
      </w:pPr>
      <w:r>
        <w:rPr>
          <w:rFonts w:ascii="宋体" w:hAnsi="宋体" w:cs="宋体"/>
          <w:color w:val="auto"/>
          <w:position w:val="-6"/>
          <w:sz w:val="21"/>
          <w:szCs w:val="21"/>
          <w:highlight w:val="none"/>
        </w:rPr>
        <w:drawing>
          <wp:inline distT="0" distB="0" distL="0" distR="0">
            <wp:extent cx="219075" cy="2190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r>
        <w:rPr>
          <w:rFonts w:hint="eastAsia" w:ascii="宋体" w:hAnsi="宋体" w:cs="宋体"/>
          <w:color w:val="auto"/>
          <w:sz w:val="21"/>
          <w:szCs w:val="21"/>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3D8E8B30">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A——定值权重（即不调部分的权重）；</w:t>
      </w:r>
    </w:p>
    <w:p w14:paraId="207E8FF9">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10"/>
          <w:sz w:val="21"/>
          <w:szCs w:val="21"/>
          <w:highlight w:val="none"/>
        </w:rPr>
        <w:drawing>
          <wp:inline distT="0" distB="0" distL="0" distR="0">
            <wp:extent cx="1276350" cy="266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76350" cy="266700"/>
                    </a:xfrm>
                    <a:prstGeom prst="rect">
                      <a:avLst/>
                    </a:prstGeom>
                    <a:noFill/>
                    <a:ln>
                      <a:noFill/>
                    </a:ln>
                  </pic:spPr>
                </pic:pic>
              </a:graphicData>
            </a:graphic>
          </wp:inline>
        </w:drawing>
      </w:r>
      <w:r>
        <w:rPr>
          <w:rFonts w:hint="eastAsia" w:ascii="宋体" w:hAnsi="宋体" w:cs="宋体"/>
          <w:color w:val="auto"/>
          <w:sz w:val="21"/>
          <w:szCs w:val="21"/>
          <w:highlight w:val="none"/>
        </w:rPr>
        <w:t>——各可调因子的变值权重（即可调部分的权重），为各可调因子在签约合同价中所占的比例；</w:t>
      </w:r>
    </w:p>
    <w:p w14:paraId="32660DA3">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10"/>
          <w:sz w:val="21"/>
          <w:szCs w:val="21"/>
          <w:highlight w:val="none"/>
        </w:rPr>
        <w:drawing>
          <wp:inline distT="0" distB="0" distL="0" distR="0">
            <wp:extent cx="1295400" cy="266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95400" cy="266700"/>
                    </a:xfrm>
                    <a:prstGeom prst="rect">
                      <a:avLst/>
                    </a:prstGeom>
                    <a:noFill/>
                    <a:ln>
                      <a:noFill/>
                    </a:ln>
                  </pic:spPr>
                </pic:pic>
              </a:graphicData>
            </a:graphic>
          </wp:inline>
        </w:drawing>
      </w:r>
      <w:r>
        <w:rPr>
          <w:rFonts w:hint="eastAsia" w:ascii="宋体" w:hAnsi="宋体" w:cs="宋体"/>
          <w:color w:val="auto"/>
          <w:sz w:val="21"/>
          <w:szCs w:val="21"/>
          <w:highlight w:val="none"/>
        </w:rPr>
        <w:t>——各可调因子的现行价格指数，指约定的付款证书相关周期最后一天的前42天的各可调因子的价格指数；</w:t>
      </w:r>
    </w:p>
    <w:p w14:paraId="1025F950">
      <w:pPr>
        <w:tabs>
          <w:tab w:val="left" w:pos="0"/>
          <w:tab w:val="left" w:pos="360"/>
          <w:tab w:val="left" w:pos="540"/>
        </w:tabs>
        <w:ind w:firstLine="420"/>
        <w:rPr>
          <w:rFonts w:ascii="宋体" w:hAnsi="宋体" w:cs="宋体"/>
          <w:color w:val="auto"/>
          <w:sz w:val="21"/>
          <w:szCs w:val="21"/>
          <w:highlight w:val="none"/>
        </w:rPr>
      </w:pPr>
      <w:r>
        <w:rPr>
          <w:rFonts w:ascii="宋体" w:hAnsi="宋体" w:cs="宋体"/>
          <w:color w:val="auto"/>
          <w:position w:val="-10"/>
          <w:sz w:val="21"/>
          <w:szCs w:val="21"/>
          <w:highlight w:val="none"/>
        </w:rPr>
        <w:drawing>
          <wp:inline distT="0" distB="0" distL="0" distR="0">
            <wp:extent cx="1371600" cy="2571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71600" cy="257175"/>
                    </a:xfrm>
                    <a:prstGeom prst="rect">
                      <a:avLst/>
                    </a:prstGeom>
                    <a:noFill/>
                    <a:ln>
                      <a:noFill/>
                    </a:ln>
                  </pic:spPr>
                </pic:pic>
              </a:graphicData>
            </a:graphic>
          </wp:inline>
        </w:drawing>
      </w:r>
      <w:r>
        <w:rPr>
          <w:rFonts w:hint="eastAsia" w:ascii="宋体" w:hAnsi="宋体" w:cs="宋体"/>
          <w:color w:val="auto"/>
          <w:sz w:val="21"/>
          <w:szCs w:val="21"/>
          <w:highlight w:val="none"/>
        </w:rPr>
        <w:t>——各可调因子的基本价格指数，指基准日期的各可调因子的价格指数。</w:t>
      </w:r>
    </w:p>
    <w:p w14:paraId="1BDA3666">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1D65B3B5">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（2）暂时确定调整差额</w:t>
      </w:r>
    </w:p>
    <w:p w14:paraId="61ABF99F">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在计算调整差额时无现行价格指数的，合同当事人同意暂用前次价格指数计算。实际价格指数有调整的，合同当事人进行相应调整。</w:t>
      </w:r>
    </w:p>
    <w:p w14:paraId="1D9444EC">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（3）权重的调整</w:t>
      </w:r>
    </w:p>
    <w:p w14:paraId="5C24C462">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因变更导致合同约定的权重不合理时，按照第4.4款〔商定或确定〕执行。</w:t>
      </w:r>
    </w:p>
    <w:p w14:paraId="098EDBB7">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（4）因承包人原因工期延误后的价格调整</w:t>
      </w:r>
    </w:p>
    <w:p w14:paraId="488FB57A">
      <w:pPr>
        <w:tabs>
          <w:tab w:val="left" w:pos="0"/>
          <w:tab w:val="left" w:pos="360"/>
          <w:tab w:val="left" w:pos="540"/>
        </w:tabs>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4C31D36D">
      <w:pPr>
        <w:ind w:firstLine="420"/>
        <w:rPr>
          <w:rFonts w:ascii="宋体" w:hAnsi="宋体" w:cs="宋体"/>
          <w:color w:val="auto"/>
          <w:sz w:val="21"/>
          <w:szCs w:val="21"/>
          <w:highlight w:val="none"/>
        </w:rPr>
      </w:pPr>
      <w:r>
        <w:rPr>
          <w:rFonts w:hint="eastAsia" w:ascii="宋体" w:hAnsi="宋体" w:cs="宋体"/>
          <w:color w:val="auto"/>
          <w:sz w:val="21"/>
          <w:szCs w:val="21"/>
          <w:highlight w:val="none"/>
        </w:rPr>
        <w:t>第2种方式：采用造价信息进行价格调整。</w:t>
      </w:r>
    </w:p>
    <w:p w14:paraId="2E88C8BA">
      <w:pPr>
        <w:ind w:firstLine="420"/>
        <w:rPr>
          <w:rFonts w:ascii="宋体" w:hAnsi="宋体" w:cs="宋体"/>
          <w:color w:val="auto"/>
          <w:sz w:val="21"/>
          <w:szCs w:val="21"/>
          <w:highlight w:val="none"/>
        </w:rPr>
      </w:pPr>
      <w:r>
        <w:rPr>
          <w:rFonts w:hint="eastAsia" w:ascii="宋体" w:hAnsi="宋体" w:cs="宋体"/>
          <w:color w:val="auto"/>
          <w:sz w:val="21"/>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895006">
      <w:pPr>
        <w:ind w:firstLine="420"/>
        <w:rPr>
          <w:rFonts w:ascii="宋体" w:hAnsi="宋体" w:cs="宋体"/>
          <w:color w:val="auto"/>
          <w:sz w:val="21"/>
          <w:szCs w:val="21"/>
          <w:highlight w:val="none"/>
        </w:rPr>
      </w:pPr>
      <w:r>
        <w:rPr>
          <w:rFonts w:hint="eastAsia" w:ascii="宋体" w:hAnsi="宋体" w:cs="宋体"/>
          <w:color w:val="auto"/>
          <w:sz w:val="21"/>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3ECFE8D2">
      <w:pPr>
        <w:ind w:firstLine="420"/>
        <w:rPr>
          <w:rFonts w:ascii="宋体" w:hAnsi="宋体" w:cs="宋体"/>
          <w:color w:val="auto"/>
          <w:sz w:val="21"/>
          <w:szCs w:val="21"/>
          <w:highlight w:val="none"/>
        </w:rPr>
      </w:pPr>
      <w:r>
        <w:rPr>
          <w:rFonts w:hint="eastAsia" w:ascii="宋体" w:hAnsi="宋体" w:cs="宋体"/>
          <w:color w:val="auto"/>
          <w:sz w:val="21"/>
          <w:szCs w:val="21"/>
          <w:highlight w:val="none"/>
        </w:rPr>
        <w:t>（2）材料、工程设备价格变化的价款调整按照发包人提供的基准价格，按以下风险范围规定执行</w:t>
      </w:r>
      <w:r>
        <w:rPr>
          <w:rFonts w:hint="eastAsia" w:ascii="宋体" w:hAnsi="宋体" w:cs="宋体"/>
          <w:color w:val="auto"/>
          <w:sz w:val="21"/>
          <w:szCs w:val="21"/>
          <w:highlight w:val="none"/>
          <w:lang w:eastAsia="zh-CN"/>
        </w:rPr>
        <w:t>：</w:t>
      </w:r>
    </w:p>
    <w:p w14:paraId="492396AE">
      <w:pPr>
        <w:ind w:firstLine="420"/>
        <w:rPr>
          <w:rFonts w:ascii="宋体" w:hAnsi="宋体" w:cs="宋体"/>
          <w:color w:val="auto"/>
          <w:sz w:val="21"/>
          <w:szCs w:val="21"/>
          <w:highlight w:val="none"/>
        </w:rPr>
      </w:pPr>
      <w:r>
        <w:rPr>
          <w:rFonts w:hint="eastAsia" w:ascii="宋体" w:hAnsi="宋体" w:cs="宋体"/>
          <w:color w:val="auto"/>
          <w:sz w:val="21"/>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75587B9B">
      <w:pPr>
        <w:ind w:firstLine="420"/>
        <w:rPr>
          <w:rFonts w:ascii="宋体" w:hAnsi="宋体" w:cs="宋体"/>
          <w:color w:val="auto"/>
          <w:sz w:val="21"/>
          <w:szCs w:val="21"/>
          <w:highlight w:val="none"/>
        </w:rPr>
      </w:pPr>
      <w:r>
        <w:rPr>
          <w:rFonts w:hint="eastAsia" w:ascii="宋体" w:hAnsi="宋体" w:cs="宋体"/>
          <w:color w:val="auto"/>
          <w:sz w:val="21"/>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5E8AE6D0">
      <w:pPr>
        <w:ind w:firstLine="420"/>
        <w:rPr>
          <w:rFonts w:ascii="宋体" w:hAnsi="宋体" w:cs="宋体"/>
          <w:color w:val="auto"/>
          <w:sz w:val="21"/>
          <w:szCs w:val="21"/>
          <w:highlight w:val="none"/>
        </w:rPr>
      </w:pPr>
      <w:r>
        <w:rPr>
          <w:rFonts w:hint="eastAsia" w:ascii="宋体" w:hAnsi="宋体" w:cs="宋体"/>
          <w:color w:val="auto"/>
          <w:sz w:val="21"/>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11C59CFF">
      <w:pPr>
        <w:ind w:firstLine="420"/>
        <w:rPr>
          <w:rFonts w:ascii="宋体" w:hAnsi="宋体" w:cs="宋体"/>
          <w:color w:val="auto"/>
          <w:sz w:val="21"/>
          <w:szCs w:val="21"/>
          <w:highlight w:val="none"/>
        </w:rPr>
      </w:pPr>
      <w:r>
        <w:rPr>
          <w:rFonts w:hint="eastAsia" w:ascii="宋体" w:hAnsi="宋体" w:cs="宋体"/>
          <w:color w:val="auto"/>
          <w:sz w:val="21"/>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65249789">
      <w:pPr>
        <w:ind w:firstLine="420"/>
        <w:rPr>
          <w:rFonts w:ascii="宋体" w:hAnsi="宋体" w:cs="宋体"/>
          <w:color w:val="auto"/>
          <w:sz w:val="21"/>
          <w:szCs w:val="21"/>
          <w:highlight w:val="none"/>
        </w:rPr>
      </w:pPr>
      <w:r>
        <w:rPr>
          <w:rFonts w:hint="eastAsia" w:ascii="宋体" w:hAnsi="宋体" w:cs="宋体"/>
          <w:color w:val="auto"/>
          <w:sz w:val="21"/>
          <w:szCs w:val="21"/>
          <w:highlight w:val="none"/>
        </w:rPr>
        <w:t>前述基准价格是指由发包人在采购文件或专用合同条款中给定的材料、工程设备的价格，该价格原则上应当按照省级或行业建设主管部门或其授权的工程造价管理机构发布的信息价编制。</w:t>
      </w:r>
    </w:p>
    <w:p w14:paraId="47D645C0">
      <w:pPr>
        <w:ind w:firstLine="420"/>
        <w:rPr>
          <w:rFonts w:ascii="宋体" w:hAnsi="宋体" w:cs="宋体"/>
          <w:color w:val="auto"/>
          <w:sz w:val="21"/>
          <w:szCs w:val="21"/>
          <w:highlight w:val="none"/>
        </w:rPr>
      </w:pPr>
      <w:r>
        <w:rPr>
          <w:rFonts w:hint="eastAsia" w:ascii="宋体" w:hAnsi="宋体" w:cs="宋体"/>
          <w:color w:val="auto"/>
          <w:sz w:val="21"/>
          <w:szCs w:val="21"/>
          <w:highlight w:val="none"/>
        </w:rPr>
        <w:t>（3）施工机械台班单价或施工机械使用费发生变化超过省级或行业建设主管部门或其授权的工程造价管理机构规定的范围时，按规定调整合同价格。</w:t>
      </w:r>
    </w:p>
    <w:p w14:paraId="023EAE92">
      <w:pPr>
        <w:ind w:firstLine="420"/>
        <w:rPr>
          <w:rFonts w:ascii="宋体" w:hAnsi="宋体" w:cs="宋体"/>
          <w:color w:val="auto"/>
          <w:sz w:val="21"/>
          <w:szCs w:val="21"/>
          <w:highlight w:val="none"/>
        </w:rPr>
      </w:pPr>
      <w:r>
        <w:rPr>
          <w:rFonts w:hint="eastAsia" w:ascii="宋体" w:hAnsi="宋体" w:cs="宋体"/>
          <w:color w:val="auto"/>
          <w:sz w:val="21"/>
          <w:szCs w:val="21"/>
          <w:highlight w:val="none"/>
        </w:rPr>
        <w:t>第3种方式：专用合同条款约定的其他方式。</w:t>
      </w:r>
    </w:p>
    <w:p w14:paraId="39BBC605">
      <w:pPr>
        <w:keepNext/>
        <w:keepLines/>
        <w:spacing w:line="420" w:lineRule="exact"/>
        <w:ind w:firstLine="0" w:firstLineChars="0"/>
        <w:outlineLvl w:val="0"/>
        <w:rPr>
          <w:rFonts w:ascii="宋体" w:hAnsi="宋体" w:cs="宋体"/>
          <w:b/>
          <w:bCs/>
          <w:color w:val="auto"/>
          <w:kern w:val="44"/>
          <w:sz w:val="21"/>
          <w:szCs w:val="21"/>
          <w:highlight w:val="none"/>
        </w:rPr>
      </w:pPr>
      <w:bookmarkStart w:id="470" w:name="_Toc478389118"/>
      <w:bookmarkStart w:id="471" w:name="_Toc351203579"/>
      <w:bookmarkStart w:id="472" w:name="_Toc296346594"/>
      <w:bookmarkStart w:id="473" w:name="_Toc337558798"/>
      <w:bookmarkStart w:id="474" w:name="_Toc296503093"/>
      <w:r>
        <w:rPr>
          <w:rFonts w:hint="eastAsia" w:ascii="宋体" w:hAnsi="宋体" w:cs="宋体"/>
          <w:b/>
          <w:bCs/>
          <w:color w:val="auto"/>
          <w:kern w:val="44"/>
          <w:sz w:val="21"/>
          <w:szCs w:val="21"/>
          <w:highlight w:val="none"/>
        </w:rPr>
        <w:t>11.2法律变化引起的调整</w:t>
      </w:r>
      <w:bookmarkEnd w:id="470"/>
      <w:bookmarkEnd w:id="471"/>
    </w:p>
    <w:bookmarkEnd w:id="472"/>
    <w:bookmarkEnd w:id="473"/>
    <w:bookmarkEnd w:id="474"/>
    <w:p w14:paraId="73A8836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22C548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因法律变化引起的合同价格和工期调整，合同当事人无法达成一致的，由总监理工程师按第4.4款〔商定或确定〕的约定处理。</w:t>
      </w:r>
    </w:p>
    <w:p w14:paraId="056AFC5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因承包人原因造成工期延误，在工期延误期间出现法律变化的，由此增加的费用和（或）延误的工期由承包人承担。</w:t>
      </w:r>
    </w:p>
    <w:p w14:paraId="745E42C1">
      <w:pPr>
        <w:keepNext/>
        <w:keepLines/>
        <w:spacing w:line="420" w:lineRule="exact"/>
        <w:ind w:firstLine="0" w:firstLineChars="0"/>
        <w:outlineLvl w:val="0"/>
        <w:rPr>
          <w:rFonts w:ascii="宋体" w:hAnsi="宋体" w:cs="宋体"/>
          <w:b/>
          <w:bCs/>
          <w:color w:val="auto"/>
          <w:kern w:val="44"/>
          <w:sz w:val="21"/>
          <w:szCs w:val="21"/>
          <w:highlight w:val="none"/>
        </w:rPr>
      </w:pPr>
      <w:bookmarkStart w:id="475" w:name="_Toc351203580"/>
      <w:bookmarkStart w:id="476" w:name="_Toc478389119"/>
      <w:bookmarkStart w:id="477" w:name="_Toc337558799"/>
      <w:bookmarkStart w:id="478" w:name="_Toc296503096"/>
      <w:bookmarkStart w:id="479" w:name="_Toc296346597"/>
      <w:r>
        <w:rPr>
          <w:rFonts w:hint="eastAsia" w:ascii="宋体" w:hAnsi="宋体" w:cs="宋体"/>
          <w:b/>
          <w:bCs/>
          <w:color w:val="auto"/>
          <w:kern w:val="44"/>
          <w:sz w:val="21"/>
          <w:szCs w:val="21"/>
          <w:highlight w:val="none"/>
        </w:rPr>
        <w:t>12. 合同价格、计量与支付</w:t>
      </w:r>
      <w:bookmarkEnd w:id="475"/>
      <w:bookmarkEnd w:id="476"/>
    </w:p>
    <w:bookmarkEnd w:id="477"/>
    <w:p w14:paraId="5F33E112">
      <w:pPr>
        <w:keepNext/>
        <w:keepLines/>
        <w:spacing w:line="420" w:lineRule="exact"/>
        <w:ind w:firstLine="0" w:firstLineChars="0"/>
        <w:outlineLvl w:val="0"/>
        <w:rPr>
          <w:rFonts w:ascii="宋体" w:hAnsi="宋体" w:cs="宋体"/>
          <w:b/>
          <w:bCs/>
          <w:color w:val="auto"/>
          <w:kern w:val="44"/>
          <w:sz w:val="21"/>
          <w:szCs w:val="21"/>
          <w:highlight w:val="none"/>
        </w:rPr>
      </w:pPr>
      <w:bookmarkStart w:id="480" w:name="_Toc478389120"/>
      <w:bookmarkStart w:id="481" w:name="_Toc351203581"/>
      <w:bookmarkStart w:id="482" w:name="_Toc337558800"/>
      <w:r>
        <w:rPr>
          <w:rFonts w:hint="eastAsia" w:ascii="宋体" w:hAnsi="宋体" w:cs="宋体"/>
          <w:b/>
          <w:bCs/>
          <w:color w:val="auto"/>
          <w:kern w:val="44"/>
          <w:sz w:val="21"/>
          <w:szCs w:val="21"/>
          <w:highlight w:val="none"/>
        </w:rPr>
        <w:t>12.1 合同价</w:t>
      </w:r>
      <w:bookmarkEnd w:id="478"/>
      <w:bookmarkEnd w:id="479"/>
      <w:r>
        <w:rPr>
          <w:rFonts w:hint="eastAsia" w:ascii="宋体" w:hAnsi="宋体" w:cs="宋体"/>
          <w:b/>
          <w:bCs/>
          <w:color w:val="auto"/>
          <w:kern w:val="44"/>
          <w:sz w:val="21"/>
          <w:szCs w:val="21"/>
          <w:highlight w:val="none"/>
        </w:rPr>
        <w:t>格形式</w:t>
      </w:r>
      <w:bookmarkEnd w:id="480"/>
      <w:bookmarkEnd w:id="481"/>
    </w:p>
    <w:bookmarkEnd w:id="482"/>
    <w:p w14:paraId="644E4C3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发包人和承包人应在合同协议书中选择下列一种合同价格形式： </w:t>
      </w:r>
    </w:p>
    <w:p w14:paraId="2ACF1A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1.单价合同</w:t>
      </w:r>
    </w:p>
    <w:p w14:paraId="664B7EE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14:paraId="794F5A3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w:t>
      </w:r>
    </w:p>
    <w:p w14:paraId="744435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77D50E5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eastAsia="zh-CN"/>
        </w:rPr>
        <w:t>其他</w:t>
      </w:r>
      <w:r>
        <w:rPr>
          <w:rFonts w:hint="eastAsia" w:ascii="宋体" w:hAnsi="宋体" w:cs="宋体"/>
          <w:color w:val="auto"/>
          <w:sz w:val="21"/>
          <w:szCs w:val="21"/>
          <w:highlight w:val="none"/>
        </w:rPr>
        <w:t>价格形式</w:t>
      </w:r>
    </w:p>
    <w:p w14:paraId="439368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合同当事人可在专用合同条款中约定其他合同价格形式。</w:t>
      </w:r>
    </w:p>
    <w:p w14:paraId="091E1648">
      <w:pPr>
        <w:keepNext/>
        <w:keepLines/>
        <w:spacing w:line="420" w:lineRule="exact"/>
        <w:ind w:firstLine="0" w:firstLineChars="0"/>
        <w:outlineLvl w:val="0"/>
        <w:rPr>
          <w:rFonts w:ascii="宋体" w:hAnsi="宋体" w:cs="宋体"/>
          <w:b/>
          <w:bCs/>
          <w:color w:val="auto"/>
          <w:kern w:val="44"/>
          <w:sz w:val="21"/>
          <w:szCs w:val="21"/>
          <w:highlight w:val="none"/>
        </w:rPr>
      </w:pPr>
      <w:bookmarkStart w:id="483" w:name="_Toc296346598"/>
      <w:bookmarkStart w:id="484" w:name="_Toc296503097"/>
      <w:bookmarkStart w:id="485" w:name="_Toc351203582"/>
      <w:bookmarkStart w:id="486" w:name="_Toc478389121"/>
      <w:bookmarkStart w:id="487" w:name="_Toc337558801"/>
      <w:r>
        <w:rPr>
          <w:rFonts w:hint="eastAsia" w:ascii="宋体" w:hAnsi="宋体" w:cs="宋体"/>
          <w:b/>
          <w:bCs/>
          <w:color w:val="auto"/>
          <w:kern w:val="44"/>
          <w:sz w:val="21"/>
          <w:szCs w:val="21"/>
          <w:highlight w:val="none"/>
        </w:rPr>
        <w:t>12.2预</w:t>
      </w:r>
      <w:bookmarkEnd w:id="483"/>
      <w:bookmarkEnd w:id="484"/>
      <w:bookmarkStart w:id="488" w:name="_Toc296346601"/>
      <w:bookmarkStart w:id="489" w:name="_Toc296503100"/>
      <w:r>
        <w:rPr>
          <w:rFonts w:hint="eastAsia" w:ascii="宋体" w:hAnsi="宋体" w:cs="宋体"/>
          <w:b/>
          <w:bCs/>
          <w:color w:val="auto"/>
          <w:kern w:val="44"/>
          <w:sz w:val="21"/>
          <w:szCs w:val="21"/>
          <w:highlight w:val="none"/>
        </w:rPr>
        <w:t>付款</w:t>
      </w:r>
      <w:bookmarkEnd w:id="485"/>
      <w:bookmarkEnd w:id="486"/>
    </w:p>
    <w:bookmarkEnd w:id="487"/>
    <w:bookmarkEnd w:id="488"/>
    <w:bookmarkEnd w:id="489"/>
    <w:p w14:paraId="624978B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12.2.1预付款的支付</w:t>
      </w:r>
    </w:p>
    <w:p w14:paraId="37A8AC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预付款的支付按照专用合同条款约定执行，但至迟应在开工通知载明的开工日期7天前支付。预付款应当用于材料、工程设备、施工设备的采购及修建临时工程、组织施工队伍进场等。</w:t>
      </w:r>
    </w:p>
    <w:p w14:paraId="5CF117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除专用合同条款另有约定外，预付款在进度付款中同比例扣回。在颁发工程接收证书前，提前解除合同的，尚未扣完的预付款应与合同价款一并结算。</w:t>
      </w:r>
    </w:p>
    <w:p w14:paraId="2818FDD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发包人逾期支付预付款超过7天的，承包人有权向发包人发出要求预付的催告通知，发包人收到通知后7天内仍未支付的，承包人有权暂停施工，并按第16.1.1项〔发包人违约的情形〕执行。</w:t>
      </w:r>
    </w:p>
    <w:p w14:paraId="61CF9C9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12.2.2 预付款担保</w:t>
      </w:r>
    </w:p>
    <w:p w14:paraId="74B630A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0C74750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发包人在工程款中逐期扣回预付款后，预付款担保额度应相应减少，但剩余的预付款担保金额不得低于未被扣回的预付款金额。</w:t>
      </w:r>
    </w:p>
    <w:p w14:paraId="6ABAF7D7">
      <w:pPr>
        <w:keepNext/>
        <w:keepLines/>
        <w:spacing w:line="420" w:lineRule="exact"/>
        <w:ind w:firstLine="0" w:firstLineChars="0"/>
        <w:outlineLvl w:val="0"/>
        <w:rPr>
          <w:rFonts w:ascii="宋体" w:hAnsi="宋体" w:cs="宋体"/>
          <w:b/>
          <w:bCs/>
          <w:color w:val="auto"/>
          <w:kern w:val="44"/>
          <w:sz w:val="21"/>
          <w:szCs w:val="21"/>
          <w:highlight w:val="none"/>
        </w:rPr>
      </w:pPr>
      <w:bookmarkStart w:id="490" w:name="_Toc478389122"/>
      <w:bookmarkStart w:id="491" w:name="_Toc351203583"/>
      <w:bookmarkStart w:id="492" w:name="_Toc337558802"/>
      <w:r>
        <w:rPr>
          <w:rFonts w:hint="eastAsia" w:ascii="宋体" w:hAnsi="宋体" w:cs="宋体"/>
          <w:b/>
          <w:bCs/>
          <w:color w:val="auto"/>
          <w:kern w:val="44"/>
          <w:sz w:val="21"/>
          <w:szCs w:val="21"/>
          <w:highlight w:val="none"/>
        </w:rPr>
        <w:t>12.3计量</w:t>
      </w:r>
      <w:bookmarkEnd w:id="490"/>
      <w:bookmarkEnd w:id="491"/>
    </w:p>
    <w:bookmarkEnd w:id="492"/>
    <w:p w14:paraId="21C2F2EF">
      <w:pPr>
        <w:spacing w:line="420" w:lineRule="exact"/>
        <w:ind w:firstLine="420"/>
        <w:outlineLvl w:val="0"/>
        <w:rPr>
          <w:rFonts w:ascii="宋体" w:hAnsi="宋体" w:cs="宋体"/>
          <w:color w:val="auto"/>
          <w:sz w:val="21"/>
          <w:szCs w:val="21"/>
          <w:highlight w:val="none"/>
        </w:rPr>
      </w:pPr>
      <w:bookmarkStart w:id="493" w:name="_Toc478389123"/>
      <w:bookmarkStart w:id="494" w:name="_Toc406522154"/>
      <w:bookmarkStart w:id="495" w:name="_Toc406419279"/>
      <w:r>
        <w:rPr>
          <w:rFonts w:hint="eastAsia" w:ascii="宋体" w:hAnsi="宋体" w:cs="宋体"/>
          <w:color w:val="auto"/>
          <w:sz w:val="21"/>
          <w:szCs w:val="21"/>
          <w:highlight w:val="none"/>
        </w:rPr>
        <w:t>12.3.1 计量原则</w:t>
      </w:r>
      <w:bookmarkEnd w:id="493"/>
      <w:bookmarkEnd w:id="494"/>
      <w:bookmarkEnd w:id="495"/>
    </w:p>
    <w:p w14:paraId="4EEE90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工程量计量按照合同约定的工程量计算规则、图纸及变更指示等进行计量。工程量计算规则应以相关的国家标准、行业标准等为依据，由合同当事人在专用合同条款中约定。</w:t>
      </w:r>
    </w:p>
    <w:p w14:paraId="3117D7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12.3.2 计量周期</w:t>
      </w:r>
    </w:p>
    <w:p w14:paraId="7AB123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除专用合同条款另有约定外，工程量的计量按月进行。</w:t>
      </w:r>
    </w:p>
    <w:p w14:paraId="789D865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12.3.3 单价合同的计量</w:t>
      </w:r>
    </w:p>
    <w:p w14:paraId="4E37EA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除专用合同条款另有约定外，单价合同的计量按照本项约定执行：</w:t>
      </w:r>
    </w:p>
    <w:p w14:paraId="5235FA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（1）承包人应于每月25日向监理人报送上月20日至当月19日已完成的工程量报告，并附具进度付款申请单、已完成工程量报表和有关资料。</w:t>
      </w:r>
    </w:p>
    <w:p w14:paraId="7BC4D6E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4975FE6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（3）监理人未在收到承包人提交的工程量报表后的7天内完成审核的，承包人报送的工程量报告中的工程量视为承包人实际完成的工程量，据此计算工程价款。</w:t>
      </w:r>
    </w:p>
    <w:p w14:paraId="4EAE0AE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12.3.4 总价合同的计量</w:t>
      </w:r>
    </w:p>
    <w:p w14:paraId="05E4934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除专用合同条款另有约定外，按月计量支付的总价合同，按照本项约定执行：</w:t>
      </w:r>
    </w:p>
    <w:p w14:paraId="2CF2414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（1）承包人应于每月25日向监理人报送上月20日至当月19日已完成的工程量报告，并附具进度付款申请单、已完成工程量报表和有关资料。</w:t>
      </w:r>
    </w:p>
    <w:p w14:paraId="64BF86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2295F06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（3）监理人未在收到承包人提交的工程量报表后的7天内完成复核的，承包人提交的工程量报告中的工程量视为承包人实际完成的工程量。</w:t>
      </w:r>
    </w:p>
    <w:p w14:paraId="6D3548BB">
      <w:pPr>
        <w:spacing w:line="420" w:lineRule="exact"/>
        <w:ind w:firstLine="420"/>
        <w:outlineLvl w:val="0"/>
        <w:rPr>
          <w:rFonts w:ascii="宋体" w:hAnsi="宋体" w:cs="宋体"/>
          <w:color w:val="auto"/>
          <w:sz w:val="21"/>
          <w:szCs w:val="21"/>
          <w:highlight w:val="none"/>
        </w:rPr>
      </w:pPr>
      <w:bookmarkStart w:id="496" w:name="_Toc406419280"/>
      <w:bookmarkStart w:id="497" w:name="_Toc406522155"/>
      <w:bookmarkStart w:id="498" w:name="_Toc478389124"/>
      <w:r>
        <w:rPr>
          <w:rFonts w:hint="eastAsia" w:ascii="宋体" w:hAnsi="宋体" w:cs="宋体"/>
          <w:color w:val="auto"/>
          <w:sz w:val="21"/>
          <w:szCs w:val="21"/>
          <w:highlight w:val="none"/>
        </w:rPr>
        <w:t>12.3.5总价合同采用支付分解表计量支付的，可以按照第12.3.4项〔总价合同的计量〕约定进行计量，但合同价款按照支付分解表进行支付。</w:t>
      </w:r>
      <w:bookmarkEnd w:id="496"/>
      <w:bookmarkEnd w:id="497"/>
      <w:bookmarkEnd w:id="498"/>
    </w:p>
    <w:p w14:paraId="303424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12.3.6 其他价格形式合同的计量</w:t>
      </w:r>
    </w:p>
    <w:p w14:paraId="5B6AD7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合同当事人可在专用合同条款中约定其他价格形式合同的计量方式和程序。</w:t>
      </w:r>
    </w:p>
    <w:p w14:paraId="2CC78B39">
      <w:pPr>
        <w:keepNext/>
        <w:keepLines/>
        <w:spacing w:line="420" w:lineRule="exact"/>
        <w:ind w:firstLine="0" w:firstLineChars="0"/>
        <w:outlineLvl w:val="0"/>
        <w:rPr>
          <w:rFonts w:ascii="宋体" w:hAnsi="宋体" w:cs="宋体"/>
          <w:b/>
          <w:bCs/>
          <w:color w:val="auto"/>
          <w:kern w:val="44"/>
          <w:sz w:val="21"/>
          <w:szCs w:val="21"/>
          <w:highlight w:val="none"/>
        </w:rPr>
      </w:pPr>
      <w:bookmarkStart w:id="499" w:name="_Toc296346602"/>
      <w:bookmarkStart w:id="500" w:name="_Toc296503101"/>
      <w:bookmarkStart w:id="501" w:name="_Toc351203584"/>
      <w:bookmarkStart w:id="502" w:name="_Toc478389125"/>
      <w:bookmarkStart w:id="503" w:name="_Toc337558803"/>
      <w:r>
        <w:rPr>
          <w:rFonts w:hint="eastAsia" w:ascii="宋体" w:hAnsi="宋体" w:cs="宋体"/>
          <w:b/>
          <w:bCs/>
          <w:color w:val="auto"/>
          <w:kern w:val="44"/>
          <w:sz w:val="21"/>
          <w:szCs w:val="21"/>
          <w:highlight w:val="none"/>
        </w:rPr>
        <w:t>12.4工程进度款支</w:t>
      </w:r>
      <w:bookmarkEnd w:id="499"/>
      <w:bookmarkEnd w:id="500"/>
      <w:r>
        <w:rPr>
          <w:rFonts w:hint="eastAsia" w:ascii="宋体" w:hAnsi="宋体" w:cs="宋体"/>
          <w:b/>
          <w:bCs/>
          <w:color w:val="auto"/>
          <w:kern w:val="44"/>
          <w:sz w:val="21"/>
          <w:szCs w:val="21"/>
          <w:highlight w:val="none"/>
        </w:rPr>
        <w:t>付</w:t>
      </w:r>
      <w:bookmarkEnd w:id="501"/>
      <w:bookmarkEnd w:id="502"/>
    </w:p>
    <w:bookmarkEnd w:id="503"/>
    <w:p w14:paraId="7E34CA38">
      <w:pPr>
        <w:spacing w:line="420" w:lineRule="exact"/>
        <w:ind w:firstLine="420"/>
        <w:outlineLvl w:val="0"/>
        <w:rPr>
          <w:rFonts w:ascii="宋体" w:hAnsi="宋体" w:cs="宋体"/>
          <w:color w:val="auto"/>
          <w:sz w:val="21"/>
          <w:szCs w:val="21"/>
          <w:highlight w:val="none"/>
        </w:rPr>
      </w:pPr>
      <w:bookmarkStart w:id="504" w:name="_Toc406419282"/>
      <w:bookmarkStart w:id="505" w:name="_Toc406522157"/>
      <w:bookmarkStart w:id="506" w:name="_Toc478389126"/>
      <w:r>
        <w:rPr>
          <w:rFonts w:hint="eastAsia" w:ascii="宋体" w:hAnsi="宋体" w:cs="宋体"/>
          <w:color w:val="auto"/>
          <w:sz w:val="21"/>
          <w:szCs w:val="21"/>
          <w:highlight w:val="none"/>
        </w:rPr>
        <w:t>12.4.1 付款周期</w:t>
      </w:r>
      <w:bookmarkEnd w:id="504"/>
      <w:bookmarkEnd w:id="505"/>
      <w:bookmarkEnd w:id="506"/>
    </w:p>
    <w:p w14:paraId="4A3EAF3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除专用合同条款另有约定外，付款周期应按照第12.3.2项〔计量周期〕的约定与计量周期保持一致。</w:t>
      </w:r>
    </w:p>
    <w:p w14:paraId="61D5C2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12.4.2 进度付款申请单的编制</w:t>
      </w:r>
    </w:p>
    <w:p w14:paraId="609D28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除专用合同条款另有约定外，进度付款申请单应包括下列内容：</w:t>
      </w:r>
    </w:p>
    <w:p w14:paraId="08330D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（1）截至本次付款周期已完成工作对应的金额；</w:t>
      </w:r>
    </w:p>
    <w:p w14:paraId="2991173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（2）根据第10条〔变更〕应增加和扣减的变更金额；</w:t>
      </w:r>
    </w:p>
    <w:p w14:paraId="3E354CB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（3）根据第12.2款〔预付款〕约定应支付的预付款和扣减的返还预付款；</w:t>
      </w:r>
    </w:p>
    <w:p w14:paraId="1DCCBB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（4）根据第15.3款〔质量保证金〕约定应扣减的质量保证金；</w:t>
      </w:r>
    </w:p>
    <w:p w14:paraId="525097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（5）根据第19条〔索赔〕应增加和扣减的索赔金额；</w:t>
      </w:r>
    </w:p>
    <w:p w14:paraId="78DC9758">
      <w:pPr>
        <w:spacing w:line="420" w:lineRule="exact"/>
        <w:ind w:firstLine="420"/>
        <w:rPr>
          <w:rFonts w:ascii="宋体" w:hAnsi="宋体" w:cs="宋体"/>
          <w:color w:val="auto"/>
          <w:spacing w:val="-4"/>
          <w:sz w:val="21"/>
          <w:szCs w:val="21"/>
          <w:highlight w:val="none"/>
        </w:rPr>
      </w:pPr>
      <w:r>
        <w:rPr>
          <w:rFonts w:hint="eastAsia" w:ascii="宋体" w:hAnsi="宋体" w:cs="宋体"/>
          <w:color w:val="auto"/>
          <w:sz w:val="21"/>
          <w:szCs w:val="21"/>
          <w:highlight w:val="none"/>
        </w:rPr>
        <w:t>（6）</w:t>
      </w:r>
      <w:r>
        <w:rPr>
          <w:rFonts w:hint="eastAsia" w:ascii="宋体" w:hAnsi="宋体" w:cs="宋体"/>
          <w:color w:val="auto"/>
          <w:spacing w:val="-4"/>
          <w:sz w:val="21"/>
          <w:szCs w:val="21"/>
          <w:highlight w:val="none"/>
        </w:rPr>
        <w:t>对已签发的进度款支付证书中出现错误的修正，应在本次进度付款中支付或扣除的金额；</w:t>
      </w:r>
    </w:p>
    <w:p w14:paraId="41A6FF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（7）根据合同约定应增加和扣减的其他金额。</w:t>
      </w:r>
    </w:p>
    <w:p w14:paraId="3E987D6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12.4.3 进度付款申请单的提交</w:t>
      </w:r>
    </w:p>
    <w:p w14:paraId="7B107F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（1）单价合同进度付款申请单的提交</w:t>
      </w:r>
    </w:p>
    <w:p w14:paraId="43031C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6978D6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（2）总价合同进度付款申请单的提交</w:t>
      </w:r>
    </w:p>
    <w:p w14:paraId="5BD782F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总价合同按月计量支付的，承包人按照第12.3.4项〔总价合同的计量〕约定的时间按月向监理人提交进度付款申请单，并附上已完成工程量报表和有关资料。</w:t>
      </w:r>
    </w:p>
    <w:p w14:paraId="75C773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总价合同按支付分解表支付的，承包人应按照第12.4.6项〔支付分解表〕及第12.4.2项〔进度付款申请单的编制〕的约定向监理人提交进度付款申请单。</w:t>
      </w:r>
    </w:p>
    <w:p w14:paraId="7FABA8A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（3）其他价格形式合同的进度付款申请单的提交</w:t>
      </w:r>
    </w:p>
    <w:p w14:paraId="7772CFE2">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合同当事人可在专用合同条款中约定其他价格形式合同的进度付款申请单的编制和提交程序。</w:t>
      </w:r>
    </w:p>
    <w:p w14:paraId="0A9E05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12.4.4 进度款审核和支付</w:t>
      </w:r>
    </w:p>
    <w:p w14:paraId="6B4A434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1B03120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5FD80C8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7E65A3C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（3）发包人签发进度款支付证书或临时进度款支付证书，不表明发包人已同意、批准或接受了承包人完成的相应部分的工作。</w:t>
      </w:r>
    </w:p>
    <w:p w14:paraId="1C4827F7">
      <w:pPr>
        <w:spacing w:line="420" w:lineRule="exact"/>
        <w:ind w:firstLine="420"/>
        <w:outlineLvl w:val="0"/>
        <w:rPr>
          <w:rFonts w:ascii="宋体" w:hAnsi="宋体" w:cs="宋体"/>
          <w:color w:val="auto"/>
          <w:sz w:val="21"/>
          <w:szCs w:val="21"/>
          <w:highlight w:val="none"/>
        </w:rPr>
      </w:pPr>
      <w:bookmarkStart w:id="507" w:name="_Toc478389127"/>
      <w:bookmarkStart w:id="508" w:name="_Toc406522158"/>
      <w:bookmarkStart w:id="509" w:name="_Toc406419283"/>
      <w:r>
        <w:rPr>
          <w:rFonts w:hint="eastAsia" w:ascii="宋体" w:hAnsi="宋体" w:cs="宋体"/>
          <w:color w:val="auto"/>
          <w:sz w:val="21"/>
          <w:szCs w:val="21"/>
          <w:highlight w:val="none"/>
        </w:rPr>
        <w:t>12.4.5 进度付款的修正</w:t>
      </w:r>
      <w:bookmarkEnd w:id="507"/>
      <w:bookmarkEnd w:id="508"/>
      <w:bookmarkEnd w:id="509"/>
    </w:p>
    <w:p w14:paraId="1731E42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14:paraId="700A999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12.4.6 支付分解表</w:t>
      </w:r>
    </w:p>
    <w:p w14:paraId="61B20AA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1.支付分解表的编制要求</w:t>
      </w:r>
    </w:p>
    <w:p w14:paraId="064F33F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（1）支付分解表中所列的每期付款金额，应为第12.4.2项〔进度付款申请单的编制〕第（1）目的估算金额；</w:t>
      </w:r>
    </w:p>
    <w:p w14:paraId="278A0E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（2）实际进度与施工进度计划不一致的，合同当事人可按照第4.4款〔商定或确定〕修改支付分解表；</w:t>
      </w:r>
    </w:p>
    <w:p w14:paraId="7658818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（3）不采用支付分解表的，承包人应向发包人和监理人提交按季度编制的支付估算分解表，用于支付参考。</w:t>
      </w:r>
    </w:p>
    <w:p w14:paraId="3C6E03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2.总价合同支付分解表的编制与审批</w:t>
      </w:r>
    </w:p>
    <w:p w14:paraId="638E7E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6C89596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（2）监理人应在收到支付分解表后7天内完成审核并报送发包人。发包人应在收到经监理人审核的支付分解表后7天内完成审批，经发包人批准的支付分解表为有约束力的支付分解表。</w:t>
      </w:r>
    </w:p>
    <w:p w14:paraId="6C37C5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（3）发包人逾期未完成支付分解表审批的，也未及时要求承包人进行修正和提供补充资料的，则承包人提交的支付分解表视为已经获得发包人批准。</w:t>
      </w:r>
    </w:p>
    <w:p w14:paraId="329018B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3.单价合同的总价项目支付分解表的编制与审批</w:t>
      </w:r>
    </w:p>
    <w:p w14:paraId="5D11AC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0A0075B0">
      <w:pPr>
        <w:keepNext/>
        <w:keepLines/>
        <w:spacing w:line="420" w:lineRule="exact"/>
        <w:ind w:firstLine="0" w:firstLineChars="0"/>
        <w:outlineLvl w:val="0"/>
        <w:rPr>
          <w:rFonts w:ascii="宋体" w:hAnsi="宋体" w:cs="宋体"/>
          <w:b/>
          <w:bCs/>
          <w:color w:val="auto"/>
          <w:kern w:val="44"/>
          <w:sz w:val="21"/>
          <w:szCs w:val="21"/>
          <w:highlight w:val="none"/>
        </w:rPr>
      </w:pPr>
      <w:bookmarkStart w:id="510" w:name="_Toc351203585"/>
      <w:bookmarkStart w:id="511" w:name="_Toc478389128"/>
      <w:r>
        <w:rPr>
          <w:rFonts w:hint="eastAsia" w:ascii="宋体" w:hAnsi="宋体" w:cs="宋体"/>
          <w:b/>
          <w:bCs/>
          <w:color w:val="auto"/>
          <w:kern w:val="44"/>
          <w:sz w:val="21"/>
          <w:szCs w:val="21"/>
          <w:highlight w:val="none"/>
        </w:rPr>
        <w:t>12.5支付账户</w:t>
      </w:r>
      <w:bookmarkEnd w:id="510"/>
      <w:bookmarkEnd w:id="511"/>
    </w:p>
    <w:p w14:paraId="4EAF93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发包人应将合同价款支付至合同协议书中约定的承包人账户。</w:t>
      </w:r>
    </w:p>
    <w:p w14:paraId="40C67937">
      <w:pPr>
        <w:keepNext/>
        <w:keepLines/>
        <w:spacing w:line="420" w:lineRule="exact"/>
        <w:ind w:firstLine="0" w:firstLineChars="0"/>
        <w:outlineLvl w:val="0"/>
        <w:rPr>
          <w:rFonts w:ascii="宋体" w:hAnsi="宋体" w:cs="宋体"/>
          <w:b/>
          <w:bCs/>
          <w:color w:val="auto"/>
          <w:kern w:val="44"/>
          <w:sz w:val="21"/>
          <w:szCs w:val="21"/>
          <w:highlight w:val="none"/>
        </w:rPr>
      </w:pPr>
      <w:bookmarkStart w:id="512" w:name="_Toc478389129"/>
      <w:bookmarkStart w:id="513" w:name="_Toc351203586"/>
      <w:bookmarkStart w:id="514" w:name="_Toc337558804"/>
      <w:bookmarkStart w:id="515" w:name="_Toc296346607"/>
      <w:bookmarkStart w:id="516" w:name="_Toc322522574"/>
      <w:bookmarkStart w:id="517" w:name="_Toc296503106"/>
      <w:r>
        <w:rPr>
          <w:rFonts w:hint="eastAsia" w:ascii="宋体" w:hAnsi="宋体" w:cs="宋体"/>
          <w:b/>
          <w:bCs/>
          <w:color w:val="auto"/>
          <w:kern w:val="44"/>
          <w:sz w:val="21"/>
          <w:szCs w:val="21"/>
          <w:highlight w:val="none"/>
        </w:rPr>
        <w:t>13. 验收和工程试车</w:t>
      </w:r>
      <w:bookmarkEnd w:id="512"/>
      <w:bookmarkEnd w:id="513"/>
    </w:p>
    <w:bookmarkEnd w:id="514"/>
    <w:bookmarkEnd w:id="515"/>
    <w:bookmarkEnd w:id="516"/>
    <w:bookmarkEnd w:id="517"/>
    <w:p w14:paraId="192506FA">
      <w:pPr>
        <w:keepNext/>
        <w:keepLines/>
        <w:spacing w:line="420" w:lineRule="exact"/>
        <w:ind w:firstLine="0" w:firstLineChars="0"/>
        <w:outlineLvl w:val="0"/>
        <w:rPr>
          <w:rFonts w:ascii="宋体" w:hAnsi="宋体" w:cs="宋体"/>
          <w:b/>
          <w:bCs/>
          <w:color w:val="auto"/>
          <w:kern w:val="44"/>
          <w:sz w:val="21"/>
          <w:szCs w:val="21"/>
          <w:highlight w:val="none"/>
        </w:rPr>
      </w:pPr>
      <w:bookmarkStart w:id="518" w:name="_Toc351203587"/>
      <w:bookmarkStart w:id="519" w:name="_Toc478389130"/>
      <w:bookmarkStart w:id="520" w:name="_Toc337558805"/>
      <w:bookmarkStart w:id="521" w:name="_Toc296346611"/>
      <w:bookmarkStart w:id="522" w:name="_Toc296503110"/>
      <w:r>
        <w:rPr>
          <w:rFonts w:hint="eastAsia" w:ascii="宋体" w:hAnsi="宋体" w:cs="宋体"/>
          <w:b/>
          <w:bCs/>
          <w:color w:val="auto"/>
          <w:kern w:val="44"/>
          <w:sz w:val="21"/>
          <w:szCs w:val="21"/>
          <w:highlight w:val="none"/>
        </w:rPr>
        <w:t>13.1分部分项工程验收</w:t>
      </w:r>
      <w:bookmarkEnd w:id="518"/>
      <w:bookmarkEnd w:id="519"/>
    </w:p>
    <w:bookmarkEnd w:id="520"/>
    <w:p w14:paraId="3C8970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13.1.1分部分项工程质量应符合国家有关工程施工验收规范、标准及合同约定，承包人应按照施工组织设计的要求完成分部分项工程施工。</w:t>
      </w:r>
    </w:p>
    <w:p w14:paraId="7F9C644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13.1.2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2DC01BE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分部分项工程的验收资料应当作为竣工资料的组成部分。</w:t>
      </w:r>
    </w:p>
    <w:p w14:paraId="3DFAA583">
      <w:pPr>
        <w:keepNext/>
        <w:keepLines/>
        <w:spacing w:line="420" w:lineRule="exact"/>
        <w:ind w:firstLine="0" w:firstLineChars="0"/>
        <w:outlineLvl w:val="0"/>
        <w:rPr>
          <w:rFonts w:ascii="宋体" w:hAnsi="宋体" w:cs="宋体"/>
          <w:b/>
          <w:bCs/>
          <w:color w:val="auto"/>
          <w:kern w:val="44"/>
          <w:sz w:val="21"/>
          <w:szCs w:val="21"/>
          <w:highlight w:val="none"/>
        </w:rPr>
      </w:pPr>
      <w:bookmarkStart w:id="523" w:name="_Toc478389131"/>
      <w:bookmarkStart w:id="524" w:name="_Toc351203588"/>
      <w:bookmarkStart w:id="525" w:name="_Toc337558806"/>
      <w:r>
        <w:rPr>
          <w:rFonts w:hint="eastAsia" w:ascii="宋体" w:hAnsi="宋体" w:cs="宋体"/>
          <w:b/>
          <w:bCs/>
          <w:color w:val="auto"/>
          <w:kern w:val="44"/>
          <w:sz w:val="21"/>
          <w:szCs w:val="21"/>
          <w:highlight w:val="none"/>
        </w:rPr>
        <w:t>13.2竣工验收</w:t>
      </w:r>
      <w:bookmarkEnd w:id="523"/>
      <w:bookmarkEnd w:id="524"/>
    </w:p>
    <w:bookmarkEnd w:id="521"/>
    <w:bookmarkEnd w:id="522"/>
    <w:bookmarkEnd w:id="525"/>
    <w:p w14:paraId="53AC6875">
      <w:pPr>
        <w:spacing w:line="420" w:lineRule="exact"/>
        <w:ind w:firstLine="420"/>
        <w:outlineLvl w:val="0"/>
        <w:rPr>
          <w:rFonts w:ascii="宋体" w:hAnsi="宋体" w:cs="宋体"/>
          <w:color w:val="auto"/>
          <w:sz w:val="21"/>
          <w:szCs w:val="21"/>
          <w:highlight w:val="none"/>
        </w:rPr>
      </w:pPr>
      <w:bookmarkStart w:id="526" w:name="_Toc406522163"/>
      <w:bookmarkStart w:id="527" w:name="_Toc478389132"/>
      <w:bookmarkStart w:id="528" w:name="_Toc406419288"/>
      <w:r>
        <w:rPr>
          <w:rFonts w:hint="eastAsia" w:ascii="宋体" w:hAnsi="宋体" w:cs="宋体"/>
          <w:color w:val="auto"/>
          <w:sz w:val="21"/>
          <w:szCs w:val="21"/>
          <w:highlight w:val="none"/>
        </w:rPr>
        <w:t>13.2.1竣工验收条件</w:t>
      </w:r>
      <w:bookmarkEnd w:id="526"/>
      <w:bookmarkEnd w:id="527"/>
      <w:bookmarkEnd w:id="528"/>
    </w:p>
    <w:p w14:paraId="1830307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工程具备以下条件的，承包人可以申请竣工验收：</w:t>
      </w:r>
    </w:p>
    <w:p w14:paraId="0BC0F9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（1）除发包人同意的甩项工作和缺陷修补工作外，合同范围内的全部工程以及有关工作，包括合同要求的试验、试运行以及检验均已完成，并符合合同要求；</w:t>
      </w:r>
    </w:p>
    <w:p w14:paraId="051EAF0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（2）已按合同约定编制了甩项工作和缺陷修补工作清单以及相应的施工计划；</w:t>
      </w:r>
    </w:p>
    <w:p w14:paraId="052C7F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（3）已按合同约定的内容和份数备齐竣工资料。</w:t>
      </w:r>
    </w:p>
    <w:p w14:paraId="173544C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13.2.2竣工验收程序</w:t>
      </w:r>
    </w:p>
    <w:p w14:paraId="719D36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除专用合同条款另有约定外，承包人申请竣工验收的，应当按照以下程序进行：</w:t>
      </w:r>
    </w:p>
    <w:p w14:paraId="374C378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1FA32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66C21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（3）竣工验收合格的，发包人应在验收合格后14天内向承包人签发工程接收证书。发包人无正当理由逾期不颁发工程接收证书的，自验收合格后第15天起视为已颁发工程接收证书。</w:t>
      </w:r>
    </w:p>
    <w:p w14:paraId="2D3D2A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E951A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92BD5C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01B40E3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13.2.3竣工日期</w:t>
      </w:r>
    </w:p>
    <w:p w14:paraId="73929AF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529" w:name="#go14"/>
      <w:bookmarkEnd w:id="529"/>
      <w:r>
        <w:rPr>
          <w:rFonts w:hint="eastAsia" w:ascii="宋体" w:hAnsi="宋体" w:cs="宋体"/>
          <w:color w:val="auto"/>
          <w:sz w:val="21"/>
          <w:szCs w:val="21"/>
          <w:highlight w:val="none"/>
        </w:rPr>
        <w:t>收申请报告的日期为实际竣工日期；工程未经竣工验收，发包人擅自使用的，以转移占有工程之日为实际竣工日期。</w:t>
      </w:r>
    </w:p>
    <w:p w14:paraId="5A50C68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13.2.4 拒绝接收全部或部分工程</w:t>
      </w:r>
    </w:p>
    <w:p w14:paraId="67DD52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30B1206E">
      <w:pPr>
        <w:spacing w:line="420" w:lineRule="exact"/>
        <w:ind w:firstLine="420"/>
        <w:outlineLvl w:val="0"/>
        <w:rPr>
          <w:rFonts w:ascii="宋体" w:hAnsi="宋体" w:cs="宋体"/>
          <w:color w:val="auto"/>
          <w:sz w:val="21"/>
          <w:szCs w:val="21"/>
          <w:highlight w:val="none"/>
        </w:rPr>
      </w:pPr>
      <w:bookmarkStart w:id="530" w:name="_Toc406419289"/>
      <w:bookmarkStart w:id="531" w:name="_Toc406522164"/>
      <w:bookmarkStart w:id="532" w:name="_Toc478389133"/>
      <w:r>
        <w:rPr>
          <w:rFonts w:hint="eastAsia" w:ascii="宋体" w:hAnsi="宋体" w:cs="宋体"/>
          <w:color w:val="auto"/>
          <w:sz w:val="21"/>
          <w:szCs w:val="21"/>
          <w:highlight w:val="none"/>
        </w:rPr>
        <w:t>13.2.5 移交、接收全部与部分工程</w:t>
      </w:r>
      <w:bookmarkEnd w:id="530"/>
      <w:bookmarkEnd w:id="531"/>
      <w:bookmarkEnd w:id="532"/>
    </w:p>
    <w:p w14:paraId="1635F235">
      <w:pPr>
        <w:spacing w:line="420" w:lineRule="exact"/>
        <w:ind w:firstLine="404"/>
        <w:rPr>
          <w:rFonts w:ascii="宋体" w:hAnsi="宋体" w:cs="宋体"/>
          <w:color w:val="auto"/>
          <w:spacing w:val="-4"/>
          <w:sz w:val="21"/>
          <w:szCs w:val="21"/>
          <w:highlight w:val="none"/>
        </w:rPr>
      </w:pPr>
      <w:r>
        <w:rPr>
          <w:rFonts w:hint="eastAsia" w:ascii="宋体" w:hAnsi="宋体" w:cs="宋体"/>
          <w:color w:val="auto"/>
          <w:spacing w:val="-4"/>
          <w:sz w:val="21"/>
          <w:szCs w:val="21"/>
          <w:highlight w:val="none"/>
        </w:rPr>
        <w:t>除专用合同条款另有约定外，合同当事人应当在颁发工程接收证书后7天内完成工程的移交。</w:t>
      </w:r>
    </w:p>
    <w:p w14:paraId="2E99915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546A09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02EB26E0">
      <w:pPr>
        <w:keepNext/>
        <w:keepLines/>
        <w:spacing w:line="420" w:lineRule="exact"/>
        <w:ind w:firstLine="0" w:firstLineChars="0"/>
        <w:outlineLvl w:val="0"/>
        <w:rPr>
          <w:rFonts w:ascii="宋体" w:hAnsi="宋体" w:cs="宋体"/>
          <w:b/>
          <w:bCs/>
          <w:color w:val="auto"/>
          <w:kern w:val="44"/>
          <w:sz w:val="21"/>
          <w:szCs w:val="21"/>
          <w:highlight w:val="none"/>
        </w:rPr>
      </w:pPr>
      <w:bookmarkStart w:id="533" w:name="_Toc351203589"/>
      <w:bookmarkStart w:id="534" w:name="_Toc478389134"/>
      <w:bookmarkStart w:id="535" w:name="_Toc337558807"/>
      <w:bookmarkStart w:id="536" w:name="_Toc296346612"/>
      <w:bookmarkStart w:id="537" w:name="_Toc296503111"/>
      <w:r>
        <w:rPr>
          <w:rFonts w:hint="eastAsia" w:ascii="宋体" w:hAnsi="宋体" w:cs="宋体"/>
          <w:b/>
          <w:bCs/>
          <w:color w:val="auto"/>
          <w:kern w:val="44"/>
          <w:sz w:val="21"/>
          <w:szCs w:val="21"/>
          <w:highlight w:val="none"/>
        </w:rPr>
        <w:t>13.3工程试车</w:t>
      </w:r>
      <w:bookmarkEnd w:id="533"/>
      <w:bookmarkEnd w:id="534"/>
    </w:p>
    <w:bookmarkEnd w:id="535"/>
    <w:bookmarkEnd w:id="536"/>
    <w:bookmarkEnd w:id="537"/>
    <w:p w14:paraId="123F14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13.3.1试车程序</w:t>
      </w:r>
    </w:p>
    <w:p w14:paraId="18FC844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工程需要试车的，除专用合同条款另有约定外，试车内容应与承包人承包范围相一致，试车费用由承包人承担。工程试车应按如下程序进行：</w:t>
      </w:r>
    </w:p>
    <w:p w14:paraId="2A6BA8D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7F39A63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1AA3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（2）具备无负荷联动试车条件，发包人组织试车，并在试车前48小时以书面形式通知承包人。通知中应载明试车内容、时间、地点和对承包人的要求，承包人按要求做好准备工作。</w:t>
      </w:r>
      <w:r>
        <w:rPr>
          <w:rFonts w:hint="eastAsia" w:ascii="宋体" w:hAnsi="宋体" w:cs="宋体"/>
          <w:color w:val="auto"/>
          <w:spacing w:val="-4"/>
          <w:sz w:val="21"/>
          <w:szCs w:val="21"/>
          <w:highlight w:val="none"/>
        </w:rPr>
        <w:t>试车合格，合同当事人在试车记录上签字。承包人无正当理由不参加试车的，视为认可试车记录。</w:t>
      </w:r>
    </w:p>
    <w:p w14:paraId="5A45E9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13.3.2 试车中的责任</w:t>
      </w:r>
    </w:p>
    <w:p w14:paraId="471608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35691C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1B24934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13.3.3 投料试车</w:t>
      </w:r>
    </w:p>
    <w:p w14:paraId="653400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如需进行投料试车的，发包人应在工程竣工验收后组织投料试车。发包人要求在工程竣工验收前进行或需要承包人配合时，应征得承包人同意，并在专用合同条款中约定有关事项。</w:t>
      </w:r>
    </w:p>
    <w:p w14:paraId="170E021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0F742B78">
      <w:pPr>
        <w:keepNext/>
        <w:keepLines/>
        <w:spacing w:line="420" w:lineRule="exact"/>
        <w:ind w:firstLine="0" w:firstLineChars="0"/>
        <w:outlineLvl w:val="0"/>
        <w:rPr>
          <w:rFonts w:ascii="宋体" w:hAnsi="宋体" w:cs="宋体"/>
          <w:b/>
          <w:bCs/>
          <w:color w:val="auto"/>
          <w:kern w:val="44"/>
          <w:sz w:val="21"/>
          <w:szCs w:val="21"/>
          <w:highlight w:val="none"/>
        </w:rPr>
      </w:pPr>
      <w:bookmarkStart w:id="538" w:name="_Toc478389135"/>
      <w:bookmarkStart w:id="539" w:name="_Toc351203590"/>
      <w:bookmarkStart w:id="540" w:name="_Toc337558808"/>
      <w:r>
        <w:rPr>
          <w:rFonts w:hint="eastAsia" w:ascii="宋体" w:hAnsi="宋体" w:cs="宋体"/>
          <w:b/>
          <w:bCs/>
          <w:color w:val="auto"/>
          <w:kern w:val="44"/>
          <w:sz w:val="21"/>
          <w:szCs w:val="21"/>
          <w:highlight w:val="none"/>
        </w:rPr>
        <w:t>13.4提前交付单位工程的验收</w:t>
      </w:r>
      <w:bookmarkEnd w:id="538"/>
      <w:bookmarkEnd w:id="539"/>
    </w:p>
    <w:bookmarkEnd w:id="540"/>
    <w:p w14:paraId="76B443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13.4.1 发包人需要在工程竣工前使用单位工程的，或承包人提出提前交付已经竣工的单位工程且经发包人同意的，可进行单位工程验收，验收的程序按照第13.2款〔竣工验收〕的约定进行。</w:t>
      </w:r>
    </w:p>
    <w:p w14:paraId="7C944C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603BA4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13.4.2 发包人要求在工程竣工前交付单位工程，由此导致承包人费用增加和（或）工期延误的，由发包人承担由此增加的费用和（或）延误的工期，并支付承包人合理的利润。</w:t>
      </w:r>
    </w:p>
    <w:p w14:paraId="6B1A25B6">
      <w:pPr>
        <w:keepNext/>
        <w:keepLines/>
        <w:spacing w:line="420" w:lineRule="exact"/>
        <w:ind w:firstLine="0" w:firstLineChars="0"/>
        <w:outlineLvl w:val="0"/>
        <w:rPr>
          <w:rFonts w:ascii="宋体" w:hAnsi="宋体" w:cs="宋体"/>
          <w:b/>
          <w:bCs/>
          <w:color w:val="auto"/>
          <w:kern w:val="44"/>
          <w:sz w:val="21"/>
          <w:szCs w:val="21"/>
          <w:highlight w:val="none"/>
        </w:rPr>
      </w:pPr>
      <w:bookmarkStart w:id="541" w:name="_Toc478389136"/>
      <w:bookmarkStart w:id="542" w:name="_Toc351203591"/>
      <w:r>
        <w:rPr>
          <w:rFonts w:hint="eastAsia" w:ascii="宋体" w:hAnsi="宋体" w:cs="宋体"/>
          <w:b/>
          <w:bCs/>
          <w:color w:val="auto"/>
          <w:kern w:val="44"/>
          <w:sz w:val="21"/>
          <w:szCs w:val="21"/>
          <w:highlight w:val="none"/>
        </w:rPr>
        <w:t>13.5 施工期运行</w:t>
      </w:r>
      <w:bookmarkEnd w:id="541"/>
      <w:bookmarkEnd w:id="542"/>
    </w:p>
    <w:p w14:paraId="6525A2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13.5.1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6FE5D9E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13.5.2在施工期运行中发现工程或工程设备损坏或存在缺陷的，由承包人按第15.2款〔缺陷责任期〕约定进行修复。</w:t>
      </w:r>
    </w:p>
    <w:p w14:paraId="5FE5D9D8">
      <w:pPr>
        <w:keepNext/>
        <w:keepLines/>
        <w:spacing w:line="420" w:lineRule="exact"/>
        <w:ind w:firstLine="0" w:firstLineChars="0"/>
        <w:outlineLvl w:val="0"/>
        <w:rPr>
          <w:rFonts w:ascii="宋体" w:hAnsi="宋体" w:cs="宋体"/>
          <w:b/>
          <w:bCs/>
          <w:color w:val="auto"/>
          <w:kern w:val="44"/>
          <w:sz w:val="21"/>
          <w:szCs w:val="21"/>
          <w:highlight w:val="none"/>
        </w:rPr>
      </w:pPr>
      <w:bookmarkStart w:id="543" w:name="_Toc296503112"/>
      <w:bookmarkStart w:id="544" w:name="_Toc296346613"/>
      <w:bookmarkStart w:id="545" w:name="_Toc478389137"/>
      <w:bookmarkStart w:id="546" w:name="_Toc351203592"/>
      <w:bookmarkStart w:id="547" w:name="_Toc337558809"/>
      <w:r>
        <w:rPr>
          <w:rFonts w:hint="eastAsia" w:ascii="宋体" w:hAnsi="宋体" w:cs="宋体"/>
          <w:b/>
          <w:bCs/>
          <w:color w:val="auto"/>
          <w:kern w:val="44"/>
          <w:sz w:val="21"/>
          <w:szCs w:val="21"/>
          <w:highlight w:val="none"/>
        </w:rPr>
        <w:t>13.6 竣工退</w:t>
      </w:r>
      <w:bookmarkEnd w:id="543"/>
      <w:bookmarkEnd w:id="544"/>
      <w:r>
        <w:rPr>
          <w:rFonts w:hint="eastAsia" w:ascii="宋体" w:hAnsi="宋体" w:cs="宋体"/>
          <w:b/>
          <w:bCs/>
          <w:color w:val="auto"/>
          <w:kern w:val="44"/>
          <w:sz w:val="21"/>
          <w:szCs w:val="21"/>
          <w:highlight w:val="none"/>
        </w:rPr>
        <w:t>场</w:t>
      </w:r>
      <w:bookmarkEnd w:id="545"/>
      <w:bookmarkEnd w:id="546"/>
    </w:p>
    <w:bookmarkEnd w:id="547"/>
    <w:p w14:paraId="0FE32C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13.6.1 竣工退场</w:t>
      </w:r>
    </w:p>
    <w:p w14:paraId="1939AB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颁发工程接收证书后，承包人应按以下要求对施工现场进行清理：</w:t>
      </w:r>
    </w:p>
    <w:p w14:paraId="54640CF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（1）施工现场内残留的垃圾已全部清除出场；</w:t>
      </w:r>
    </w:p>
    <w:p w14:paraId="1D52CB4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（2）临时工程已拆除，场地已进行清理、平整或复原；</w:t>
      </w:r>
    </w:p>
    <w:p w14:paraId="0C4E4C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（3）按合同约定应撤离的人员、承包人施工设备和剩余的材料，包括废弃的施工设备和材料，已按计划撤离施工现场；</w:t>
      </w:r>
    </w:p>
    <w:p w14:paraId="32CD0FD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（4）施工现场周边及其附近道路、河道的施工堆积物，已全部清理；</w:t>
      </w:r>
    </w:p>
    <w:p w14:paraId="7FE5C5D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（5）施工现场其他场地清理工作已全部完成。</w:t>
      </w:r>
    </w:p>
    <w:p w14:paraId="2CE3599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28F0CE3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13.6.2 地表还原</w:t>
      </w:r>
    </w:p>
    <w:p w14:paraId="392333E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168BC3D2">
      <w:pPr>
        <w:keepNext/>
        <w:keepLines/>
        <w:spacing w:line="420" w:lineRule="exact"/>
        <w:ind w:firstLine="0" w:firstLineChars="0"/>
        <w:outlineLvl w:val="0"/>
        <w:rPr>
          <w:rFonts w:ascii="宋体" w:hAnsi="宋体" w:cs="宋体"/>
          <w:b/>
          <w:bCs/>
          <w:color w:val="auto"/>
          <w:kern w:val="44"/>
          <w:sz w:val="21"/>
          <w:szCs w:val="21"/>
          <w:highlight w:val="none"/>
        </w:rPr>
      </w:pPr>
      <w:bookmarkStart w:id="548" w:name="_Toc351203593"/>
      <w:bookmarkStart w:id="549" w:name="_Toc478389138"/>
      <w:bookmarkStart w:id="550" w:name="_Toc337558810"/>
      <w:bookmarkStart w:id="551" w:name="_Toc296346614"/>
      <w:bookmarkStart w:id="552" w:name="_Toc296503113"/>
      <w:r>
        <w:rPr>
          <w:rFonts w:hint="eastAsia" w:ascii="宋体" w:hAnsi="宋体" w:cs="宋体"/>
          <w:b/>
          <w:bCs/>
          <w:color w:val="auto"/>
          <w:kern w:val="44"/>
          <w:sz w:val="21"/>
          <w:szCs w:val="21"/>
          <w:highlight w:val="none"/>
        </w:rPr>
        <w:t>14. 竣工结算</w:t>
      </w:r>
      <w:bookmarkEnd w:id="548"/>
      <w:bookmarkEnd w:id="549"/>
    </w:p>
    <w:bookmarkEnd w:id="550"/>
    <w:p w14:paraId="0AE41606">
      <w:pPr>
        <w:keepNext/>
        <w:keepLines/>
        <w:spacing w:line="420" w:lineRule="exact"/>
        <w:ind w:firstLine="0" w:firstLineChars="0"/>
        <w:outlineLvl w:val="0"/>
        <w:rPr>
          <w:rFonts w:ascii="宋体" w:hAnsi="宋体" w:cs="宋体"/>
          <w:b/>
          <w:bCs/>
          <w:color w:val="auto"/>
          <w:kern w:val="44"/>
          <w:sz w:val="21"/>
          <w:szCs w:val="21"/>
          <w:highlight w:val="none"/>
        </w:rPr>
      </w:pPr>
      <w:bookmarkStart w:id="553" w:name="_Toc478389139"/>
      <w:bookmarkStart w:id="554" w:name="_Toc351203594"/>
      <w:bookmarkStart w:id="555" w:name="_Toc337558811"/>
      <w:r>
        <w:rPr>
          <w:rFonts w:hint="eastAsia" w:ascii="宋体" w:hAnsi="宋体" w:cs="宋体"/>
          <w:b/>
          <w:bCs/>
          <w:color w:val="auto"/>
          <w:kern w:val="44"/>
          <w:sz w:val="21"/>
          <w:szCs w:val="21"/>
          <w:highlight w:val="none"/>
        </w:rPr>
        <w:t>14.1 竣工结算申请</w:t>
      </w:r>
      <w:bookmarkEnd w:id="553"/>
      <w:bookmarkEnd w:id="554"/>
    </w:p>
    <w:bookmarkEnd w:id="555"/>
    <w:p w14:paraId="6B2DA9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14:paraId="51D1BA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除专用合同条款另有约定外，竣工结算申请单应包括以下内容：</w:t>
      </w:r>
    </w:p>
    <w:p w14:paraId="75F2ED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（1）竣工结算合同价格；</w:t>
      </w:r>
    </w:p>
    <w:p w14:paraId="0395624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（2）发包人已支付承包人的款项；</w:t>
      </w:r>
    </w:p>
    <w:p w14:paraId="14E8735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（3）应扣留的质量保证金； </w:t>
      </w:r>
    </w:p>
    <w:p w14:paraId="349DD53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（4）发包人应支付承包人的合同价款。</w:t>
      </w:r>
    </w:p>
    <w:p w14:paraId="2609FF3E">
      <w:pPr>
        <w:keepNext/>
        <w:keepLines/>
        <w:spacing w:line="420" w:lineRule="exact"/>
        <w:ind w:firstLine="0" w:firstLineChars="0"/>
        <w:outlineLvl w:val="0"/>
        <w:rPr>
          <w:rFonts w:ascii="宋体" w:hAnsi="宋体" w:cs="宋体"/>
          <w:b/>
          <w:bCs/>
          <w:color w:val="auto"/>
          <w:kern w:val="44"/>
          <w:sz w:val="21"/>
          <w:szCs w:val="21"/>
          <w:highlight w:val="none"/>
        </w:rPr>
      </w:pPr>
      <w:bookmarkStart w:id="556" w:name="_Toc351203595"/>
      <w:bookmarkStart w:id="557" w:name="_Toc478389140"/>
      <w:bookmarkStart w:id="558" w:name="_Toc337558812"/>
      <w:r>
        <w:rPr>
          <w:rFonts w:hint="eastAsia" w:ascii="宋体" w:hAnsi="宋体" w:cs="宋体"/>
          <w:b/>
          <w:bCs/>
          <w:color w:val="auto"/>
          <w:kern w:val="44"/>
          <w:sz w:val="21"/>
          <w:szCs w:val="21"/>
          <w:highlight w:val="none"/>
        </w:rPr>
        <w:t>14.2 竣工结算审核</w:t>
      </w:r>
      <w:bookmarkEnd w:id="556"/>
      <w:bookmarkEnd w:id="557"/>
    </w:p>
    <w:bookmarkEnd w:id="558"/>
    <w:p w14:paraId="6891B9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14:paraId="399783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04A0B37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2411B4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5637E593">
      <w:pPr>
        <w:keepNext/>
        <w:keepLines/>
        <w:spacing w:line="420" w:lineRule="exact"/>
        <w:ind w:firstLine="0" w:firstLineChars="0"/>
        <w:outlineLvl w:val="0"/>
        <w:rPr>
          <w:rFonts w:ascii="宋体" w:hAnsi="宋体" w:cs="宋体"/>
          <w:b/>
          <w:bCs/>
          <w:color w:val="auto"/>
          <w:kern w:val="44"/>
          <w:sz w:val="21"/>
          <w:szCs w:val="21"/>
          <w:highlight w:val="none"/>
        </w:rPr>
      </w:pPr>
      <w:bookmarkStart w:id="559" w:name="_Toc478389141"/>
      <w:bookmarkStart w:id="560" w:name="_Toc351203596"/>
      <w:bookmarkStart w:id="561" w:name="_Toc337558813"/>
      <w:r>
        <w:rPr>
          <w:rFonts w:hint="eastAsia" w:ascii="宋体" w:hAnsi="宋体" w:cs="宋体"/>
          <w:b/>
          <w:bCs/>
          <w:color w:val="auto"/>
          <w:kern w:val="44"/>
          <w:sz w:val="21"/>
          <w:szCs w:val="21"/>
          <w:highlight w:val="none"/>
        </w:rPr>
        <w:t>14.3 甩项竣工协议</w:t>
      </w:r>
      <w:bookmarkEnd w:id="559"/>
      <w:bookmarkEnd w:id="560"/>
    </w:p>
    <w:bookmarkEnd w:id="561"/>
    <w:p w14:paraId="396F09D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73D9B4AD">
      <w:pPr>
        <w:keepNext/>
        <w:keepLines/>
        <w:spacing w:line="420" w:lineRule="exact"/>
        <w:ind w:firstLine="0" w:firstLineChars="0"/>
        <w:outlineLvl w:val="0"/>
        <w:rPr>
          <w:rFonts w:ascii="宋体" w:hAnsi="宋体" w:cs="宋体"/>
          <w:b/>
          <w:bCs/>
          <w:color w:val="auto"/>
          <w:kern w:val="44"/>
          <w:sz w:val="21"/>
          <w:szCs w:val="21"/>
          <w:highlight w:val="none"/>
        </w:rPr>
      </w:pPr>
      <w:bookmarkStart w:id="562" w:name="_Toc478389142"/>
      <w:bookmarkStart w:id="563" w:name="_Toc351203597"/>
      <w:bookmarkStart w:id="564" w:name="_Toc337558814"/>
      <w:r>
        <w:rPr>
          <w:rFonts w:hint="eastAsia" w:ascii="宋体" w:hAnsi="宋体" w:cs="宋体"/>
          <w:b/>
          <w:bCs/>
          <w:color w:val="auto"/>
          <w:kern w:val="44"/>
          <w:sz w:val="21"/>
          <w:szCs w:val="21"/>
          <w:highlight w:val="none"/>
        </w:rPr>
        <w:t>14.4 最终结清</w:t>
      </w:r>
      <w:bookmarkEnd w:id="562"/>
      <w:bookmarkEnd w:id="563"/>
    </w:p>
    <w:bookmarkEnd w:id="564"/>
    <w:p w14:paraId="01F551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14.4.1 最终结清申请单</w:t>
      </w:r>
    </w:p>
    <w:p w14:paraId="3B4FF0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（1）除专用合同条款另有约定外，承包人应在缺陷责任期终止证书颁发后7天内，按专用合同条款约定的份数向发包人提交最终结清申请单，并提供相关证明材料。</w:t>
      </w:r>
    </w:p>
    <w:p w14:paraId="04BDCB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除专用合同条款另有约定外，最终结清申请单应列明质量保证金、应扣除的质量保证金、缺陷责任期内发生的增减费用。</w:t>
      </w:r>
    </w:p>
    <w:p w14:paraId="00429B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（2）发包人对最终结清申请单内容有异议的，有权要求承包人进行修正和提供补充资料，承包人应向发包人提交修正后的最终结清申请单。</w:t>
      </w:r>
    </w:p>
    <w:p w14:paraId="165EE78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14.4.2 最终结清证书和支付</w:t>
      </w:r>
    </w:p>
    <w:p w14:paraId="51E3FA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21D83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14DCD5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（3）承包人对发包人颁发的最终结清证书有异议的，按第20条〔争议解决〕的约定办理。</w:t>
      </w:r>
    </w:p>
    <w:p w14:paraId="10CC2149">
      <w:pPr>
        <w:keepNext/>
        <w:keepLines/>
        <w:spacing w:line="420" w:lineRule="exact"/>
        <w:ind w:firstLine="0" w:firstLineChars="0"/>
        <w:outlineLvl w:val="0"/>
        <w:rPr>
          <w:rFonts w:ascii="宋体" w:hAnsi="宋体" w:cs="宋体"/>
          <w:b/>
          <w:bCs/>
          <w:color w:val="auto"/>
          <w:kern w:val="44"/>
          <w:sz w:val="21"/>
          <w:szCs w:val="21"/>
          <w:highlight w:val="none"/>
        </w:rPr>
      </w:pPr>
      <w:bookmarkStart w:id="565" w:name="_Toc478389143"/>
      <w:bookmarkStart w:id="566" w:name="_Toc351203598"/>
      <w:bookmarkStart w:id="567" w:name="_Toc337558815"/>
      <w:r>
        <w:rPr>
          <w:rFonts w:hint="eastAsia" w:ascii="宋体" w:hAnsi="宋体" w:cs="宋体"/>
          <w:b/>
          <w:bCs/>
          <w:color w:val="auto"/>
          <w:kern w:val="44"/>
          <w:sz w:val="21"/>
          <w:szCs w:val="21"/>
          <w:highlight w:val="none"/>
        </w:rPr>
        <w:t>15. 缺陷责任与保修</w:t>
      </w:r>
      <w:bookmarkEnd w:id="565"/>
      <w:bookmarkEnd w:id="566"/>
    </w:p>
    <w:bookmarkEnd w:id="551"/>
    <w:bookmarkEnd w:id="552"/>
    <w:bookmarkEnd w:id="567"/>
    <w:p w14:paraId="02259F5A">
      <w:pPr>
        <w:keepNext/>
        <w:keepLines/>
        <w:spacing w:line="420" w:lineRule="exact"/>
        <w:ind w:firstLine="0" w:firstLineChars="0"/>
        <w:outlineLvl w:val="0"/>
        <w:rPr>
          <w:rFonts w:ascii="宋体" w:hAnsi="宋体" w:cs="宋体"/>
          <w:b/>
          <w:bCs/>
          <w:color w:val="auto"/>
          <w:kern w:val="44"/>
          <w:sz w:val="21"/>
          <w:szCs w:val="21"/>
          <w:highlight w:val="none"/>
        </w:rPr>
      </w:pPr>
      <w:bookmarkStart w:id="568" w:name="_Toc351203599"/>
      <w:bookmarkStart w:id="569" w:name="_Toc478389144"/>
      <w:bookmarkStart w:id="570" w:name="_Toc337558816"/>
      <w:bookmarkStart w:id="571" w:name="_Toc296346615"/>
      <w:bookmarkStart w:id="572" w:name="_Toc296503114"/>
      <w:r>
        <w:rPr>
          <w:rFonts w:hint="eastAsia" w:ascii="宋体" w:hAnsi="宋体" w:cs="宋体"/>
          <w:b/>
          <w:bCs/>
          <w:color w:val="auto"/>
          <w:kern w:val="44"/>
          <w:sz w:val="21"/>
          <w:szCs w:val="21"/>
          <w:highlight w:val="none"/>
        </w:rPr>
        <w:t>15.1 工程保修的原则</w:t>
      </w:r>
      <w:bookmarkEnd w:id="568"/>
      <w:bookmarkEnd w:id="569"/>
    </w:p>
    <w:bookmarkEnd w:id="570"/>
    <w:p w14:paraId="785EEB2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在工程移交发包人后，因承包人原因产生的质量缺陷，承包人应承担质量缺陷责任和保修义务。缺陷责任期届满，承包人仍应按合同约定的工程各部位保修年限承担保修义务。</w:t>
      </w:r>
    </w:p>
    <w:p w14:paraId="6C701E7E">
      <w:pPr>
        <w:keepNext/>
        <w:keepLines/>
        <w:spacing w:line="420" w:lineRule="exact"/>
        <w:ind w:firstLine="0" w:firstLineChars="0"/>
        <w:outlineLvl w:val="0"/>
        <w:rPr>
          <w:rFonts w:ascii="宋体" w:hAnsi="宋体" w:cs="宋体"/>
          <w:b/>
          <w:bCs/>
          <w:color w:val="auto"/>
          <w:kern w:val="44"/>
          <w:sz w:val="21"/>
          <w:szCs w:val="21"/>
          <w:highlight w:val="none"/>
        </w:rPr>
      </w:pPr>
      <w:bookmarkStart w:id="573" w:name="_Toc351203600"/>
      <w:bookmarkStart w:id="574" w:name="_Toc478389145"/>
      <w:bookmarkStart w:id="575" w:name="_Toc337558817"/>
      <w:r>
        <w:rPr>
          <w:rFonts w:hint="eastAsia" w:ascii="宋体" w:hAnsi="宋体" w:cs="宋体"/>
          <w:b/>
          <w:bCs/>
          <w:color w:val="auto"/>
          <w:kern w:val="44"/>
          <w:sz w:val="21"/>
          <w:szCs w:val="21"/>
          <w:highlight w:val="none"/>
        </w:rPr>
        <w:t>15.2 缺陷责任期</w:t>
      </w:r>
      <w:bookmarkEnd w:id="571"/>
      <w:bookmarkEnd w:id="572"/>
      <w:bookmarkEnd w:id="573"/>
      <w:bookmarkEnd w:id="574"/>
    </w:p>
    <w:bookmarkEnd w:id="575"/>
    <w:p w14:paraId="244ECB2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15.2.1缺陷责任期自实际竣工日期起计算，合同当事人应在专用合同条</w:t>
      </w:r>
      <w:r>
        <w:rPr>
          <w:rFonts w:hint="eastAsia" w:ascii="宋体" w:hAnsi="宋体" w:cs="宋体"/>
          <w:color w:val="auto"/>
          <w:sz w:val="21"/>
          <w:szCs w:val="21"/>
          <w:highlight w:val="none"/>
          <w:lang w:eastAsia="zh-CN"/>
        </w:rPr>
        <w:t>款中</w:t>
      </w:r>
      <w:r>
        <w:rPr>
          <w:rFonts w:hint="eastAsia" w:ascii="宋体" w:hAnsi="宋体" w:cs="宋体"/>
          <w:color w:val="auto"/>
          <w:sz w:val="21"/>
          <w:szCs w:val="21"/>
          <w:highlight w:val="none"/>
        </w:rPr>
        <w:t>约定缺陷责任期的具体期限。</w:t>
      </w:r>
    </w:p>
    <w:p w14:paraId="7DD34E2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开始计算；发包人未经竣工验收擅自使用工程的，缺陷责任期自工程转移占有之日起开始计算。</w:t>
      </w:r>
    </w:p>
    <w:p w14:paraId="2E69617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15.2.2工程竣工验收合格后，因承包人原因导致的缺陷或损坏致使工程、单位工程或某项主要设备不能按原定目的使用的，则发包人有权要求承</w:t>
      </w:r>
      <w:r>
        <w:rPr>
          <w:rFonts w:hint="eastAsia" w:ascii="宋体" w:hAnsi="宋体" w:cs="宋体"/>
          <w:bCs/>
          <w:color w:val="auto"/>
          <w:sz w:val="21"/>
          <w:szCs w:val="21"/>
          <w:highlight w:val="none"/>
        </w:rPr>
        <w:t>包人延长缺陷责任期，</w:t>
      </w:r>
      <w:r>
        <w:rPr>
          <w:rFonts w:hint="eastAsia" w:ascii="宋体" w:hAnsi="宋体" w:cs="宋体"/>
          <w:color w:val="auto"/>
          <w:sz w:val="21"/>
          <w:szCs w:val="21"/>
          <w:highlight w:val="none"/>
        </w:rPr>
        <w:t>并应在原缺陷责任期届满前发出延长通知。</w:t>
      </w:r>
    </w:p>
    <w:p w14:paraId="1BCC05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15.2.3任何一项缺陷或损坏修复后，经检查证明其影响了工程或工程设备的使用性能，承包人应重新进行合同约定的试验和试运行，试验和试运行的全部费用应由责任方承担。</w:t>
      </w:r>
    </w:p>
    <w:p w14:paraId="7D0ACD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227A80E4">
      <w:pPr>
        <w:keepNext/>
        <w:keepLines/>
        <w:spacing w:line="420" w:lineRule="exact"/>
        <w:ind w:firstLine="0" w:firstLineChars="0"/>
        <w:outlineLvl w:val="0"/>
        <w:rPr>
          <w:rFonts w:ascii="宋体" w:hAnsi="宋体" w:cs="宋体"/>
          <w:b/>
          <w:bCs/>
          <w:color w:val="auto"/>
          <w:kern w:val="44"/>
          <w:sz w:val="21"/>
          <w:szCs w:val="21"/>
          <w:highlight w:val="none"/>
        </w:rPr>
      </w:pPr>
      <w:bookmarkStart w:id="576" w:name="_Toc351203601"/>
      <w:bookmarkStart w:id="577" w:name="_Toc478389146"/>
      <w:bookmarkStart w:id="578" w:name="_Toc337558818"/>
      <w:bookmarkStart w:id="579" w:name="_Toc296346616"/>
      <w:bookmarkStart w:id="580" w:name="_Toc296503115"/>
      <w:r>
        <w:rPr>
          <w:rFonts w:hint="eastAsia" w:ascii="宋体" w:hAnsi="宋体" w:cs="宋体"/>
          <w:b/>
          <w:bCs/>
          <w:color w:val="auto"/>
          <w:kern w:val="44"/>
          <w:sz w:val="21"/>
          <w:szCs w:val="21"/>
          <w:highlight w:val="none"/>
        </w:rPr>
        <w:t>15.3 质量保证金</w:t>
      </w:r>
      <w:bookmarkEnd w:id="576"/>
      <w:bookmarkEnd w:id="577"/>
    </w:p>
    <w:bookmarkEnd w:id="578"/>
    <w:p w14:paraId="50AF79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经合同当事人协商一致扣留质量保证金的，应在专用合同条款中予以明确。</w:t>
      </w:r>
    </w:p>
    <w:p w14:paraId="76C6B9B5">
      <w:pPr>
        <w:spacing w:line="420" w:lineRule="exact"/>
        <w:ind w:firstLine="420"/>
        <w:outlineLvl w:val="0"/>
        <w:rPr>
          <w:rFonts w:ascii="宋体" w:hAnsi="宋体" w:cs="宋体"/>
          <w:color w:val="auto"/>
          <w:sz w:val="21"/>
          <w:szCs w:val="21"/>
          <w:highlight w:val="none"/>
        </w:rPr>
      </w:pPr>
      <w:bookmarkStart w:id="581" w:name="_Toc478389147"/>
      <w:bookmarkStart w:id="582" w:name="_Toc406419303"/>
      <w:bookmarkStart w:id="583" w:name="_Toc406522178"/>
      <w:r>
        <w:rPr>
          <w:rFonts w:hint="eastAsia" w:ascii="宋体" w:hAnsi="宋体" w:cs="宋体"/>
          <w:color w:val="auto"/>
          <w:sz w:val="21"/>
          <w:szCs w:val="21"/>
          <w:highlight w:val="none"/>
        </w:rPr>
        <w:t>15.3.1 承包人提供质量保证金的方式</w:t>
      </w:r>
      <w:bookmarkEnd w:id="581"/>
      <w:bookmarkEnd w:id="582"/>
      <w:bookmarkEnd w:id="583"/>
    </w:p>
    <w:p w14:paraId="40CF42F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承包人提供质量保证金有以下三种方式：</w:t>
      </w:r>
    </w:p>
    <w:p w14:paraId="6A492BC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（1）质量保证金保函； </w:t>
      </w:r>
    </w:p>
    <w:p w14:paraId="1421BC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（2）相应比例的工程款；</w:t>
      </w:r>
    </w:p>
    <w:p w14:paraId="6D43859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（3）双方约定的其他方式。</w:t>
      </w:r>
    </w:p>
    <w:p w14:paraId="5269A55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除专用合同条款另有约定外，质量保证金原则上采用上述第（1）种方式。</w:t>
      </w:r>
    </w:p>
    <w:p w14:paraId="39F9A5A5">
      <w:pPr>
        <w:spacing w:line="420" w:lineRule="exact"/>
        <w:ind w:firstLine="420"/>
        <w:outlineLvl w:val="0"/>
        <w:rPr>
          <w:rFonts w:ascii="宋体" w:hAnsi="宋体" w:cs="宋体"/>
          <w:color w:val="auto"/>
          <w:sz w:val="21"/>
          <w:szCs w:val="21"/>
          <w:highlight w:val="none"/>
        </w:rPr>
      </w:pPr>
      <w:bookmarkStart w:id="584" w:name="_Toc406522179"/>
      <w:bookmarkStart w:id="585" w:name="_Toc478389148"/>
      <w:bookmarkStart w:id="586" w:name="_Toc406419304"/>
      <w:r>
        <w:rPr>
          <w:rFonts w:hint="eastAsia" w:ascii="宋体" w:hAnsi="宋体" w:cs="宋体"/>
          <w:color w:val="auto"/>
          <w:sz w:val="21"/>
          <w:szCs w:val="21"/>
          <w:highlight w:val="none"/>
        </w:rPr>
        <w:t>15.3.2 质量保证金的扣留</w:t>
      </w:r>
      <w:bookmarkEnd w:id="584"/>
      <w:bookmarkEnd w:id="585"/>
      <w:bookmarkEnd w:id="586"/>
    </w:p>
    <w:p w14:paraId="3954820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质量保证金的扣留有以下三种方式：</w:t>
      </w:r>
    </w:p>
    <w:p w14:paraId="7A0C631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（1）在支付工程进度款时逐次扣留，在此情形下，质量保证金的计算基数不包括预付款的支付、扣回以及价格调整的金额；</w:t>
      </w:r>
    </w:p>
    <w:p w14:paraId="484327F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（2）工</w:t>
      </w:r>
      <w:bookmarkStart w:id="587" w:name="#go6"/>
      <w:bookmarkEnd w:id="587"/>
      <w:r>
        <w:rPr>
          <w:rFonts w:hint="eastAsia" w:ascii="宋体" w:hAnsi="宋体" w:cs="宋体"/>
          <w:color w:val="auto"/>
          <w:sz w:val="21"/>
          <w:szCs w:val="21"/>
          <w:highlight w:val="none"/>
        </w:rPr>
        <w:t>程竣工结算时一次性扣留质量保证金；</w:t>
      </w:r>
    </w:p>
    <w:p w14:paraId="53607C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（3）双方约定的其他扣留方式。</w:t>
      </w:r>
    </w:p>
    <w:p w14:paraId="37820D5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除专用合同条款另有约定外，质量保证金的扣留原则上采用上述第（1）种方式。</w:t>
      </w:r>
    </w:p>
    <w:p w14:paraId="134616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w:t>
      </w:r>
      <w:bookmarkStart w:id="588" w:name="#go4"/>
      <w:bookmarkEnd w:id="588"/>
      <w:r>
        <w:rPr>
          <w:rFonts w:hint="eastAsia" w:ascii="宋体" w:hAnsi="宋体" w:cs="宋体"/>
          <w:color w:val="auto"/>
          <w:sz w:val="21"/>
          <w:szCs w:val="21"/>
          <w:highlight w:val="none"/>
        </w:rPr>
        <w:t>包人累计扣留的质量保证金不得超过结算合同价格的</w:t>
      </w:r>
      <w:r>
        <w:rPr>
          <w:rFonts w:ascii="宋体" w:hAnsi="宋体" w:cs="宋体"/>
          <w:color w:val="auto"/>
          <w:sz w:val="21"/>
          <w:szCs w:val="21"/>
          <w:highlight w:val="none"/>
        </w:rPr>
        <w:t>3</w:t>
      </w:r>
      <w:r>
        <w:rPr>
          <w:rFonts w:hint="eastAsia" w:ascii="宋体" w:hAnsi="宋体" w:cs="宋体"/>
          <w:color w:val="auto"/>
          <w:sz w:val="21"/>
          <w:szCs w:val="21"/>
          <w:highlight w:val="none"/>
        </w:rPr>
        <w:t>%，如承包人在发包人签发竣工付款证书后28天内提交质量保证金保函，发包人应同时退还扣留的作为质量保证金的工程价款。</w:t>
      </w:r>
    </w:p>
    <w:p w14:paraId="02DEBA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15.3.3 质量保证金的退还</w:t>
      </w:r>
    </w:p>
    <w:p w14:paraId="3594CBA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发包人应按14.4款〔最终结清〕的约定退还质量保证金。</w:t>
      </w:r>
    </w:p>
    <w:p w14:paraId="2855CFB1">
      <w:pPr>
        <w:keepNext/>
        <w:keepLines/>
        <w:spacing w:line="420" w:lineRule="exact"/>
        <w:ind w:firstLine="0" w:firstLineChars="0"/>
        <w:outlineLvl w:val="0"/>
        <w:rPr>
          <w:rFonts w:ascii="宋体" w:hAnsi="宋体" w:cs="宋体"/>
          <w:b/>
          <w:bCs/>
          <w:color w:val="auto"/>
          <w:kern w:val="44"/>
          <w:sz w:val="21"/>
          <w:szCs w:val="21"/>
          <w:highlight w:val="none"/>
        </w:rPr>
      </w:pPr>
      <w:bookmarkStart w:id="589" w:name="_Toc351203602"/>
      <w:bookmarkStart w:id="590" w:name="_Toc478389149"/>
      <w:bookmarkStart w:id="591" w:name="_Toc337558819"/>
      <w:r>
        <w:rPr>
          <w:rFonts w:hint="eastAsia" w:ascii="宋体" w:hAnsi="宋体" w:cs="宋体"/>
          <w:b/>
          <w:bCs/>
          <w:color w:val="auto"/>
          <w:kern w:val="44"/>
          <w:sz w:val="21"/>
          <w:szCs w:val="21"/>
          <w:highlight w:val="none"/>
        </w:rPr>
        <w:t>15.4 保修</w:t>
      </w:r>
      <w:bookmarkEnd w:id="589"/>
      <w:bookmarkEnd w:id="590"/>
    </w:p>
    <w:bookmarkEnd w:id="579"/>
    <w:bookmarkEnd w:id="580"/>
    <w:bookmarkEnd w:id="591"/>
    <w:p w14:paraId="7F0D7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15.4.1保修责任</w:t>
      </w:r>
    </w:p>
    <w:p w14:paraId="421E33F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1BBB580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发包人未经竣工验收擅自使用工程的，保修期自转移占有之日起算。</w:t>
      </w:r>
    </w:p>
    <w:p w14:paraId="7D2CD636">
      <w:pPr>
        <w:spacing w:line="420" w:lineRule="exact"/>
        <w:ind w:firstLine="420"/>
        <w:outlineLvl w:val="0"/>
        <w:rPr>
          <w:rFonts w:ascii="宋体" w:hAnsi="宋体" w:cs="宋体"/>
          <w:color w:val="auto"/>
          <w:sz w:val="21"/>
          <w:szCs w:val="21"/>
          <w:highlight w:val="none"/>
        </w:rPr>
      </w:pPr>
      <w:bookmarkStart w:id="592" w:name="_Toc478389150"/>
      <w:r>
        <w:rPr>
          <w:rFonts w:hint="eastAsia" w:ascii="宋体" w:hAnsi="宋体" w:cs="宋体"/>
          <w:color w:val="auto"/>
          <w:sz w:val="21"/>
          <w:szCs w:val="21"/>
          <w:highlight w:val="none"/>
        </w:rPr>
        <w:t>15.4.2 修复费用</w:t>
      </w:r>
      <w:bookmarkEnd w:id="592"/>
    </w:p>
    <w:p w14:paraId="3C22D55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保修期内，修复的费用按照以下约定处理：</w:t>
      </w:r>
    </w:p>
    <w:p w14:paraId="1F606B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（1）保修期内，因承包人原因造成工程的缺陷、损坏，承包人应负责修复，并承担修复的费用以及因工程的缺陷、损坏造成的人身伤害和财产损失；</w:t>
      </w:r>
    </w:p>
    <w:p w14:paraId="5114DD4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（2）保修期内，因发包人使用不当造成工程的缺陷、损坏，可以委托承包人修复，但发包人应承担修复的费用，并支付承包人合理利润；</w:t>
      </w:r>
    </w:p>
    <w:p w14:paraId="287A016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（3）因其他原因造成工程的缺陷、损坏，可以委托承包人修复，发包人应承担修复的费用，并支付承包人合理的利润，因工程的缺陷、损坏造成的人身伤害和财产损失由责任方承担。</w:t>
      </w:r>
    </w:p>
    <w:p w14:paraId="6B93A1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15.4.3 修复通知</w:t>
      </w:r>
    </w:p>
    <w:p w14:paraId="1999665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2CF84BCF">
      <w:pPr>
        <w:spacing w:line="420" w:lineRule="exact"/>
        <w:ind w:firstLine="420"/>
        <w:outlineLvl w:val="0"/>
        <w:rPr>
          <w:rFonts w:ascii="宋体" w:hAnsi="宋体" w:cs="宋体"/>
          <w:color w:val="auto"/>
          <w:sz w:val="21"/>
          <w:szCs w:val="21"/>
          <w:highlight w:val="none"/>
        </w:rPr>
      </w:pPr>
      <w:bookmarkStart w:id="593" w:name="_Toc478389151"/>
      <w:r>
        <w:rPr>
          <w:rFonts w:hint="eastAsia" w:ascii="宋体" w:hAnsi="宋体" w:cs="宋体"/>
          <w:color w:val="auto"/>
          <w:sz w:val="21"/>
          <w:szCs w:val="21"/>
          <w:highlight w:val="none"/>
        </w:rPr>
        <w:t>15.4.4 未能修复</w:t>
      </w:r>
      <w:bookmarkEnd w:id="593"/>
    </w:p>
    <w:p w14:paraId="4C81181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0F8721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15.4.5 承包人出入权</w:t>
      </w:r>
    </w:p>
    <w:p w14:paraId="4E1DD75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69DBE1C6">
      <w:pPr>
        <w:keepNext/>
        <w:keepLines/>
        <w:spacing w:line="420" w:lineRule="exact"/>
        <w:ind w:firstLine="0" w:firstLineChars="0"/>
        <w:outlineLvl w:val="0"/>
        <w:rPr>
          <w:rFonts w:ascii="宋体" w:hAnsi="宋体" w:cs="宋体"/>
          <w:b/>
          <w:bCs/>
          <w:color w:val="auto"/>
          <w:kern w:val="44"/>
          <w:sz w:val="21"/>
          <w:szCs w:val="21"/>
          <w:highlight w:val="none"/>
        </w:rPr>
      </w:pPr>
      <w:bookmarkStart w:id="594" w:name="_Toc478389152"/>
      <w:bookmarkStart w:id="595" w:name="_Toc351203603"/>
      <w:bookmarkStart w:id="596" w:name="_Toc337558820"/>
      <w:r>
        <w:rPr>
          <w:rFonts w:hint="eastAsia" w:ascii="宋体" w:hAnsi="宋体" w:cs="宋体"/>
          <w:b/>
          <w:bCs/>
          <w:color w:val="auto"/>
          <w:kern w:val="44"/>
          <w:sz w:val="21"/>
          <w:szCs w:val="21"/>
          <w:highlight w:val="none"/>
        </w:rPr>
        <w:t>16. 违约</w:t>
      </w:r>
      <w:bookmarkEnd w:id="594"/>
      <w:bookmarkEnd w:id="595"/>
    </w:p>
    <w:bookmarkEnd w:id="596"/>
    <w:p w14:paraId="337164B6">
      <w:pPr>
        <w:keepNext/>
        <w:keepLines/>
        <w:spacing w:line="420" w:lineRule="exact"/>
        <w:ind w:firstLine="0" w:firstLineChars="0"/>
        <w:outlineLvl w:val="0"/>
        <w:rPr>
          <w:rFonts w:ascii="宋体" w:hAnsi="宋体" w:cs="宋体"/>
          <w:b/>
          <w:bCs/>
          <w:color w:val="auto"/>
          <w:kern w:val="44"/>
          <w:sz w:val="21"/>
          <w:szCs w:val="21"/>
          <w:highlight w:val="none"/>
        </w:rPr>
      </w:pPr>
      <w:bookmarkStart w:id="597" w:name="_Toc296503129"/>
      <w:bookmarkStart w:id="598" w:name="_Toc296346630"/>
      <w:bookmarkStart w:id="599" w:name="_Toc351203604"/>
      <w:bookmarkStart w:id="600" w:name="_Toc478389153"/>
      <w:bookmarkStart w:id="601" w:name="_Toc337558821"/>
      <w:r>
        <w:rPr>
          <w:rFonts w:hint="eastAsia" w:ascii="宋体" w:hAnsi="宋体" w:cs="宋体"/>
          <w:b/>
          <w:bCs/>
          <w:color w:val="auto"/>
          <w:kern w:val="44"/>
          <w:sz w:val="21"/>
          <w:szCs w:val="21"/>
          <w:highlight w:val="none"/>
        </w:rPr>
        <w:t>16.1 发</w:t>
      </w:r>
      <w:bookmarkEnd w:id="597"/>
      <w:bookmarkEnd w:id="598"/>
      <w:r>
        <w:rPr>
          <w:rFonts w:hint="eastAsia" w:ascii="宋体" w:hAnsi="宋体" w:cs="宋体"/>
          <w:b/>
          <w:bCs/>
          <w:color w:val="auto"/>
          <w:kern w:val="44"/>
          <w:sz w:val="21"/>
          <w:szCs w:val="21"/>
          <w:highlight w:val="none"/>
        </w:rPr>
        <w:t>包人违约</w:t>
      </w:r>
      <w:bookmarkEnd w:id="599"/>
      <w:bookmarkEnd w:id="600"/>
    </w:p>
    <w:bookmarkEnd w:id="601"/>
    <w:p w14:paraId="203176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16.1.1 发包人违约的情形</w:t>
      </w:r>
    </w:p>
    <w:p w14:paraId="24A1CB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在合同履行过程中发生的下列情形，属于发包人违约：</w:t>
      </w:r>
    </w:p>
    <w:p w14:paraId="6DF65D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（1）因发包人原因未能在计划开工日期前7天内下达开工通知的；</w:t>
      </w:r>
    </w:p>
    <w:p w14:paraId="1F662E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（2）因发包人原因未能按合同约定支付合同价款的；</w:t>
      </w:r>
    </w:p>
    <w:p w14:paraId="2E19D6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（3）发包人违反第10.1款〔变更的范围〕第（2）项约定，自行实施被取消的工作或转由他人实施的；</w:t>
      </w:r>
    </w:p>
    <w:p w14:paraId="3033A37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（4）发包人提供的材料、工程设备的规格、数量或质量不符合合同约定，或因发包人原因导致交货日期延误或交货地点变更等情况的；</w:t>
      </w:r>
    </w:p>
    <w:p w14:paraId="481270B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（5）因发包人违反合同约定造成暂停施工的；</w:t>
      </w:r>
    </w:p>
    <w:p w14:paraId="067B9CB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（6）发包人无正当理由没有在约定期限内发出复工指示，导致承包人无法复工的；</w:t>
      </w:r>
    </w:p>
    <w:p w14:paraId="4F38BA3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（7）发包人明确表示或者以其行为表明不履行合同主要义务的；</w:t>
      </w:r>
    </w:p>
    <w:p w14:paraId="4E4D2C6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（8）发包人未能按照合同约定履行其他义务的。</w:t>
      </w:r>
    </w:p>
    <w:p w14:paraId="01ADED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087EE4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16.1.2 发包人违约的责任</w:t>
      </w:r>
    </w:p>
    <w:p w14:paraId="0704AE2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发包人应承担因其违约给承包人增加的费用和（或）延误的工期，并支付承包人合理的利润。此外，合同当事人可在专用合同条款中另行约定发包人违约责任的承担方式和计算方法。</w:t>
      </w:r>
    </w:p>
    <w:p w14:paraId="5998E4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16.1.3 因发包人违约解除合同</w:t>
      </w:r>
    </w:p>
    <w:p w14:paraId="597B0A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6054BA2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16.1.4 因发包人违约解除合同后的付款</w:t>
      </w:r>
    </w:p>
    <w:p w14:paraId="2D7746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承包人按照本款约定解除合同的，发包人应在解除合同后28天内支付下列款项，并解除履约保证金：</w:t>
      </w:r>
    </w:p>
    <w:p w14:paraId="53E453B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（1）合同解除前所完成工作的价款；</w:t>
      </w:r>
    </w:p>
    <w:p w14:paraId="796C1EC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（2）承包人为工程施工订购并已付款的材料、工程设备和其他物品的价款；</w:t>
      </w:r>
    </w:p>
    <w:p w14:paraId="43E63B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（3）承包人撤离施工现场以及遣散承包人人员的款项；</w:t>
      </w:r>
    </w:p>
    <w:p w14:paraId="72986EF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（4）按照合同约定在合同解除前应支付的违约金；</w:t>
      </w:r>
    </w:p>
    <w:p w14:paraId="5CE6D97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（5）按照合同约定应当支付给承包人的其他款项；</w:t>
      </w:r>
    </w:p>
    <w:p w14:paraId="1F30B5D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（6）按照合同约定应退还的质量保证金；</w:t>
      </w:r>
    </w:p>
    <w:p w14:paraId="2ABDDC1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（7）因解除合同给承包人造成的损失。</w:t>
      </w:r>
    </w:p>
    <w:p w14:paraId="50B235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合同当事人未能就解除合同后的结清达成一致的，按照第20条〔争议解决〕的约定处理。</w:t>
      </w:r>
    </w:p>
    <w:p w14:paraId="5FCAB1F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承包人应妥善做好已完工程和与工程有关的已购材料、工程设备的保护和移交工作，并将施工设备和人员撤出施工现场，发包人应为承包人撤出提供必要条件。</w:t>
      </w:r>
    </w:p>
    <w:p w14:paraId="7E1927EA">
      <w:pPr>
        <w:keepNext/>
        <w:keepLines/>
        <w:spacing w:line="420" w:lineRule="exact"/>
        <w:ind w:firstLine="0" w:firstLineChars="0"/>
        <w:outlineLvl w:val="0"/>
        <w:rPr>
          <w:rFonts w:ascii="宋体" w:hAnsi="宋体" w:cs="宋体"/>
          <w:b/>
          <w:bCs/>
          <w:color w:val="auto"/>
          <w:kern w:val="44"/>
          <w:sz w:val="21"/>
          <w:szCs w:val="21"/>
          <w:highlight w:val="none"/>
        </w:rPr>
      </w:pPr>
      <w:bookmarkStart w:id="602" w:name="_Toc351203605"/>
      <w:bookmarkStart w:id="603" w:name="_Toc478389154"/>
      <w:bookmarkStart w:id="604" w:name="_Toc337558822"/>
      <w:bookmarkStart w:id="605" w:name="_Toc296503131"/>
      <w:bookmarkStart w:id="606" w:name="_Toc296346632"/>
      <w:r>
        <w:rPr>
          <w:rFonts w:hint="eastAsia" w:ascii="宋体" w:hAnsi="宋体" w:cs="宋体"/>
          <w:b/>
          <w:bCs/>
          <w:color w:val="auto"/>
          <w:kern w:val="44"/>
          <w:sz w:val="21"/>
          <w:szCs w:val="21"/>
          <w:highlight w:val="none"/>
        </w:rPr>
        <w:t>16.2 承包人违约</w:t>
      </w:r>
      <w:bookmarkEnd w:id="602"/>
      <w:bookmarkEnd w:id="603"/>
    </w:p>
    <w:bookmarkEnd w:id="604"/>
    <w:bookmarkEnd w:id="605"/>
    <w:bookmarkEnd w:id="606"/>
    <w:p w14:paraId="261D33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16.2.1 承包人违约的情形</w:t>
      </w:r>
    </w:p>
    <w:p w14:paraId="493FE5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在合同履行过程中发生的下列情形，属于承包人违约：</w:t>
      </w:r>
    </w:p>
    <w:p w14:paraId="3344643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（1）承包人违反合同约定进行转包或违法分包的；</w:t>
      </w:r>
    </w:p>
    <w:p w14:paraId="61C683E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（2）承包人违反合同约定采购和使用不合格的材料和工程设备的；</w:t>
      </w:r>
    </w:p>
    <w:p w14:paraId="17BF058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（3）因承包人原因导致工程质量不符合合同要求的； </w:t>
      </w:r>
    </w:p>
    <w:p w14:paraId="16446A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（4）承包人违反第8.9款〔材料与设备专用要求〕的约定，未经批准，私自将已按照合同约定进入施工现场的材料或设备撤离施工现场的；</w:t>
      </w:r>
    </w:p>
    <w:p w14:paraId="59A57CA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（5）承包人未能按施工进度计划及时完成合同约定的工作，造成工期延误的；</w:t>
      </w:r>
    </w:p>
    <w:p w14:paraId="3CAB8C7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（6）承包人在缺陷责任期及保修期内，未能在合理期</w:t>
      </w:r>
      <w:r>
        <w:rPr>
          <w:rFonts w:hint="eastAsia" w:ascii="宋体" w:hAnsi="宋体" w:cs="宋体"/>
          <w:color w:val="auto"/>
          <w:sz w:val="21"/>
          <w:szCs w:val="21"/>
          <w:highlight w:val="none"/>
          <w:lang w:eastAsia="zh-CN"/>
        </w:rPr>
        <w:t>限内</w:t>
      </w:r>
      <w:r>
        <w:rPr>
          <w:rFonts w:hint="eastAsia" w:ascii="宋体" w:hAnsi="宋体" w:cs="宋体"/>
          <w:color w:val="auto"/>
          <w:sz w:val="21"/>
          <w:szCs w:val="21"/>
          <w:highlight w:val="none"/>
        </w:rPr>
        <w:t>对工程缺陷进行修复，或拒绝按发包人要求进行修复的；</w:t>
      </w:r>
    </w:p>
    <w:p w14:paraId="1C37EE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（7）承包人明确表示或者以其行为表明不履行合同主要义务的；</w:t>
      </w:r>
    </w:p>
    <w:p w14:paraId="28CCF11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（8）承包人未能按照合同约定履行其他义务的。</w:t>
      </w:r>
    </w:p>
    <w:p w14:paraId="594AC63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承包人发生除本项第（7）目约定以外的其他违约情况时，监理人可向承包人发出整改通知，要求其在指定的期限内改正。</w:t>
      </w:r>
    </w:p>
    <w:p w14:paraId="24A22B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16.2.2 承包人违约的责任</w:t>
      </w:r>
    </w:p>
    <w:p w14:paraId="7C76534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承包人应承担因其违约行为而增加的费用和（或）延误的工期。此外，合同当事人可在专用合同条款中另行约定承包人违约责任的承担方式和计算方法。</w:t>
      </w:r>
    </w:p>
    <w:p w14:paraId="62667AE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16.2.3 因承包人违约解除合同</w:t>
      </w:r>
    </w:p>
    <w:p w14:paraId="1086BAB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w:t>
      </w:r>
      <w:r>
        <w:rPr>
          <w:rFonts w:hint="eastAsia" w:ascii="宋体" w:hAnsi="宋体" w:cs="宋体"/>
          <w:color w:val="auto"/>
          <w:sz w:val="21"/>
          <w:szCs w:val="21"/>
          <w:highlight w:val="none"/>
          <w:lang w:eastAsia="zh-CN"/>
        </w:rPr>
        <w:t>款中</w:t>
      </w:r>
      <w:r>
        <w:rPr>
          <w:rFonts w:hint="eastAsia" w:ascii="宋体" w:hAnsi="宋体" w:cs="宋体"/>
          <w:color w:val="auto"/>
          <w:sz w:val="21"/>
          <w:szCs w:val="21"/>
          <w:highlight w:val="none"/>
        </w:rPr>
        <w:t>约定相应费用的承担方式。发包人继续使用的行为不免除或减轻承包人应承担的违约责任。</w:t>
      </w:r>
    </w:p>
    <w:p w14:paraId="1BB6493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16.2.4因承包人违约解除合同后的处理</w:t>
      </w:r>
    </w:p>
    <w:p w14:paraId="3B2470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因承包人原因导致合同解除的，则合同当事人应在合同解除后28天内完成估价、付款和清算，并按以下约定执行：</w:t>
      </w:r>
    </w:p>
    <w:p w14:paraId="7FFF4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（1）合同解除后，按第4.4款〔商定或确定〕商定或确定承包人实际完成工作对应的合同价款，以及承包人已提供的材料、工程设备、施工设备和临时工程等的价值；</w:t>
      </w:r>
    </w:p>
    <w:p w14:paraId="7F8CA6C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（2）合同解除后，承包人应支付的违约金；</w:t>
      </w:r>
    </w:p>
    <w:p w14:paraId="51E6B8C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（3）合同解除后，因解除合同给发包人造成的损失；</w:t>
      </w:r>
    </w:p>
    <w:p w14:paraId="1B4C2C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（4）合同解除后，承包人应按照发包人要求和监理人的指示完成现场的清理和撤离；</w:t>
      </w:r>
    </w:p>
    <w:p w14:paraId="54623A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（5）发包人和承包人应在合同解除后进行清算，出具最终结清付款证书，结清全部款项。</w:t>
      </w:r>
    </w:p>
    <w:p w14:paraId="5775E75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6138E8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16.2.5采购合同权益转让</w:t>
      </w:r>
    </w:p>
    <w:p w14:paraId="5F4B6F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6BFED1C9">
      <w:pPr>
        <w:keepNext/>
        <w:keepLines/>
        <w:spacing w:line="420" w:lineRule="exact"/>
        <w:ind w:firstLine="0" w:firstLineChars="0"/>
        <w:outlineLvl w:val="0"/>
        <w:rPr>
          <w:rFonts w:ascii="宋体" w:hAnsi="宋体" w:cs="宋体"/>
          <w:b/>
          <w:bCs/>
          <w:color w:val="auto"/>
          <w:kern w:val="44"/>
          <w:sz w:val="21"/>
          <w:szCs w:val="21"/>
          <w:highlight w:val="none"/>
        </w:rPr>
      </w:pPr>
      <w:bookmarkStart w:id="607" w:name="_Toc478389155"/>
      <w:bookmarkStart w:id="608" w:name="_Toc351203606"/>
      <w:r>
        <w:rPr>
          <w:rFonts w:hint="eastAsia" w:ascii="宋体" w:hAnsi="宋体" w:cs="宋体"/>
          <w:b/>
          <w:bCs/>
          <w:color w:val="auto"/>
          <w:kern w:val="44"/>
          <w:sz w:val="21"/>
          <w:szCs w:val="21"/>
          <w:highlight w:val="none"/>
        </w:rPr>
        <w:t>16.3 第三人造成的违约</w:t>
      </w:r>
      <w:bookmarkEnd w:id="607"/>
      <w:bookmarkEnd w:id="608"/>
    </w:p>
    <w:p w14:paraId="29C2EB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在履行合同过程中，一方当事人因第三人的原因造成违约的，应当向对方当事人承担违约责任。一方当事人和第三人之间的纠纷，依照法律规定或者按照约定解决。</w:t>
      </w:r>
    </w:p>
    <w:p w14:paraId="35CDB119">
      <w:pPr>
        <w:keepNext/>
        <w:keepLines/>
        <w:spacing w:line="420" w:lineRule="exact"/>
        <w:ind w:firstLine="0" w:firstLineChars="0"/>
        <w:outlineLvl w:val="0"/>
        <w:rPr>
          <w:rFonts w:ascii="宋体" w:hAnsi="宋体" w:cs="宋体"/>
          <w:b/>
          <w:bCs/>
          <w:color w:val="auto"/>
          <w:kern w:val="44"/>
          <w:sz w:val="21"/>
          <w:szCs w:val="21"/>
          <w:highlight w:val="none"/>
        </w:rPr>
      </w:pPr>
      <w:bookmarkStart w:id="609" w:name="_Toc351203607"/>
      <w:bookmarkStart w:id="610" w:name="_Toc296346617"/>
      <w:bookmarkStart w:id="611" w:name="_Toc478389156"/>
      <w:bookmarkStart w:id="612" w:name="_Toc337558823"/>
      <w:bookmarkStart w:id="613" w:name="_Toc296503116"/>
      <w:r>
        <w:rPr>
          <w:rFonts w:hint="eastAsia" w:ascii="宋体" w:hAnsi="宋体" w:cs="宋体"/>
          <w:b/>
          <w:bCs/>
          <w:color w:val="auto"/>
          <w:kern w:val="44"/>
          <w:sz w:val="21"/>
          <w:szCs w:val="21"/>
          <w:highlight w:val="none"/>
        </w:rPr>
        <w:t>17. 不可抗力</w:t>
      </w:r>
      <w:bookmarkEnd w:id="609"/>
      <w:bookmarkEnd w:id="610"/>
      <w:bookmarkEnd w:id="611"/>
      <w:bookmarkEnd w:id="612"/>
      <w:bookmarkEnd w:id="613"/>
    </w:p>
    <w:p w14:paraId="2F0FEE64">
      <w:pPr>
        <w:keepNext/>
        <w:keepLines/>
        <w:spacing w:line="420" w:lineRule="exact"/>
        <w:ind w:firstLine="0" w:firstLineChars="0"/>
        <w:outlineLvl w:val="0"/>
        <w:rPr>
          <w:rFonts w:ascii="宋体" w:hAnsi="宋体" w:cs="宋体"/>
          <w:b/>
          <w:bCs/>
          <w:color w:val="auto"/>
          <w:kern w:val="44"/>
          <w:sz w:val="21"/>
          <w:szCs w:val="21"/>
          <w:highlight w:val="none"/>
        </w:rPr>
      </w:pPr>
      <w:bookmarkStart w:id="614" w:name="_Toc478389157"/>
      <w:bookmarkStart w:id="615" w:name="_Toc351203608"/>
      <w:bookmarkStart w:id="616" w:name="_Toc337558824"/>
      <w:bookmarkStart w:id="617" w:name="_Toc296503117"/>
      <w:bookmarkStart w:id="618" w:name="_Toc296346618"/>
      <w:r>
        <w:rPr>
          <w:rFonts w:hint="eastAsia" w:ascii="宋体" w:hAnsi="宋体" w:cs="宋体"/>
          <w:b/>
          <w:bCs/>
          <w:color w:val="auto"/>
          <w:kern w:val="44"/>
          <w:sz w:val="21"/>
          <w:szCs w:val="21"/>
          <w:highlight w:val="none"/>
        </w:rPr>
        <w:t>17.1 不可抗力的确认</w:t>
      </w:r>
      <w:bookmarkEnd w:id="614"/>
      <w:bookmarkEnd w:id="615"/>
    </w:p>
    <w:bookmarkEnd w:id="616"/>
    <w:bookmarkEnd w:id="617"/>
    <w:bookmarkEnd w:id="618"/>
    <w:p w14:paraId="113931C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5A380CD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33508020">
      <w:pPr>
        <w:keepNext/>
        <w:keepLines/>
        <w:spacing w:line="420" w:lineRule="exact"/>
        <w:ind w:firstLine="0" w:firstLineChars="0"/>
        <w:outlineLvl w:val="0"/>
        <w:rPr>
          <w:rFonts w:ascii="宋体" w:hAnsi="宋体" w:cs="宋体"/>
          <w:b/>
          <w:bCs/>
          <w:color w:val="auto"/>
          <w:kern w:val="44"/>
          <w:sz w:val="21"/>
          <w:szCs w:val="21"/>
          <w:highlight w:val="none"/>
        </w:rPr>
      </w:pPr>
      <w:bookmarkStart w:id="619" w:name="_Toc351203609"/>
      <w:bookmarkStart w:id="620" w:name="_Toc478389158"/>
      <w:bookmarkStart w:id="621" w:name="_Toc296503118"/>
      <w:bookmarkStart w:id="622" w:name="_Toc296346619"/>
      <w:bookmarkStart w:id="623" w:name="_Toc337558825"/>
      <w:r>
        <w:rPr>
          <w:rFonts w:hint="eastAsia" w:ascii="宋体" w:hAnsi="宋体" w:cs="宋体"/>
          <w:b/>
          <w:bCs/>
          <w:color w:val="auto"/>
          <w:kern w:val="44"/>
          <w:sz w:val="21"/>
          <w:szCs w:val="21"/>
          <w:highlight w:val="none"/>
        </w:rPr>
        <w:t>17.2 不可抗力的通知</w:t>
      </w:r>
      <w:bookmarkEnd w:id="619"/>
      <w:bookmarkEnd w:id="620"/>
    </w:p>
    <w:bookmarkEnd w:id="621"/>
    <w:bookmarkEnd w:id="622"/>
    <w:bookmarkEnd w:id="623"/>
    <w:p w14:paraId="325009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合同一方当事人遇到不可抗力事件，使其履行合同义务受到阻碍时，应立即通知合同另一方当事人和监理人，书面说明不可抗力和受阻碍的详细情况，并提供必要的证明。</w:t>
      </w:r>
    </w:p>
    <w:p w14:paraId="4378A8EB">
      <w:pPr>
        <w:spacing w:line="42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06F50DC0">
      <w:pPr>
        <w:keepNext/>
        <w:keepLines/>
        <w:spacing w:line="420" w:lineRule="exact"/>
        <w:ind w:firstLine="0" w:firstLineChars="0"/>
        <w:outlineLvl w:val="0"/>
        <w:rPr>
          <w:rFonts w:ascii="宋体" w:hAnsi="宋体" w:cs="宋体"/>
          <w:b/>
          <w:bCs/>
          <w:color w:val="auto"/>
          <w:kern w:val="44"/>
          <w:sz w:val="21"/>
          <w:szCs w:val="21"/>
          <w:highlight w:val="none"/>
        </w:rPr>
      </w:pPr>
      <w:bookmarkStart w:id="624" w:name="_Toc351203610"/>
      <w:bookmarkStart w:id="625" w:name="_Toc478389159"/>
      <w:bookmarkStart w:id="626" w:name="_Toc296503119"/>
      <w:bookmarkStart w:id="627" w:name="_Toc296346620"/>
      <w:bookmarkStart w:id="628" w:name="_Toc337558826"/>
      <w:r>
        <w:rPr>
          <w:rFonts w:hint="eastAsia" w:ascii="宋体" w:hAnsi="宋体" w:cs="宋体"/>
          <w:b/>
          <w:bCs/>
          <w:color w:val="auto"/>
          <w:kern w:val="44"/>
          <w:sz w:val="21"/>
          <w:szCs w:val="21"/>
          <w:highlight w:val="none"/>
        </w:rPr>
        <w:t>17.3 不可抗力后果的承担</w:t>
      </w:r>
      <w:bookmarkEnd w:id="624"/>
      <w:bookmarkEnd w:id="625"/>
    </w:p>
    <w:bookmarkEnd w:id="626"/>
    <w:bookmarkEnd w:id="627"/>
    <w:bookmarkEnd w:id="628"/>
    <w:p w14:paraId="021D321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17.3.1不可抗力引起的后果及造成的损失由合同当事人按照法律规定及合同约定各自承担。不可抗力发生前已完成的工程应当按照合同约定进行计量支付。</w:t>
      </w:r>
    </w:p>
    <w:p w14:paraId="3516ED0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17.3.2不可抗力导致的人员伤亡、财产损失、费用增加和（或）工期延误等后果，由合同当事人按以下原则承担：</w:t>
      </w:r>
    </w:p>
    <w:p w14:paraId="4B8EFAA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（1）永久工程、已运至施工现场的材料和工程设备的损坏，以及因工程损坏造成的第三人人员伤亡和财产损失由发包人承担；</w:t>
      </w:r>
    </w:p>
    <w:p w14:paraId="4731FD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（2）承包人施工设备的损坏由承包人承担；</w:t>
      </w:r>
    </w:p>
    <w:p w14:paraId="63D06F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（3）发包人和承包人承担各自人员伤亡和财产的损失；</w:t>
      </w:r>
    </w:p>
    <w:p w14:paraId="4E56835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67F8BDD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（5）因不可抗力引起或将引起工期延误，发包人要求赶工的，由此增加的赶工费用由发包人承担；</w:t>
      </w:r>
    </w:p>
    <w:p w14:paraId="4C981E9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（6）承包人在停工期间按照发包人要求照管、清理和修复工程的费用由发包人承担。</w:t>
      </w:r>
    </w:p>
    <w:p w14:paraId="02DABB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不可抗力发生后，合同当事人均应采取措施尽量避免和减少损失的扩大，任何一方当事人没有采取有效措施导致损失扩大的，应对扩大的损失承担责任。</w:t>
      </w:r>
    </w:p>
    <w:p w14:paraId="1C5B217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因合同一方迟延履行合同义务，在迟延履行期间遭遇不可抗力的，不免除其违约责任。</w:t>
      </w:r>
    </w:p>
    <w:p w14:paraId="6F1FA001">
      <w:pPr>
        <w:keepNext/>
        <w:keepLines/>
        <w:spacing w:line="420" w:lineRule="exact"/>
        <w:ind w:firstLine="0" w:firstLineChars="0"/>
        <w:outlineLvl w:val="0"/>
        <w:rPr>
          <w:rFonts w:ascii="宋体" w:hAnsi="宋体" w:cs="宋体"/>
          <w:b/>
          <w:bCs/>
          <w:color w:val="auto"/>
          <w:kern w:val="44"/>
          <w:sz w:val="21"/>
          <w:szCs w:val="21"/>
          <w:highlight w:val="none"/>
        </w:rPr>
      </w:pPr>
      <w:bookmarkStart w:id="629" w:name="_Toc478389160"/>
      <w:bookmarkStart w:id="630" w:name="_Toc351203611"/>
      <w:bookmarkStart w:id="631" w:name="_Toc337558827"/>
      <w:r>
        <w:rPr>
          <w:rFonts w:hint="eastAsia" w:ascii="宋体" w:hAnsi="宋体" w:cs="宋体"/>
          <w:b/>
          <w:bCs/>
          <w:color w:val="auto"/>
          <w:kern w:val="44"/>
          <w:sz w:val="21"/>
          <w:szCs w:val="21"/>
          <w:highlight w:val="none"/>
        </w:rPr>
        <w:t>17.4 因不可抗力解除合同</w:t>
      </w:r>
      <w:bookmarkEnd w:id="629"/>
      <w:bookmarkEnd w:id="630"/>
    </w:p>
    <w:bookmarkEnd w:id="631"/>
    <w:p w14:paraId="2B4A4C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5C53D0E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（1）合同解除前承包人已完成工作的价款；</w:t>
      </w:r>
    </w:p>
    <w:p w14:paraId="168233B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（2）承包人为工程订购的并已交付给承包人，或承包人有责任接受交付的材料、工程设备和其他物品的价款；</w:t>
      </w:r>
    </w:p>
    <w:p w14:paraId="1C07C33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（3）发包人要求承包人退货或解除订货合同而产生的费用，或因不能退货或解除合同而产生的损失；</w:t>
      </w:r>
    </w:p>
    <w:p w14:paraId="70D9AC0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（4）承包人撤离施工现场以及遣散承包人人员的费用；</w:t>
      </w:r>
    </w:p>
    <w:p w14:paraId="69A8D96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（5）按照合同约定在合同解除前应支付给承包人的其他款项；</w:t>
      </w:r>
    </w:p>
    <w:p w14:paraId="0DA987C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（6）扣减承包人按照合同约定应向发包人支付的款项；</w:t>
      </w:r>
    </w:p>
    <w:p w14:paraId="3BC9E5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（7）双方商定或确定的其他款项。</w:t>
      </w:r>
    </w:p>
    <w:p w14:paraId="4B786EB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除专用合同条款另有约定外，合同解除后，发包人应在商定或确定上述款项后28天内完成上述款项的支付。</w:t>
      </w:r>
    </w:p>
    <w:p w14:paraId="663D8062">
      <w:pPr>
        <w:keepNext/>
        <w:keepLines/>
        <w:spacing w:line="420" w:lineRule="exact"/>
        <w:ind w:firstLine="0" w:firstLineChars="0"/>
        <w:outlineLvl w:val="0"/>
        <w:rPr>
          <w:rFonts w:ascii="宋体" w:hAnsi="宋体" w:cs="宋体"/>
          <w:b/>
          <w:bCs/>
          <w:color w:val="auto"/>
          <w:kern w:val="44"/>
          <w:sz w:val="21"/>
          <w:szCs w:val="21"/>
          <w:highlight w:val="none"/>
        </w:rPr>
      </w:pPr>
      <w:bookmarkStart w:id="632" w:name="_Toc351203612"/>
      <w:bookmarkStart w:id="633" w:name="_Toc478389161"/>
      <w:bookmarkStart w:id="634" w:name="_Toc337558828"/>
      <w:bookmarkStart w:id="635" w:name="_Toc296503120"/>
      <w:bookmarkStart w:id="636" w:name="_Toc296346621"/>
      <w:r>
        <w:rPr>
          <w:rFonts w:hint="eastAsia" w:ascii="宋体" w:hAnsi="宋体" w:cs="宋体"/>
          <w:b/>
          <w:bCs/>
          <w:color w:val="auto"/>
          <w:kern w:val="44"/>
          <w:sz w:val="21"/>
          <w:szCs w:val="21"/>
          <w:highlight w:val="none"/>
        </w:rPr>
        <w:t>18. 保险</w:t>
      </w:r>
      <w:bookmarkEnd w:id="632"/>
      <w:bookmarkEnd w:id="633"/>
    </w:p>
    <w:bookmarkEnd w:id="634"/>
    <w:bookmarkEnd w:id="635"/>
    <w:bookmarkEnd w:id="636"/>
    <w:p w14:paraId="60731820">
      <w:pPr>
        <w:keepNext/>
        <w:keepLines/>
        <w:spacing w:line="420" w:lineRule="exact"/>
        <w:ind w:firstLine="0" w:firstLineChars="0"/>
        <w:outlineLvl w:val="0"/>
        <w:rPr>
          <w:rFonts w:ascii="宋体" w:hAnsi="宋体" w:cs="宋体"/>
          <w:b/>
          <w:bCs/>
          <w:color w:val="auto"/>
          <w:kern w:val="44"/>
          <w:sz w:val="21"/>
          <w:szCs w:val="21"/>
          <w:highlight w:val="none"/>
        </w:rPr>
      </w:pPr>
      <w:bookmarkStart w:id="637" w:name="_Toc478389162"/>
      <w:bookmarkStart w:id="638" w:name="_Toc351203613"/>
      <w:bookmarkStart w:id="639" w:name="_Toc296346622"/>
      <w:bookmarkStart w:id="640" w:name="_Toc296503121"/>
      <w:bookmarkStart w:id="641" w:name="_Toc337558829"/>
      <w:r>
        <w:rPr>
          <w:rFonts w:hint="eastAsia" w:ascii="宋体" w:hAnsi="宋体" w:cs="宋体"/>
          <w:b/>
          <w:bCs/>
          <w:color w:val="auto"/>
          <w:kern w:val="44"/>
          <w:sz w:val="21"/>
          <w:szCs w:val="21"/>
          <w:highlight w:val="none"/>
        </w:rPr>
        <w:t>18.1 工程保险</w:t>
      </w:r>
      <w:bookmarkEnd w:id="637"/>
      <w:bookmarkEnd w:id="638"/>
    </w:p>
    <w:bookmarkEnd w:id="639"/>
    <w:bookmarkEnd w:id="640"/>
    <w:bookmarkEnd w:id="641"/>
    <w:p w14:paraId="3A716C6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除专用合同条款另有约定外，发包人应投保建筑工程一切险或安装工程一切险；发包人委托承包人投保的，因投保产生的保险费和其他相关费用由发包人承担。</w:t>
      </w:r>
    </w:p>
    <w:p w14:paraId="2C57762B">
      <w:pPr>
        <w:keepNext/>
        <w:keepLines/>
        <w:spacing w:line="420" w:lineRule="exact"/>
        <w:ind w:firstLine="0" w:firstLineChars="0"/>
        <w:outlineLvl w:val="0"/>
        <w:rPr>
          <w:rFonts w:ascii="宋体" w:hAnsi="宋体" w:cs="宋体"/>
          <w:b/>
          <w:bCs/>
          <w:color w:val="auto"/>
          <w:kern w:val="44"/>
          <w:sz w:val="21"/>
          <w:szCs w:val="21"/>
          <w:highlight w:val="none"/>
        </w:rPr>
      </w:pPr>
      <w:bookmarkStart w:id="642" w:name="_Toc478389163"/>
      <w:bookmarkStart w:id="643" w:name="_Toc351203614"/>
      <w:bookmarkStart w:id="644" w:name="_Toc337558830"/>
      <w:bookmarkStart w:id="645" w:name="_Toc296346623"/>
      <w:bookmarkStart w:id="646" w:name="_Toc296503122"/>
      <w:r>
        <w:rPr>
          <w:rFonts w:hint="eastAsia" w:ascii="宋体" w:hAnsi="宋体" w:cs="宋体"/>
          <w:b/>
          <w:bCs/>
          <w:color w:val="auto"/>
          <w:kern w:val="44"/>
          <w:sz w:val="21"/>
          <w:szCs w:val="21"/>
          <w:highlight w:val="none"/>
        </w:rPr>
        <w:t>18.2 工伤保险</w:t>
      </w:r>
      <w:bookmarkEnd w:id="642"/>
      <w:bookmarkEnd w:id="643"/>
    </w:p>
    <w:bookmarkEnd w:id="644"/>
    <w:bookmarkEnd w:id="645"/>
    <w:bookmarkEnd w:id="646"/>
    <w:p w14:paraId="325D1A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18.2.1发包人应依照法律规定参加工伤保险，并为在施工现场的全部员工办理工伤保险，缴纳工伤保险费，并要求监理人及由发包人为履行合同聘请的第三方依法参加工伤保险。</w:t>
      </w:r>
    </w:p>
    <w:p w14:paraId="38D05F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18.2.2承包人应依照法律规定参加工伤保险，并为其履行合同的全部员工办理工伤保险，缴纳工伤保险费，并要求分包人及由承包人为履行合同聘请的第三方依法参加工伤保险。</w:t>
      </w:r>
    </w:p>
    <w:p w14:paraId="2CE3E848">
      <w:pPr>
        <w:keepNext/>
        <w:keepLines/>
        <w:spacing w:line="420" w:lineRule="exact"/>
        <w:ind w:firstLine="0" w:firstLineChars="0"/>
        <w:outlineLvl w:val="0"/>
        <w:rPr>
          <w:rFonts w:ascii="宋体" w:hAnsi="宋体" w:cs="宋体"/>
          <w:b/>
          <w:bCs/>
          <w:color w:val="auto"/>
          <w:kern w:val="44"/>
          <w:sz w:val="21"/>
          <w:szCs w:val="21"/>
          <w:highlight w:val="none"/>
        </w:rPr>
      </w:pPr>
      <w:bookmarkStart w:id="647" w:name="_Toc351203615"/>
      <w:bookmarkStart w:id="648" w:name="_Toc478389164"/>
      <w:bookmarkStart w:id="649" w:name="_Toc296503125"/>
      <w:bookmarkStart w:id="650" w:name="_Toc296346626"/>
      <w:bookmarkStart w:id="651" w:name="_Toc337558831"/>
      <w:r>
        <w:rPr>
          <w:rFonts w:hint="eastAsia" w:ascii="宋体" w:hAnsi="宋体" w:cs="宋体"/>
          <w:b/>
          <w:bCs/>
          <w:color w:val="auto"/>
          <w:kern w:val="44"/>
          <w:sz w:val="21"/>
          <w:szCs w:val="21"/>
          <w:highlight w:val="none"/>
        </w:rPr>
        <w:t>18.3其他保险</w:t>
      </w:r>
      <w:bookmarkEnd w:id="647"/>
      <w:bookmarkEnd w:id="648"/>
    </w:p>
    <w:bookmarkEnd w:id="649"/>
    <w:bookmarkEnd w:id="650"/>
    <w:bookmarkEnd w:id="651"/>
    <w:p w14:paraId="3E52E28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发包人和承包人可以为其施工现场的全部人员办理意外伤害保险并支付保险费，包括其员工及为履行合同聘请的第三方的人员，具体事项由合同当事人在专用合同条款约定。</w:t>
      </w:r>
    </w:p>
    <w:p w14:paraId="0CCA379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除专用合同条款另有约定外，承包人应为其施工设备等办理财产保险。</w:t>
      </w:r>
    </w:p>
    <w:p w14:paraId="44C3FCDD">
      <w:pPr>
        <w:keepNext/>
        <w:keepLines/>
        <w:spacing w:line="420" w:lineRule="exact"/>
        <w:ind w:firstLine="0" w:firstLineChars="0"/>
        <w:outlineLvl w:val="0"/>
        <w:rPr>
          <w:rFonts w:ascii="宋体" w:hAnsi="宋体" w:cs="宋体"/>
          <w:b/>
          <w:bCs/>
          <w:color w:val="auto"/>
          <w:kern w:val="44"/>
          <w:sz w:val="21"/>
          <w:szCs w:val="21"/>
          <w:highlight w:val="none"/>
        </w:rPr>
      </w:pPr>
      <w:bookmarkStart w:id="652" w:name="_Toc478389165"/>
      <w:bookmarkStart w:id="653" w:name="_Toc351203616"/>
      <w:r>
        <w:rPr>
          <w:rFonts w:hint="eastAsia" w:ascii="宋体" w:hAnsi="宋体" w:cs="宋体"/>
          <w:b/>
          <w:bCs/>
          <w:color w:val="auto"/>
          <w:kern w:val="44"/>
          <w:sz w:val="21"/>
          <w:szCs w:val="21"/>
          <w:highlight w:val="none"/>
        </w:rPr>
        <w:t>18.4持续保险</w:t>
      </w:r>
      <w:bookmarkEnd w:id="652"/>
      <w:bookmarkEnd w:id="653"/>
    </w:p>
    <w:p w14:paraId="2DC896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合同当事人应与保险人保持联系，使保险人能够随时了解工程实施中的变动，并确保按保险合同条款要求持续保险。</w:t>
      </w:r>
    </w:p>
    <w:p w14:paraId="03309264">
      <w:pPr>
        <w:keepNext/>
        <w:keepLines/>
        <w:spacing w:line="420" w:lineRule="exact"/>
        <w:ind w:firstLine="0" w:firstLineChars="0"/>
        <w:outlineLvl w:val="0"/>
        <w:rPr>
          <w:rFonts w:ascii="宋体" w:hAnsi="宋体" w:cs="宋体"/>
          <w:b/>
          <w:bCs/>
          <w:color w:val="auto"/>
          <w:kern w:val="44"/>
          <w:sz w:val="21"/>
          <w:szCs w:val="21"/>
          <w:highlight w:val="none"/>
        </w:rPr>
      </w:pPr>
      <w:bookmarkStart w:id="654" w:name="_Toc351203617"/>
      <w:bookmarkStart w:id="655" w:name="_Toc478389166"/>
      <w:bookmarkStart w:id="656" w:name="_Toc337558832"/>
      <w:bookmarkStart w:id="657" w:name="_Toc296503126"/>
      <w:bookmarkStart w:id="658" w:name="_Toc296346627"/>
      <w:r>
        <w:rPr>
          <w:rFonts w:hint="eastAsia" w:ascii="宋体" w:hAnsi="宋体" w:cs="宋体"/>
          <w:b/>
          <w:bCs/>
          <w:color w:val="auto"/>
          <w:kern w:val="44"/>
          <w:sz w:val="21"/>
          <w:szCs w:val="21"/>
          <w:highlight w:val="none"/>
        </w:rPr>
        <w:t>18.5 保险凭证</w:t>
      </w:r>
      <w:bookmarkEnd w:id="654"/>
      <w:bookmarkEnd w:id="655"/>
    </w:p>
    <w:bookmarkEnd w:id="656"/>
    <w:bookmarkEnd w:id="657"/>
    <w:bookmarkEnd w:id="658"/>
    <w:p w14:paraId="796CC5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合同当事人应及时向另一方当事人提交其已投保的各项保险的凭证和保险单复印件。</w:t>
      </w:r>
    </w:p>
    <w:p w14:paraId="5CEFB0B0">
      <w:pPr>
        <w:keepNext/>
        <w:keepLines/>
        <w:spacing w:line="420" w:lineRule="exact"/>
        <w:ind w:firstLine="0" w:firstLineChars="0"/>
        <w:outlineLvl w:val="0"/>
        <w:rPr>
          <w:rFonts w:ascii="宋体" w:hAnsi="宋体" w:cs="宋体"/>
          <w:b/>
          <w:bCs/>
          <w:color w:val="auto"/>
          <w:kern w:val="44"/>
          <w:sz w:val="21"/>
          <w:szCs w:val="21"/>
          <w:highlight w:val="none"/>
        </w:rPr>
      </w:pPr>
      <w:bookmarkStart w:id="659" w:name="_Toc351203618"/>
      <w:bookmarkStart w:id="660" w:name="_Toc478389167"/>
      <w:bookmarkStart w:id="661" w:name="_Toc296346628"/>
      <w:bookmarkStart w:id="662" w:name="_Toc296503127"/>
      <w:bookmarkStart w:id="663" w:name="_Toc337558833"/>
      <w:r>
        <w:rPr>
          <w:rFonts w:hint="eastAsia" w:ascii="宋体" w:hAnsi="宋体" w:cs="宋体"/>
          <w:b/>
          <w:bCs/>
          <w:color w:val="auto"/>
          <w:kern w:val="44"/>
          <w:sz w:val="21"/>
          <w:szCs w:val="21"/>
          <w:highlight w:val="none"/>
        </w:rPr>
        <w:t>18.6 未按约定投保的补救</w:t>
      </w:r>
      <w:bookmarkEnd w:id="659"/>
      <w:bookmarkEnd w:id="660"/>
    </w:p>
    <w:bookmarkEnd w:id="661"/>
    <w:bookmarkEnd w:id="662"/>
    <w:bookmarkEnd w:id="663"/>
    <w:p w14:paraId="725A350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18.6.1发包人未按合同约定办理保险，或未能使保险持续有效的，则承包人可代为办理，所需费用由发包人承担。发包人未按合同约定办理保险，导致未能得到足额赔偿的，由发包人负责补足。</w:t>
      </w:r>
    </w:p>
    <w:p w14:paraId="09B0B59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18.6.2承包人未按合同约定办理保险，或未能使保险持续有效的，则发包人可代为办理，所需费用由承包人承担。承包人未按合同约定办理保险，导致未能得到足额赔偿的，由承包人负责补足。</w:t>
      </w:r>
    </w:p>
    <w:p w14:paraId="5B3250B8">
      <w:pPr>
        <w:keepNext/>
        <w:keepLines/>
        <w:spacing w:line="420" w:lineRule="exact"/>
        <w:ind w:firstLine="0" w:firstLineChars="0"/>
        <w:outlineLvl w:val="0"/>
        <w:rPr>
          <w:rFonts w:ascii="宋体" w:hAnsi="宋体" w:cs="宋体"/>
          <w:b/>
          <w:bCs/>
          <w:color w:val="auto"/>
          <w:kern w:val="44"/>
          <w:sz w:val="21"/>
          <w:szCs w:val="21"/>
          <w:highlight w:val="none"/>
        </w:rPr>
      </w:pPr>
      <w:bookmarkStart w:id="664" w:name="_Toc478389168"/>
      <w:bookmarkStart w:id="665" w:name="_Toc351203619"/>
      <w:bookmarkStart w:id="666" w:name="_Toc337558834"/>
      <w:r>
        <w:rPr>
          <w:rFonts w:hint="eastAsia" w:ascii="宋体" w:hAnsi="宋体" w:cs="宋体"/>
          <w:b/>
          <w:bCs/>
          <w:color w:val="auto"/>
          <w:kern w:val="44"/>
          <w:sz w:val="21"/>
          <w:szCs w:val="21"/>
          <w:highlight w:val="none"/>
        </w:rPr>
        <w:t>18.7 通知义务</w:t>
      </w:r>
      <w:bookmarkEnd w:id="664"/>
      <w:bookmarkEnd w:id="665"/>
    </w:p>
    <w:bookmarkEnd w:id="666"/>
    <w:p w14:paraId="344F82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695DAC8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保险事故发生时，投保人应按照保险合同规定的条件和期限及时向保险人报告。发包人和承包人应当在知道保险事故发生后及时通知对方。</w:t>
      </w:r>
    </w:p>
    <w:p w14:paraId="49AFFA33">
      <w:pPr>
        <w:keepNext/>
        <w:keepLines/>
        <w:spacing w:line="420" w:lineRule="exact"/>
        <w:ind w:firstLine="0" w:firstLineChars="0"/>
        <w:outlineLvl w:val="0"/>
        <w:rPr>
          <w:rFonts w:ascii="宋体" w:hAnsi="宋体" w:cs="宋体"/>
          <w:b/>
          <w:bCs/>
          <w:color w:val="auto"/>
          <w:kern w:val="44"/>
          <w:sz w:val="21"/>
          <w:szCs w:val="21"/>
          <w:highlight w:val="none"/>
        </w:rPr>
      </w:pPr>
      <w:bookmarkStart w:id="667" w:name="_Toc478389169"/>
      <w:bookmarkStart w:id="668" w:name="_Toc351203620"/>
      <w:bookmarkStart w:id="669" w:name="_Toc296346641"/>
      <w:bookmarkStart w:id="670" w:name="_Toc337558835"/>
      <w:bookmarkStart w:id="671" w:name="_Toc296503140"/>
      <w:r>
        <w:rPr>
          <w:rFonts w:hint="eastAsia" w:ascii="宋体" w:hAnsi="宋体" w:cs="宋体"/>
          <w:b/>
          <w:bCs/>
          <w:color w:val="auto"/>
          <w:kern w:val="44"/>
          <w:sz w:val="21"/>
          <w:szCs w:val="21"/>
          <w:highlight w:val="none"/>
        </w:rPr>
        <w:t>19. 索赔</w:t>
      </w:r>
      <w:bookmarkEnd w:id="667"/>
      <w:bookmarkEnd w:id="668"/>
    </w:p>
    <w:bookmarkEnd w:id="669"/>
    <w:bookmarkEnd w:id="670"/>
    <w:bookmarkEnd w:id="671"/>
    <w:p w14:paraId="7F1E63D8">
      <w:pPr>
        <w:keepNext/>
        <w:keepLines/>
        <w:spacing w:line="420" w:lineRule="exact"/>
        <w:ind w:firstLine="0" w:firstLineChars="0"/>
        <w:outlineLvl w:val="0"/>
        <w:rPr>
          <w:rFonts w:ascii="宋体" w:hAnsi="宋体" w:cs="宋体"/>
          <w:b/>
          <w:bCs/>
          <w:color w:val="auto"/>
          <w:kern w:val="44"/>
          <w:sz w:val="21"/>
          <w:szCs w:val="21"/>
          <w:highlight w:val="none"/>
        </w:rPr>
      </w:pPr>
      <w:bookmarkStart w:id="672" w:name="_Toc351203621"/>
      <w:bookmarkStart w:id="673" w:name="_Toc478389170"/>
      <w:bookmarkStart w:id="674" w:name="_Toc337558836"/>
      <w:bookmarkStart w:id="675" w:name="_Toc296503141"/>
      <w:bookmarkStart w:id="676" w:name="_Toc296346642"/>
      <w:r>
        <w:rPr>
          <w:rFonts w:hint="eastAsia" w:ascii="宋体" w:hAnsi="宋体" w:cs="宋体"/>
          <w:b/>
          <w:bCs/>
          <w:color w:val="auto"/>
          <w:kern w:val="44"/>
          <w:sz w:val="21"/>
          <w:szCs w:val="21"/>
          <w:highlight w:val="none"/>
        </w:rPr>
        <w:t>19.1承包人的索赔</w:t>
      </w:r>
      <w:bookmarkEnd w:id="672"/>
      <w:bookmarkEnd w:id="673"/>
    </w:p>
    <w:bookmarkEnd w:id="674"/>
    <w:bookmarkEnd w:id="675"/>
    <w:bookmarkEnd w:id="676"/>
    <w:p w14:paraId="4BE9563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根据合同约定，承包人认为有权得到追加付款和（或）延长工期的，应按以下程序向发包人提出索赔：</w:t>
      </w:r>
    </w:p>
    <w:p w14:paraId="519C98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F8F71E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（2）承包人应在发出索赔意向通知书后28天内，向监理人正式递交索赔报告；索赔报告应详细说明索赔理由以及要求追加的付款金额和（或）延长的工期，并附必要的记录和证明材料；</w:t>
      </w:r>
    </w:p>
    <w:p w14:paraId="3D114D2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（3）索赔事件具有持续影响的，承包人应按合理时间间隔继续递交延续索赔通知，说明持续影响的实际情况和记录，列出累计的追加付款金额和（或）工期延长天数；</w:t>
      </w:r>
    </w:p>
    <w:p w14:paraId="5BC9F8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（4）在索赔事件影响结束后28天内，承包人应向监理人递交最终索赔报告，说明最终要求索赔的追加付款金额和（或）延长的工期，并附必要的记录和证明材料。</w:t>
      </w:r>
    </w:p>
    <w:p w14:paraId="6E42F831">
      <w:pPr>
        <w:keepNext/>
        <w:keepLines/>
        <w:spacing w:line="420" w:lineRule="exact"/>
        <w:ind w:firstLine="0" w:firstLineChars="0"/>
        <w:outlineLvl w:val="0"/>
        <w:rPr>
          <w:rFonts w:ascii="宋体" w:hAnsi="宋体" w:cs="宋体"/>
          <w:b/>
          <w:bCs/>
          <w:color w:val="auto"/>
          <w:kern w:val="44"/>
          <w:sz w:val="21"/>
          <w:szCs w:val="21"/>
          <w:highlight w:val="none"/>
        </w:rPr>
      </w:pPr>
      <w:bookmarkStart w:id="677" w:name="_Toc351203622"/>
      <w:bookmarkStart w:id="678" w:name="_Toc478389171"/>
      <w:bookmarkStart w:id="679" w:name="_Toc296346643"/>
      <w:bookmarkStart w:id="680" w:name="_Toc296503142"/>
      <w:bookmarkStart w:id="681" w:name="_Toc337558837"/>
      <w:r>
        <w:rPr>
          <w:rFonts w:hint="eastAsia" w:ascii="宋体" w:hAnsi="宋体" w:cs="宋体"/>
          <w:b/>
          <w:bCs/>
          <w:color w:val="auto"/>
          <w:kern w:val="44"/>
          <w:sz w:val="21"/>
          <w:szCs w:val="21"/>
          <w:highlight w:val="none"/>
        </w:rPr>
        <w:t>19.2 对承包人索赔的处理</w:t>
      </w:r>
      <w:bookmarkEnd w:id="677"/>
      <w:bookmarkEnd w:id="678"/>
    </w:p>
    <w:bookmarkEnd w:id="679"/>
    <w:bookmarkEnd w:id="680"/>
    <w:bookmarkEnd w:id="681"/>
    <w:p w14:paraId="1A3856D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对承包人索赔的处理如下：</w:t>
      </w:r>
    </w:p>
    <w:p w14:paraId="7E67D3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（1）监理人应在收到索赔报告后14天内完成审查并报送发包人。监理人对索赔报告存在异议的，有权要求承包人提交全部原始记录副本；</w:t>
      </w:r>
    </w:p>
    <w:p w14:paraId="702C1F4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（2）发包人应在监理人收到索赔报告或有关索赔的进一步证明材料后的28天内，由监理人向承包人出具经发包人签认的索赔处理结果。发包人逾期答复的，则视为认可承包人的索赔要求；</w:t>
      </w:r>
    </w:p>
    <w:p w14:paraId="67B8598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（3）承包人接受索赔处理结果的，索赔款项在当期进度款中进行支付；承包人不接受索赔处理结果的，按照第20条〔争议解决〕约定处理。</w:t>
      </w:r>
    </w:p>
    <w:p w14:paraId="264F8A8D">
      <w:pPr>
        <w:keepNext/>
        <w:keepLines/>
        <w:spacing w:line="420" w:lineRule="exact"/>
        <w:ind w:firstLine="0" w:firstLineChars="0"/>
        <w:outlineLvl w:val="0"/>
        <w:rPr>
          <w:rFonts w:ascii="宋体" w:hAnsi="宋体" w:cs="宋体"/>
          <w:b/>
          <w:bCs/>
          <w:color w:val="auto"/>
          <w:kern w:val="44"/>
          <w:sz w:val="21"/>
          <w:szCs w:val="21"/>
          <w:highlight w:val="none"/>
        </w:rPr>
      </w:pPr>
      <w:bookmarkStart w:id="682" w:name="_Toc478389172"/>
      <w:bookmarkStart w:id="683" w:name="_Toc351203623"/>
      <w:bookmarkStart w:id="684" w:name="_Toc337558838"/>
      <w:bookmarkStart w:id="685" w:name="_Toc296503143"/>
      <w:bookmarkStart w:id="686" w:name="_Toc296346644"/>
      <w:r>
        <w:rPr>
          <w:rFonts w:hint="eastAsia" w:ascii="宋体" w:hAnsi="宋体" w:cs="宋体"/>
          <w:b/>
          <w:bCs/>
          <w:color w:val="auto"/>
          <w:kern w:val="44"/>
          <w:sz w:val="21"/>
          <w:szCs w:val="21"/>
          <w:highlight w:val="none"/>
        </w:rPr>
        <w:t>19.3发包人的索赔</w:t>
      </w:r>
      <w:bookmarkEnd w:id="682"/>
      <w:bookmarkEnd w:id="683"/>
    </w:p>
    <w:bookmarkEnd w:id="684"/>
    <w:bookmarkEnd w:id="685"/>
    <w:bookmarkEnd w:id="686"/>
    <w:p w14:paraId="54831C6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根据合同约定，发包人认为有权得到赔付金额和（或）延长缺陷责任期的，监理人应向承包人发出通知并附有详细的证明。</w:t>
      </w:r>
    </w:p>
    <w:p w14:paraId="44E4E1A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1BB1756C">
      <w:pPr>
        <w:keepNext/>
        <w:keepLines/>
        <w:spacing w:line="420" w:lineRule="exact"/>
        <w:ind w:firstLine="0" w:firstLineChars="0"/>
        <w:outlineLvl w:val="0"/>
        <w:rPr>
          <w:rFonts w:ascii="宋体" w:hAnsi="宋体" w:cs="宋体"/>
          <w:b/>
          <w:bCs/>
          <w:color w:val="auto"/>
          <w:kern w:val="44"/>
          <w:sz w:val="21"/>
          <w:szCs w:val="21"/>
          <w:highlight w:val="none"/>
        </w:rPr>
      </w:pPr>
      <w:bookmarkStart w:id="687" w:name="_Toc351203624"/>
      <w:bookmarkStart w:id="688" w:name="_Toc478389173"/>
      <w:bookmarkStart w:id="689" w:name="_Toc296346645"/>
      <w:bookmarkStart w:id="690" w:name="_Toc337558839"/>
      <w:bookmarkStart w:id="691" w:name="_Toc296503144"/>
      <w:r>
        <w:rPr>
          <w:rFonts w:hint="eastAsia" w:ascii="宋体" w:hAnsi="宋体" w:cs="宋体"/>
          <w:b/>
          <w:bCs/>
          <w:color w:val="auto"/>
          <w:kern w:val="44"/>
          <w:sz w:val="21"/>
          <w:szCs w:val="21"/>
          <w:highlight w:val="none"/>
        </w:rPr>
        <w:t>19.4 对发包人索赔的处理</w:t>
      </w:r>
      <w:bookmarkEnd w:id="687"/>
      <w:bookmarkEnd w:id="688"/>
    </w:p>
    <w:bookmarkEnd w:id="689"/>
    <w:bookmarkEnd w:id="690"/>
    <w:bookmarkEnd w:id="691"/>
    <w:p w14:paraId="01F27B1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对发包人索赔的处理如下：</w:t>
      </w:r>
    </w:p>
    <w:p w14:paraId="4E68E67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（1）承包人收到发包人提交的索赔报告后，应及时审查索赔报告的内容、查验发包人证明材料；</w:t>
      </w:r>
    </w:p>
    <w:p w14:paraId="295D42A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（2）承包人应在收到索赔报告或有关索赔的进一步证明材料后28天内，将索赔处理结果答复发包人。如果承包人未在上述期限内作出答复的，则视为对发包人索赔要求的认可；</w:t>
      </w:r>
    </w:p>
    <w:p w14:paraId="79D3346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（3）承包人接受索赔处理结果的，发包人可从应支付给承包人的合同价款中扣除赔付的金额或延长缺陷责任期；发包人不接受索赔处理结果的，按第20条〔争议解决〕约定处理。</w:t>
      </w:r>
    </w:p>
    <w:p w14:paraId="368EE3B5">
      <w:pPr>
        <w:keepNext/>
        <w:keepLines/>
        <w:spacing w:line="420" w:lineRule="exact"/>
        <w:ind w:firstLine="0" w:firstLineChars="0"/>
        <w:outlineLvl w:val="0"/>
        <w:rPr>
          <w:rFonts w:ascii="宋体" w:hAnsi="宋体" w:cs="宋体"/>
          <w:b/>
          <w:bCs/>
          <w:color w:val="auto"/>
          <w:kern w:val="44"/>
          <w:sz w:val="21"/>
          <w:szCs w:val="21"/>
          <w:highlight w:val="none"/>
        </w:rPr>
      </w:pPr>
      <w:bookmarkStart w:id="692" w:name="_Toc351203625"/>
      <w:bookmarkStart w:id="693" w:name="_Toc478389174"/>
      <w:r>
        <w:rPr>
          <w:rFonts w:hint="eastAsia" w:ascii="宋体" w:hAnsi="宋体" w:cs="宋体"/>
          <w:b/>
          <w:bCs/>
          <w:color w:val="auto"/>
          <w:kern w:val="44"/>
          <w:sz w:val="21"/>
          <w:szCs w:val="21"/>
          <w:highlight w:val="none"/>
        </w:rPr>
        <w:t>19.5 提出索赔的期限</w:t>
      </w:r>
      <w:bookmarkEnd w:id="692"/>
      <w:bookmarkEnd w:id="693"/>
    </w:p>
    <w:p w14:paraId="22C273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（1）承包人按第14.2款〔竣工结算审核〕约定接收竣工付款证书后，应被视为已无权再提出在工程接收证书颁发前所发生的任何索赔。</w:t>
      </w:r>
    </w:p>
    <w:p w14:paraId="18E4C3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（2）承包人按第14.4款〔最终结清〕提交的最终结清申请单中，只限于提出工程接收证书颁发后发生的索赔。提出索赔的期限自接受最终结清证书时终止。</w:t>
      </w:r>
    </w:p>
    <w:p w14:paraId="1B215F69">
      <w:pPr>
        <w:keepNext/>
        <w:keepLines/>
        <w:spacing w:line="380" w:lineRule="exact"/>
        <w:ind w:firstLine="0" w:firstLineChars="0"/>
        <w:outlineLvl w:val="0"/>
        <w:rPr>
          <w:rFonts w:ascii="宋体" w:hAnsi="宋体" w:cs="宋体"/>
          <w:b/>
          <w:bCs/>
          <w:color w:val="auto"/>
          <w:kern w:val="44"/>
          <w:sz w:val="21"/>
          <w:szCs w:val="21"/>
          <w:highlight w:val="none"/>
        </w:rPr>
      </w:pPr>
      <w:bookmarkStart w:id="694" w:name="_Toc478389175"/>
      <w:bookmarkStart w:id="695" w:name="_Toc351203626"/>
      <w:r>
        <w:rPr>
          <w:rFonts w:hint="eastAsia" w:ascii="宋体" w:hAnsi="宋体" w:cs="宋体"/>
          <w:b/>
          <w:bCs/>
          <w:color w:val="auto"/>
          <w:kern w:val="44"/>
          <w:sz w:val="21"/>
          <w:szCs w:val="21"/>
          <w:highlight w:val="none"/>
        </w:rPr>
        <w:t>20</w:t>
      </w:r>
      <w:bookmarkStart w:id="696" w:name="_Toc296503146"/>
      <w:bookmarkStart w:id="697" w:name="_Toc296346647"/>
      <w:bookmarkStart w:id="698" w:name="_Toc337558840"/>
      <w:r>
        <w:rPr>
          <w:rFonts w:hint="eastAsia" w:ascii="宋体" w:hAnsi="宋体" w:cs="宋体"/>
          <w:b/>
          <w:bCs/>
          <w:color w:val="auto"/>
          <w:kern w:val="44"/>
          <w:sz w:val="21"/>
          <w:szCs w:val="21"/>
          <w:highlight w:val="none"/>
        </w:rPr>
        <w:t>. 争议解决</w:t>
      </w:r>
      <w:bookmarkEnd w:id="694"/>
      <w:bookmarkEnd w:id="695"/>
    </w:p>
    <w:bookmarkEnd w:id="696"/>
    <w:bookmarkEnd w:id="697"/>
    <w:bookmarkEnd w:id="698"/>
    <w:p w14:paraId="6A55F77D">
      <w:pPr>
        <w:keepNext/>
        <w:keepLines/>
        <w:spacing w:line="380" w:lineRule="exact"/>
        <w:ind w:firstLine="0" w:firstLineChars="0"/>
        <w:outlineLvl w:val="0"/>
        <w:rPr>
          <w:rFonts w:ascii="宋体" w:hAnsi="宋体" w:cs="宋体"/>
          <w:b/>
          <w:bCs/>
          <w:color w:val="auto"/>
          <w:kern w:val="44"/>
          <w:sz w:val="21"/>
          <w:szCs w:val="21"/>
          <w:highlight w:val="none"/>
        </w:rPr>
      </w:pPr>
      <w:bookmarkStart w:id="699" w:name="_Toc478389176"/>
      <w:bookmarkStart w:id="700" w:name="_Toc351203627"/>
      <w:bookmarkStart w:id="701" w:name="_Toc296503147"/>
      <w:bookmarkStart w:id="702" w:name="_Toc296346648"/>
      <w:bookmarkStart w:id="703" w:name="_Toc337558841"/>
      <w:r>
        <w:rPr>
          <w:rFonts w:hint="eastAsia" w:ascii="宋体" w:hAnsi="宋体" w:cs="宋体"/>
          <w:b/>
          <w:bCs/>
          <w:color w:val="auto"/>
          <w:kern w:val="44"/>
          <w:sz w:val="21"/>
          <w:szCs w:val="21"/>
          <w:highlight w:val="none"/>
        </w:rPr>
        <w:t>20.1和解</w:t>
      </w:r>
      <w:bookmarkEnd w:id="699"/>
      <w:bookmarkEnd w:id="700"/>
    </w:p>
    <w:bookmarkEnd w:id="701"/>
    <w:bookmarkEnd w:id="702"/>
    <w:bookmarkEnd w:id="703"/>
    <w:p w14:paraId="7F046706">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合同当事人可以就争议自行和解，自行和解达成协议的经双方签字并盖章后作为合同补充文件，双方均应遵照执行。</w:t>
      </w:r>
    </w:p>
    <w:p w14:paraId="66F1519B">
      <w:pPr>
        <w:keepNext/>
        <w:keepLines/>
        <w:spacing w:line="380" w:lineRule="exact"/>
        <w:ind w:firstLine="0" w:firstLineChars="0"/>
        <w:outlineLvl w:val="0"/>
        <w:rPr>
          <w:rFonts w:ascii="宋体" w:hAnsi="宋体" w:cs="宋体"/>
          <w:b/>
          <w:bCs/>
          <w:color w:val="auto"/>
          <w:kern w:val="44"/>
          <w:sz w:val="21"/>
          <w:szCs w:val="21"/>
          <w:highlight w:val="none"/>
        </w:rPr>
      </w:pPr>
      <w:bookmarkStart w:id="704" w:name="_Toc351203628"/>
      <w:bookmarkStart w:id="705" w:name="_Toc478389177"/>
      <w:r>
        <w:rPr>
          <w:rFonts w:hint="eastAsia" w:ascii="宋体" w:hAnsi="宋体" w:cs="宋体"/>
          <w:b/>
          <w:bCs/>
          <w:color w:val="auto"/>
          <w:kern w:val="44"/>
          <w:sz w:val="21"/>
          <w:szCs w:val="21"/>
          <w:highlight w:val="none"/>
        </w:rPr>
        <w:t>20</w:t>
      </w:r>
      <w:bookmarkStart w:id="706" w:name="_Toc296346649"/>
      <w:bookmarkStart w:id="707" w:name="_Toc296503148"/>
      <w:bookmarkStart w:id="708" w:name="_Toc337558842"/>
      <w:r>
        <w:rPr>
          <w:rFonts w:hint="eastAsia" w:ascii="宋体" w:hAnsi="宋体" w:cs="宋体"/>
          <w:b/>
          <w:bCs/>
          <w:color w:val="auto"/>
          <w:kern w:val="44"/>
          <w:sz w:val="21"/>
          <w:szCs w:val="21"/>
          <w:highlight w:val="none"/>
        </w:rPr>
        <w:t>.2调解</w:t>
      </w:r>
      <w:bookmarkEnd w:id="704"/>
      <w:bookmarkEnd w:id="705"/>
    </w:p>
    <w:bookmarkEnd w:id="706"/>
    <w:bookmarkEnd w:id="707"/>
    <w:bookmarkEnd w:id="708"/>
    <w:p w14:paraId="52D48E09">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合同当事人可以就争议请求建设行政主管部门、行业协会或其他第三方进行调解，调解达成协议的，经双方签字并盖章后作为合同补充文件，双方均应遵照执行。</w:t>
      </w:r>
    </w:p>
    <w:p w14:paraId="3F59CA3C">
      <w:pPr>
        <w:keepNext/>
        <w:keepLines/>
        <w:spacing w:line="380" w:lineRule="exact"/>
        <w:ind w:firstLine="0" w:firstLineChars="0"/>
        <w:outlineLvl w:val="0"/>
        <w:rPr>
          <w:rFonts w:ascii="宋体" w:hAnsi="宋体" w:cs="宋体"/>
          <w:b/>
          <w:bCs/>
          <w:color w:val="auto"/>
          <w:kern w:val="44"/>
          <w:sz w:val="21"/>
          <w:szCs w:val="21"/>
          <w:highlight w:val="none"/>
        </w:rPr>
      </w:pPr>
      <w:bookmarkStart w:id="709" w:name="_Toc478389178"/>
      <w:bookmarkStart w:id="710" w:name="_Toc351203629"/>
      <w:bookmarkStart w:id="711" w:name="_Toc337558843"/>
      <w:bookmarkStart w:id="712" w:name="_Toc296346650"/>
      <w:bookmarkStart w:id="713" w:name="_Toc296503149"/>
      <w:r>
        <w:rPr>
          <w:rFonts w:hint="eastAsia" w:ascii="宋体" w:hAnsi="宋体" w:cs="宋体"/>
          <w:b/>
          <w:bCs/>
          <w:color w:val="auto"/>
          <w:kern w:val="44"/>
          <w:sz w:val="21"/>
          <w:szCs w:val="21"/>
          <w:highlight w:val="none"/>
        </w:rPr>
        <w:t>20.3争议评审</w:t>
      </w:r>
      <w:bookmarkEnd w:id="709"/>
      <w:bookmarkEnd w:id="710"/>
    </w:p>
    <w:bookmarkEnd w:id="711"/>
    <w:bookmarkEnd w:id="712"/>
    <w:bookmarkEnd w:id="713"/>
    <w:p w14:paraId="72B026E7">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合同当事人在专用合同条款中约定采取争议评审方式解决争议以及评审规则，并按下列约定执行： </w:t>
      </w:r>
    </w:p>
    <w:p w14:paraId="6AD15437">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20.3.1 争议评审小组的确定</w:t>
      </w:r>
    </w:p>
    <w:p w14:paraId="7B98BC2F">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合同当事人可以共同选择一名或三名争议评审员，组成争议评审小组。除专用合同条款另有约定外，合同当事人应当自合同签订后28天内，或者争议发生后14天内，选定争议评审员。</w:t>
      </w:r>
    </w:p>
    <w:p w14:paraId="2D78612B">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7E347F77">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除专用合同条款另有约定外，评审员报酬由发包人和承包人各承担一半。</w:t>
      </w:r>
    </w:p>
    <w:p w14:paraId="3F0AF80F">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20.3.2 争议评审小组的决定</w:t>
      </w:r>
    </w:p>
    <w:p w14:paraId="22DB2CCB">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4D523D50">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20.3.3 争议评审小组决定的效力</w:t>
      </w:r>
    </w:p>
    <w:p w14:paraId="67071089">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争议评审小组作出的书面决定经合同当事人签字确认后，对双方具有约束力，双方应遵照执行。</w:t>
      </w:r>
    </w:p>
    <w:p w14:paraId="151235E2">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任何一方当事人不接受争议评审小组决定或不履行争议评审小组决定的，双方可选择采用其他争议解决方式。</w:t>
      </w:r>
    </w:p>
    <w:p w14:paraId="76A9D7F8">
      <w:pPr>
        <w:keepNext/>
        <w:keepLines/>
        <w:spacing w:line="380" w:lineRule="exact"/>
        <w:ind w:firstLine="0" w:firstLineChars="0"/>
        <w:outlineLvl w:val="0"/>
        <w:rPr>
          <w:rFonts w:ascii="宋体" w:hAnsi="宋体" w:cs="宋体"/>
          <w:b/>
          <w:bCs/>
          <w:color w:val="auto"/>
          <w:kern w:val="44"/>
          <w:sz w:val="21"/>
          <w:szCs w:val="21"/>
          <w:highlight w:val="none"/>
        </w:rPr>
      </w:pPr>
      <w:bookmarkStart w:id="714" w:name="_Toc478389179"/>
      <w:bookmarkStart w:id="715" w:name="_Toc351203630"/>
      <w:bookmarkStart w:id="716" w:name="_Toc296346651"/>
      <w:bookmarkStart w:id="717" w:name="_Toc296503150"/>
      <w:bookmarkStart w:id="718" w:name="_Toc337558844"/>
      <w:r>
        <w:rPr>
          <w:rFonts w:hint="eastAsia" w:ascii="宋体" w:hAnsi="宋体" w:cs="宋体"/>
          <w:b/>
          <w:bCs/>
          <w:color w:val="auto"/>
          <w:kern w:val="44"/>
          <w:sz w:val="21"/>
          <w:szCs w:val="21"/>
          <w:highlight w:val="none"/>
        </w:rPr>
        <w:t>20.4仲裁或诉讼</w:t>
      </w:r>
      <w:bookmarkEnd w:id="714"/>
      <w:bookmarkEnd w:id="715"/>
    </w:p>
    <w:bookmarkEnd w:id="716"/>
    <w:bookmarkEnd w:id="717"/>
    <w:bookmarkEnd w:id="718"/>
    <w:p w14:paraId="6CCF4020">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因合同及合同有关事项产生的争议，合同当事人可以在专用合同条款中约定以下一种方式解决争议：</w:t>
      </w:r>
    </w:p>
    <w:p w14:paraId="65DBEF5A">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（1）向约定的仲裁委员会申请仲裁；</w:t>
      </w:r>
    </w:p>
    <w:p w14:paraId="417A46E8">
      <w:pPr>
        <w:spacing w:line="3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（2）向有管辖权的人民法院起诉。</w:t>
      </w:r>
    </w:p>
    <w:p w14:paraId="0AFF0BC0">
      <w:pPr>
        <w:keepNext/>
        <w:keepLines/>
        <w:spacing w:line="320" w:lineRule="exact"/>
        <w:ind w:firstLine="0" w:firstLineChars="0"/>
        <w:outlineLvl w:val="0"/>
        <w:rPr>
          <w:rFonts w:ascii="宋体" w:hAnsi="宋体" w:cs="宋体"/>
          <w:b/>
          <w:bCs/>
          <w:color w:val="auto"/>
          <w:kern w:val="44"/>
          <w:sz w:val="21"/>
          <w:szCs w:val="21"/>
          <w:highlight w:val="none"/>
        </w:rPr>
      </w:pPr>
      <w:bookmarkStart w:id="719" w:name="_Toc351203631"/>
      <w:bookmarkStart w:id="720" w:name="_Toc478389180"/>
      <w:bookmarkStart w:id="721" w:name="_Toc337558845"/>
      <w:bookmarkStart w:id="722" w:name="_Toc296346653"/>
      <w:bookmarkStart w:id="723" w:name="_Toc296503152"/>
      <w:r>
        <w:rPr>
          <w:rFonts w:hint="eastAsia" w:ascii="宋体" w:hAnsi="宋体" w:cs="宋体"/>
          <w:b/>
          <w:bCs/>
          <w:color w:val="auto"/>
          <w:kern w:val="44"/>
          <w:sz w:val="21"/>
          <w:szCs w:val="21"/>
          <w:highlight w:val="none"/>
        </w:rPr>
        <w:t>20.5争议解决条款效力</w:t>
      </w:r>
      <w:bookmarkEnd w:id="719"/>
      <w:bookmarkEnd w:id="720"/>
    </w:p>
    <w:bookmarkEnd w:id="721"/>
    <w:bookmarkEnd w:id="722"/>
    <w:bookmarkEnd w:id="723"/>
    <w:p w14:paraId="75727394">
      <w:pPr>
        <w:spacing w:line="3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合同有关争议解决的条款独立存在，合同的变更、解除、终止、无效或者被撤销均不影响其效力。 </w:t>
      </w:r>
      <w:bookmarkEnd w:id="80"/>
      <w:bookmarkEnd w:id="81"/>
      <w:bookmarkEnd w:id="82"/>
      <w:bookmarkStart w:id="724" w:name="_Toc478389181"/>
    </w:p>
    <w:p w14:paraId="42C8E2C3">
      <w:pPr>
        <w:spacing w:line="380" w:lineRule="exact"/>
        <w:ind w:firstLine="420"/>
        <w:rPr>
          <w:rFonts w:ascii="宋体" w:hAnsi="宋体" w:cs="宋体"/>
          <w:color w:val="auto"/>
          <w:sz w:val="21"/>
          <w:highlight w:val="none"/>
        </w:rPr>
      </w:pPr>
    </w:p>
    <w:p w14:paraId="2FB01F31">
      <w:pPr>
        <w:spacing w:line="380" w:lineRule="exact"/>
        <w:ind w:firstLine="420"/>
        <w:rPr>
          <w:rFonts w:ascii="宋体" w:hAnsi="宋体" w:cs="宋体"/>
          <w:color w:val="auto"/>
          <w:sz w:val="21"/>
          <w:highlight w:val="none"/>
        </w:rPr>
      </w:pPr>
    </w:p>
    <w:p w14:paraId="12A9782A">
      <w:pPr>
        <w:keepNext/>
        <w:keepLines/>
        <w:widowControl/>
        <w:ind w:firstLine="0" w:firstLineChars="0"/>
        <w:jc w:val="center"/>
        <w:outlineLvl w:val="0"/>
        <w:rPr>
          <w:rFonts w:ascii="宋体" w:hAnsi="宋体" w:eastAsia="黑体" w:cs="宋体"/>
          <w:b/>
          <w:bCs/>
          <w:color w:val="auto"/>
          <w:kern w:val="44"/>
          <w:sz w:val="28"/>
          <w:szCs w:val="28"/>
          <w:highlight w:val="none"/>
          <w:lang w:val="zh-CN"/>
        </w:rPr>
      </w:pPr>
    </w:p>
    <w:p w14:paraId="0A73A32D">
      <w:pPr>
        <w:widowControl/>
        <w:spacing w:line="240" w:lineRule="auto"/>
        <w:ind w:firstLine="0" w:firstLineChars="0"/>
        <w:jc w:val="left"/>
        <w:rPr>
          <w:rFonts w:ascii="宋体" w:hAnsi="宋体" w:eastAsia="黑体" w:cs="宋体"/>
          <w:b/>
          <w:bCs/>
          <w:color w:val="auto"/>
          <w:kern w:val="44"/>
          <w:sz w:val="28"/>
          <w:szCs w:val="28"/>
          <w:highlight w:val="none"/>
          <w:lang w:val="zh-CN"/>
        </w:rPr>
      </w:pPr>
      <w:r>
        <w:rPr>
          <w:rFonts w:ascii="宋体" w:hAnsi="宋体" w:cs="宋体"/>
          <w:color w:val="auto"/>
          <w:highlight w:val="none"/>
        </w:rPr>
        <w:br w:type="page"/>
      </w:r>
    </w:p>
    <w:p w14:paraId="1147A681">
      <w:pPr>
        <w:keepNext/>
        <w:keepLines/>
        <w:widowControl/>
        <w:ind w:firstLine="0" w:firstLineChars="0"/>
        <w:jc w:val="center"/>
        <w:outlineLvl w:val="0"/>
        <w:rPr>
          <w:rFonts w:ascii="宋体" w:hAnsi="宋体" w:eastAsia="黑体" w:cs="宋体"/>
          <w:b/>
          <w:bCs/>
          <w:color w:val="auto"/>
          <w:kern w:val="44"/>
          <w:sz w:val="28"/>
          <w:szCs w:val="28"/>
          <w:highlight w:val="none"/>
          <w:lang w:val="zh-CN"/>
        </w:rPr>
      </w:pPr>
      <w:r>
        <w:rPr>
          <w:rFonts w:hint="eastAsia" w:ascii="宋体" w:hAnsi="宋体" w:eastAsia="黑体" w:cs="宋体"/>
          <w:b/>
          <w:bCs/>
          <w:color w:val="auto"/>
          <w:kern w:val="44"/>
          <w:sz w:val="28"/>
          <w:szCs w:val="28"/>
          <w:highlight w:val="none"/>
          <w:lang w:val="zh-CN"/>
        </w:rPr>
        <w:t>第三部分 专用合同条款</w:t>
      </w:r>
    </w:p>
    <w:bookmarkEnd w:id="724"/>
    <w:p w14:paraId="04CB5C56">
      <w:pPr>
        <w:keepNext/>
        <w:keepLines/>
        <w:spacing w:line="420" w:lineRule="exact"/>
        <w:ind w:firstLine="0" w:firstLineChars="0"/>
        <w:outlineLvl w:val="0"/>
        <w:rPr>
          <w:rFonts w:ascii="宋体" w:hAnsi="宋体" w:cs="宋体"/>
          <w:b/>
          <w:bCs/>
          <w:color w:val="auto"/>
          <w:kern w:val="44"/>
          <w:sz w:val="21"/>
          <w:szCs w:val="21"/>
          <w:highlight w:val="none"/>
        </w:rPr>
      </w:pPr>
      <w:bookmarkStart w:id="725" w:name="_Toc351203633"/>
      <w:bookmarkStart w:id="726" w:name="_Toc417904268"/>
      <w:bookmarkStart w:id="727" w:name="_Toc478389182"/>
      <w:r>
        <w:rPr>
          <w:rFonts w:hint="eastAsia" w:ascii="宋体" w:hAnsi="宋体" w:cs="宋体"/>
          <w:b/>
          <w:bCs/>
          <w:color w:val="auto"/>
          <w:kern w:val="44"/>
          <w:sz w:val="21"/>
          <w:szCs w:val="21"/>
          <w:highlight w:val="none"/>
        </w:rPr>
        <w:t>1</w:t>
      </w:r>
      <w:bookmarkStart w:id="728" w:name="_Toc296347155"/>
      <w:bookmarkStart w:id="729" w:name="_Toc297120456"/>
      <w:bookmarkStart w:id="730" w:name="_Toc292559866"/>
      <w:bookmarkStart w:id="731" w:name="_Toc296891196"/>
      <w:bookmarkStart w:id="732" w:name="_Toc296503156"/>
      <w:bookmarkStart w:id="733" w:name="_Toc296890984"/>
      <w:bookmarkStart w:id="734" w:name="_Toc297048342"/>
      <w:bookmarkStart w:id="735" w:name="_Toc296944495"/>
      <w:bookmarkStart w:id="736" w:name="_Toc296346657"/>
      <w:bookmarkStart w:id="737" w:name="_Toc292559361"/>
      <w:r>
        <w:rPr>
          <w:rFonts w:hint="eastAsia" w:ascii="宋体" w:hAnsi="宋体" w:cs="宋体"/>
          <w:b/>
          <w:bCs/>
          <w:color w:val="auto"/>
          <w:kern w:val="44"/>
          <w:sz w:val="21"/>
          <w:szCs w:val="21"/>
          <w:highlight w:val="none"/>
        </w:rPr>
        <w:t>. 一般约定</w:t>
      </w:r>
      <w:bookmarkEnd w:id="725"/>
      <w:bookmarkEnd w:id="726"/>
      <w:bookmarkEnd w:id="727"/>
    </w:p>
    <w:bookmarkEnd w:id="728"/>
    <w:bookmarkEnd w:id="729"/>
    <w:bookmarkEnd w:id="730"/>
    <w:bookmarkEnd w:id="731"/>
    <w:bookmarkEnd w:id="732"/>
    <w:bookmarkEnd w:id="733"/>
    <w:bookmarkEnd w:id="734"/>
    <w:bookmarkEnd w:id="735"/>
    <w:bookmarkEnd w:id="736"/>
    <w:bookmarkEnd w:id="737"/>
    <w:p w14:paraId="08A20EEF">
      <w:pPr>
        <w:keepNext/>
        <w:keepLines/>
        <w:spacing w:line="420" w:lineRule="exact"/>
        <w:ind w:firstLine="0" w:firstLineChars="0"/>
        <w:outlineLvl w:val="0"/>
        <w:rPr>
          <w:rFonts w:ascii="宋体" w:hAnsi="宋体" w:cs="宋体"/>
          <w:b/>
          <w:bCs/>
          <w:color w:val="auto"/>
          <w:kern w:val="44"/>
          <w:sz w:val="21"/>
          <w:szCs w:val="21"/>
          <w:highlight w:val="none"/>
        </w:rPr>
      </w:pPr>
      <w:bookmarkStart w:id="738" w:name="_Toc417904269"/>
      <w:bookmarkStart w:id="739" w:name="_Toc478389183"/>
      <w:r>
        <w:rPr>
          <w:rFonts w:hint="eastAsia" w:ascii="宋体" w:hAnsi="宋体" w:cs="宋体"/>
          <w:b/>
          <w:bCs/>
          <w:color w:val="auto"/>
          <w:kern w:val="44"/>
          <w:sz w:val="21"/>
          <w:szCs w:val="21"/>
          <w:highlight w:val="none"/>
        </w:rPr>
        <w:t>1.1 词语定义</w:t>
      </w:r>
      <w:bookmarkEnd w:id="738"/>
      <w:bookmarkEnd w:id="739"/>
    </w:p>
    <w:p w14:paraId="4C23A96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1.1.1合同</w:t>
      </w:r>
    </w:p>
    <w:p w14:paraId="0F27F38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1.1.1.10其他合同文件包括：</w:t>
      </w:r>
      <w:r>
        <w:rPr>
          <w:rFonts w:hint="eastAsia" w:ascii="宋体" w:hAnsi="宋体" w:cs="宋体"/>
          <w:color w:val="auto"/>
          <w:sz w:val="21"/>
          <w:szCs w:val="21"/>
          <w:highlight w:val="none"/>
          <w:u w:val="single"/>
        </w:rPr>
        <w:t>（1）本合同协议书；（2）成交通知书；（3）磋商书及其附件；（4）本合同专用条款及补充条款；（5）本合同通用条款；（6）标准、规范及有关技术文件；（7）工程量清单；（8）本工程预算控制价造价成果文件及其他合同文件。</w:t>
      </w:r>
    </w:p>
    <w:p w14:paraId="0AB61A4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1.1.2 合同当事人及其他相关方</w:t>
      </w:r>
    </w:p>
    <w:p w14:paraId="0719B01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1.1.2.4监理人：</w:t>
      </w:r>
    </w:p>
    <w:p w14:paraId="7F84331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名    称：</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DA9256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资质类别和等级：</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2D0C48F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B580B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BB21A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A9CBC4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1.1.2.5 设计人：</w:t>
      </w:r>
    </w:p>
    <w:p w14:paraId="79F0E6A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名    称：</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29CDB19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资质类别和等级：</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321EF4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7E63ED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37052D6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CAB6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 工程和设备</w:t>
      </w:r>
    </w:p>
    <w:p w14:paraId="36D4535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1.1.3.7 作为施工现场组成部分的其他场所包括：</w:t>
      </w:r>
      <w:r>
        <w:rPr>
          <w:rFonts w:hint="eastAsia" w:ascii="宋体" w:hAnsi="宋体" w:cs="宋体"/>
          <w:color w:val="auto"/>
          <w:sz w:val="21"/>
          <w:szCs w:val="21"/>
          <w:highlight w:val="none"/>
          <w:u w:val="single"/>
        </w:rPr>
        <w:t xml:space="preserve">  临时设施和临时用地 </w:t>
      </w:r>
      <w:r>
        <w:rPr>
          <w:rFonts w:hint="eastAsia" w:ascii="宋体" w:hAnsi="宋体" w:cs="宋体"/>
          <w:color w:val="auto"/>
          <w:sz w:val="21"/>
          <w:szCs w:val="21"/>
          <w:highlight w:val="none"/>
        </w:rPr>
        <w:t>。</w:t>
      </w:r>
    </w:p>
    <w:p w14:paraId="0A8EC2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1.1.3.9 永久占地包括：</w:t>
      </w:r>
      <w:r>
        <w:rPr>
          <w:rFonts w:hint="eastAsia" w:ascii="宋体" w:hAnsi="宋体" w:cs="宋体"/>
          <w:color w:val="auto"/>
          <w:sz w:val="21"/>
          <w:szCs w:val="21"/>
          <w:highlight w:val="none"/>
          <w:u w:val="single"/>
        </w:rPr>
        <w:t xml:space="preserve">      建、构筑物用地                </w:t>
      </w:r>
      <w:r>
        <w:rPr>
          <w:rFonts w:hint="eastAsia" w:ascii="宋体" w:hAnsi="宋体" w:cs="宋体"/>
          <w:color w:val="auto"/>
          <w:sz w:val="21"/>
          <w:szCs w:val="21"/>
          <w:highlight w:val="none"/>
        </w:rPr>
        <w:t>。</w:t>
      </w:r>
    </w:p>
    <w:p w14:paraId="21DB6A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1.1.3.10 临时占地包括：</w:t>
      </w:r>
      <w:r>
        <w:rPr>
          <w:rFonts w:hint="eastAsia" w:ascii="宋体" w:hAnsi="宋体" w:cs="宋体"/>
          <w:color w:val="auto"/>
          <w:sz w:val="21"/>
          <w:szCs w:val="21"/>
          <w:highlight w:val="none"/>
          <w:u w:val="single"/>
        </w:rPr>
        <w:t xml:space="preserve">      临时设施和临时用地                  </w:t>
      </w:r>
      <w:r>
        <w:rPr>
          <w:rFonts w:hint="eastAsia" w:ascii="宋体" w:hAnsi="宋体" w:cs="宋体"/>
          <w:color w:val="auto"/>
          <w:sz w:val="21"/>
          <w:szCs w:val="21"/>
          <w:highlight w:val="none"/>
        </w:rPr>
        <w:t>。</w:t>
      </w:r>
    </w:p>
    <w:p w14:paraId="7993B315">
      <w:pPr>
        <w:keepNext/>
        <w:keepLines/>
        <w:spacing w:line="420" w:lineRule="exact"/>
        <w:ind w:firstLine="0" w:firstLineChars="0"/>
        <w:outlineLvl w:val="0"/>
        <w:rPr>
          <w:rFonts w:ascii="宋体" w:hAnsi="宋体" w:cs="宋体"/>
          <w:b/>
          <w:bCs/>
          <w:color w:val="auto"/>
          <w:kern w:val="44"/>
          <w:sz w:val="21"/>
          <w:szCs w:val="21"/>
          <w:highlight w:val="none"/>
        </w:rPr>
      </w:pPr>
      <w:bookmarkStart w:id="740" w:name="_Toc478389184"/>
      <w:bookmarkStart w:id="741" w:name="_Toc417904270"/>
      <w:r>
        <w:rPr>
          <w:rFonts w:hint="eastAsia" w:ascii="宋体" w:hAnsi="宋体" w:cs="宋体"/>
          <w:b/>
          <w:bCs/>
          <w:color w:val="auto"/>
          <w:kern w:val="44"/>
          <w:sz w:val="21"/>
          <w:szCs w:val="21"/>
          <w:highlight w:val="none"/>
        </w:rPr>
        <w:t>1.3法律</w:t>
      </w:r>
      <w:bookmarkEnd w:id="740"/>
      <w:bookmarkEnd w:id="741"/>
    </w:p>
    <w:p w14:paraId="324A233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适用于合同的其他规范性文件：</w:t>
      </w:r>
      <w:r>
        <w:rPr>
          <w:rFonts w:hint="eastAsia" w:ascii="宋体" w:hAnsi="宋体" w:cs="宋体"/>
          <w:color w:val="auto"/>
          <w:sz w:val="21"/>
          <w:szCs w:val="21"/>
          <w:highlight w:val="none"/>
          <w:u w:val="single"/>
        </w:rPr>
        <w:t xml:space="preserve">  现行的国家法律、行政法规及部门规章，工程所在地政府、行政主管部门的有关法规和规章及规范性文件 </w:t>
      </w:r>
      <w:r>
        <w:rPr>
          <w:rFonts w:hint="eastAsia" w:ascii="宋体" w:hAnsi="宋体" w:cs="宋体"/>
          <w:color w:val="auto"/>
          <w:sz w:val="21"/>
          <w:szCs w:val="21"/>
          <w:highlight w:val="none"/>
        </w:rPr>
        <w:t>。</w:t>
      </w:r>
    </w:p>
    <w:p w14:paraId="6136C9AD">
      <w:pPr>
        <w:keepNext/>
        <w:keepLines/>
        <w:spacing w:line="420" w:lineRule="exact"/>
        <w:ind w:firstLine="0" w:firstLineChars="0"/>
        <w:outlineLvl w:val="0"/>
        <w:rPr>
          <w:rFonts w:ascii="宋体" w:hAnsi="宋体" w:cs="宋体"/>
          <w:b/>
          <w:bCs/>
          <w:color w:val="auto"/>
          <w:kern w:val="44"/>
          <w:sz w:val="21"/>
          <w:szCs w:val="21"/>
          <w:highlight w:val="none"/>
        </w:rPr>
      </w:pPr>
      <w:bookmarkStart w:id="742" w:name="_Toc478389185"/>
      <w:bookmarkStart w:id="743" w:name="_Toc417904271"/>
      <w:r>
        <w:rPr>
          <w:rFonts w:hint="eastAsia" w:ascii="宋体" w:hAnsi="宋体" w:cs="宋体"/>
          <w:b/>
          <w:bCs/>
          <w:color w:val="auto"/>
          <w:kern w:val="44"/>
          <w:sz w:val="21"/>
          <w:szCs w:val="21"/>
          <w:highlight w:val="none"/>
        </w:rPr>
        <w:t>1.4 标准和规范</w:t>
      </w:r>
      <w:bookmarkEnd w:id="742"/>
      <w:bookmarkEnd w:id="743"/>
    </w:p>
    <w:p w14:paraId="0DE3EEF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1.4.1适用于工程的标准规范包括：</w:t>
      </w:r>
      <w:r>
        <w:rPr>
          <w:rFonts w:hint="eastAsia" w:ascii="宋体" w:hAnsi="宋体" w:cs="宋体"/>
          <w:color w:val="auto"/>
          <w:sz w:val="21"/>
          <w:szCs w:val="21"/>
          <w:highlight w:val="none"/>
          <w:u w:val="single"/>
        </w:rPr>
        <w:t xml:space="preserve">     国家和地方性规范    </w:t>
      </w:r>
      <w:r>
        <w:rPr>
          <w:rFonts w:hint="eastAsia" w:ascii="宋体" w:hAnsi="宋体" w:cs="宋体"/>
          <w:color w:val="auto"/>
          <w:sz w:val="21"/>
          <w:szCs w:val="21"/>
          <w:highlight w:val="none"/>
        </w:rPr>
        <w:t>。</w:t>
      </w:r>
    </w:p>
    <w:p w14:paraId="7C53D3B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1.4.2 发包人提供国外标准、规范的名称：</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36ED3C9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发包人提供国外标准、规范的份数：</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4639458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发包人提供国外标准、规范的名称：</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E2DA82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1.4.3发包人对工程的技术标准和功能要求的特殊要求：</w:t>
      </w:r>
      <w:r>
        <w:rPr>
          <w:rFonts w:hint="eastAsia" w:ascii="宋体" w:hAnsi="宋体" w:cs="宋体"/>
          <w:color w:val="auto"/>
          <w:sz w:val="21"/>
          <w:szCs w:val="21"/>
          <w:highlight w:val="none"/>
          <w:u w:val="single"/>
        </w:rPr>
        <w:t xml:space="preserve">无    </w:t>
      </w:r>
      <w:r>
        <w:rPr>
          <w:rFonts w:hint="eastAsia" w:ascii="宋体" w:hAnsi="宋体" w:cs="宋体"/>
          <w:color w:val="auto"/>
          <w:sz w:val="21"/>
          <w:szCs w:val="21"/>
          <w:highlight w:val="none"/>
        </w:rPr>
        <w:t>。</w:t>
      </w:r>
    </w:p>
    <w:p w14:paraId="5899DFE0">
      <w:pPr>
        <w:keepNext/>
        <w:keepLines/>
        <w:spacing w:line="420" w:lineRule="exact"/>
        <w:ind w:firstLine="0" w:firstLineChars="0"/>
        <w:outlineLvl w:val="0"/>
        <w:rPr>
          <w:rFonts w:ascii="宋体" w:hAnsi="宋体" w:cs="宋体"/>
          <w:b/>
          <w:bCs/>
          <w:color w:val="auto"/>
          <w:kern w:val="44"/>
          <w:sz w:val="21"/>
          <w:szCs w:val="21"/>
          <w:highlight w:val="none"/>
        </w:rPr>
      </w:pPr>
      <w:bookmarkStart w:id="744" w:name="_Toc478389186"/>
      <w:bookmarkStart w:id="745" w:name="_Toc417904272"/>
      <w:r>
        <w:rPr>
          <w:rFonts w:hint="eastAsia" w:ascii="宋体" w:hAnsi="宋体" w:cs="宋体"/>
          <w:b/>
          <w:bCs/>
          <w:color w:val="auto"/>
          <w:kern w:val="44"/>
          <w:sz w:val="21"/>
          <w:szCs w:val="21"/>
          <w:highlight w:val="none"/>
        </w:rPr>
        <w:t>1.5 合同文件的优先顺序</w:t>
      </w:r>
      <w:bookmarkEnd w:id="744"/>
      <w:bookmarkEnd w:id="745"/>
    </w:p>
    <w:p w14:paraId="222E752F">
      <w:pPr>
        <w:spacing w:line="400" w:lineRule="exact"/>
        <w:ind w:firstLine="525" w:firstLineChars="250"/>
        <w:rPr>
          <w:rFonts w:ascii="宋体" w:hAnsi="宋体" w:cs="宋体"/>
          <w:color w:val="auto"/>
          <w:sz w:val="21"/>
          <w:szCs w:val="21"/>
          <w:highlight w:val="none"/>
        </w:rPr>
      </w:pPr>
      <w:r>
        <w:rPr>
          <w:rFonts w:hint="eastAsia" w:ascii="宋体" w:hAnsi="宋体" w:cs="宋体"/>
          <w:color w:val="auto"/>
          <w:sz w:val="21"/>
          <w:szCs w:val="21"/>
          <w:highlight w:val="none"/>
        </w:rPr>
        <w:t>合同文件组成及优先顺序为：</w:t>
      </w:r>
      <w:r>
        <w:rPr>
          <w:rFonts w:hint="eastAsia" w:ascii="宋体" w:hAnsi="宋体" w:cs="宋体"/>
          <w:color w:val="auto"/>
          <w:sz w:val="21"/>
          <w:szCs w:val="21"/>
          <w:highlight w:val="none"/>
          <w:u w:val="single"/>
        </w:rPr>
        <w:t>（1）本合同协议书；（2）成交通知书；（3）</w:t>
      </w:r>
      <w:r>
        <w:rPr>
          <w:rFonts w:hint="eastAsia" w:ascii="宋体" w:hAnsi="宋体" w:cs="宋体"/>
          <w:color w:val="auto"/>
          <w:sz w:val="21"/>
          <w:szCs w:val="21"/>
          <w:highlight w:val="none"/>
          <w:u w:val="single"/>
          <w:lang w:eastAsia="zh-CN"/>
        </w:rPr>
        <w:t>磋商</w:t>
      </w:r>
      <w:r>
        <w:rPr>
          <w:rFonts w:hint="eastAsia" w:ascii="宋体" w:hAnsi="宋体" w:cs="宋体"/>
          <w:color w:val="auto"/>
          <w:sz w:val="21"/>
          <w:szCs w:val="21"/>
          <w:highlight w:val="none"/>
          <w:u w:val="single"/>
        </w:rPr>
        <w:t>书及其附件；（4）本合同专用条款及补充条款；（5）本合同通用条款；（6）标准、规范及有关技术文件；（7）工程量清单；（8）本</w:t>
      </w:r>
      <w:r>
        <w:rPr>
          <w:rFonts w:hint="eastAsia" w:ascii="宋体" w:hAnsi="宋体" w:cs="宋体"/>
          <w:color w:val="auto"/>
          <w:sz w:val="21"/>
          <w:szCs w:val="21"/>
          <w:highlight w:val="none"/>
          <w:u w:val="single"/>
          <w:lang w:eastAsia="zh-CN"/>
        </w:rPr>
        <w:t>工程预算控制价</w:t>
      </w:r>
      <w:r>
        <w:rPr>
          <w:rFonts w:hint="eastAsia" w:ascii="宋体" w:hAnsi="宋体" w:cs="宋体"/>
          <w:color w:val="auto"/>
          <w:sz w:val="21"/>
          <w:szCs w:val="21"/>
          <w:highlight w:val="none"/>
          <w:u w:val="single"/>
        </w:rPr>
        <w:t>成果文件及其他合同文件。</w:t>
      </w:r>
    </w:p>
    <w:p w14:paraId="6B52599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图纸与技术标准和要求之间有矛盾或者不一致的，以其中要求较严格的标准为准。</w:t>
      </w:r>
    </w:p>
    <w:p w14:paraId="514528E3">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合同双方在合同履行过程中签订的补充协议亦构成合同文件的组成部分，其解释顺序视其内容与其他合同文件的相互关系而定。</w:t>
      </w:r>
    </w:p>
    <w:p w14:paraId="653E7DAE">
      <w:pPr>
        <w:keepNext/>
        <w:keepLines/>
        <w:spacing w:line="420" w:lineRule="exact"/>
        <w:ind w:firstLine="0" w:firstLineChars="0"/>
        <w:outlineLvl w:val="0"/>
        <w:rPr>
          <w:rFonts w:ascii="宋体" w:hAnsi="宋体" w:cs="宋体"/>
          <w:b/>
          <w:bCs/>
          <w:color w:val="auto"/>
          <w:kern w:val="44"/>
          <w:sz w:val="21"/>
          <w:szCs w:val="21"/>
          <w:highlight w:val="none"/>
        </w:rPr>
      </w:pPr>
      <w:bookmarkStart w:id="746" w:name="_Toc478389187"/>
      <w:bookmarkStart w:id="747" w:name="_Toc417904273"/>
      <w:r>
        <w:rPr>
          <w:rFonts w:hint="eastAsia" w:ascii="宋体" w:hAnsi="宋体" w:cs="宋体"/>
          <w:b/>
          <w:bCs/>
          <w:color w:val="auto"/>
          <w:kern w:val="44"/>
          <w:sz w:val="21"/>
          <w:szCs w:val="21"/>
          <w:highlight w:val="none"/>
        </w:rPr>
        <w:t>1.6 图纸和承包人文件</w:t>
      </w:r>
      <w:bookmarkEnd w:id="746"/>
      <w:bookmarkEnd w:id="747"/>
      <w:r>
        <w:rPr>
          <w:rFonts w:hint="eastAsia" w:ascii="宋体" w:hAnsi="宋体" w:cs="宋体"/>
          <w:b/>
          <w:bCs/>
          <w:color w:val="auto"/>
          <w:kern w:val="44"/>
          <w:sz w:val="21"/>
          <w:szCs w:val="21"/>
          <w:highlight w:val="none"/>
        </w:rPr>
        <w:tab/>
      </w:r>
    </w:p>
    <w:p w14:paraId="296867A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 图纸的提供</w:t>
      </w:r>
    </w:p>
    <w:p w14:paraId="255D8401">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发包人向承包人提供图纸的期限：</w:t>
      </w:r>
      <w:r>
        <w:rPr>
          <w:rFonts w:hint="eastAsia" w:ascii="宋体" w:hAnsi="宋体" w:cs="宋体"/>
          <w:color w:val="auto"/>
          <w:sz w:val="21"/>
          <w:szCs w:val="21"/>
          <w:highlight w:val="none"/>
          <w:u w:val="single"/>
        </w:rPr>
        <w:t>合同生效后7天内；</w:t>
      </w:r>
    </w:p>
    <w:p w14:paraId="0F9DEA6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发包人向承包人提供图纸的数量：</w:t>
      </w:r>
      <w:r>
        <w:rPr>
          <w:rFonts w:hint="eastAsia" w:ascii="宋体" w:hAnsi="宋体" w:cs="宋体"/>
          <w:color w:val="auto"/>
          <w:sz w:val="21"/>
          <w:szCs w:val="21"/>
          <w:highlight w:val="none"/>
          <w:u w:val="single"/>
        </w:rPr>
        <w:t>图纸和其他技术资料壹份（标准图集由承包人自备）</w:t>
      </w:r>
      <w:r>
        <w:rPr>
          <w:rFonts w:hint="eastAsia" w:ascii="宋体" w:hAnsi="宋体" w:cs="宋体"/>
          <w:color w:val="auto"/>
          <w:sz w:val="21"/>
          <w:szCs w:val="21"/>
          <w:highlight w:val="none"/>
        </w:rPr>
        <w:t>；</w:t>
      </w:r>
    </w:p>
    <w:p w14:paraId="3835B18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发包人向承包人提供图纸的内容：</w:t>
      </w:r>
      <w:r>
        <w:rPr>
          <w:rFonts w:hint="eastAsia" w:ascii="宋体" w:hAnsi="宋体" w:cs="宋体"/>
          <w:color w:val="auto"/>
          <w:sz w:val="21"/>
          <w:szCs w:val="21"/>
          <w:highlight w:val="none"/>
          <w:u w:val="single"/>
        </w:rPr>
        <w:t xml:space="preserve">   与本项目相关             </w:t>
      </w:r>
      <w:r>
        <w:rPr>
          <w:rFonts w:hint="eastAsia" w:ascii="宋体" w:hAnsi="宋体" w:cs="宋体"/>
          <w:color w:val="auto"/>
          <w:sz w:val="21"/>
          <w:szCs w:val="21"/>
          <w:highlight w:val="none"/>
        </w:rPr>
        <w:t>。</w:t>
      </w:r>
    </w:p>
    <w:p w14:paraId="7EE77E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1.6.4 承包人文件</w:t>
      </w:r>
    </w:p>
    <w:p w14:paraId="11DA960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需要由承包人提供的文件，包括：</w:t>
      </w:r>
      <w:r>
        <w:rPr>
          <w:rFonts w:hint="eastAsia" w:ascii="宋体" w:hAnsi="宋体" w:cs="宋体"/>
          <w:color w:val="auto"/>
          <w:sz w:val="21"/>
          <w:szCs w:val="21"/>
          <w:highlight w:val="none"/>
          <w:u w:val="single"/>
        </w:rPr>
        <w:t>除专用合同条款约定的由承包人提供的设计文件外，本项约定的其他应由承包人提供的文件，包括必要的加工图和大样图，均不是合同计量与支付的依据文件。由承包人提供的文件范围：施工图以外的大样图、加工图、标准图等</w:t>
      </w:r>
      <w:r>
        <w:rPr>
          <w:rFonts w:hint="eastAsia" w:ascii="宋体" w:hAnsi="宋体" w:cs="宋体"/>
          <w:color w:val="auto"/>
          <w:sz w:val="21"/>
          <w:szCs w:val="21"/>
          <w:highlight w:val="none"/>
        </w:rPr>
        <w:t>；</w:t>
      </w:r>
    </w:p>
    <w:p w14:paraId="09BB63E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承包人提供的文件的期限为：</w:t>
      </w:r>
      <w:r>
        <w:rPr>
          <w:rFonts w:hint="eastAsia" w:ascii="宋体" w:hAnsi="宋体" w:cs="宋体"/>
          <w:color w:val="auto"/>
          <w:sz w:val="21"/>
          <w:szCs w:val="21"/>
          <w:highlight w:val="none"/>
          <w:u w:val="single"/>
        </w:rPr>
        <w:t xml:space="preserve">  构件开始施工前7天内  </w:t>
      </w:r>
      <w:r>
        <w:rPr>
          <w:rFonts w:hint="eastAsia" w:ascii="宋体" w:hAnsi="宋体" w:cs="宋体"/>
          <w:color w:val="auto"/>
          <w:sz w:val="21"/>
          <w:szCs w:val="21"/>
          <w:highlight w:val="none"/>
        </w:rPr>
        <w:t>；</w:t>
      </w:r>
    </w:p>
    <w:p w14:paraId="74F3DC4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承包人提供的文件的数量为：</w:t>
      </w:r>
      <w:r>
        <w:rPr>
          <w:rFonts w:hint="eastAsia" w:ascii="宋体" w:hAnsi="宋体" w:cs="宋体"/>
          <w:color w:val="auto"/>
          <w:sz w:val="21"/>
          <w:szCs w:val="21"/>
          <w:highlight w:val="none"/>
          <w:u w:val="single"/>
        </w:rPr>
        <w:t xml:space="preserve">      5份                </w:t>
      </w:r>
      <w:r>
        <w:rPr>
          <w:rFonts w:hint="eastAsia" w:ascii="宋体" w:hAnsi="宋体" w:cs="宋体"/>
          <w:color w:val="auto"/>
          <w:sz w:val="21"/>
          <w:szCs w:val="21"/>
          <w:highlight w:val="none"/>
        </w:rPr>
        <w:t>；</w:t>
      </w:r>
    </w:p>
    <w:p w14:paraId="4A5636F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承包人提供的文件的形式为：</w:t>
      </w:r>
      <w:r>
        <w:rPr>
          <w:rFonts w:hint="eastAsia" w:ascii="宋体" w:hAnsi="宋体" w:cs="宋体"/>
          <w:color w:val="auto"/>
          <w:sz w:val="21"/>
          <w:szCs w:val="21"/>
          <w:highlight w:val="none"/>
          <w:u w:val="single"/>
        </w:rPr>
        <w:t xml:space="preserve">      书面                 </w:t>
      </w:r>
      <w:r>
        <w:rPr>
          <w:rFonts w:hint="eastAsia" w:ascii="宋体" w:hAnsi="宋体" w:cs="宋体"/>
          <w:color w:val="auto"/>
          <w:sz w:val="21"/>
          <w:szCs w:val="21"/>
          <w:highlight w:val="none"/>
        </w:rPr>
        <w:t>；</w:t>
      </w:r>
    </w:p>
    <w:p w14:paraId="6888150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发包人审批承包人文件的期限：</w:t>
      </w:r>
      <w:r>
        <w:rPr>
          <w:rFonts w:hint="eastAsia" w:ascii="宋体" w:hAnsi="宋体" w:cs="宋体"/>
          <w:color w:val="auto"/>
          <w:sz w:val="21"/>
          <w:szCs w:val="21"/>
          <w:highlight w:val="none"/>
          <w:u w:val="single"/>
        </w:rPr>
        <w:t xml:space="preserve">     15天内                </w:t>
      </w:r>
      <w:r>
        <w:rPr>
          <w:rFonts w:hint="eastAsia" w:ascii="宋体" w:hAnsi="宋体" w:cs="宋体"/>
          <w:color w:val="auto"/>
          <w:sz w:val="21"/>
          <w:szCs w:val="21"/>
          <w:highlight w:val="none"/>
        </w:rPr>
        <w:t>。</w:t>
      </w:r>
    </w:p>
    <w:p w14:paraId="479B58D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1.6.5 现场图纸准备</w:t>
      </w:r>
    </w:p>
    <w:p w14:paraId="2DAC7C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关于现场图纸准备的约定：</w:t>
      </w:r>
      <w:r>
        <w:rPr>
          <w:rFonts w:hint="eastAsia" w:ascii="宋体" w:hAnsi="宋体" w:cs="宋体"/>
          <w:color w:val="auto"/>
          <w:sz w:val="21"/>
          <w:szCs w:val="21"/>
          <w:highlight w:val="none"/>
          <w:u w:val="single"/>
        </w:rPr>
        <w:t xml:space="preserve">    按规定            </w:t>
      </w:r>
      <w:r>
        <w:rPr>
          <w:rFonts w:hint="eastAsia" w:ascii="宋体" w:hAnsi="宋体" w:cs="宋体"/>
          <w:color w:val="auto"/>
          <w:sz w:val="21"/>
          <w:szCs w:val="21"/>
          <w:highlight w:val="none"/>
        </w:rPr>
        <w:t>。</w:t>
      </w:r>
    </w:p>
    <w:p w14:paraId="4D3454B8">
      <w:pPr>
        <w:keepNext/>
        <w:keepLines/>
        <w:spacing w:line="420" w:lineRule="exact"/>
        <w:ind w:firstLine="0" w:firstLineChars="0"/>
        <w:outlineLvl w:val="0"/>
        <w:rPr>
          <w:rFonts w:ascii="宋体" w:hAnsi="宋体" w:cs="宋体"/>
          <w:b/>
          <w:bCs/>
          <w:color w:val="auto"/>
          <w:kern w:val="44"/>
          <w:sz w:val="21"/>
          <w:szCs w:val="21"/>
          <w:highlight w:val="none"/>
        </w:rPr>
      </w:pPr>
      <w:bookmarkStart w:id="748" w:name="_Toc478389188"/>
      <w:bookmarkStart w:id="749" w:name="_Toc417904274"/>
      <w:r>
        <w:rPr>
          <w:rFonts w:hint="eastAsia" w:ascii="宋体" w:hAnsi="宋体" w:cs="宋体"/>
          <w:b/>
          <w:bCs/>
          <w:color w:val="auto"/>
          <w:kern w:val="44"/>
          <w:sz w:val="21"/>
          <w:szCs w:val="21"/>
          <w:highlight w:val="none"/>
        </w:rPr>
        <w:t>1.7 联络</w:t>
      </w:r>
      <w:bookmarkEnd w:id="748"/>
      <w:bookmarkEnd w:id="749"/>
    </w:p>
    <w:p w14:paraId="6BA2E29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1.7.1发包人和承包人应当在</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天内将与合同有关的通知、批准、证明、证书、指示、指令、要求、请求、同意、意见、确定和决定等书面函件送达对方当事人。</w:t>
      </w:r>
    </w:p>
    <w:p w14:paraId="62DBD38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1.7.2 发包人接收文件的地点：</w:t>
      </w:r>
      <w:r>
        <w:rPr>
          <w:rFonts w:hint="eastAsia" w:ascii="宋体" w:hAnsi="宋体" w:cs="宋体"/>
          <w:color w:val="auto"/>
          <w:sz w:val="21"/>
          <w:szCs w:val="21"/>
          <w:highlight w:val="none"/>
          <w:u w:val="single"/>
        </w:rPr>
        <w:t xml:space="preserve">  桂林市内  </w:t>
      </w:r>
      <w:r>
        <w:rPr>
          <w:rFonts w:hint="eastAsia" w:ascii="宋体" w:hAnsi="宋体" w:cs="宋体"/>
          <w:color w:val="auto"/>
          <w:sz w:val="21"/>
          <w:szCs w:val="21"/>
          <w:highlight w:val="none"/>
        </w:rPr>
        <w:t>；</w:t>
      </w:r>
    </w:p>
    <w:p w14:paraId="264FF5F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发包人指定的接收人为：</w:t>
      </w:r>
      <w:r>
        <w:rPr>
          <w:rFonts w:hint="eastAsia" w:ascii="宋体" w:hAnsi="宋体" w:cs="宋体"/>
          <w:color w:val="auto"/>
          <w:sz w:val="21"/>
          <w:szCs w:val="21"/>
          <w:highlight w:val="none"/>
          <w:u w:val="single"/>
        </w:rPr>
        <w:t xml:space="preserve">   双方按实际情况现场约定        </w:t>
      </w:r>
      <w:r>
        <w:rPr>
          <w:rFonts w:hint="eastAsia" w:ascii="宋体" w:hAnsi="宋体" w:cs="宋体"/>
          <w:color w:val="auto"/>
          <w:sz w:val="21"/>
          <w:szCs w:val="21"/>
          <w:highlight w:val="none"/>
        </w:rPr>
        <w:t>。</w:t>
      </w:r>
    </w:p>
    <w:p w14:paraId="649C80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承包人接收文件的地点：</w:t>
      </w:r>
      <w:r>
        <w:rPr>
          <w:rFonts w:hint="eastAsia" w:ascii="宋体" w:hAnsi="宋体" w:cs="宋体"/>
          <w:color w:val="auto"/>
          <w:sz w:val="21"/>
          <w:szCs w:val="21"/>
          <w:highlight w:val="none"/>
          <w:u w:val="single"/>
        </w:rPr>
        <w:t xml:space="preserve">     发包人资料室               </w:t>
      </w:r>
      <w:r>
        <w:rPr>
          <w:rFonts w:hint="eastAsia" w:ascii="宋体" w:hAnsi="宋体" w:cs="宋体"/>
          <w:color w:val="auto"/>
          <w:sz w:val="21"/>
          <w:szCs w:val="21"/>
          <w:highlight w:val="none"/>
        </w:rPr>
        <w:t>；</w:t>
      </w:r>
    </w:p>
    <w:p w14:paraId="62FFE0F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承包人指定的接收人为：</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D66C90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监理人接收文件的地点：</w:t>
      </w:r>
      <w:r>
        <w:rPr>
          <w:rFonts w:hint="eastAsia" w:ascii="宋体" w:hAnsi="宋体" w:cs="宋体"/>
          <w:color w:val="auto"/>
          <w:sz w:val="21"/>
          <w:szCs w:val="21"/>
          <w:highlight w:val="none"/>
          <w:u w:val="single"/>
        </w:rPr>
        <w:t xml:space="preserve">     发包人资料室                        </w:t>
      </w:r>
      <w:r>
        <w:rPr>
          <w:rFonts w:hint="eastAsia" w:ascii="宋体" w:hAnsi="宋体" w:cs="宋体"/>
          <w:color w:val="auto"/>
          <w:sz w:val="21"/>
          <w:szCs w:val="21"/>
          <w:highlight w:val="none"/>
        </w:rPr>
        <w:t>；</w:t>
      </w:r>
    </w:p>
    <w:p w14:paraId="3B3A4B0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监理人指定的接收人为：</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65D7508">
      <w:pPr>
        <w:keepNext/>
        <w:keepLines/>
        <w:spacing w:line="420" w:lineRule="exact"/>
        <w:ind w:firstLine="0" w:firstLineChars="0"/>
        <w:outlineLvl w:val="0"/>
        <w:rPr>
          <w:rFonts w:ascii="宋体" w:hAnsi="宋体" w:cs="宋体"/>
          <w:b/>
          <w:bCs/>
          <w:color w:val="auto"/>
          <w:kern w:val="44"/>
          <w:sz w:val="21"/>
          <w:szCs w:val="21"/>
          <w:highlight w:val="none"/>
        </w:rPr>
      </w:pPr>
      <w:bookmarkStart w:id="750" w:name="_Toc417904275"/>
      <w:bookmarkStart w:id="751" w:name="_Toc478389189"/>
      <w:r>
        <w:rPr>
          <w:rFonts w:hint="eastAsia" w:ascii="宋体" w:hAnsi="宋体" w:cs="宋体"/>
          <w:b/>
          <w:bCs/>
          <w:color w:val="auto"/>
          <w:kern w:val="44"/>
          <w:sz w:val="21"/>
          <w:szCs w:val="21"/>
          <w:highlight w:val="none"/>
        </w:rPr>
        <w:t>1.10 交通运输</w:t>
      </w:r>
      <w:bookmarkEnd w:id="750"/>
      <w:bookmarkEnd w:id="751"/>
    </w:p>
    <w:p w14:paraId="0A5F88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bookmarkStart w:id="752" w:name="_Toc318581155"/>
      <w:bookmarkStart w:id="753" w:name="_Toc312677986"/>
      <w:bookmarkStart w:id="754" w:name="_Toc303539100"/>
      <w:bookmarkStart w:id="755" w:name="_Toc304295521"/>
      <w:bookmarkStart w:id="756" w:name="_Toc300934943"/>
      <w:r>
        <w:rPr>
          <w:rFonts w:hint="eastAsia" w:ascii="宋体" w:hAnsi="宋体" w:cs="宋体"/>
          <w:color w:val="auto"/>
          <w:sz w:val="21"/>
          <w:szCs w:val="21"/>
          <w:highlight w:val="none"/>
        </w:rPr>
        <w:t>.10.1 出入现场的权利</w:t>
      </w:r>
    </w:p>
    <w:p w14:paraId="0E0FF299">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关于出入现场的权利的约定：</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bookmarkEnd w:id="752"/>
    <w:bookmarkEnd w:id="753"/>
    <w:bookmarkEnd w:id="754"/>
    <w:bookmarkEnd w:id="755"/>
    <w:bookmarkEnd w:id="756"/>
    <w:p w14:paraId="14DA8E0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bookmarkStart w:id="757" w:name="_Toc312677987"/>
      <w:bookmarkStart w:id="758" w:name="_Toc300934944"/>
      <w:bookmarkStart w:id="759" w:name="_Toc318581156"/>
      <w:bookmarkStart w:id="760" w:name="_Toc304295522"/>
      <w:bookmarkStart w:id="761" w:name="_Toc303539101"/>
      <w:r>
        <w:rPr>
          <w:rFonts w:hint="eastAsia" w:ascii="宋体" w:hAnsi="宋体" w:cs="宋体"/>
          <w:color w:val="auto"/>
          <w:sz w:val="21"/>
          <w:szCs w:val="21"/>
          <w:highlight w:val="none"/>
        </w:rPr>
        <w:t>.10.3 场内交通</w:t>
      </w:r>
    </w:p>
    <w:p w14:paraId="1F888AF3">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关于场外交通和场内交通的边界的约定：</w:t>
      </w:r>
      <w:r>
        <w:rPr>
          <w:rFonts w:hint="eastAsia" w:ascii="宋体" w:hAnsi="宋体" w:cs="宋体"/>
          <w:color w:val="auto"/>
          <w:sz w:val="21"/>
          <w:szCs w:val="21"/>
          <w:highlight w:val="none"/>
          <w:u w:val="single"/>
        </w:rPr>
        <w:t xml:space="preserve">   规划用边线     </w:t>
      </w:r>
      <w:r>
        <w:rPr>
          <w:rFonts w:hint="eastAsia" w:ascii="宋体" w:hAnsi="宋体" w:cs="宋体"/>
          <w:color w:val="auto"/>
          <w:sz w:val="21"/>
          <w:szCs w:val="21"/>
          <w:highlight w:val="none"/>
        </w:rPr>
        <w:t>。</w:t>
      </w:r>
    </w:p>
    <w:p w14:paraId="54475A47">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关于发包人向承包人免费提供满足工程施工需要的场内道路和交通设施的约定：</w:t>
      </w:r>
      <w:r>
        <w:rPr>
          <w:rFonts w:hint="eastAsia" w:ascii="宋体" w:hAnsi="宋体" w:cs="宋体"/>
          <w:color w:val="auto"/>
          <w:sz w:val="21"/>
          <w:szCs w:val="21"/>
          <w:highlight w:val="none"/>
          <w:u w:val="single"/>
        </w:rPr>
        <w:t>货运通道及相关设施  。</w:t>
      </w:r>
      <w:bookmarkEnd w:id="757"/>
      <w:bookmarkEnd w:id="758"/>
      <w:bookmarkEnd w:id="759"/>
      <w:bookmarkEnd w:id="760"/>
      <w:bookmarkEnd w:id="761"/>
      <w:bookmarkStart w:id="762" w:name="_Toc318581157"/>
    </w:p>
    <w:p w14:paraId="505F330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1.10.4超大件和超重件的运输</w:t>
      </w:r>
    </w:p>
    <w:p w14:paraId="6F3485B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运输超大件或超重件所需的道路和桥梁临时加固改造费用和其他有关费用由</w:t>
      </w:r>
      <w:r>
        <w:rPr>
          <w:rFonts w:hint="eastAsia" w:ascii="宋体" w:hAnsi="宋体" w:cs="宋体"/>
          <w:color w:val="auto"/>
          <w:sz w:val="21"/>
          <w:szCs w:val="21"/>
          <w:highlight w:val="none"/>
          <w:u w:val="single"/>
        </w:rPr>
        <w:t>承包人</w:t>
      </w:r>
      <w:r>
        <w:rPr>
          <w:rFonts w:hint="eastAsia" w:ascii="宋体" w:hAnsi="宋体" w:cs="宋体"/>
          <w:color w:val="auto"/>
          <w:sz w:val="21"/>
          <w:szCs w:val="21"/>
          <w:highlight w:val="none"/>
        </w:rPr>
        <w:t>承担。</w:t>
      </w:r>
    </w:p>
    <w:bookmarkEnd w:id="762"/>
    <w:p w14:paraId="4CFA2A26">
      <w:pPr>
        <w:keepNext/>
        <w:keepLines/>
        <w:spacing w:line="420" w:lineRule="exact"/>
        <w:ind w:firstLine="0" w:firstLineChars="0"/>
        <w:outlineLvl w:val="0"/>
        <w:rPr>
          <w:rFonts w:ascii="宋体" w:hAnsi="宋体" w:cs="宋体"/>
          <w:b/>
          <w:bCs/>
          <w:color w:val="auto"/>
          <w:kern w:val="44"/>
          <w:sz w:val="21"/>
          <w:szCs w:val="21"/>
          <w:highlight w:val="none"/>
        </w:rPr>
      </w:pPr>
      <w:bookmarkStart w:id="763" w:name="_Toc478389190"/>
      <w:bookmarkStart w:id="764" w:name="_Toc417904276"/>
      <w:r>
        <w:rPr>
          <w:rFonts w:hint="eastAsia" w:ascii="宋体" w:hAnsi="宋体" w:cs="宋体"/>
          <w:b/>
          <w:bCs/>
          <w:color w:val="auto"/>
          <w:kern w:val="44"/>
          <w:sz w:val="21"/>
          <w:szCs w:val="21"/>
          <w:highlight w:val="none"/>
        </w:rPr>
        <w:t>1.11 知识产权</w:t>
      </w:r>
      <w:bookmarkEnd w:id="763"/>
      <w:bookmarkEnd w:id="764"/>
    </w:p>
    <w:p w14:paraId="342FD3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 w:val="21"/>
          <w:szCs w:val="21"/>
          <w:highlight w:val="none"/>
          <w:u w:val="single"/>
        </w:rPr>
        <w:t xml:space="preserve">    发包人   </w:t>
      </w:r>
      <w:r>
        <w:rPr>
          <w:rFonts w:hint="eastAsia" w:ascii="宋体" w:hAnsi="宋体" w:cs="宋体"/>
          <w:color w:val="auto"/>
          <w:sz w:val="21"/>
          <w:szCs w:val="21"/>
          <w:highlight w:val="none"/>
        </w:rPr>
        <w:t>。</w:t>
      </w:r>
    </w:p>
    <w:p w14:paraId="29BFFB4E">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关于发包人提供的上述文件的使用限制的要求：</w:t>
      </w:r>
      <w:r>
        <w:rPr>
          <w:rFonts w:hint="eastAsia" w:ascii="宋体" w:hAnsi="宋体" w:cs="宋体"/>
          <w:color w:val="auto"/>
          <w:sz w:val="21"/>
          <w:szCs w:val="21"/>
          <w:highlight w:val="none"/>
          <w:u w:val="single"/>
        </w:rPr>
        <w:t xml:space="preserve">    本项目   </w:t>
      </w:r>
      <w:r>
        <w:rPr>
          <w:rFonts w:hint="eastAsia" w:ascii="宋体" w:hAnsi="宋体" w:cs="宋体"/>
          <w:color w:val="auto"/>
          <w:sz w:val="21"/>
          <w:szCs w:val="21"/>
          <w:highlight w:val="none"/>
        </w:rPr>
        <w:t>。</w:t>
      </w:r>
    </w:p>
    <w:p w14:paraId="45189C8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1.11.2 关于承包人为实施工程所编制文件的著作权的归属：</w:t>
      </w:r>
      <w:r>
        <w:rPr>
          <w:rFonts w:hint="eastAsia" w:ascii="宋体" w:hAnsi="宋体" w:cs="宋体"/>
          <w:color w:val="auto"/>
          <w:sz w:val="21"/>
          <w:szCs w:val="21"/>
          <w:highlight w:val="none"/>
          <w:u w:val="single"/>
        </w:rPr>
        <w:t xml:space="preserve">      发包人     </w:t>
      </w:r>
      <w:r>
        <w:rPr>
          <w:rFonts w:hint="eastAsia" w:ascii="宋体" w:hAnsi="宋体" w:cs="宋体"/>
          <w:color w:val="auto"/>
          <w:sz w:val="21"/>
          <w:szCs w:val="21"/>
          <w:highlight w:val="none"/>
        </w:rPr>
        <w:t>。</w:t>
      </w:r>
    </w:p>
    <w:p w14:paraId="5C3AB66C">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关于承包人提供的上述文件的使用限制的要求：</w:t>
      </w:r>
      <w:r>
        <w:rPr>
          <w:rFonts w:hint="eastAsia" w:ascii="宋体" w:hAnsi="宋体" w:cs="宋体"/>
          <w:color w:val="auto"/>
          <w:sz w:val="21"/>
          <w:szCs w:val="21"/>
          <w:highlight w:val="none"/>
          <w:u w:val="single"/>
        </w:rPr>
        <w:t xml:space="preserve">       本项目            </w:t>
      </w:r>
      <w:r>
        <w:rPr>
          <w:rFonts w:hint="eastAsia" w:ascii="宋体" w:hAnsi="宋体" w:cs="宋体"/>
          <w:color w:val="auto"/>
          <w:sz w:val="21"/>
          <w:szCs w:val="21"/>
          <w:highlight w:val="none"/>
        </w:rPr>
        <w:t>。</w:t>
      </w:r>
    </w:p>
    <w:p w14:paraId="537527F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1.11.4承包人在施工过程中所采用的专利、专有技术、技术秘密的使用费的承担方式：</w:t>
      </w:r>
      <w:r>
        <w:rPr>
          <w:rFonts w:hint="eastAsia" w:ascii="宋体" w:hAnsi="宋体" w:cs="宋体"/>
          <w:color w:val="auto"/>
          <w:sz w:val="21"/>
          <w:szCs w:val="21"/>
          <w:highlight w:val="none"/>
          <w:u w:val="single"/>
        </w:rPr>
        <w:t xml:space="preserve">  承包人承担  </w:t>
      </w:r>
      <w:r>
        <w:rPr>
          <w:rFonts w:hint="eastAsia" w:ascii="宋体" w:hAnsi="宋体" w:cs="宋体"/>
          <w:color w:val="auto"/>
          <w:sz w:val="21"/>
          <w:szCs w:val="21"/>
          <w:highlight w:val="none"/>
        </w:rPr>
        <w:t>。</w:t>
      </w:r>
    </w:p>
    <w:p w14:paraId="508B540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1.13工程量清单错误的修正</w:t>
      </w:r>
    </w:p>
    <w:p w14:paraId="0C23387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出现工程量清单错误时，是否调整合同价格：</w:t>
      </w:r>
      <w:r>
        <w:rPr>
          <w:rFonts w:hint="eastAsia" w:ascii="宋体" w:hAnsi="宋体" w:cs="宋体"/>
          <w:color w:val="auto"/>
          <w:sz w:val="21"/>
          <w:szCs w:val="21"/>
          <w:highlight w:val="none"/>
          <w:u w:val="single"/>
        </w:rPr>
        <w:t xml:space="preserve"> 调整</w:t>
      </w:r>
      <w:r>
        <w:rPr>
          <w:rFonts w:hint="eastAsia" w:ascii="宋体" w:hAnsi="宋体" w:cs="宋体"/>
          <w:color w:val="auto"/>
          <w:sz w:val="21"/>
          <w:szCs w:val="21"/>
          <w:highlight w:val="none"/>
        </w:rPr>
        <w:t>。</w:t>
      </w:r>
    </w:p>
    <w:p w14:paraId="3E3A996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允许调整合同价格的工程量偏差范围：</w:t>
      </w:r>
      <w:r>
        <w:rPr>
          <w:rFonts w:hint="eastAsia" w:ascii="宋体" w:hAnsi="宋体" w:cs="宋体"/>
          <w:color w:val="auto"/>
          <w:sz w:val="21"/>
          <w:szCs w:val="21"/>
          <w:highlight w:val="none"/>
          <w:u w:val="single"/>
        </w:rPr>
        <w:t xml:space="preserve">  15%   </w:t>
      </w:r>
      <w:r>
        <w:rPr>
          <w:rFonts w:hint="eastAsia" w:ascii="宋体" w:hAnsi="宋体" w:cs="宋体"/>
          <w:color w:val="auto"/>
          <w:sz w:val="21"/>
          <w:szCs w:val="21"/>
          <w:highlight w:val="none"/>
        </w:rPr>
        <w:t>。</w:t>
      </w:r>
    </w:p>
    <w:p w14:paraId="691BF2A3">
      <w:pPr>
        <w:keepNext/>
        <w:keepLines/>
        <w:spacing w:line="420" w:lineRule="exact"/>
        <w:ind w:firstLine="0" w:firstLineChars="0"/>
        <w:outlineLvl w:val="0"/>
        <w:rPr>
          <w:rFonts w:ascii="宋体" w:hAnsi="宋体" w:cs="宋体"/>
          <w:b/>
          <w:bCs/>
          <w:color w:val="auto"/>
          <w:kern w:val="44"/>
          <w:sz w:val="21"/>
          <w:szCs w:val="21"/>
          <w:highlight w:val="none"/>
        </w:rPr>
      </w:pPr>
      <w:bookmarkStart w:id="765" w:name="_Toc417904277"/>
      <w:bookmarkStart w:id="766" w:name="_Toc478389191"/>
      <w:bookmarkStart w:id="767" w:name="_Toc351203634"/>
      <w:r>
        <w:rPr>
          <w:rFonts w:hint="eastAsia" w:ascii="宋体" w:hAnsi="宋体" w:cs="宋体"/>
          <w:b/>
          <w:bCs/>
          <w:color w:val="auto"/>
          <w:kern w:val="44"/>
          <w:sz w:val="21"/>
          <w:szCs w:val="21"/>
          <w:highlight w:val="none"/>
        </w:rPr>
        <w:t>2</w:t>
      </w:r>
      <w:bookmarkStart w:id="768" w:name="_Toc296890985"/>
      <w:bookmarkStart w:id="769" w:name="_Toc297048343"/>
      <w:bookmarkStart w:id="770" w:name="_Toc296891197"/>
      <w:bookmarkStart w:id="771" w:name="_Toc296503157"/>
      <w:bookmarkStart w:id="772" w:name="_Toc296346658"/>
      <w:bookmarkStart w:id="773" w:name="_Toc297120457"/>
      <w:bookmarkStart w:id="774" w:name="_Toc292559362"/>
      <w:bookmarkStart w:id="775" w:name="_Toc296944496"/>
      <w:bookmarkStart w:id="776" w:name="_Toc292559867"/>
      <w:bookmarkStart w:id="777" w:name="_Toc296347156"/>
      <w:r>
        <w:rPr>
          <w:rFonts w:hint="eastAsia" w:ascii="宋体" w:hAnsi="宋体" w:cs="宋体"/>
          <w:b/>
          <w:bCs/>
          <w:color w:val="auto"/>
          <w:kern w:val="44"/>
          <w:sz w:val="21"/>
          <w:szCs w:val="21"/>
          <w:highlight w:val="none"/>
        </w:rPr>
        <w:t>. 发包人</w:t>
      </w:r>
      <w:bookmarkEnd w:id="765"/>
      <w:bookmarkEnd w:id="766"/>
      <w:bookmarkEnd w:id="767"/>
    </w:p>
    <w:bookmarkEnd w:id="768"/>
    <w:bookmarkEnd w:id="769"/>
    <w:bookmarkEnd w:id="770"/>
    <w:bookmarkEnd w:id="771"/>
    <w:bookmarkEnd w:id="772"/>
    <w:bookmarkEnd w:id="773"/>
    <w:bookmarkEnd w:id="774"/>
    <w:bookmarkEnd w:id="775"/>
    <w:bookmarkEnd w:id="776"/>
    <w:bookmarkEnd w:id="777"/>
    <w:p w14:paraId="70383878">
      <w:pPr>
        <w:keepNext/>
        <w:keepLines/>
        <w:spacing w:line="420" w:lineRule="exact"/>
        <w:ind w:firstLine="0" w:firstLineChars="0"/>
        <w:outlineLvl w:val="0"/>
        <w:rPr>
          <w:rFonts w:ascii="宋体" w:hAnsi="宋体" w:cs="宋体"/>
          <w:b/>
          <w:bCs/>
          <w:color w:val="auto"/>
          <w:kern w:val="44"/>
          <w:sz w:val="21"/>
          <w:szCs w:val="21"/>
          <w:highlight w:val="none"/>
        </w:rPr>
      </w:pPr>
      <w:bookmarkStart w:id="778" w:name="_Toc417904278"/>
      <w:bookmarkStart w:id="779" w:name="_Toc478389192"/>
      <w:r>
        <w:rPr>
          <w:rFonts w:hint="eastAsia" w:ascii="宋体" w:hAnsi="宋体" w:cs="宋体"/>
          <w:b/>
          <w:bCs/>
          <w:color w:val="auto"/>
          <w:kern w:val="44"/>
          <w:sz w:val="21"/>
          <w:szCs w:val="21"/>
          <w:highlight w:val="none"/>
        </w:rPr>
        <w:t>2.2 发包人代表</w:t>
      </w:r>
      <w:bookmarkEnd w:id="778"/>
      <w:bookmarkEnd w:id="779"/>
    </w:p>
    <w:p w14:paraId="37DB4AF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发包人代表：</w:t>
      </w:r>
    </w:p>
    <w:p w14:paraId="72D75A1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AA904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身份证号：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12AB08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职    务：</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6DC3D6E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D1859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7A25A7E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11A7EC3E">
      <w:pPr>
        <w:spacing w:line="42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发包人对发包人代表的授权范围如下：</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721EC263">
      <w:pPr>
        <w:keepNext/>
        <w:keepLines/>
        <w:spacing w:line="420" w:lineRule="exact"/>
        <w:ind w:firstLine="0" w:firstLineChars="0"/>
        <w:outlineLvl w:val="0"/>
        <w:rPr>
          <w:rFonts w:ascii="宋体" w:hAnsi="宋体" w:cs="宋体"/>
          <w:b/>
          <w:bCs/>
          <w:color w:val="auto"/>
          <w:kern w:val="44"/>
          <w:sz w:val="21"/>
          <w:szCs w:val="21"/>
          <w:highlight w:val="none"/>
        </w:rPr>
      </w:pPr>
      <w:bookmarkStart w:id="780" w:name="_Toc478389193"/>
      <w:bookmarkStart w:id="781" w:name="_Toc417904279"/>
      <w:r>
        <w:rPr>
          <w:rFonts w:hint="eastAsia" w:ascii="宋体" w:hAnsi="宋体" w:cs="宋体"/>
          <w:b/>
          <w:bCs/>
          <w:color w:val="auto"/>
          <w:kern w:val="44"/>
          <w:sz w:val="21"/>
          <w:szCs w:val="21"/>
          <w:highlight w:val="none"/>
        </w:rPr>
        <w:t>2.4 施工现场、施工条件和基础资料的提供</w:t>
      </w:r>
      <w:bookmarkEnd w:id="780"/>
      <w:bookmarkEnd w:id="781"/>
    </w:p>
    <w:p w14:paraId="2114553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2.4.1 提供施工现场</w:t>
      </w:r>
    </w:p>
    <w:p w14:paraId="2414EAC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关于发包人移交施工现场的期限要求：</w:t>
      </w:r>
      <w:r>
        <w:rPr>
          <w:rFonts w:hint="eastAsia" w:ascii="宋体" w:hAnsi="宋体" w:cs="宋体"/>
          <w:color w:val="auto"/>
          <w:sz w:val="21"/>
          <w:szCs w:val="21"/>
          <w:highlight w:val="none"/>
          <w:u w:val="single"/>
        </w:rPr>
        <w:t xml:space="preserve">  以发包人发出的开工令为准　</w:t>
      </w:r>
      <w:r>
        <w:rPr>
          <w:rFonts w:hint="eastAsia" w:ascii="宋体" w:hAnsi="宋体" w:cs="宋体"/>
          <w:color w:val="auto"/>
          <w:sz w:val="21"/>
          <w:szCs w:val="21"/>
          <w:highlight w:val="none"/>
        </w:rPr>
        <w:t>。</w:t>
      </w:r>
    </w:p>
    <w:p w14:paraId="517FB40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2.4.2 提供施工条件</w:t>
      </w:r>
    </w:p>
    <w:p w14:paraId="2B2B35CF">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关于发包人应负责提供施工所需要的条件，包括：</w:t>
      </w:r>
      <w:r>
        <w:rPr>
          <w:rFonts w:hint="eastAsia" w:ascii="宋体" w:hAnsi="宋体" w:cs="宋体"/>
          <w:color w:val="auto"/>
          <w:sz w:val="21"/>
          <w:szCs w:val="21"/>
          <w:highlight w:val="none"/>
          <w:u w:val="single"/>
          <w:lang w:val="zh-CN"/>
        </w:rPr>
        <w:t>发包人按承包人的施工现场总平面布置图的要</w:t>
      </w:r>
      <w:r>
        <w:rPr>
          <w:rFonts w:hint="eastAsia" w:ascii="宋体" w:hAnsi="宋体" w:cs="宋体"/>
          <w:color w:val="auto"/>
          <w:sz w:val="21"/>
          <w:szCs w:val="21"/>
          <w:highlight w:val="none"/>
        </w:rPr>
        <w:t>求于开工7日前达到三通一平的施工要求，</w:t>
      </w:r>
      <w:r>
        <w:rPr>
          <w:rFonts w:hint="eastAsia" w:ascii="宋体" w:hAnsi="宋体" w:cs="宋体"/>
          <w:color w:val="auto"/>
          <w:sz w:val="21"/>
          <w:szCs w:val="21"/>
          <w:highlight w:val="none"/>
          <w:u w:val="single"/>
          <w:lang w:val="zh-CN"/>
        </w:rPr>
        <w:t>将水、电接至距拟建建筑物外墙（或构筑物外边线）200米范围内。电讯线路的接通由承包人自费解决；</w:t>
      </w:r>
      <w:r>
        <w:rPr>
          <w:rFonts w:hint="eastAsia" w:ascii="宋体" w:hAnsi="宋体" w:cs="宋体"/>
          <w:color w:val="auto"/>
          <w:sz w:val="21"/>
          <w:szCs w:val="21"/>
          <w:highlight w:val="none"/>
          <w:u w:val="single"/>
        </w:rPr>
        <w:t>电气管线</w:t>
      </w:r>
      <w:r>
        <w:rPr>
          <w:rFonts w:hint="eastAsia" w:ascii="宋体" w:hAnsi="宋体" w:cs="宋体"/>
          <w:color w:val="auto"/>
          <w:sz w:val="21"/>
          <w:szCs w:val="21"/>
          <w:highlight w:val="none"/>
          <w:u w:val="single"/>
          <w:lang w:val="zh-CN"/>
        </w:rPr>
        <w:t>的接通由承包人自费解决；承包人施工期间的生活用水、电、电讯、</w:t>
      </w:r>
      <w:r>
        <w:rPr>
          <w:rFonts w:hint="eastAsia" w:ascii="宋体" w:hAnsi="宋体" w:cs="宋体"/>
          <w:color w:val="auto"/>
          <w:sz w:val="21"/>
          <w:szCs w:val="21"/>
          <w:highlight w:val="none"/>
          <w:u w:val="single"/>
        </w:rPr>
        <w:t>电气</w:t>
      </w:r>
      <w:r>
        <w:rPr>
          <w:rFonts w:hint="eastAsia" w:ascii="宋体" w:hAnsi="宋体" w:cs="宋体"/>
          <w:color w:val="auto"/>
          <w:sz w:val="21"/>
          <w:szCs w:val="21"/>
          <w:highlight w:val="none"/>
          <w:u w:val="single"/>
          <w:lang w:val="zh-CN"/>
        </w:rPr>
        <w:t>费用由承包人支付；承包人负责在发包人指定的部位安装计量表，水电费按表计量度数</w:t>
      </w:r>
      <w:r>
        <w:rPr>
          <w:rFonts w:hint="eastAsia" w:ascii="宋体" w:hAnsi="宋体" w:cs="宋体"/>
          <w:color w:val="auto"/>
          <w:sz w:val="21"/>
          <w:szCs w:val="21"/>
          <w:highlight w:val="none"/>
        </w:rPr>
        <w:t>。</w:t>
      </w:r>
    </w:p>
    <w:p w14:paraId="33BC0CEF">
      <w:pPr>
        <w:keepNext/>
        <w:keepLines/>
        <w:spacing w:line="420" w:lineRule="exact"/>
        <w:ind w:firstLine="0" w:firstLineChars="0"/>
        <w:outlineLvl w:val="0"/>
        <w:rPr>
          <w:rFonts w:ascii="宋体" w:hAnsi="宋体" w:cs="宋体"/>
          <w:b/>
          <w:bCs/>
          <w:color w:val="auto"/>
          <w:kern w:val="44"/>
          <w:sz w:val="21"/>
          <w:szCs w:val="21"/>
          <w:highlight w:val="none"/>
        </w:rPr>
      </w:pPr>
      <w:bookmarkStart w:id="782" w:name="_Toc478389194"/>
      <w:bookmarkStart w:id="783" w:name="_Toc417904280"/>
      <w:r>
        <w:rPr>
          <w:rFonts w:hint="eastAsia" w:ascii="宋体" w:hAnsi="宋体" w:cs="宋体"/>
          <w:b/>
          <w:bCs/>
          <w:color w:val="auto"/>
          <w:kern w:val="44"/>
          <w:sz w:val="21"/>
          <w:szCs w:val="21"/>
          <w:highlight w:val="none"/>
        </w:rPr>
        <w:t>2.5 资金来源证明及支付担保</w:t>
      </w:r>
      <w:bookmarkEnd w:id="782"/>
      <w:bookmarkEnd w:id="783"/>
    </w:p>
    <w:p w14:paraId="5048F248">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发包人提供资金来源证明的期限要求：</w:t>
      </w:r>
      <w:r>
        <w:rPr>
          <w:rFonts w:hint="eastAsia" w:ascii="宋体" w:hAnsi="宋体" w:cs="宋体"/>
          <w:color w:val="auto"/>
          <w:sz w:val="21"/>
          <w:szCs w:val="21"/>
          <w:highlight w:val="none"/>
          <w:u w:val="single"/>
        </w:rPr>
        <w:t>本合同生效之日起至发包人实际支付竣工付款之日止。</w:t>
      </w:r>
    </w:p>
    <w:p w14:paraId="19839C9C">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发包人是否提供支付担保：</w:t>
      </w:r>
      <w:r>
        <w:rPr>
          <w:rFonts w:hint="eastAsia" w:ascii="宋体" w:hAnsi="宋体" w:cs="宋体"/>
          <w:color w:val="auto"/>
          <w:sz w:val="21"/>
          <w:szCs w:val="21"/>
          <w:highlight w:val="none"/>
          <w:u w:val="single"/>
        </w:rPr>
        <w:t>不提供。</w:t>
      </w:r>
    </w:p>
    <w:p w14:paraId="691BC816">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发包人提供支付担保的形式：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9D7F5C4">
      <w:pPr>
        <w:keepNext/>
        <w:keepLines/>
        <w:spacing w:line="420" w:lineRule="exact"/>
        <w:ind w:firstLine="0" w:firstLineChars="0"/>
        <w:outlineLvl w:val="0"/>
        <w:rPr>
          <w:rFonts w:ascii="宋体" w:hAnsi="宋体" w:cs="宋体"/>
          <w:b/>
          <w:bCs/>
          <w:color w:val="auto"/>
          <w:kern w:val="44"/>
          <w:sz w:val="21"/>
          <w:szCs w:val="21"/>
          <w:highlight w:val="none"/>
        </w:rPr>
      </w:pPr>
      <w:bookmarkStart w:id="784" w:name="_Toc417904281"/>
      <w:bookmarkStart w:id="785" w:name="_Toc478389195"/>
      <w:bookmarkStart w:id="786" w:name="_Toc351203635"/>
      <w:r>
        <w:rPr>
          <w:rFonts w:hint="eastAsia" w:ascii="宋体" w:hAnsi="宋体" w:cs="宋体"/>
          <w:b/>
          <w:bCs/>
          <w:color w:val="auto"/>
          <w:kern w:val="44"/>
          <w:sz w:val="21"/>
          <w:szCs w:val="21"/>
          <w:highlight w:val="none"/>
        </w:rPr>
        <w:t>3</w:t>
      </w:r>
      <w:bookmarkStart w:id="787" w:name="_Toc296347157"/>
      <w:bookmarkStart w:id="788" w:name="_Toc296503158"/>
      <w:bookmarkStart w:id="789" w:name="_Toc292559363"/>
      <w:bookmarkStart w:id="790" w:name="_Toc292559868"/>
      <w:bookmarkStart w:id="791" w:name="_Toc297120458"/>
      <w:bookmarkStart w:id="792" w:name="_Toc296346659"/>
      <w:bookmarkStart w:id="793" w:name="_Toc297048344"/>
      <w:bookmarkStart w:id="794" w:name="_Toc296944497"/>
      <w:bookmarkStart w:id="795" w:name="_Toc296891198"/>
      <w:bookmarkStart w:id="796" w:name="_Toc296890986"/>
      <w:r>
        <w:rPr>
          <w:rFonts w:hint="eastAsia" w:ascii="宋体" w:hAnsi="宋体" w:cs="宋体"/>
          <w:b/>
          <w:bCs/>
          <w:color w:val="auto"/>
          <w:kern w:val="44"/>
          <w:sz w:val="21"/>
          <w:szCs w:val="21"/>
          <w:highlight w:val="none"/>
        </w:rPr>
        <w:t>. 承包人</w:t>
      </w:r>
      <w:bookmarkEnd w:id="784"/>
      <w:bookmarkEnd w:id="785"/>
      <w:bookmarkEnd w:id="786"/>
    </w:p>
    <w:bookmarkEnd w:id="787"/>
    <w:bookmarkEnd w:id="788"/>
    <w:bookmarkEnd w:id="789"/>
    <w:bookmarkEnd w:id="790"/>
    <w:bookmarkEnd w:id="791"/>
    <w:bookmarkEnd w:id="792"/>
    <w:bookmarkEnd w:id="793"/>
    <w:bookmarkEnd w:id="794"/>
    <w:bookmarkEnd w:id="795"/>
    <w:bookmarkEnd w:id="796"/>
    <w:p w14:paraId="1CFC511F">
      <w:pPr>
        <w:keepNext/>
        <w:keepLines/>
        <w:spacing w:line="420" w:lineRule="exact"/>
        <w:ind w:firstLine="0" w:firstLineChars="0"/>
        <w:outlineLvl w:val="0"/>
        <w:rPr>
          <w:rFonts w:ascii="宋体" w:hAnsi="宋体" w:cs="宋体"/>
          <w:b/>
          <w:bCs/>
          <w:color w:val="auto"/>
          <w:kern w:val="44"/>
          <w:sz w:val="21"/>
          <w:szCs w:val="21"/>
          <w:highlight w:val="none"/>
        </w:rPr>
      </w:pPr>
      <w:bookmarkStart w:id="797" w:name="_Toc417904282"/>
      <w:bookmarkStart w:id="798" w:name="_Toc478389196"/>
      <w:r>
        <w:rPr>
          <w:rFonts w:hint="eastAsia" w:ascii="宋体" w:hAnsi="宋体" w:cs="宋体"/>
          <w:b/>
          <w:bCs/>
          <w:color w:val="auto"/>
          <w:kern w:val="44"/>
          <w:sz w:val="21"/>
          <w:szCs w:val="21"/>
          <w:highlight w:val="none"/>
        </w:rPr>
        <w:t>3.1 承包人的一般义务</w:t>
      </w:r>
      <w:bookmarkEnd w:id="797"/>
      <w:bookmarkEnd w:id="798"/>
    </w:p>
    <w:p w14:paraId="16C0E1D7">
      <w:pPr>
        <w:spacing w:line="42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（9）承包人提交的竣工资料的内容：</w:t>
      </w:r>
      <w:r>
        <w:rPr>
          <w:rFonts w:hint="eastAsia" w:ascii="宋体" w:hAnsi="宋体" w:cs="宋体"/>
          <w:color w:val="auto"/>
          <w:sz w:val="21"/>
          <w:szCs w:val="21"/>
          <w:highlight w:val="none"/>
          <w:u w:val="single"/>
        </w:rPr>
        <w:t>按相关规定</w:t>
      </w:r>
      <w:r>
        <w:rPr>
          <w:rFonts w:hint="eastAsia" w:ascii="宋体" w:hAnsi="宋体" w:cs="宋体"/>
          <w:color w:val="auto"/>
          <w:sz w:val="21"/>
          <w:szCs w:val="21"/>
          <w:highlight w:val="none"/>
        </w:rPr>
        <w:t>。</w:t>
      </w:r>
    </w:p>
    <w:p w14:paraId="00A4A4D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承包人需要提交的竣工资料套数：</w:t>
      </w:r>
      <w:r>
        <w:rPr>
          <w:rFonts w:hint="eastAsia" w:ascii="宋体" w:hAnsi="宋体" w:cs="宋体"/>
          <w:color w:val="auto"/>
          <w:sz w:val="21"/>
          <w:szCs w:val="21"/>
          <w:highlight w:val="none"/>
          <w:u w:val="single"/>
        </w:rPr>
        <w:t xml:space="preserve">      8份           </w:t>
      </w:r>
      <w:r>
        <w:rPr>
          <w:rFonts w:hint="eastAsia" w:ascii="宋体" w:hAnsi="宋体" w:cs="宋体"/>
          <w:color w:val="auto"/>
          <w:sz w:val="21"/>
          <w:szCs w:val="21"/>
          <w:highlight w:val="none"/>
        </w:rPr>
        <w:t>。</w:t>
      </w:r>
    </w:p>
    <w:p w14:paraId="4754744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承包人提交的竣工资料的费用承担：</w:t>
      </w:r>
      <w:r>
        <w:rPr>
          <w:rFonts w:hint="eastAsia" w:ascii="宋体" w:hAnsi="宋体" w:cs="宋体"/>
          <w:color w:val="auto"/>
          <w:sz w:val="21"/>
          <w:szCs w:val="21"/>
          <w:highlight w:val="none"/>
          <w:u w:val="single"/>
        </w:rPr>
        <w:t xml:space="preserve">     由承包人自行承担         </w:t>
      </w:r>
      <w:r>
        <w:rPr>
          <w:rFonts w:hint="eastAsia" w:ascii="宋体" w:hAnsi="宋体" w:cs="宋体"/>
          <w:color w:val="auto"/>
          <w:sz w:val="21"/>
          <w:szCs w:val="21"/>
          <w:highlight w:val="none"/>
        </w:rPr>
        <w:t>。</w:t>
      </w:r>
    </w:p>
    <w:p w14:paraId="0DFD3C5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承包人提交的竣工资料移交时间：</w:t>
      </w:r>
      <w:r>
        <w:rPr>
          <w:rFonts w:hint="eastAsia" w:ascii="宋体" w:hAnsi="宋体" w:cs="宋体"/>
          <w:color w:val="auto"/>
          <w:sz w:val="21"/>
          <w:szCs w:val="21"/>
          <w:highlight w:val="none"/>
          <w:u w:val="single"/>
        </w:rPr>
        <w:t xml:space="preserve">    竣工验收15天内       </w:t>
      </w:r>
      <w:r>
        <w:rPr>
          <w:rFonts w:hint="eastAsia" w:ascii="宋体" w:hAnsi="宋体" w:cs="宋体"/>
          <w:color w:val="auto"/>
          <w:sz w:val="21"/>
          <w:szCs w:val="21"/>
          <w:highlight w:val="none"/>
        </w:rPr>
        <w:t>。</w:t>
      </w:r>
    </w:p>
    <w:p w14:paraId="47004FD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承包人提交的竣工资料形式要求：</w:t>
      </w:r>
      <w:r>
        <w:rPr>
          <w:rFonts w:hint="eastAsia" w:ascii="宋体" w:hAnsi="宋体" w:cs="宋体"/>
          <w:color w:val="auto"/>
          <w:sz w:val="21"/>
          <w:szCs w:val="21"/>
          <w:highlight w:val="none"/>
          <w:u w:val="single"/>
        </w:rPr>
        <w:t xml:space="preserve">     纸质和电子文档       </w:t>
      </w:r>
      <w:r>
        <w:rPr>
          <w:rFonts w:hint="eastAsia" w:ascii="宋体" w:hAnsi="宋体" w:cs="宋体"/>
          <w:color w:val="auto"/>
          <w:sz w:val="21"/>
          <w:szCs w:val="21"/>
          <w:highlight w:val="none"/>
        </w:rPr>
        <w:t>。</w:t>
      </w:r>
    </w:p>
    <w:p w14:paraId="72039F1A">
      <w:pPr>
        <w:spacing w:line="420" w:lineRule="exact"/>
        <w:ind w:firstLine="420"/>
        <w:rPr>
          <w:rFonts w:ascii="宋体" w:hAnsi="宋体"/>
          <w:color w:val="auto"/>
          <w:sz w:val="21"/>
          <w:szCs w:val="21"/>
          <w:highlight w:val="none"/>
        </w:rPr>
      </w:pPr>
      <w:r>
        <w:rPr>
          <w:rFonts w:hint="eastAsia" w:ascii="宋体" w:hAnsi="宋体" w:cs="宋体"/>
          <w:color w:val="auto"/>
          <w:sz w:val="21"/>
          <w:szCs w:val="21"/>
          <w:highlight w:val="none"/>
        </w:rPr>
        <w:t>（10）承包人应履行的其他义务：</w:t>
      </w:r>
      <w:r>
        <w:rPr>
          <w:rFonts w:hint="eastAsia" w:ascii="宋体" w:hAnsi="宋体" w:cs="宋体"/>
          <w:color w:val="auto"/>
          <w:sz w:val="21"/>
          <w:szCs w:val="21"/>
          <w:highlight w:val="none"/>
          <w:u w:val="single"/>
        </w:rPr>
        <w:t>①承包人应当主动配合发包人协调与施工现场周边农村及村民的关系，确保项目施工顺利进行；</w:t>
      </w:r>
      <w:r>
        <w:rPr>
          <w:rFonts w:hint="eastAsia" w:ascii="宋体" w:hAnsi="宋体"/>
          <w:color w:val="auto"/>
          <w:sz w:val="21"/>
          <w:szCs w:val="21"/>
          <w:highlight w:val="none"/>
          <w:u w:val="single"/>
        </w:rPr>
        <w:t>②</w:t>
      </w:r>
      <w:r>
        <w:rPr>
          <w:rFonts w:hint="eastAsia" w:ascii="宋体" w:hAnsi="宋体"/>
          <w:color w:val="auto"/>
          <w:sz w:val="21"/>
          <w:szCs w:val="21"/>
          <w:highlight w:val="none"/>
          <w:u w:val="single"/>
          <w:lang w:eastAsia="zh-CN"/>
        </w:rPr>
        <w:t>承包人</w:t>
      </w:r>
      <w:r>
        <w:rPr>
          <w:rFonts w:hint="eastAsia" w:ascii="宋体" w:hAnsi="宋体"/>
          <w:color w:val="auto"/>
          <w:sz w:val="21"/>
          <w:szCs w:val="21"/>
          <w:highlight w:val="none"/>
          <w:u w:val="single"/>
        </w:rPr>
        <w:t>应按时支付农民工工资，发包人支付到合同价款的80％时，承包人应全部支付完农民工工资，之后如有农民工到发包方单位及上级部门反映索要工资现象视为违约，每发生一次</w:t>
      </w:r>
      <w:r>
        <w:rPr>
          <w:rFonts w:hint="eastAsia" w:ascii="宋体" w:hAnsi="宋体"/>
          <w:color w:val="auto"/>
          <w:sz w:val="21"/>
          <w:szCs w:val="21"/>
          <w:highlight w:val="none"/>
          <w:u w:val="single"/>
          <w:lang w:eastAsia="zh-CN"/>
        </w:rPr>
        <w:t>扣除</w:t>
      </w:r>
      <w:r>
        <w:rPr>
          <w:rFonts w:hint="eastAsia" w:ascii="宋体" w:hAnsi="宋体"/>
          <w:color w:val="auto"/>
          <w:sz w:val="21"/>
          <w:szCs w:val="21"/>
          <w:highlight w:val="none"/>
          <w:u w:val="single"/>
        </w:rPr>
        <w:t>最终结算价的1％，发包方可从应向承包方支付的款项中扣除；③本工程必须是</w:t>
      </w:r>
      <w:r>
        <w:rPr>
          <w:rFonts w:hint="eastAsia" w:ascii="宋体" w:hAnsi="宋体"/>
          <w:color w:val="auto"/>
          <w:sz w:val="21"/>
          <w:szCs w:val="21"/>
          <w:highlight w:val="none"/>
          <w:u w:val="single"/>
          <w:lang w:eastAsia="zh-CN"/>
        </w:rPr>
        <w:t>承包</w:t>
      </w:r>
      <w:r>
        <w:rPr>
          <w:rFonts w:hint="eastAsia" w:ascii="宋体" w:hAnsi="宋体"/>
          <w:color w:val="auto"/>
          <w:sz w:val="21"/>
          <w:szCs w:val="21"/>
          <w:highlight w:val="none"/>
          <w:u w:val="single"/>
        </w:rPr>
        <w:t>人独立完成，不得转包。如一经发现转包，发包人有权终止合同，依法另行选择承包人，原承包人无条件退出现场；④发包人另行发包的</w:t>
      </w:r>
      <w:r>
        <w:rPr>
          <w:rFonts w:hint="eastAsia" w:ascii="宋体" w:hAnsi="宋体"/>
          <w:color w:val="auto"/>
          <w:sz w:val="21"/>
          <w:szCs w:val="21"/>
          <w:highlight w:val="none"/>
          <w:u w:val="single"/>
          <w:lang w:eastAsia="zh-CN"/>
        </w:rPr>
        <w:t>采购</w:t>
      </w:r>
      <w:r>
        <w:rPr>
          <w:rFonts w:hint="eastAsia" w:ascii="宋体" w:hAnsi="宋体"/>
          <w:color w:val="auto"/>
          <w:sz w:val="21"/>
          <w:szCs w:val="21"/>
          <w:highlight w:val="none"/>
          <w:u w:val="single"/>
        </w:rPr>
        <w:t>范围以外的工程，承包人必须无条件配合；⑤承包人在承包工程施工期间所发生的一切责任事故，全部由承包人承担经济责任和法律责任。⑥承包人应负责协调解决来自当地居民对工程施工的人为干扰，并承担相关费用。⑦承包人应始终采取各种合理的预防措施，防止承包人员或其内部发生任何非法的、骚动的或无序的行为，以保持安定，保护现场及第三人的财产和人身安全。⑧为发包人依法发包的专业工程承包商提供总承包管理与协调服务，并为专业工程承包商提供一切施工方便。为发包人和监理人在施工现场提供必要的办公室和办公桌椅等设备。⑨按相关部门有关规定配合发包人其他工程的施工等。</w:t>
      </w:r>
    </w:p>
    <w:p w14:paraId="0FFBAAE6">
      <w:pPr>
        <w:keepNext/>
        <w:keepLines/>
        <w:spacing w:line="420" w:lineRule="exact"/>
        <w:ind w:firstLine="0" w:firstLineChars="0"/>
        <w:outlineLvl w:val="0"/>
        <w:rPr>
          <w:rFonts w:ascii="宋体" w:hAnsi="宋体" w:cs="宋体"/>
          <w:b/>
          <w:bCs/>
          <w:color w:val="auto"/>
          <w:kern w:val="44"/>
          <w:sz w:val="21"/>
          <w:szCs w:val="21"/>
          <w:highlight w:val="none"/>
        </w:rPr>
      </w:pPr>
      <w:bookmarkStart w:id="799" w:name="_Toc478389197"/>
      <w:bookmarkStart w:id="800" w:name="_Toc417904283"/>
      <w:r>
        <w:rPr>
          <w:rFonts w:hint="eastAsia" w:ascii="宋体" w:hAnsi="宋体" w:cs="宋体"/>
          <w:b/>
          <w:bCs/>
          <w:color w:val="auto"/>
          <w:kern w:val="44"/>
          <w:sz w:val="21"/>
          <w:szCs w:val="21"/>
          <w:highlight w:val="none"/>
        </w:rPr>
        <w:t>3.2 项目经理</w:t>
      </w:r>
      <w:bookmarkEnd w:id="799"/>
      <w:bookmarkEnd w:id="800"/>
    </w:p>
    <w:p w14:paraId="44D7F62C">
      <w:pPr>
        <w:spacing w:line="420" w:lineRule="exact"/>
        <w:ind w:left="480" w:leftChars="200"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3.2.1项目经理：（注：若发包人发现承包人投入本项目的项目经理已在其他在建项目中担任项目经理，发包人有权要求承包人更换，且更换的项目经理必须满足本项目的要求并同时经过发包人同意，否则按违约处理。）</w:t>
      </w:r>
    </w:p>
    <w:p w14:paraId="2C0BCDC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BE306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身份证号：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2F89557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建造师执业资格等级：</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2A1AD3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建造师注册证书号：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4F8027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建造师执业印章号：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028B40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安全生产考核合格证书号：</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33447FA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65E319C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4615A9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35DCFE2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承包人对项目经理的授权范围如下：</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7A0F6AA5">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关于项目经理每月在施工现场的时间要求：</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24</w:t>
      </w:r>
      <w:r>
        <w:rPr>
          <w:rFonts w:hint="eastAsia" w:ascii="宋体" w:hAnsi="宋体" w:cs="宋体"/>
          <w:color w:val="auto"/>
          <w:sz w:val="21"/>
          <w:szCs w:val="21"/>
          <w:highlight w:val="none"/>
          <w:u w:val="single"/>
        </w:rPr>
        <w:t>天　　</w:t>
      </w:r>
    </w:p>
    <w:p w14:paraId="3C7B3088">
      <w:pPr>
        <w:spacing w:line="420" w:lineRule="exact"/>
        <w:ind w:firstLine="420"/>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项目经理未经批准，擅自离开施工现场的违约责任：</w:t>
      </w:r>
      <w:r>
        <w:rPr>
          <w:rFonts w:hint="eastAsia" w:ascii="宋体" w:hAnsi="宋体" w:cs="宋体"/>
          <w:color w:val="auto"/>
          <w:sz w:val="21"/>
          <w:szCs w:val="21"/>
          <w:highlight w:val="none"/>
          <w:u w:val="single"/>
        </w:rPr>
        <w:t>项目经理每月在岗带班时间不得少于当月施工时间的80%。未经发包人同意或正当理由，项目经理每月在岗带班时间少于当月施工时间80%的，少在岗带班一天，发包人有权处违约金1000元/日（人民币），累计超过3次（含3次），业主有权解除承包合同，所完成工程量不予以支付工程款，依法另行选择承包人，原承包人三日内无条件退出现场，但原承包人仍应当对已做工程的质量承担责任。</w:t>
      </w:r>
    </w:p>
    <w:p w14:paraId="5D019D2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承包人未提交劳动合同，以及没有为项目经理缴纳社会保险证明的违约责任：</w:t>
      </w:r>
      <w:r>
        <w:rPr>
          <w:rFonts w:hint="eastAsia" w:ascii="宋体" w:hAnsi="宋体" w:cs="宋体"/>
          <w:color w:val="auto"/>
          <w:sz w:val="21"/>
          <w:szCs w:val="21"/>
          <w:highlight w:val="none"/>
          <w:u w:val="single"/>
        </w:rPr>
        <w:t xml:space="preserve">若经发包人检查发现承包人违约则扣款2万元，若承包人不按要求及时整改，发包人有权解除合同   </w:t>
      </w:r>
      <w:r>
        <w:rPr>
          <w:rFonts w:hint="eastAsia" w:ascii="宋体" w:hAnsi="宋体" w:cs="宋体"/>
          <w:color w:val="auto"/>
          <w:sz w:val="21"/>
          <w:szCs w:val="21"/>
          <w:highlight w:val="none"/>
        </w:rPr>
        <w:t>。</w:t>
      </w:r>
    </w:p>
    <w:p w14:paraId="21F6F9E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3.2.3承包人擅自更换项目经理的违约责任：</w:t>
      </w:r>
      <w:r>
        <w:rPr>
          <w:rFonts w:hint="eastAsia" w:ascii="宋体" w:hAnsi="宋体" w:cs="宋体"/>
          <w:color w:val="auto"/>
          <w:sz w:val="21"/>
          <w:szCs w:val="21"/>
          <w:highlight w:val="none"/>
          <w:u w:val="single"/>
        </w:rPr>
        <w:t>承包人项目经理必须与承包人投标时所承诺的人员一致，并在约定开工日期前到任。在监理人向承包人颁发竣工证明材料名称前，项目经理不得同时兼任其他任何项目的项目经理（符合桂建管﹝2013﹞17号和桂建管﹝201</w:t>
      </w:r>
      <w:r>
        <w:rPr>
          <w:rFonts w:ascii="宋体" w:hAnsi="宋体" w:cs="宋体"/>
          <w:color w:val="auto"/>
          <w:sz w:val="21"/>
          <w:szCs w:val="21"/>
          <w:highlight w:val="none"/>
          <w:u w:val="single"/>
        </w:rPr>
        <w:t>6</w:t>
      </w:r>
      <w:r>
        <w:rPr>
          <w:rFonts w:hint="eastAsia" w:ascii="宋体" w:hAnsi="宋体" w:cs="宋体"/>
          <w:color w:val="auto"/>
          <w:sz w:val="21"/>
          <w:szCs w:val="21"/>
          <w:highlight w:val="none"/>
          <w:u w:val="single"/>
        </w:rPr>
        <w:t>﹞</w:t>
      </w:r>
      <w:r>
        <w:rPr>
          <w:rFonts w:ascii="宋体" w:hAnsi="宋体" w:cs="宋体"/>
          <w:color w:val="auto"/>
          <w:sz w:val="21"/>
          <w:szCs w:val="21"/>
          <w:highlight w:val="none"/>
          <w:u w:val="single"/>
        </w:rPr>
        <w:t>70</w:t>
      </w:r>
      <w:r>
        <w:rPr>
          <w:rFonts w:hint="eastAsia" w:ascii="宋体" w:hAnsi="宋体" w:cs="宋体"/>
          <w:color w:val="auto"/>
          <w:sz w:val="21"/>
          <w:szCs w:val="21"/>
          <w:highlight w:val="none"/>
          <w:u w:val="single"/>
        </w:rPr>
        <w:t>号文除外）。未经发包人书面同意，承包人擅自更换项目经理的视为违约，违约金处20000.00元/人•次（人民币）</w:t>
      </w:r>
      <w:r>
        <w:rPr>
          <w:rFonts w:hint="eastAsia" w:ascii="宋体" w:hAnsi="宋体" w:cs="宋体"/>
          <w:color w:val="auto"/>
          <w:sz w:val="21"/>
          <w:szCs w:val="21"/>
          <w:highlight w:val="none"/>
        </w:rPr>
        <w:t>。</w:t>
      </w:r>
    </w:p>
    <w:p w14:paraId="1ADCC0E6">
      <w:pPr>
        <w:spacing w:line="420" w:lineRule="exact"/>
        <w:ind w:firstLine="420"/>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3.2.4承包人无正当理由拒绝更换项目经理的违约责任：</w:t>
      </w:r>
      <w:r>
        <w:rPr>
          <w:rFonts w:hint="eastAsia" w:ascii="宋体" w:hAnsi="宋体" w:cs="宋体"/>
          <w:color w:val="auto"/>
          <w:sz w:val="21"/>
          <w:szCs w:val="21"/>
          <w:highlight w:val="none"/>
          <w:u w:val="single"/>
        </w:rPr>
        <w:t>因承包人项目经理不称职，发包人要求调换而未及时调换的，视为承包人违约，必须向发包人交纳处罚5000.00元/人•次（人民币），累计超过3次（含3次）发包人有权解除承包合同，所完成工程量不予以支付工程款，依法另行选择承包人，原承包人三日内无条件退出现场，但原承包人仍应当对已做工程的质量承担责任。</w:t>
      </w:r>
    </w:p>
    <w:p w14:paraId="21E0E5B6">
      <w:pPr>
        <w:keepNext/>
        <w:keepLines/>
        <w:spacing w:line="420" w:lineRule="exact"/>
        <w:ind w:firstLine="0" w:firstLineChars="0"/>
        <w:outlineLvl w:val="0"/>
        <w:rPr>
          <w:rFonts w:ascii="宋体" w:hAnsi="宋体" w:cs="宋体"/>
          <w:b/>
          <w:bCs/>
          <w:color w:val="auto"/>
          <w:kern w:val="44"/>
          <w:sz w:val="21"/>
          <w:szCs w:val="21"/>
          <w:highlight w:val="none"/>
        </w:rPr>
      </w:pPr>
      <w:bookmarkStart w:id="801" w:name="_Toc478389198"/>
      <w:bookmarkStart w:id="802" w:name="_Toc389065275"/>
      <w:bookmarkStart w:id="803" w:name="_Toc417904284"/>
      <w:bookmarkStart w:id="804" w:name="_Toc373478356"/>
      <w:bookmarkStart w:id="805" w:name="_Toc373227709"/>
      <w:bookmarkStart w:id="806" w:name="_Toc395382511"/>
      <w:r>
        <w:rPr>
          <w:rFonts w:hint="eastAsia" w:ascii="宋体" w:hAnsi="宋体" w:cs="宋体"/>
          <w:b/>
          <w:bCs/>
          <w:color w:val="auto"/>
          <w:kern w:val="44"/>
          <w:sz w:val="21"/>
          <w:szCs w:val="21"/>
          <w:highlight w:val="none"/>
        </w:rPr>
        <w:t>3.3 承包人人员</w:t>
      </w:r>
      <w:bookmarkEnd w:id="801"/>
      <w:bookmarkEnd w:id="802"/>
      <w:bookmarkEnd w:id="803"/>
      <w:bookmarkEnd w:id="804"/>
      <w:bookmarkEnd w:id="805"/>
      <w:bookmarkEnd w:id="806"/>
    </w:p>
    <w:p w14:paraId="4BD94CC3">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3.3.1</w:t>
      </w:r>
      <w:r>
        <w:rPr>
          <w:rFonts w:hint="eastAsia" w:ascii="宋体" w:hAnsi="宋体" w:cs="宋体"/>
          <w:color w:val="auto"/>
          <w:sz w:val="21"/>
          <w:szCs w:val="21"/>
          <w:highlight w:val="none"/>
          <w:u w:val="single"/>
        </w:rPr>
        <w:t>承包人提交项目管理机构及施工现场管理人员安排报告（格式见合同附件</w:t>
      </w:r>
      <w:r>
        <w:rPr>
          <w:rFonts w:hint="eastAsia" w:ascii="宋体" w:hAnsi="宋体" w:cs="宋体"/>
          <w:color w:val="auto"/>
          <w:sz w:val="21"/>
          <w:szCs w:val="21"/>
          <w:highlight w:val="none"/>
          <w:u w:val="single"/>
          <w:lang w:val="en-US" w:eastAsia="zh-CN"/>
        </w:rPr>
        <w:t>6）</w:t>
      </w:r>
      <w:r>
        <w:rPr>
          <w:rFonts w:hint="eastAsia" w:ascii="宋体" w:hAnsi="宋体" w:cs="宋体"/>
          <w:color w:val="auto"/>
          <w:sz w:val="21"/>
          <w:szCs w:val="21"/>
          <w:highlight w:val="none"/>
          <w:u w:val="single"/>
        </w:rPr>
        <w:t>的期限：合同签订后3天内。</w:t>
      </w:r>
    </w:p>
    <w:p w14:paraId="6A629FEA">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3.3.3承包人无正当理由拒绝撤换主要施工管理人员的违约责任：</w:t>
      </w:r>
      <w:r>
        <w:rPr>
          <w:rFonts w:hint="eastAsia" w:ascii="宋体" w:hAnsi="宋体" w:cs="宋体"/>
          <w:color w:val="auto"/>
          <w:sz w:val="21"/>
          <w:szCs w:val="21"/>
          <w:highlight w:val="none"/>
          <w:u w:val="single"/>
        </w:rPr>
        <w:t>因承包人主要施工管理人员不称职，发包人要求调换而无正当理由拒绝撤换或未及时调换的，视为承包人违约，必须向发包人交纳</w:t>
      </w:r>
      <w:r>
        <w:rPr>
          <w:rFonts w:hint="eastAsia" w:ascii="宋体" w:hAnsi="宋体" w:cs="宋体"/>
          <w:color w:val="auto"/>
          <w:sz w:val="21"/>
          <w:szCs w:val="21"/>
          <w:highlight w:val="none"/>
          <w:u w:val="single"/>
          <w:lang w:eastAsia="zh-CN"/>
        </w:rPr>
        <w:t>违约金</w:t>
      </w:r>
      <w:r>
        <w:rPr>
          <w:rFonts w:hint="eastAsia" w:ascii="宋体" w:hAnsi="宋体" w:cs="宋体"/>
          <w:color w:val="auto"/>
          <w:sz w:val="21"/>
          <w:szCs w:val="21"/>
          <w:highlight w:val="none"/>
          <w:u w:val="single"/>
        </w:rPr>
        <w:t>，处罚标准：技术负责人5000元/人•次（人民币）；专业工程师2000元/人•次（人民币），累计超过3次（含3次）发包人有权解除承包合同，所完成工程量不予以支付工程款，依法另行选择承包人，原承包人三日内无条件退出现场，但原承包人仍应当对已做工程的质量承担责任。</w:t>
      </w:r>
    </w:p>
    <w:p w14:paraId="649DD45C">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3.3.4 承包人主要施工管理人员离开施工现场的批准要求：</w:t>
      </w:r>
      <w:r>
        <w:rPr>
          <w:rFonts w:hint="eastAsia" w:ascii="宋体" w:hAnsi="宋体" w:cs="宋体"/>
          <w:color w:val="auto"/>
          <w:sz w:val="21"/>
          <w:szCs w:val="21"/>
          <w:highlight w:val="none"/>
          <w:u w:val="single"/>
        </w:rPr>
        <w:t xml:space="preserve">  向发包人书面申请  </w:t>
      </w:r>
      <w:r>
        <w:rPr>
          <w:rFonts w:hint="eastAsia" w:ascii="宋体" w:hAnsi="宋体" w:cs="宋体"/>
          <w:color w:val="auto"/>
          <w:sz w:val="21"/>
          <w:szCs w:val="21"/>
          <w:highlight w:val="none"/>
        </w:rPr>
        <w:t>。</w:t>
      </w:r>
    </w:p>
    <w:p w14:paraId="15E8AD09">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3.3.5承包人擅自更换主要施工管理人员的违约责任：</w:t>
      </w:r>
      <w:r>
        <w:rPr>
          <w:rFonts w:hint="eastAsia" w:ascii="宋体" w:hAnsi="宋体" w:cs="宋体"/>
          <w:color w:val="auto"/>
          <w:sz w:val="21"/>
          <w:szCs w:val="21"/>
          <w:highlight w:val="none"/>
          <w:u w:val="single"/>
        </w:rPr>
        <w:t>项目技术负责人、专职安全员及其承诺的</w:t>
      </w:r>
      <w:r>
        <w:rPr>
          <w:rFonts w:hint="eastAsia" w:ascii="宋体" w:hAnsi="宋体" w:cs="宋体"/>
          <w:color w:val="auto"/>
          <w:sz w:val="21"/>
          <w:szCs w:val="21"/>
          <w:highlight w:val="none"/>
          <w:u w:val="single"/>
          <w:lang w:eastAsia="zh-CN"/>
        </w:rPr>
        <w:t>其他</w:t>
      </w:r>
      <w:r>
        <w:rPr>
          <w:rFonts w:hint="eastAsia" w:ascii="宋体" w:hAnsi="宋体" w:cs="宋体"/>
          <w:color w:val="auto"/>
          <w:sz w:val="21"/>
          <w:szCs w:val="21"/>
          <w:highlight w:val="none"/>
          <w:u w:val="single"/>
        </w:rPr>
        <w:t>在场管理人员未经发包人书面同意不准擅自更换，擅自更换项目技术负责人处5000元/人•次（人民币）违约金；擅自更换专职安全员处2000元/人•次（人民币）违约金；擅自更换</w:t>
      </w:r>
      <w:r>
        <w:rPr>
          <w:rFonts w:hint="eastAsia" w:ascii="宋体" w:hAnsi="宋体" w:cs="宋体"/>
          <w:color w:val="auto"/>
          <w:sz w:val="21"/>
          <w:szCs w:val="21"/>
          <w:highlight w:val="none"/>
          <w:u w:val="single"/>
          <w:lang w:eastAsia="zh-CN"/>
        </w:rPr>
        <w:t>其他</w:t>
      </w:r>
      <w:r>
        <w:rPr>
          <w:rFonts w:hint="eastAsia" w:ascii="宋体" w:hAnsi="宋体" w:cs="宋体"/>
          <w:color w:val="auto"/>
          <w:sz w:val="21"/>
          <w:szCs w:val="21"/>
          <w:highlight w:val="none"/>
          <w:u w:val="single"/>
        </w:rPr>
        <w:t>在场管理人员处1000元/人•次（人民币）违约金，累计超过3次（含3次）发包人有权解除承包合同，所完成工程量不予以支付工程款，依法另行选择承包人，原承包人三日内无条件退出现场，但原承包人仍应当对已做工程的质量承担责任。</w:t>
      </w:r>
    </w:p>
    <w:p w14:paraId="1A42DD0E">
      <w:pPr>
        <w:spacing w:line="440" w:lineRule="exact"/>
        <w:ind w:firstLine="424" w:firstLineChars="202"/>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承包人主要施工管理人员擅自离开施工现场的违约责任：</w:t>
      </w:r>
      <w:r>
        <w:rPr>
          <w:rFonts w:hint="eastAsia" w:ascii="宋体" w:hAnsi="宋体" w:cs="宋体"/>
          <w:color w:val="auto"/>
          <w:sz w:val="21"/>
          <w:szCs w:val="21"/>
          <w:highlight w:val="none"/>
          <w:u w:val="single"/>
        </w:rPr>
        <w:t>未经发包人同意，项目技术负责人擅自离岗的，视为承包人违约，发包人有权处违约金2000元/人•次（人民币）；未经发包人同意，专职安全员擅自离岗的，视为承包人违约，发包人有权处违约金1000元/人•次（人民币）；</w:t>
      </w:r>
      <w:r>
        <w:rPr>
          <w:rFonts w:hint="eastAsia" w:ascii="宋体" w:hAnsi="宋体" w:cs="宋体"/>
          <w:color w:val="auto"/>
          <w:sz w:val="21"/>
          <w:szCs w:val="21"/>
          <w:highlight w:val="none"/>
          <w:u w:val="single"/>
          <w:lang w:eastAsia="zh-CN"/>
        </w:rPr>
        <w:t>其他</w:t>
      </w:r>
      <w:r>
        <w:rPr>
          <w:rFonts w:hint="eastAsia" w:ascii="宋体" w:hAnsi="宋体" w:cs="宋体"/>
          <w:color w:val="auto"/>
          <w:sz w:val="21"/>
          <w:szCs w:val="21"/>
          <w:highlight w:val="none"/>
          <w:u w:val="single"/>
        </w:rPr>
        <w:t xml:space="preserve">在场管理人员擅自离岗的，视为承包人违约，发包人有权处违约金5000元/人•次（人民币），累计超过3次（含3次）发包人有权解除承包合同，所完成工程量不予以支付工程款，依法另行选择承包人，原承包人三日内无条件退出现场，但原承包人仍应当对已做工程的质量承担责任。 </w:t>
      </w:r>
    </w:p>
    <w:p w14:paraId="12273110">
      <w:pPr>
        <w:keepNext/>
        <w:keepLines/>
        <w:spacing w:line="440" w:lineRule="exact"/>
        <w:ind w:firstLine="0" w:firstLineChars="0"/>
        <w:outlineLvl w:val="0"/>
        <w:rPr>
          <w:rFonts w:ascii="宋体" w:hAnsi="宋体" w:cs="宋体"/>
          <w:b/>
          <w:bCs/>
          <w:color w:val="auto"/>
          <w:kern w:val="44"/>
          <w:sz w:val="21"/>
          <w:szCs w:val="21"/>
          <w:highlight w:val="none"/>
        </w:rPr>
      </w:pPr>
      <w:bookmarkStart w:id="807" w:name="_Toc478389199"/>
      <w:bookmarkStart w:id="808" w:name="_Toc417904285"/>
      <w:r>
        <w:rPr>
          <w:rFonts w:hint="eastAsia" w:ascii="宋体" w:hAnsi="宋体" w:cs="宋体"/>
          <w:b/>
          <w:bCs/>
          <w:color w:val="auto"/>
          <w:kern w:val="44"/>
          <w:sz w:val="21"/>
          <w:szCs w:val="21"/>
          <w:highlight w:val="none"/>
        </w:rPr>
        <w:t>3</w:t>
      </w:r>
      <w:bookmarkStart w:id="809" w:name="_Toc296890987"/>
      <w:bookmarkStart w:id="810" w:name="_Toc292559869"/>
      <w:bookmarkStart w:id="811" w:name="_Toc296503159"/>
      <w:bookmarkStart w:id="812" w:name="_Toc297048345"/>
      <w:bookmarkStart w:id="813" w:name="_Toc297123492"/>
      <w:bookmarkStart w:id="814" w:name="_Toc296944498"/>
      <w:bookmarkStart w:id="815" w:name="_Toc312677988"/>
      <w:bookmarkStart w:id="816" w:name="_Toc296891199"/>
      <w:bookmarkStart w:id="817" w:name="_Toc296347158"/>
      <w:bookmarkStart w:id="818" w:name="_Toc304295523"/>
      <w:bookmarkStart w:id="819" w:name="_Toc297120459"/>
      <w:bookmarkStart w:id="820" w:name="_Toc292559364"/>
      <w:bookmarkStart w:id="821" w:name="_Toc296346660"/>
      <w:bookmarkStart w:id="822" w:name="_Toc300934945"/>
      <w:bookmarkStart w:id="823" w:name="_Toc297216151"/>
      <w:bookmarkStart w:id="824" w:name="_Toc303539102"/>
      <w:r>
        <w:rPr>
          <w:rFonts w:hint="eastAsia" w:ascii="宋体" w:hAnsi="宋体" w:cs="宋体"/>
          <w:b/>
          <w:bCs/>
          <w:color w:val="auto"/>
          <w:kern w:val="44"/>
          <w:sz w:val="21"/>
          <w:szCs w:val="21"/>
          <w:highlight w:val="none"/>
        </w:rPr>
        <w:t>.5 分包</w:t>
      </w:r>
      <w:bookmarkEnd w:id="807"/>
      <w:bookmarkEnd w:id="808"/>
    </w:p>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14:paraId="0491F787">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w:t>
      </w:r>
      <w:bookmarkStart w:id="825" w:name="_Toc292559365"/>
      <w:bookmarkStart w:id="826" w:name="_Toc296944499"/>
      <w:bookmarkStart w:id="827" w:name="_Toc297216152"/>
      <w:bookmarkStart w:id="828" w:name="_Toc297120460"/>
      <w:bookmarkStart w:id="829" w:name="_Toc296890988"/>
      <w:bookmarkStart w:id="830" w:name="_Toc297123493"/>
      <w:bookmarkStart w:id="831" w:name="_Toc297048346"/>
      <w:bookmarkStart w:id="832" w:name="_Toc304295524"/>
      <w:bookmarkStart w:id="833" w:name="_Toc292559870"/>
      <w:bookmarkStart w:id="834" w:name="_Toc296891200"/>
      <w:bookmarkStart w:id="835" w:name="_Toc296346661"/>
      <w:bookmarkStart w:id="836" w:name="_Toc296503160"/>
      <w:bookmarkStart w:id="837" w:name="_Toc303539103"/>
      <w:bookmarkStart w:id="838" w:name="_Toc300934946"/>
      <w:bookmarkStart w:id="839" w:name="_Toc296347159"/>
      <w:bookmarkStart w:id="840" w:name="_Toc318581158"/>
      <w:bookmarkStart w:id="841" w:name="_Toc312677989"/>
      <w:r>
        <w:rPr>
          <w:rFonts w:hint="eastAsia" w:ascii="宋体" w:hAnsi="宋体" w:cs="宋体"/>
          <w:color w:val="auto"/>
          <w:sz w:val="21"/>
          <w:szCs w:val="21"/>
          <w:highlight w:val="none"/>
        </w:rPr>
        <w:t>.5.1 分包的一般约定</w:t>
      </w:r>
    </w:p>
    <w:p w14:paraId="6ED198CF">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禁止分包的工程包括：</w:t>
      </w:r>
      <w:r>
        <w:rPr>
          <w:rFonts w:hint="eastAsia" w:ascii="宋体" w:hAnsi="宋体" w:cs="宋体"/>
          <w:color w:val="auto"/>
          <w:sz w:val="21"/>
          <w:szCs w:val="21"/>
          <w:highlight w:val="none"/>
          <w:u w:val="single"/>
        </w:rPr>
        <w:t xml:space="preserve">  按国家规定及招标要求   </w:t>
      </w:r>
      <w:r>
        <w:rPr>
          <w:rFonts w:hint="eastAsia" w:ascii="宋体" w:hAnsi="宋体" w:cs="宋体"/>
          <w:color w:val="auto"/>
          <w:sz w:val="21"/>
          <w:szCs w:val="21"/>
          <w:highlight w:val="none"/>
        </w:rPr>
        <w:t>。</w:t>
      </w:r>
    </w:p>
    <w:p w14:paraId="79E021D3">
      <w:pPr>
        <w:spacing w:line="4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主体结构、关键性工作的范围：</w:t>
      </w:r>
      <w:r>
        <w:rPr>
          <w:rFonts w:hint="eastAsia" w:ascii="宋体" w:hAnsi="宋体" w:cs="宋体"/>
          <w:color w:val="auto"/>
          <w:sz w:val="21"/>
          <w:szCs w:val="21"/>
          <w:highlight w:val="none"/>
          <w:u w:val="single"/>
        </w:rPr>
        <w:t xml:space="preserve">  不允许分包　</w:t>
      </w:r>
      <w:r>
        <w:rPr>
          <w:rFonts w:hint="eastAsia" w:ascii="宋体" w:hAnsi="宋体" w:cs="宋体"/>
          <w:color w:val="auto"/>
          <w:sz w:val="21"/>
          <w:szCs w:val="21"/>
          <w:highlight w:val="none"/>
        </w:rPr>
        <w:t>。</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Start w:id="842" w:name="_Toc297216153"/>
      <w:bookmarkStart w:id="843" w:name="_Toc296944500"/>
      <w:bookmarkStart w:id="844" w:name="_Toc296890989"/>
      <w:bookmarkStart w:id="845" w:name="_Toc300934947"/>
      <w:bookmarkStart w:id="846" w:name="_Toc296347160"/>
      <w:bookmarkStart w:id="847" w:name="_Toc296891201"/>
      <w:bookmarkStart w:id="848" w:name="_Toc297120461"/>
      <w:bookmarkStart w:id="849" w:name="_Toc296346662"/>
      <w:bookmarkStart w:id="850" w:name="_Toc304295525"/>
      <w:bookmarkStart w:id="851" w:name="_Toc297123494"/>
      <w:bookmarkStart w:id="852" w:name="_Toc296503161"/>
      <w:bookmarkStart w:id="853" w:name="_Toc303539104"/>
      <w:bookmarkStart w:id="854" w:name="_Toc297048347"/>
    </w:p>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14:paraId="267E99C2">
      <w:pPr>
        <w:keepNext/>
        <w:keepLines/>
        <w:spacing w:line="440" w:lineRule="exact"/>
        <w:ind w:firstLine="0" w:firstLineChars="0"/>
        <w:outlineLvl w:val="0"/>
        <w:rPr>
          <w:rFonts w:ascii="宋体" w:hAnsi="宋体" w:cs="宋体"/>
          <w:b/>
          <w:bCs/>
          <w:color w:val="auto"/>
          <w:kern w:val="44"/>
          <w:sz w:val="21"/>
          <w:szCs w:val="21"/>
          <w:highlight w:val="none"/>
        </w:rPr>
      </w:pPr>
      <w:bookmarkStart w:id="855" w:name="_Toc478389200"/>
      <w:bookmarkStart w:id="856" w:name="_Toc417904286"/>
      <w:r>
        <w:rPr>
          <w:rFonts w:hint="eastAsia" w:ascii="宋体" w:hAnsi="宋体" w:cs="宋体"/>
          <w:b/>
          <w:bCs/>
          <w:color w:val="auto"/>
          <w:kern w:val="44"/>
          <w:sz w:val="21"/>
          <w:szCs w:val="21"/>
          <w:highlight w:val="none"/>
        </w:rPr>
        <w:t>3.6 工程照管与成品、半成品保护</w:t>
      </w:r>
      <w:bookmarkEnd w:id="855"/>
      <w:bookmarkEnd w:id="856"/>
    </w:p>
    <w:p w14:paraId="61DD75ED">
      <w:pPr>
        <w:spacing w:line="44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承包人负责照管工程及工程相关的材料、工程设备的时间：</w:t>
      </w:r>
      <w:r>
        <w:rPr>
          <w:rFonts w:hint="eastAsia" w:ascii="宋体" w:hAnsi="宋体" w:cs="宋体"/>
          <w:color w:val="auto"/>
          <w:sz w:val="21"/>
          <w:szCs w:val="21"/>
          <w:highlight w:val="none"/>
          <w:u w:val="single"/>
        </w:rPr>
        <w:t>发包人移交施工现场至验收交付发包人使用前　 。</w:t>
      </w:r>
    </w:p>
    <w:p w14:paraId="0801E5C2">
      <w:pPr>
        <w:keepNext/>
        <w:keepLines/>
        <w:spacing w:line="440" w:lineRule="exact"/>
        <w:ind w:firstLine="0" w:firstLineChars="0"/>
        <w:outlineLvl w:val="0"/>
        <w:rPr>
          <w:rFonts w:ascii="宋体" w:hAnsi="宋体" w:cs="宋体"/>
          <w:b/>
          <w:bCs/>
          <w:color w:val="auto"/>
          <w:kern w:val="44"/>
          <w:sz w:val="21"/>
          <w:szCs w:val="21"/>
          <w:highlight w:val="none"/>
        </w:rPr>
      </w:pPr>
      <w:bookmarkStart w:id="857" w:name="_Toc417904287"/>
      <w:bookmarkStart w:id="858" w:name="_Toc478389201"/>
      <w:r>
        <w:rPr>
          <w:rFonts w:hint="eastAsia" w:ascii="宋体" w:hAnsi="宋体" w:cs="宋体"/>
          <w:b/>
          <w:bCs/>
          <w:color w:val="auto"/>
          <w:kern w:val="44"/>
          <w:sz w:val="21"/>
          <w:szCs w:val="21"/>
          <w:highlight w:val="none"/>
        </w:rPr>
        <w:t>3.7 履约保证金</w:t>
      </w:r>
      <w:bookmarkEnd w:id="857"/>
      <w:bookmarkEnd w:id="858"/>
    </w:p>
    <w:p w14:paraId="4BD80317">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承包人是否提供履约保证金：否</w:t>
      </w:r>
    </w:p>
    <w:p w14:paraId="38FB6B5D">
      <w:pPr>
        <w:spacing w:line="44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承包人提供履约保证金的形式、金额及期限的：无</w:t>
      </w:r>
    </w:p>
    <w:p w14:paraId="205298BE">
      <w:pPr>
        <w:keepNext/>
        <w:keepLines/>
        <w:spacing w:line="440" w:lineRule="exact"/>
        <w:ind w:firstLine="0" w:firstLineChars="0"/>
        <w:outlineLvl w:val="0"/>
        <w:rPr>
          <w:rFonts w:ascii="宋体" w:hAnsi="宋体" w:cs="宋体"/>
          <w:b/>
          <w:bCs/>
          <w:color w:val="auto"/>
          <w:kern w:val="44"/>
          <w:sz w:val="21"/>
          <w:szCs w:val="21"/>
          <w:highlight w:val="none"/>
        </w:rPr>
      </w:pPr>
      <w:bookmarkStart w:id="859" w:name="_Toc417904288"/>
      <w:bookmarkStart w:id="860" w:name="_Toc351203636"/>
      <w:bookmarkStart w:id="861" w:name="_Toc478389202"/>
      <w:r>
        <w:rPr>
          <w:rFonts w:hint="eastAsia" w:ascii="宋体" w:hAnsi="宋体" w:cs="宋体"/>
          <w:b/>
          <w:bCs/>
          <w:color w:val="auto"/>
          <w:kern w:val="44"/>
          <w:sz w:val="21"/>
          <w:szCs w:val="21"/>
          <w:highlight w:val="none"/>
        </w:rPr>
        <w:t>4</w:t>
      </w:r>
      <w:bookmarkStart w:id="862" w:name="_Toc297048348"/>
      <w:bookmarkStart w:id="863" w:name="_Toc296346663"/>
      <w:bookmarkStart w:id="864" w:name="_Toc296944501"/>
      <w:bookmarkStart w:id="865" w:name="_Toc296890990"/>
      <w:bookmarkStart w:id="866" w:name="_Toc292559366"/>
      <w:bookmarkStart w:id="867" w:name="_Toc296891202"/>
      <w:bookmarkStart w:id="868" w:name="_Toc297120462"/>
      <w:bookmarkStart w:id="869" w:name="_Toc296347161"/>
      <w:bookmarkStart w:id="870" w:name="_Toc292559871"/>
      <w:bookmarkStart w:id="871" w:name="_Toc296503162"/>
      <w:bookmarkStart w:id="872" w:name="_Toc267251413"/>
      <w:r>
        <w:rPr>
          <w:rFonts w:hint="eastAsia" w:ascii="宋体" w:hAnsi="宋体" w:cs="宋体"/>
          <w:b/>
          <w:bCs/>
          <w:color w:val="auto"/>
          <w:kern w:val="44"/>
          <w:sz w:val="21"/>
          <w:szCs w:val="21"/>
          <w:highlight w:val="none"/>
        </w:rPr>
        <w:t>. 监</w:t>
      </w:r>
      <w:bookmarkEnd w:id="862"/>
      <w:bookmarkEnd w:id="863"/>
      <w:bookmarkEnd w:id="864"/>
      <w:bookmarkEnd w:id="865"/>
      <w:bookmarkEnd w:id="866"/>
      <w:bookmarkEnd w:id="867"/>
      <w:bookmarkEnd w:id="868"/>
      <w:bookmarkEnd w:id="869"/>
      <w:bookmarkEnd w:id="870"/>
      <w:bookmarkEnd w:id="871"/>
      <w:bookmarkEnd w:id="872"/>
      <w:r>
        <w:rPr>
          <w:rFonts w:hint="eastAsia" w:ascii="宋体" w:hAnsi="宋体" w:cs="宋体"/>
          <w:b/>
          <w:bCs/>
          <w:color w:val="auto"/>
          <w:kern w:val="44"/>
          <w:sz w:val="21"/>
          <w:szCs w:val="21"/>
          <w:highlight w:val="none"/>
        </w:rPr>
        <w:t>理人</w:t>
      </w:r>
      <w:bookmarkEnd w:id="859"/>
      <w:bookmarkEnd w:id="860"/>
      <w:bookmarkEnd w:id="861"/>
    </w:p>
    <w:p w14:paraId="1BBA6F37">
      <w:pPr>
        <w:keepNext/>
        <w:keepLines/>
        <w:spacing w:line="440" w:lineRule="exact"/>
        <w:ind w:firstLine="0" w:firstLineChars="0"/>
        <w:outlineLvl w:val="0"/>
        <w:rPr>
          <w:rFonts w:ascii="宋体" w:hAnsi="宋体" w:cs="宋体"/>
          <w:b/>
          <w:bCs/>
          <w:color w:val="auto"/>
          <w:kern w:val="44"/>
          <w:sz w:val="21"/>
          <w:szCs w:val="21"/>
          <w:highlight w:val="none"/>
        </w:rPr>
      </w:pPr>
      <w:bookmarkStart w:id="873" w:name="_Toc478389203"/>
      <w:bookmarkStart w:id="874" w:name="_Toc417904289"/>
      <w:r>
        <w:rPr>
          <w:rFonts w:hint="eastAsia" w:ascii="宋体" w:hAnsi="宋体" w:cs="宋体"/>
          <w:b/>
          <w:bCs/>
          <w:color w:val="auto"/>
          <w:kern w:val="44"/>
          <w:sz w:val="21"/>
          <w:szCs w:val="21"/>
          <w:highlight w:val="none"/>
        </w:rPr>
        <w:t>4.1监理人的一般规定</w:t>
      </w:r>
      <w:bookmarkEnd w:id="873"/>
      <w:bookmarkEnd w:id="874"/>
    </w:p>
    <w:p w14:paraId="5A4961AD">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关于监理人的监理内容：</w:t>
      </w:r>
      <w:r>
        <w:rPr>
          <w:rFonts w:hint="eastAsia" w:ascii="宋体" w:hAnsi="宋体" w:cs="宋体"/>
          <w:color w:val="auto"/>
          <w:sz w:val="21"/>
          <w:szCs w:val="21"/>
          <w:highlight w:val="none"/>
          <w:u w:val="single"/>
        </w:rPr>
        <w:t xml:space="preserve">  成交后填写</w:t>
      </w:r>
      <w:r>
        <w:rPr>
          <w:rFonts w:hint="eastAsia" w:ascii="宋体" w:hAnsi="宋体" w:cs="宋体"/>
          <w:color w:val="auto"/>
          <w:sz w:val="21"/>
          <w:szCs w:val="21"/>
          <w:highlight w:val="none"/>
        </w:rPr>
        <w:t>。</w:t>
      </w:r>
    </w:p>
    <w:p w14:paraId="4C351BBD">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关于监理人的监理权限：</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 xml:space="preserve">。 </w:t>
      </w:r>
    </w:p>
    <w:p w14:paraId="2C75FF19">
      <w:pPr>
        <w:spacing w:line="44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关于监理人在施工现场的办公场所、生活场所的提供和费用承担的约定：</w:t>
      </w:r>
      <w:r>
        <w:rPr>
          <w:rFonts w:hint="eastAsia" w:ascii="宋体" w:hAnsi="宋体" w:cs="宋体"/>
          <w:color w:val="auto"/>
          <w:sz w:val="21"/>
          <w:szCs w:val="21"/>
          <w:highlight w:val="none"/>
          <w:u w:val="single"/>
        </w:rPr>
        <w:t xml:space="preserve">   发包人与</w:t>
      </w:r>
      <w:r>
        <w:rPr>
          <w:rFonts w:hint="eastAsia" w:ascii="宋体" w:hAnsi="宋体" w:cs="宋体"/>
          <w:color w:val="auto"/>
          <w:sz w:val="21"/>
          <w:szCs w:val="21"/>
          <w:highlight w:val="none"/>
        </w:rPr>
        <w:t>监理人约定。</w:t>
      </w:r>
    </w:p>
    <w:p w14:paraId="45C828F7">
      <w:pPr>
        <w:keepNext/>
        <w:keepLines/>
        <w:spacing w:line="440" w:lineRule="exact"/>
        <w:ind w:firstLine="0" w:firstLineChars="0"/>
        <w:outlineLvl w:val="0"/>
        <w:rPr>
          <w:rFonts w:ascii="宋体" w:hAnsi="宋体" w:cs="宋体"/>
          <w:b/>
          <w:bCs/>
          <w:color w:val="auto"/>
          <w:kern w:val="44"/>
          <w:sz w:val="21"/>
          <w:szCs w:val="21"/>
          <w:highlight w:val="none"/>
        </w:rPr>
      </w:pPr>
      <w:bookmarkStart w:id="875" w:name="_Toc417904290"/>
      <w:bookmarkStart w:id="876" w:name="_Toc478389204"/>
      <w:r>
        <w:rPr>
          <w:rFonts w:hint="eastAsia" w:ascii="宋体" w:hAnsi="宋体" w:cs="宋体"/>
          <w:b/>
          <w:bCs/>
          <w:color w:val="auto"/>
          <w:kern w:val="44"/>
          <w:sz w:val="21"/>
          <w:szCs w:val="21"/>
          <w:highlight w:val="none"/>
        </w:rPr>
        <w:t>4.2 监理人员</w:t>
      </w:r>
      <w:bookmarkEnd w:id="875"/>
      <w:bookmarkEnd w:id="876"/>
    </w:p>
    <w:p w14:paraId="2AD85F21">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总监理工程师：</w:t>
      </w:r>
    </w:p>
    <w:p w14:paraId="49C62ED5">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姓    名：</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2FF83E9">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职    务：</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2F745604">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监理工程师执业资格证书号：</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1D149F29">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3B2ABB37">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电子信箱：</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715D0638">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通信地址：</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18C47900">
      <w:pPr>
        <w:spacing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关于监理人的其他约定：</w:t>
      </w:r>
      <w:r>
        <w:rPr>
          <w:rFonts w:hint="eastAsia" w:ascii="宋体" w:hAnsi="宋体" w:cs="宋体"/>
          <w:color w:val="auto"/>
          <w:sz w:val="21"/>
          <w:szCs w:val="21"/>
          <w:highlight w:val="none"/>
          <w:u w:val="single"/>
        </w:rPr>
        <w:t>成交后填写</w:t>
      </w:r>
      <w:r>
        <w:rPr>
          <w:rFonts w:hint="eastAsia" w:ascii="宋体" w:hAnsi="宋体" w:cs="宋体"/>
          <w:color w:val="auto"/>
          <w:sz w:val="21"/>
          <w:szCs w:val="21"/>
          <w:highlight w:val="none"/>
        </w:rPr>
        <w:t>。</w:t>
      </w:r>
    </w:p>
    <w:p w14:paraId="4462A2C8">
      <w:pPr>
        <w:keepNext/>
        <w:keepLines/>
        <w:spacing w:line="400" w:lineRule="exact"/>
        <w:ind w:firstLine="0" w:firstLineChars="0"/>
        <w:outlineLvl w:val="0"/>
        <w:rPr>
          <w:rFonts w:ascii="宋体" w:hAnsi="宋体" w:cs="宋体"/>
          <w:b/>
          <w:bCs/>
          <w:color w:val="auto"/>
          <w:kern w:val="44"/>
          <w:sz w:val="21"/>
          <w:szCs w:val="21"/>
          <w:highlight w:val="none"/>
        </w:rPr>
      </w:pPr>
      <w:bookmarkStart w:id="877" w:name="_Toc417904291"/>
      <w:bookmarkStart w:id="878" w:name="_Toc478389205"/>
      <w:r>
        <w:rPr>
          <w:rFonts w:hint="eastAsia" w:ascii="宋体" w:hAnsi="宋体" w:cs="宋体"/>
          <w:b/>
          <w:bCs/>
          <w:color w:val="auto"/>
          <w:kern w:val="44"/>
          <w:sz w:val="21"/>
          <w:szCs w:val="21"/>
          <w:highlight w:val="none"/>
        </w:rPr>
        <w:t>4.4 商定或确定</w:t>
      </w:r>
      <w:bookmarkEnd w:id="877"/>
      <w:bookmarkEnd w:id="878"/>
    </w:p>
    <w:p w14:paraId="170BABD3">
      <w:pPr>
        <w:spacing w:line="400" w:lineRule="exact"/>
        <w:ind w:firstLine="420"/>
        <w:rPr>
          <w:rFonts w:ascii="宋体" w:hAnsi="宋体" w:cs="宋体"/>
          <w:color w:val="auto"/>
          <w:sz w:val="21"/>
          <w:szCs w:val="21"/>
          <w:highlight w:val="none"/>
        </w:rPr>
      </w:pPr>
      <w:bookmarkStart w:id="879" w:name="_Toc267251418"/>
      <w:r>
        <w:rPr>
          <w:rFonts w:hint="eastAsia" w:ascii="宋体" w:hAnsi="宋体" w:cs="宋体"/>
          <w:color w:val="auto"/>
          <w:sz w:val="21"/>
          <w:szCs w:val="21"/>
          <w:highlight w:val="none"/>
        </w:rPr>
        <w:t>在发包人和承包人不能通过协商达成一致意见时，发包人授权监理人对以下事项进行确定：</w:t>
      </w:r>
    </w:p>
    <w:p w14:paraId="35CB76F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59A0069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6B29004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u w:val="single"/>
        </w:rPr>
        <w:t xml:space="preserve">      成交后填写     </w:t>
      </w:r>
      <w:r>
        <w:rPr>
          <w:rFonts w:hint="eastAsia" w:ascii="宋体" w:hAnsi="宋体" w:cs="宋体"/>
          <w:color w:val="auto"/>
          <w:sz w:val="21"/>
          <w:szCs w:val="21"/>
          <w:highlight w:val="none"/>
        </w:rPr>
        <w:t>。</w:t>
      </w:r>
    </w:p>
    <w:p w14:paraId="1EFBA910">
      <w:pPr>
        <w:keepNext/>
        <w:keepLines/>
        <w:spacing w:line="400" w:lineRule="exact"/>
        <w:ind w:firstLine="0" w:firstLineChars="0"/>
        <w:outlineLvl w:val="0"/>
        <w:rPr>
          <w:rFonts w:ascii="宋体" w:hAnsi="宋体" w:cs="宋体"/>
          <w:b/>
          <w:bCs/>
          <w:color w:val="auto"/>
          <w:kern w:val="44"/>
          <w:sz w:val="21"/>
          <w:szCs w:val="21"/>
          <w:highlight w:val="none"/>
        </w:rPr>
      </w:pPr>
      <w:bookmarkStart w:id="880" w:name="_Toc478389206"/>
      <w:bookmarkStart w:id="881" w:name="_Toc351203637"/>
      <w:bookmarkStart w:id="882" w:name="_Toc417904292"/>
      <w:r>
        <w:rPr>
          <w:rFonts w:hint="eastAsia" w:ascii="宋体" w:hAnsi="宋体" w:cs="宋体"/>
          <w:b/>
          <w:bCs/>
          <w:color w:val="auto"/>
          <w:kern w:val="44"/>
          <w:sz w:val="21"/>
          <w:szCs w:val="21"/>
          <w:highlight w:val="none"/>
        </w:rPr>
        <w:t>5</w:t>
      </w:r>
      <w:bookmarkEnd w:id="879"/>
      <w:bookmarkStart w:id="883" w:name="_Toc296347162"/>
      <w:bookmarkStart w:id="884" w:name="_Toc297048349"/>
      <w:bookmarkStart w:id="885" w:name="_Toc296890991"/>
      <w:bookmarkStart w:id="886" w:name="_Toc297120463"/>
      <w:bookmarkStart w:id="887" w:name="_Toc296944502"/>
      <w:bookmarkStart w:id="888" w:name="_Toc296891203"/>
      <w:bookmarkStart w:id="889" w:name="_Toc296346664"/>
      <w:bookmarkStart w:id="890" w:name="_Toc296503163"/>
      <w:bookmarkStart w:id="891" w:name="_Toc292559872"/>
      <w:bookmarkStart w:id="892" w:name="_Toc292559367"/>
      <w:r>
        <w:rPr>
          <w:rFonts w:hint="eastAsia" w:ascii="宋体" w:hAnsi="宋体" w:cs="宋体"/>
          <w:b/>
          <w:bCs/>
          <w:color w:val="auto"/>
          <w:kern w:val="44"/>
          <w:sz w:val="21"/>
          <w:szCs w:val="21"/>
          <w:highlight w:val="none"/>
        </w:rPr>
        <w:t>. 工程质量</w:t>
      </w:r>
      <w:bookmarkEnd w:id="880"/>
      <w:bookmarkEnd w:id="881"/>
      <w:bookmarkEnd w:id="882"/>
    </w:p>
    <w:p w14:paraId="37919092">
      <w:pPr>
        <w:keepNext/>
        <w:keepLines/>
        <w:spacing w:line="400" w:lineRule="exact"/>
        <w:ind w:firstLine="0" w:firstLineChars="0"/>
        <w:outlineLvl w:val="0"/>
        <w:rPr>
          <w:rFonts w:ascii="宋体" w:hAnsi="宋体" w:cs="宋体"/>
          <w:b/>
          <w:bCs/>
          <w:color w:val="auto"/>
          <w:kern w:val="44"/>
          <w:sz w:val="21"/>
          <w:szCs w:val="21"/>
          <w:highlight w:val="none"/>
        </w:rPr>
      </w:pPr>
      <w:bookmarkStart w:id="893" w:name="_Toc417904293"/>
      <w:bookmarkStart w:id="894" w:name="_Toc478389207"/>
      <w:r>
        <w:rPr>
          <w:rFonts w:hint="eastAsia" w:ascii="宋体" w:hAnsi="宋体" w:cs="宋体"/>
          <w:b/>
          <w:bCs/>
          <w:color w:val="auto"/>
          <w:kern w:val="44"/>
          <w:sz w:val="21"/>
          <w:szCs w:val="21"/>
          <w:highlight w:val="none"/>
        </w:rPr>
        <w:t>5.1 质量要求</w:t>
      </w:r>
      <w:bookmarkEnd w:id="893"/>
      <w:bookmarkEnd w:id="894"/>
    </w:p>
    <w:p w14:paraId="66640EF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w:t>
      </w:r>
      <w:bookmarkStart w:id="895" w:name="_Toc312677997"/>
      <w:bookmarkStart w:id="896" w:name="_Toc297123496"/>
      <w:bookmarkStart w:id="897" w:name="_Toc318581164"/>
      <w:bookmarkStart w:id="898" w:name="_Toc300934949"/>
      <w:bookmarkStart w:id="899" w:name="_Toc303539106"/>
      <w:bookmarkStart w:id="900" w:name="_Toc304295527"/>
      <w:bookmarkStart w:id="901" w:name="_Toc297216155"/>
      <w:r>
        <w:rPr>
          <w:rFonts w:hint="eastAsia" w:ascii="宋体" w:hAnsi="宋体" w:cs="宋体"/>
          <w:color w:val="auto"/>
          <w:sz w:val="21"/>
          <w:szCs w:val="21"/>
          <w:highlight w:val="none"/>
        </w:rPr>
        <w:t>.1.1 特殊质量标准和要求：</w:t>
      </w:r>
      <w:r>
        <w:rPr>
          <w:rFonts w:hint="eastAsia" w:ascii="宋体" w:hAnsi="宋体" w:cs="宋体"/>
          <w:color w:val="auto"/>
          <w:sz w:val="21"/>
          <w:szCs w:val="21"/>
          <w:highlight w:val="none"/>
          <w:u w:val="single"/>
        </w:rPr>
        <w:t xml:space="preserve">   按国家规定   </w:t>
      </w:r>
      <w:r>
        <w:rPr>
          <w:rFonts w:hint="eastAsia" w:ascii="宋体" w:hAnsi="宋体" w:cs="宋体"/>
          <w:color w:val="auto"/>
          <w:sz w:val="21"/>
          <w:szCs w:val="21"/>
          <w:highlight w:val="none"/>
        </w:rPr>
        <w:t>。</w:t>
      </w:r>
    </w:p>
    <w:p w14:paraId="27A0444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关于工程奖项的约定：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4A68F485">
      <w:pPr>
        <w:keepNext/>
        <w:keepLines/>
        <w:spacing w:line="400" w:lineRule="exact"/>
        <w:ind w:firstLine="0" w:firstLineChars="0"/>
        <w:outlineLvl w:val="0"/>
        <w:rPr>
          <w:rFonts w:ascii="宋体" w:hAnsi="宋体" w:cs="宋体"/>
          <w:b/>
          <w:bCs/>
          <w:color w:val="auto"/>
          <w:kern w:val="44"/>
          <w:sz w:val="21"/>
          <w:szCs w:val="21"/>
          <w:highlight w:val="none"/>
        </w:rPr>
      </w:pPr>
      <w:bookmarkStart w:id="902" w:name="_Toc417904294"/>
      <w:bookmarkStart w:id="903" w:name="_Toc478389208"/>
      <w:r>
        <w:rPr>
          <w:rFonts w:hint="eastAsia" w:ascii="宋体" w:hAnsi="宋体" w:cs="宋体"/>
          <w:b/>
          <w:bCs/>
          <w:color w:val="auto"/>
          <w:kern w:val="44"/>
          <w:sz w:val="21"/>
          <w:szCs w:val="21"/>
          <w:highlight w:val="none"/>
        </w:rPr>
        <w:t>5.3 隐蔽工程检查</w:t>
      </w:r>
      <w:bookmarkEnd w:id="902"/>
      <w:bookmarkEnd w:id="903"/>
    </w:p>
    <w:p w14:paraId="3779752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5.3.2承包人提前通知发包人隐蔽工程检查的期限的约定：</w:t>
      </w:r>
      <w:r>
        <w:rPr>
          <w:rFonts w:hint="eastAsia" w:ascii="宋体" w:hAnsi="宋体" w:cs="宋体"/>
          <w:color w:val="auto"/>
          <w:sz w:val="21"/>
          <w:szCs w:val="21"/>
          <w:highlight w:val="none"/>
          <w:u w:val="single"/>
        </w:rPr>
        <w:t xml:space="preserve">　提前7天   </w:t>
      </w:r>
      <w:r>
        <w:rPr>
          <w:rFonts w:hint="eastAsia" w:ascii="宋体" w:hAnsi="宋体" w:cs="宋体"/>
          <w:color w:val="auto"/>
          <w:sz w:val="21"/>
          <w:szCs w:val="21"/>
          <w:highlight w:val="none"/>
        </w:rPr>
        <w:t>。</w:t>
      </w:r>
    </w:p>
    <w:p w14:paraId="498FFCA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发包人不能按时进行检查时，应提前</w:t>
      </w:r>
      <w:r>
        <w:rPr>
          <w:rFonts w:hint="eastAsia" w:ascii="宋体" w:hAnsi="宋体" w:cs="宋体"/>
          <w:color w:val="auto"/>
          <w:sz w:val="21"/>
          <w:szCs w:val="21"/>
          <w:highlight w:val="none"/>
          <w:u w:val="single"/>
        </w:rPr>
        <w:t xml:space="preserve">  24  </w:t>
      </w:r>
      <w:r>
        <w:rPr>
          <w:rFonts w:hint="eastAsia" w:ascii="宋体" w:hAnsi="宋体" w:cs="宋体"/>
          <w:color w:val="auto"/>
          <w:sz w:val="21"/>
          <w:szCs w:val="21"/>
          <w:highlight w:val="none"/>
        </w:rPr>
        <w:t>小时提交书面延期要求。</w:t>
      </w:r>
    </w:p>
    <w:p w14:paraId="33DDA32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关于延期最长不得超过：</w:t>
      </w:r>
      <w:r>
        <w:rPr>
          <w:rFonts w:hint="eastAsia" w:ascii="宋体" w:hAnsi="宋体" w:cs="宋体"/>
          <w:color w:val="auto"/>
          <w:sz w:val="21"/>
          <w:szCs w:val="21"/>
          <w:highlight w:val="none"/>
          <w:u w:val="single"/>
        </w:rPr>
        <w:t xml:space="preserve">  48  </w:t>
      </w:r>
      <w:r>
        <w:rPr>
          <w:rFonts w:hint="eastAsia" w:ascii="宋体" w:hAnsi="宋体" w:cs="宋体"/>
          <w:color w:val="auto"/>
          <w:sz w:val="21"/>
          <w:szCs w:val="21"/>
          <w:highlight w:val="none"/>
        </w:rPr>
        <w:t>小时。</w:t>
      </w:r>
    </w:p>
    <w:p w14:paraId="58C930B6">
      <w:pPr>
        <w:keepNext/>
        <w:keepLines/>
        <w:spacing w:line="400" w:lineRule="exact"/>
        <w:ind w:firstLine="0" w:firstLineChars="0"/>
        <w:outlineLvl w:val="0"/>
        <w:rPr>
          <w:rFonts w:ascii="宋体" w:hAnsi="宋体" w:cs="宋体"/>
          <w:b/>
          <w:bCs/>
          <w:color w:val="auto"/>
          <w:kern w:val="44"/>
          <w:sz w:val="21"/>
          <w:szCs w:val="21"/>
          <w:highlight w:val="none"/>
        </w:rPr>
      </w:pPr>
      <w:bookmarkStart w:id="904" w:name="_Toc478389209"/>
      <w:bookmarkStart w:id="905" w:name="_Toc417904295"/>
      <w:bookmarkStart w:id="906" w:name="_Toc351203638"/>
      <w:r>
        <w:rPr>
          <w:rFonts w:hint="eastAsia" w:ascii="宋体" w:hAnsi="宋体" w:cs="宋体"/>
          <w:b/>
          <w:bCs/>
          <w:color w:val="auto"/>
          <w:kern w:val="44"/>
          <w:sz w:val="21"/>
          <w:szCs w:val="21"/>
          <w:highlight w:val="none"/>
        </w:rPr>
        <w:t>6. 安全文明施工与环境保护</w:t>
      </w:r>
      <w:bookmarkEnd w:id="904"/>
      <w:bookmarkEnd w:id="905"/>
      <w:bookmarkEnd w:id="906"/>
    </w:p>
    <w:p w14:paraId="395EA7A2">
      <w:pPr>
        <w:keepNext/>
        <w:keepLines/>
        <w:spacing w:line="400" w:lineRule="exact"/>
        <w:ind w:firstLine="0" w:firstLineChars="0"/>
        <w:outlineLvl w:val="0"/>
        <w:rPr>
          <w:rFonts w:ascii="宋体" w:hAnsi="宋体" w:cs="宋体"/>
          <w:b/>
          <w:bCs/>
          <w:color w:val="auto"/>
          <w:kern w:val="44"/>
          <w:sz w:val="21"/>
          <w:szCs w:val="21"/>
          <w:highlight w:val="none"/>
        </w:rPr>
      </w:pPr>
      <w:bookmarkStart w:id="907" w:name="_Toc478389210"/>
      <w:bookmarkStart w:id="908" w:name="_Toc417904296"/>
      <w:r>
        <w:rPr>
          <w:rFonts w:hint="eastAsia" w:ascii="宋体" w:hAnsi="宋体" w:cs="宋体"/>
          <w:b/>
          <w:bCs/>
          <w:color w:val="auto"/>
          <w:kern w:val="44"/>
          <w:sz w:val="21"/>
          <w:szCs w:val="21"/>
          <w:highlight w:val="none"/>
        </w:rPr>
        <w:t>6.1安全文明施工</w:t>
      </w:r>
      <w:bookmarkEnd w:id="907"/>
      <w:bookmarkEnd w:id="908"/>
    </w:p>
    <w:p w14:paraId="7F51D2C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6.1.1 项目安全生产的达标目标及相应事项的约定：</w:t>
      </w:r>
      <w:r>
        <w:rPr>
          <w:rFonts w:hint="eastAsia" w:ascii="宋体" w:hAnsi="宋体" w:cs="宋体"/>
          <w:color w:val="auto"/>
          <w:sz w:val="21"/>
          <w:szCs w:val="21"/>
          <w:highlight w:val="none"/>
          <w:u w:val="single"/>
        </w:rPr>
        <w:t xml:space="preserve">   按国家规定  </w:t>
      </w:r>
      <w:r>
        <w:rPr>
          <w:rFonts w:hint="eastAsia" w:ascii="宋体" w:hAnsi="宋体" w:cs="宋体"/>
          <w:color w:val="auto"/>
          <w:sz w:val="21"/>
          <w:szCs w:val="21"/>
          <w:highlight w:val="none"/>
        </w:rPr>
        <w:t>。</w:t>
      </w:r>
    </w:p>
    <w:p w14:paraId="01112AB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6.1.4关于治安保卫的特别约定：</w:t>
      </w:r>
      <w:r>
        <w:rPr>
          <w:rFonts w:hint="eastAsia" w:ascii="宋体" w:hAnsi="宋体" w:cs="宋体"/>
          <w:color w:val="auto"/>
          <w:sz w:val="21"/>
          <w:szCs w:val="21"/>
          <w:highlight w:val="none"/>
          <w:u w:val="single"/>
        </w:rPr>
        <w:t>承包人应承担施工安全保卫工作及非夜间施工照明的责任，承包人应采取一切合理的预防措施，防止人员伤亡、财产损失事故，费用由承包人承担。承包人生活设施及施工</w:t>
      </w:r>
      <w:r>
        <w:rPr>
          <w:rFonts w:hint="eastAsia" w:ascii="宋体" w:hAnsi="宋体" w:cs="宋体"/>
          <w:color w:val="auto"/>
          <w:sz w:val="21"/>
          <w:szCs w:val="21"/>
          <w:highlight w:val="none"/>
          <w:u w:val="single"/>
          <w:lang w:eastAsia="zh-CN"/>
        </w:rPr>
        <w:t>现</w:t>
      </w:r>
      <w:r>
        <w:rPr>
          <w:rFonts w:hint="eastAsia" w:ascii="宋体" w:hAnsi="宋体" w:cs="宋体"/>
          <w:color w:val="auto"/>
          <w:sz w:val="21"/>
          <w:szCs w:val="21"/>
          <w:highlight w:val="none"/>
          <w:u w:val="single"/>
        </w:rPr>
        <w:t>场应自费配备消防设备，防止火灾发生。</w:t>
      </w:r>
    </w:p>
    <w:p w14:paraId="0A9F738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关于编制施工场地治安管理计划的约定：</w:t>
      </w:r>
      <w:r>
        <w:rPr>
          <w:rFonts w:hint="eastAsia" w:ascii="宋体" w:hAnsi="宋体" w:cs="宋体"/>
          <w:color w:val="auto"/>
          <w:sz w:val="21"/>
          <w:szCs w:val="21"/>
          <w:highlight w:val="none"/>
          <w:u w:val="single"/>
        </w:rPr>
        <w:t xml:space="preserve">   合同签订后7天内      </w:t>
      </w:r>
      <w:r>
        <w:rPr>
          <w:rFonts w:hint="eastAsia" w:ascii="宋体" w:hAnsi="宋体" w:cs="宋体"/>
          <w:color w:val="auto"/>
          <w:sz w:val="21"/>
          <w:szCs w:val="21"/>
          <w:highlight w:val="none"/>
        </w:rPr>
        <w:t>。</w:t>
      </w:r>
    </w:p>
    <w:p w14:paraId="2220213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6.1.5 文明施工</w:t>
      </w:r>
    </w:p>
    <w:p w14:paraId="45A632A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合同当事人对文明施工的要求：</w:t>
      </w:r>
      <w:r>
        <w:rPr>
          <w:rFonts w:hint="eastAsia" w:ascii="宋体" w:hAnsi="宋体" w:cs="宋体"/>
          <w:color w:val="auto"/>
          <w:sz w:val="21"/>
          <w:szCs w:val="21"/>
          <w:highlight w:val="none"/>
          <w:u w:val="single"/>
        </w:rPr>
        <w:t xml:space="preserve">    按规范要求      </w:t>
      </w:r>
      <w:r>
        <w:rPr>
          <w:rFonts w:hint="eastAsia" w:ascii="宋体" w:hAnsi="宋体" w:cs="宋体"/>
          <w:color w:val="auto"/>
          <w:sz w:val="21"/>
          <w:szCs w:val="21"/>
          <w:highlight w:val="none"/>
        </w:rPr>
        <w:t>。</w:t>
      </w:r>
    </w:p>
    <w:p w14:paraId="13F1E456">
      <w:pPr>
        <w:spacing w:line="360" w:lineRule="exact"/>
        <w:ind w:firstLine="420"/>
        <w:jc w:val="left"/>
        <w:rPr>
          <w:rFonts w:ascii="宋体" w:hAnsi="宋体" w:cs="宋体"/>
          <w:color w:val="auto"/>
          <w:sz w:val="21"/>
          <w:szCs w:val="21"/>
          <w:highlight w:val="none"/>
          <w:u w:val="single"/>
        </w:rPr>
      </w:pPr>
      <w:r>
        <w:rPr>
          <w:rFonts w:cs="宋体"/>
          <w:color w:val="auto"/>
          <w:sz w:val="21"/>
          <w:szCs w:val="21"/>
          <w:highlight w:val="none"/>
        </w:rPr>
        <w:t>6.1.6</w:t>
      </w:r>
      <w:r>
        <w:rPr>
          <w:rFonts w:hint="eastAsia" w:ascii="宋体" w:hAnsi="宋体" w:cs="宋体"/>
          <w:color w:val="auto"/>
          <w:sz w:val="21"/>
          <w:szCs w:val="21"/>
          <w:highlight w:val="none"/>
        </w:rPr>
        <w:t>关于安全文明施工费支付比例和支付期限的约定：</w:t>
      </w:r>
      <w:r>
        <w:rPr>
          <w:rFonts w:hint="eastAsia" w:ascii="宋体" w:hAnsi="宋体" w:cs="宋体"/>
          <w:color w:val="auto"/>
          <w:sz w:val="21"/>
          <w:szCs w:val="21"/>
          <w:highlight w:val="none"/>
          <w:u w:val="single"/>
        </w:rPr>
        <w:t>具体按《广西壮族自治区建筑工程安全防护、文明施工措施费及管理细则》（桂建质〔2015〕16 号）和当地建设行政主管部门要求执行。</w:t>
      </w:r>
    </w:p>
    <w:p w14:paraId="41D160C1">
      <w:pPr>
        <w:keepNext/>
        <w:keepLines/>
        <w:spacing w:line="400" w:lineRule="exact"/>
        <w:ind w:firstLine="0" w:firstLineChars="0"/>
        <w:outlineLvl w:val="0"/>
        <w:rPr>
          <w:rFonts w:ascii="宋体" w:hAnsi="宋体" w:cs="宋体"/>
          <w:b/>
          <w:bCs/>
          <w:color w:val="auto"/>
          <w:kern w:val="44"/>
          <w:sz w:val="21"/>
          <w:szCs w:val="21"/>
          <w:highlight w:val="none"/>
        </w:rPr>
      </w:pPr>
      <w:bookmarkStart w:id="909" w:name="_Toc373227721"/>
      <w:bookmarkStart w:id="910" w:name="_Toc389065287"/>
      <w:bookmarkStart w:id="911" w:name="_Toc395382523"/>
      <w:bookmarkStart w:id="912" w:name="_Toc478389211"/>
      <w:bookmarkStart w:id="913" w:name="_Toc373478368"/>
      <w:r>
        <w:rPr>
          <w:rFonts w:hint="eastAsia" w:ascii="宋体" w:hAnsi="宋体" w:cs="宋体"/>
          <w:b/>
          <w:bCs/>
          <w:color w:val="auto"/>
          <w:kern w:val="44"/>
          <w:sz w:val="21"/>
          <w:szCs w:val="21"/>
          <w:highlight w:val="none"/>
        </w:rPr>
        <w:t>6.3环境保护</w:t>
      </w:r>
      <w:bookmarkEnd w:id="909"/>
      <w:bookmarkEnd w:id="910"/>
      <w:bookmarkEnd w:id="911"/>
      <w:bookmarkEnd w:id="912"/>
      <w:bookmarkEnd w:id="913"/>
    </w:p>
    <w:p w14:paraId="187997B8">
      <w:pPr>
        <w:ind w:firstLine="420"/>
        <w:jc w:val="left"/>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因施工需要，经发包人批准，由承包人办理有关施工场地交通、环卫和施工噪音管理等手续，费用由承包人负责。</w:t>
      </w:r>
    </w:p>
    <w:p w14:paraId="0BBE2BE3">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经过城市道路的施工车辆，必须按交警、城管、运输等部门相关规定执行。由于施工车辆造成的道路、环境等污染，其责任和费用均由承包人承担。</w:t>
      </w:r>
    </w:p>
    <w:bookmarkEnd w:id="895"/>
    <w:bookmarkEnd w:id="896"/>
    <w:bookmarkEnd w:id="897"/>
    <w:bookmarkEnd w:id="898"/>
    <w:bookmarkEnd w:id="899"/>
    <w:bookmarkEnd w:id="900"/>
    <w:bookmarkEnd w:id="901"/>
    <w:p w14:paraId="19A6663B">
      <w:pPr>
        <w:keepNext/>
        <w:keepLines/>
        <w:spacing w:line="400" w:lineRule="exact"/>
        <w:ind w:firstLine="0" w:firstLineChars="0"/>
        <w:outlineLvl w:val="0"/>
        <w:rPr>
          <w:rFonts w:ascii="宋体" w:hAnsi="宋体" w:cs="宋体"/>
          <w:b/>
          <w:bCs/>
          <w:color w:val="auto"/>
          <w:kern w:val="44"/>
          <w:sz w:val="21"/>
          <w:szCs w:val="21"/>
          <w:highlight w:val="none"/>
        </w:rPr>
      </w:pPr>
      <w:bookmarkStart w:id="914" w:name="_Toc351203639"/>
      <w:bookmarkStart w:id="915" w:name="_Toc417904297"/>
      <w:bookmarkStart w:id="916" w:name="_Toc478389212"/>
      <w:r>
        <w:rPr>
          <w:rFonts w:hint="eastAsia" w:ascii="宋体" w:hAnsi="宋体" w:cs="宋体"/>
          <w:b/>
          <w:bCs/>
          <w:color w:val="auto"/>
          <w:kern w:val="44"/>
          <w:sz w:val="21"/>
          <w:szCs w:val="21"/>
          <w:highlight w:val="none"/>
        </w:rPr>
        <w:t>7. 工期和进度</w:t>
      </w:r>
      <w:bookmarkEnd w:id="914"/>
      <w:bookmarkEnd w:id="915"/>
      <w:bookmarkEnd w:id="916"/>
    </w:p>
    <w:p w14:paraId="1FAC92D8">
      <w:pPr>
        <w:keepNext/>
        <w:keepLines/>
        <w:spacing w:line="400" w:lineRule="exact"/>
        <w:ind w:firstLine="0" w:firstLineChars="0"/>
        <w:outlineLvl w:val="0"/>
        <w:rPr>
          <w:rFonts w:ascii="宋体" w:hAnsi="宋体" w:cs="宋体"/>
          <w:b/>
          <w:bCs/>
          <w:color w:val="auto"/>
          <w:kern w:val="44"/>
          <w:sz w:val="21"/>
          <w:szCs w:val="21"/>
          <w:highlight w:val="none"/>
        </w:rPr>
      </w:pPr>
      <w:bookmarkStart w:id="917" w:name="_Toc417904298"/>
      <w:bookmarkStart w:id="918" w:name="_Toc478389213"/>
      <w:r>
        <w:rPr>
          <w:rFonts w:hint="eastAsia" w:ascii="宋体" w:hAnsi="宋体" w:cs="宋体"/>
          <w:b/>
          <w:bCs/>
          <w:color w:val="auto"/>
          <w:kern w:val="44"/>
          <w:sz w:val="21"/>
          <w:szCs w:val="21"/>
          <w:highlight w:val="none"/>
        </w:rPr>
        <w:t>7.1 施工组织设计</w:t>
      </w:r>
      <w:bookmarkEnd w:id="917"/>
      <w:bookmarkEnd w:id="918"/>
    </w:p>
    <w:p w14:paraId="3A8A1EC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7.1.1 合同当事人约定的施工组织设计应包括的其他内容：</w:t>
      </w:r>
      <w:r>
        <w:rPr>
          <w:rFonts w:hint="eastAsia" w:ascii="宋体" w:hAnsi="宋体" w:cs="宋体"/>
          <w:color w:val="auto"/>
          <w:sz w:val="21"/>
          <w:szCs w:val="21"/>
          <w:highlight w:val="none"/>
          <w:u w:val="single"/>
        </w:rPr>
        <w:t xml:space="preserve">  　按规范要求   </w:t>
      </w:r>
      <w:r>
        <w:rPr>
          <w:rFonts w:hint="eastAsia" w:ascii="宋体" w:hAnsi="宋体" w:cs="宋体"/>
          <w:color w:val="auto"/>
          <w:sz w:val="21"/>
          <w:szCs w:val="21"/>
          <w:highlight w:val="none"/>
        </w:rPr>
        <w:t>。</w:t>
      </w:r>
    </w:p>
    <w:p w14:paraId="5FCC1FA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7.1.2 施工组织设计的提交和修改</w:t>
      </w:r>
    </w:p>
    <w:p w14:paraId="34E7DFB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承包人提交详细施工组织设计的期限的约定：</w:t>
      </w:r>
      <w:r>
        <w:rPr>
          <w:rFonts w:hint="eastAsia" w:ascii="宋体" w:hAnsi="宋体" w:cs="宋体"/>
          <w:color w:val="auto"/>
          <w:sz w:val="21"/>
          <w:szCs w:val="21"/>
          <w:highlight w:val="none"/>
          <w:u w:val="single"/>
        </w:rPr>
        <w:t xml:space="preserve">    合同签订后7天内     </w:t>
      </w:r>
      <w:r>
        <w:rPr>
          <w:rFonts w:hint="eastAsia" w:ascii="宋体" w:hAnsi="宋体" w:cs="宋体"/>
          <w:color w:val="auto"/>
          <w:sz w:val="21"/>
          <w:szCs w:val="21"/>
          <w:highlight w:val="none"/>
        </w:rPr>
        <w:t>。</w:t>
      </w:r>
    </w:p>
    <w:p w14:paraId="3E7EBF0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发包人和监理人在收到详细的施工组织设计后确认或提出修改意见的期限：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1F73754B">
      <w:pPr>
        <w:keepNext/>
        <w:keepLines/>
        <w:spacing w:line="400" w:lineRule="exact"/>
        <w:ind w:firstLine="0" w:firstLineChars="0"/>
        <w:outlineLvl w:val="0"/>
        <w:rPr>
          <w:rFonts w:ascii="宋体" w:hAnsi="宋体" w:cs="宋体"/>
          <w:b/>
          <w:bCs/>
          <w:color w:val="auto"/>
          <w:kern w:val="44"/>
          <w:sz w:val="21"/>
          <w:szCs w:val="21"/>
          <w:highlight w:val="none"/>
        </w:rPr>
      </w:pPr>
      <w:bookmarkStart w:id="919" w:name="_Toc417904299"/>
      <w:bookmarkStart w:id="920" w:name="_Toc478389214"/>
      <w:r>
        <w:rPr>
          <w:rFonts w:hint="eastAsia" w:ascii="宋体" w:hAnsi="宋体" w:cs="宋体"/>
          <w:b/>
          <w:bCs/>
          <w:color w:val="auto"/>
          <w:kern w:val="44"/>
          <w:sz w:val="21"/>
          <w:szCs w:val="21"/>
          <w:highlight w:val="none"/>
        </w:rPr>
        <w:t>7</w:t>
      </w:r>
      <w:bookmarkStart w:id="921" w:name="_Toc300934966"/>
      <w:bookmarkStart w:id="922" w:name="_Toc304295541"/>
      <w:bookmarkStart w:id="923" w:name="_Toc312677479"/>
      <w:bookmarkStart w:id="924" w:name="_Toc297123514"/>
      <w:bookmarkStart w:id="925" w:name="_Toc303539123"/>
      <w:bookmarkStart w:id="926" w:name="_Toc312678005"/>
      <w:bookmarkStart w:id="927" w:name="_Toc297216173"/>
      <w:r>
        <w:rPr>
          <w:rFonts w:hint="eastAsia" w:ascii="宋体" w:hAnsi="宋体" w:cs="宋体"/>
          <w:b/>
          <w:bCs/>
          <w:color w:val="auto"/>
          <w:kern w:val="44"/>
          <w:sz w:val="21"/>
          <w:szCs w:val="21"/>
          <w:highlight w:val="none"/>
        </w:rPr>
        <w:t>.2 施工进度计划</w:t>
      </w:r>
      <w:bookmarkEnd w:id="919"/>
      <w:bookmarkEnd w:id="920"/>
    </w:p>
    <w:p w14:paraId="2B677A7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7.2.2 施工进度计划的修订</w:t>
      </w:r>
    </w:p>
    <w:p w14:paraId="3BD2E8C0">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发包人和监理人在收到修订的施工进度计划后确认或提出修改意见的期限：</w:t>
      </w:r>
      <w:r>
        <w:rPr>
          <w:rFonts w:hint="eastAsia" w:ascii="宋体" w:hAnsi="宋体" w:cs="宋体"/>
          <w:color w:val="auto"/>
          <w:sz w:val="21"/>
          <w:szCs w:val="21"/>
          <w:highlight w:val="none"/>
          <w:u w:val="single"/>
        </w:rPr>
        <w:t>收到修订合同进度计划后7天</w:t>
      </w:r>
      <w:r>
        <w:rPr>
          <w:rFonts w:hint="eastAsia" w:ascii="宋体" w:hAnsi="宋体" w:cs="宋体"/>
          <w:color w:val="auto"/>
          <w:sz w:val="21"/>
          <w:szCs w:val="21"/>
          <w:highlight w:val="none"/>
        </w:rPr>
        <w:t>。</w:t>
      </w:r>
    </w:p>
    <w:p w14:paraId="2537D156">
      <w:pPr>
        <w:keepNext/>
        <w:keepLines/>
        <w:spacing w:line="410" w:lineRule="exact"/>
        <w:ind w:firstLine="0" w:firstLineChars="0"/>
        <w:outlineLvl w:val="0"/>
        <w:rPr>
          <w:rFonts w:ascii="宋体" w:hAnsi="宋体" w:cs="宋体"/>
          <w:b/>
          <w:bCs/>
          <w:color w:val="auto"/>
          <w:kern w:val="44"/>
          <w:sz w:val="21"/>
          <w:szCs w:val="21"/>
          <w:highlight w:val="none"/>
        </w:rPr>
      </w:pPr>
      <w:bookmarkStart w:id="928" w:name="_Toc417904300"/>
      <w:bookmarkStart w:id="929" w:name="_Toc478389215"/>
      <w:r>
        <w:rPr>
          <w:rFonts w:hint="eastAsia" w:ascii="宋体" w:hAnsi="宋体" w:cs="宋体"/>
          <w:b/>
          <w:bCs/>
          <w:color w:val="auto"/>
          <w:kern w:val="44"/>
          <w:sz w:val="21"/>
          <w:szCs w:val="21"/>
          <w:highlight w:val="none"/>
        </w:rPr>
        <w:t>7.3 开工</w:t>
      </w:r>
      <w:bookmarkEnd w:id="928"/>
      <w:bookmarkEnd w:id="929"/>
    </w:p>
    <w:p w14:paraId="6966A3EF">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7.3.1 开工准备</w:t>
      </w:r>
    </w:p>
    <w:p w14:paraId="21AC03E8">
      <w:pPr>
        <w:spacing w:line="41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关于承包人提交工程开工报审表的期限：</w:t>
      </w:r>
      <w:r>
        <w:rPr>
          <w:rFonts w:hint="eastAsia" w:ascii="宋体" w:hAnsi="宋体" w:cs="宋体"/>
          <w:color w:val="auto"/>
          <w:sz w:val="21"/>
          <w:szCs w:val="21"/>
          <w:highlight w:val="none"/>
          <w:u w:val="single"/>
        </w:rPr>
        <w:t xml:space="preserve">  合同签订后7天  </w:t>
      </w:r>
      <w:r>
        <w:rPr>
          <w:rFonts w:hint="eastAsia" w:ascii="宋体" w:hAnsi="宋体" w:cs="宋体"/>
          <w:color w:val="auto"/>
          <w:sz w:val="21"/>
          <w:szCs w:val="21"/>
          <w:highlight w:val="none"/>
        </w:rPr>
        <w:t>。</w:t>
      </w:r>
    </w:p>
    <w:p w14:paraId="5F1EAD53">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关于发包人应完成的其他开工准备工作及期限：</w:t>
      </w:r>
      <w:r>
        <w:rPr>
          <w:rFonts w:hint="eastAsia" w:ascii="宋体" w:hAnsi="宋体" w:cs="宋体"/>
          <w:color w:val="auto"/>
          <w:sz w:val="21"/>
          <w:szCs w:val="21"/>
          <w:highlight w:val="none"/>
          <w:u w:val="single"/>
        </w:rPr>
        <w:t xml:space="preserve">  合同签订后7天   </w:t>
      </w:r>
      <w:r>
        <w:rPr>
          <w:rFonts w:hint="eastAsia" w:ascii="宋体" w:hAnsi="宋体" w:cs="宋体"/>
          <w:color w:val="auto"/>
          <w:sz w:val="21"/>
          <w:szCs w:val="21"/>
          <w:highlight w:val="none"/>
        </w:rPr>
        <w:t>。</w:t>
      </w:r>
    </w:p>
    <w:p w14:paraId="36EC4562">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关于承包人应完成的其他开工准备工作及期限：</w:t>
      </w:r>
      <w:r>
        <w:rPr>
          <w:rFonts w:hint="eastAsia" w:ascii="宋体" w:hAnsi="宋体" w:cs="宋体"/>
          <w:color w:val="auto"/>
          <w:sz w:val="21"/>
          <w:szCs w:val="21"/>
          <w:highlight w:val="none"/>
          <w:u w:val="single"/>
        </w:rPr>
        <w:t xml:space="preserve">   合同签订后7天   </w:t>
      </w:r>
      <w:r>
        <w:rPr>
          <w:rFonts w:hint="eastAsia" w:ascii="宋体" w:hAnsi="宋体" w:cs="宋体"/>
          <w:color w:val="auto"/>
          <w:sz w:val="21"/>
          <w:szCs w:val="21"/>
          <w:highlight w:val="none"/>
        </w:rPr>
        <w:t>。</w:t>
      </w:r>
    </w:p>
    <w:p w14:paraId="212EA096">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7.3.2开工通知</w:t>
      </w:r>
    </w:p>
    <w:p w14:paraId="14D3681F">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因发包人原因造成监理人未能在计划开工日期之日起</w:t>
      </w:r>
      <w:r>
        <w:rPr>
          <w:rFonts w:hint="eastAsia" w:ascii="宋体" w:hAnsi="宋体" w:cs="宋体"/>
          <w:color w:val="auto"/>
          <w:sz w:val="21"/>
          <w:szCs w:val="21"/>
          <w:highlight w:val="none"/>
          <w:u w:val="single"/>
        </w:rPr>
        <w:t>180</w:t>
      </w:r>
      <w:r>
        <w:rPr>
          <w:rFonts w:hint="eastAsia" w:ascii="宋体" w:hAnsi="宋体" w:cs="宋体"/>
          <w:color w:val="auto"/>
          <w:sz w:val="21"/>
          <w:szCs w:val="21"/>
          <w:highlight w:val="none"/>
        </w:rPr>
        <w:t>天内发出开工通知的，承包人有权提出价格调整要求，或者解除合同。</w:t>
      </w:r>
    </w:p>
    <w:bookmarkEnd w:id="921"/>
    <w:bookmarkEnd w:id="922"/>
    <w:bookmarkEnd w:id="923"/>
    <w:bookmarkEnd w:id="924"/>
    <w:bookmarkEnd w:id="925"/>
    <w:bookmarkEnd w:id="926"/>
    <w:bookmarkEnd w:id="927"/>
    <w:p w14:paraId="0D4E27A2">
      <w:pPr>
        <w:keepNext/>
        <w:keepLines/>
        <w:spacing w:line="410" w:lineRule="exact"/>
        <w:ind w:firstLine="0" w:firstLineChars="0"/>
        <w:outlineLvl w:val="0"/>
        <w:rPr>
          <w:rFonts w:ascii="宋体" w:hAnsi="宋体" w:cs="宋体"/>
          <w:b/>
          <w:bCs/>
          <w:color w:val="auto"/>
          <w:kern w:val="44"/>
          <w:sz w:val="21"/>
          <w:szCs w:val="21"/>
          <w:highlight w:val="none"/>
        </w:rPr>
      </w:pPr>
      <w:bookmarkStart w:id="930" w:name="_Toc478389216"/>
      <w:bookmarkStart w:id="931" w:name="_Toc417904301"/>
      <w:r>
        <w:rPr>
          <w:rFonts w:hint="eastAsia" w:ascii="宋体" w:hAnsi="宋体" w:cs="宋体"/>
          <w:b/>
          <w:bCs/>
          <w:color w:val="auto"/>
          <w:kern w:val="44"/>
          <w:sz w:val="21"/>
          <w:szCs w:val="21"/>
          <w:highlight w:val="none"/>
        </w:rPr>
        <w:t>7.4 测量放线</w:t>
      </w:r>
      <w:bookmarkEnd w:id="930"/>
      <w:bookmarkEnd w:id="931"/>
    </w:p>
    <w:p w14:paraId="0A533870">
      <w:pPr>
        <w:spacing w:line="41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7.4.1发包人通过监理人向承包人提供测量基准点、基准线和水准点及其书面资料的期限：</w:t>
      </w:r>
      <w:r>
        <w:rPr>
          <w:rFonts w:hint="eastAsia" w:ascii="宋体" w:hAnsi="宋体" w:cs="宋体"/>
          <w:color w:val="auto"/>
          <w:sz w:val="21"/>
          <w:szCs w:val="21"/>
          <w:highlight w:val="none"/>
          <w:u w:val="single"/>
        </w:rPr>
        <w:t xml:space="preserve">合同签订后14天　  </w:t>
      </w:r>
      <w:r>
        <w:rPr>
          <w:rFonts w:hint="eastAsia" w:ascii="宋体" w:hAnsi="宋体" w:cs="宋体"/>
          <w:color w:val="auto"/>
          <w:sz w:val="21"/>
          <w:szCs w:val="21"/>
          <w:highlight w:val="none"/>
        </w:rPr>
        <w:t>。</w:t>
      </w:r>
    </w:p>
    <w:p w14:paraId="35A8D836">
      <w:pPr>
        <w:keepNext/>
        <w:keepLines/>
        <w:spacing w:line="410" w:lineRule="exact"/>
        <w:ind w:firstLine="0" w:firstLineChars="0"/>
        <w:outlineLvl w:val="0"/>
        <w:rPr>
          <w:rFonts w:ascii="宋体" w:hAnsi="宋体" w:cs="宋体"/>
          <w:b/>
          <w:bCs/>
          <w:color w:val="auto"/>
          <w:kern w:val="44"/>
          <w:sz w:val="21"/>
          <w:szCs w:val="21"/>
          <w:highlight w:val="none"/>
        </w:rPr>
      </w:pPr>
      <w:bookmarkStart w:id="932" w:name="_Toc417904302"/>
      <w:bookmarkStart w:id="933" w:name="_Toc478389217"/>
      <w:r>
        <w:rPr>
          <w:rFonts w:hint="eastAsia" w:ascii="宋体" w:hAnsi="宋体" w:cs="宋体"/>
          <w:b/>
          <w:bCs/>
          <w:color w:val="auto"/>
          <w:kern w:val="44"/>
          <w:sz w:val="21"/>
          <w:szCs w:val="21"/>
          <w:highlight w:val="none"/>
        </w:rPr>
        <w:t>7</w:t>
      </w:r>
      <w:bookmarkStart w:id="934" w:name="_Toc297216175"/>
      <w:bookmarkStart w:id="935" w:name="_Toc297123516"/>
      <w:bookmarkStart w:id="936" w:name="_Toc312677484"/>
      <w:bookmarkStart w:id="937" w:name="_Toc304295546"/>
      <w:bookmarkStart w:id="938" w:name="_Toc303539125"/>
      <w:bookmarkStart w:id="939" w:name="_Toc300934968"/>
      <w:bookmarkStart w:id="940" w:name="_Toc312678010"/>
      <w:r>
        <w:rPr>
          <w:rFonts w:hint="eastAsia" w:ascii="宋体" w:hAnsi="宋体" w:cs="宋体"/>
          <w:b/>
          <w:bCs/>
          <w:color w:val="auto"/>
          <w:kern w:val="44"/>
          <w:sz w:val="21"/>
          <w:szCs w:val="21"/>
          <w:highlight w:val="none"/>
        </w:rPr>
        <w:t>.5 工期延误</w:t>
      </w:r>
      <w:bookmarkEnd w:id="932"/>
      <w:bookmarkEnd w:id="933"/>
    </w:p>
    <w:bookmarkEnd w:id="934"/>
    <w:bookmarkEnd w:id="935"/>
    <w:bookmarkEnd w:id="936"/>
    <w:bookmarkEnd w:id="937"/>
    <w:bookmarkEnd w:id="938"/>
    <w:bookmarkEnd w:id="939"/>
    <w:bookmarkEnd w:id="940"/>
    <w:p w14:paraId="297B59F3">
      <w:pPr>
        <w:spacing w:line="410" w:lineRule="exact"/>
        <w:ind w:firstLine="420"/>
        <w:outlineLvl w:val="0"/>
        <w:rPr>
          <w:rFonts w:ascii="宋体" w:hAnsi="宋体" w:cs="宋体"/>
          <w:color w:val="auto"/>
          <w:sz w:val="21"/>
          <w:szCs w:val="21"/>
          <w:highlight w:val="none"/>
        </w:rPr>
      </w:pPr>
      <w:bookmarkStart w:id="941" w:name="_Toc478389218"/>
      <w:bookmarkStart w:id="942" w:name="_Toc417904303"/>
      <w:r>
        <w:rPr>
          <w:rFonts w:hint="eastAsia" w:ascii="宋体" w:hAnsi="宋体" w:cs="宋体"/>
          <w:color w:val="auto"/>
          <w:sz w:val="21"/>
          <w:szCs w:val="21"/>
          <w:highlight w:val="none"/>
        </w:rPr>
        <w:t>7.5.1 因发包人原因导致工期延误</w:t>
      </w:r>
      <w:bookmarkEnd w:id="941"/>
      <w:bookmarkEnd w:id="942"/>
    </w:p>
    <w:p w14:paraId="7C3679F1">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（7）因发包人原因导致工期延误的其他情形：</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50F11B5F">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w:t>
      </w:r>
      <w:bookmarkStart w:id="943" w:name="_Toc312678012"/>
      <w:bookmarkStart w:id="944" w:name="_Toc318581169"/>
      <w:bookmarkStart w:id="945" w:name="_Toc312677486"/>
      <w:bookmarkStart w:id="946" w:name="_Toc297216177"/>
      <w:bookmarkStart w:id="947" w:name="_Toc304295548"/>
      <w:bookmarkStart w:id="948" w:name="_Toc303539127"/>
      <w:bookmarkStart w:id="949" w:name="_Toc300934970"/>
      <w:bookmarkStart w:id="950" w:name="_Toc297123518"/>
      <w:r>
        <w:rPr>
          <w:rFonts w:hint="eastAsia" w:ascii="宋体" w:hAnsi="宋体" w:cs="宋体"/>
          <w:color w:val="auto"/>
          <w:sz w:val="21"/>
          <w:szCs w:val="21"/>
          <w:highlight w:val="none"/>
        </w:rPr>
        <w:t>.5.2 因承包人原因导致工期延误</w:t>
      </w:r>
    </w:p>
    <w:bookmarkEnd w:id="943"/>
    <w:bookmarkEnd w:id="944"/>
    <w:bookmarkEnd w:id="945"/>
    <w:p w14:paraId="4CB3D910">
      <w:pPr>
        <w:spacing w:line="41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因</w:t>
      </w:r>
      <w:bookmarkStart w:id="951" w:name="_Toc312677487"/>
      <w:bookmarkStart w:id="952" w:name="_Toc312678013"/>
      <w:bookmarkStart w:id="953" w:name="_Toc318581170"/>
      <w:r>
        <w:rPr>
          <w:rFonts w:hint="eastAsia" w:ascii="宋体" w:hAnsi="宋体" w:cs="宋体"/>
          <w:color w:val="auto"/>
          <w:sz w:val="21"/>
          <w:szCs w:val="21"/>
          <w:highlight w:val="none"/>
        </w:rPr>
        <w:t>承包人原因造成工期延误，逾期竣工违约金的计算方法为：</w:t>
      </w:r>
      <w:r>
        <w:rPr>
          <w:rFonts w:hint="eastAsia" w:ascii="宋体" w:hAnsi="宋体" w:cs="宋体"/>
          <w:color w:val="auto"/>
          <w:sz w:val="21"/>
          <w:szCs w:val="21"/>
          <w:highlight w:val="none"/>
          <w:u w:val="single"/>
        </w:rPr>
        <w:t xml:space="preserve">非上述原因，承包人不能按合同约定的时间竣工，承包人应承担违约责任。应向发包人支付误期赔偿费（每天赔偿金额为合同价款扣除建安劳保费、发包人材料价款、暂估专业工程款、暂列金额后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 </w:t>
      </w:r>
    </w:p>
    <w:p w14:paraId="2A9B1494">
      <w:pPr>
        <w:spacing w:line="41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因承包人原因造成工期延误，逾期竣工违约金的上限：</w:t>
      </w:r>
      <w:r>
        <w:rPr>
          <w:rFonts w:hint="eastAsia" w:ascii="宋体" w:hAnsi="宋体" w:cs="宋体"/>
          <w:color w:val="auto"/>
          <w:sz w:val="21"/>
          <w:szCs w:val="21"/>
          <w:highlight w:val="none"/>
          <w:u w:val="single"/>
        </w:rPr>
        <w:t>合同价扣除建安劳保费、发包人材料价款、暂估专业工程、暂列金额后的2%</w:t>
      </w:r>
      <w:r>
        <w:rPr>
          <w:rFonts w:hint="eastAsia" w:ascii="宋体" w:hAnsi="宋体" w:cs="宋体"/>
          <w:color w:val="auto"/>
          <w:sz w:val="21"/>
          <w:szCs w:val="21"/>
          <w:highlight w:val="none"/>
        </w:rPr>
        <w:t>。</w:t>
      </w:r>
      <w:bookmarkEnd w:id="946"/>
      <w:bookmarkEnd w:id="947"/>
      <w:bookmarkEnd w:id="948"/>
      <w:bookmarkEnd w:id="949"/>
      <w:bookmarkEnd w:id="950"/>
      <w:bookmarkEnd w:id="951"/>
      <w:bookmarkEnd w:id="952"/>
    </w:p>
    <w:bookmarkEnd w:id="953"/>
    <w:p w14:paraId="1A713C79">
      <w:pPr>
        <w:keepNext/>
        <w:keepLines/>
        <w:spacing w:line="410" w:lineRule="exact"/>
        <w:ind w:firstLine="0" w:firstLineChars="0"/>
        <w:outlineLvl w:val="0"/>
        <w:rPr>
          <w:rFonts w:ascii="宋体" w:hAnsi="宋体" w:cs="宋体"/>
          <w:b/>
          <w:bCs/>
          <w:color w:val="auto"/>
          <w:kern w:val="44"/>
          <w:sz w:val="21"/>
          <w:szCs w:val="21"/>
          <w:highlight w:val="none"/>
        </w:rPr>
      </w:pPr>
      <w:bookmarkStart w:id="954" w:name="_Toc478389219"/>
      <w:bookmarkStart w:id="955" w:name="_Toc417904304"/>
      <w:r>
        <w:rPr>
          <w:rFonts w:hint="eastAsia" w:ascii="宋体" w:hAnsi="宋体" w:cs="宋体"/>
          <w:b/>
          <w:bCs/>
          <w:color w:val="auto"/>
          <w:kern w:val="44"/>
          <w:sz w:val="21"/>
          <w:szCs w:val="21"/>
          <w:highlight w:val="none"/>
        </w:rPr>
        <w:t>7</w:t>
      </w:r>
      <w:bookmarkStart w:id="956" w:name="_Toc300934971"/>
      <w:bookmarkStart w:id="957" w:name="_Toc297123519"/>
      <w:bookmarkStart w:id="958" w:name="_Toc312678015"/>
      <w:bookmarkStart w:id="959" w:name="_Toc297216178"/>
      <w:bookmarkStart w:id="960" w:name="_Toc304295549"/>
      <w:bookmarkStart w:id="961" w:name="_Toc303539128"/>
      <w:r>
        <w:rPr>
          <w:rFonts w:hint="eastAsia" w:ascii="宋体" w:hAnsi="宋体" w:cs="宋体"/>
          <w:b/>
          <w:bCs/>
          <w:color w:val="auto"/>
          <w:kern w:val="44"/>
          <w:sz w:val="21"/>
          <w:szCs w:val="21"/>
          <w:highlight w:val="none"/>
        </w:rPr>
        <w:t>.6 不</w:t>
      </w:r>
      <w:bookmarkEnd w:id="956"/>
      <w:bookmarkEnd w:id="957"/>
      <w:bookmarkEnd w:id="958"/>
      <w:bookmarkEnd w:id="959"/>
      <w:bookmarkEnd w:id="960"/>
      <w:bookmarkEnd w:id="961"/>
      <w:r>
        <w:rPr>
          <w:rFonts w:hint="eastAsia" w:ascii="宋体" w:hAnsi="宋体" w:cs="宋体"/>
          <w:b/>
          <w:bCs/>
          <w:color w:val="auto"/>
          <w:kern w:val="44"/>
          <w:sz w:val="21"/>
          <w:szCs w:val="21"/>
          <w:highlight w:val="none"/>
        </w:rPr>
        <w:t>利物质条件</w:t>
      </w:r>
      <w:bookmarkEnd w:id="954"/>
      <w:bookmarkEnd w:id="955"/>
    </w:p>
    <w:p w14:paraId="0529A51C">
      <w:pPr>
        <w:spacing w:line="410" w:lineRule="exact"/>
        <w:ind w:firstLine="420"/>
        <w:rPr>
          <w:rFonts w:ascii="宋体" w:hAnsi="宋体" w:cs="宋体"/>
          <w:color w:val="auto"/>
          <w:sz w:val="21"/>
          <w:szCs w:val="21"/>
          <w:highlight w:val="none"/>
        </w:rPr>
      </w:pPr>
      <w:bookmarkStart w:id="962" w:name="_Toc318581172"/>
      <w:bookmarkStart w:id="963" w:name="_Toc303539129"/>
      <w:bookmarkStart w:id="964" w:name="_Toc312678016"/>
      <w:bookmarkStart w:id="965" w:name="_Toc300934972"/>
      <w:bookmarkStart w:id="966" w:name="_Toc297216179"/>
      <w:bookmarkStart w:id="967" w:name="_Toc304295550"/>
      <w:bookmarkStart w:id="968" w:name="_Toc297123520"/>
      <w:r>
        <w:rPr>
          <w:rFonts w:hint="eastAsia" w:ascii="宋体" w:hAnsi="宋体" w:cs="宋体"/>
          <w:color w:val="auto"/>
          <w:sz w:val="21"/>
          <w:szCs w:val="21"/>
          <w:highlight w:val="none"/>
        </w:rPr>
        <w:t>不利物质条件的其他情形和有关约定：</w:t>
      </w:r>
      <w:r>
        <w:rPr>
          <w:rFonts w:hint="eastAsia" w:ascii="宋体" w:hAnsi="宋体" w:cs="宋体"/>
          <w:color w:val="auto"/>
          <w:sz w:val="21"/>
          <w:szCs w:val="21"/>
          <w:highlight w:val="none"/>
          <w:u w:val="single"/>
        </w:rPr>
        <w:t>一周内非承包人原因，停水、停电、停气造成停工连续超过8小时；重大设计变更和工程量增加；发包人手续不全致使施工不能正常进行；发包人未能按约定时间支付工程款致使施工不能正常进行的；非承包人原因的及发包人有关的停工通知，以上不利物质条件延误工期的相应延长工期，因发包人原因给承包人造成损失的由发包人相应赔偿承包人，属环境等原因的，双方协商处理。</w:t>
      </w:r>
    </w:p>
    <w:bookmarkEnd w:id="962"/>
    <w:bookmarkEnd w:id="963"/>
    <w:bookmarkEnd w:id="964"/>
    <w:bookmarkEnd w:id="965"/>
    <w:bookmarkEnd w:id="966"/>
    <w:bookmarkEnd w:id="967"/>
    <w:bookmarkEnd w:id="968"/>
    <w:p w14:paraId="29AFCAA9">
      <w:pPr>
        <w:keepNext/>
        <w:keepLines/>
        <w:spacing w:line="410" w:lineRule="exact"/>
        <w:ind w:firstLine="0" w:firstLineChars="0"/>
        <w:outlineLvl w:val="0"/>
        <w:rPr>
          <w:rFonts w:ascii="宋体" w:hAnsi="宋体" w:cs="宋体"/>
          <w:b/>
          <w:bCs/>
          <w:color w:val="auto"/>
          <w:kern w:val="44"/>
          <w:sz w:val="21"/>
          <w:szCs w:val="21"/>
          <w:highlight w:val="none"/>
        </w:rPr>
      </w:pPr>
      <w:bookmarkStart w:id="969" w:name="_Toc478389220"/>
      <w:bookmarkStart w:id="970" w:name="_Toc417904305"/>
      <w:r>
        <w:rPr>
          <w:rFonts w:hint="eastAsia" w:ascii="宋体" w:hAnsi="宋体" w:cs="宋体"/>
          <w:b/>
          <w:bCs/>
          <w:color w:val="auto"/>
          <w:kern w:val="44"/>
          <w:sz w:val="21"/>
          <w:szCs w:val="21"/>
          <w:highlight w:val="none"/>
        </w:rPr>
        <w:t>7</w:t>
      </w:r>
      <w:bookmarkStart w:id="971" w:name="_Toc300934973"/>
      <w:bookmarkStart w:id="972" w:name="_Toc297123521"/>
      <w:bookmarkStart w:id="973" w:name="_Toc303539130"/>
      <w:bookmarkStart w:id="974" w:name="_Toc312678017"/>
      <w:bookmarkStart w:id="975" w:name="_Toc297216180"/>
      <w:bookmarkStart w:id="976" w:name="_Toc304295551"/>
      <w:r>
        <w:rPr>
          <w:rFonts w:hint="eastAsia" w:ascii="宋体" w:hAnsi="宋体" w:cs="宋体"/>
          <w:b/>
          <w:bCs/>
          <w:color w:val="auto"/>
          <w:kern w:val="44"/>
          <w:sz w:val="21"/>
          <w:szCs w:val="21"/>
          <w:highlight w:val="none"/>
        </w:rPr>
        <w:t>.7异常恶劣的气候条件</w:t>
      </w:r>
      <w:bookmarkEnd w:id="969"/>
      <w:bookmarkEnd w:id="970"/>
    </w:p>
    <w:bookmarkEnd w:id="971"/>
    <w:bookmarkEnd w:id="972"/>
    <w:bookmarkEnd w:id="973"/>
    <w:bookmarkEnd w:id="974"/>
    <w:bookmarkEnd w:id="975"/>
    <w:bookmarkEnd w:id="976"/>
    <w:p w14:paraId="57FE84AB">
      <w:pPr>
        <w:spacing w:line="430" w:lineRule="exact"/>
        <w:ind w:firstLine="420"/>
        <w:rPr>
          <w:rFonts w:ascii="宋体" w:hAnsi="宋体" w:cs="宋体"/>
          <w:color w:val="auto"/>
          <w:sz w:val="21"/>
          <w:szCs w:val="21"/>
          <w:highlight w:val="none"/>
          <w:u w:val="single"/>
          <w:lang w:val="zh-CN"/>
        </w:rPr>
      </w:pPr>
      <w:r>
        <w:rPr>
          <w:rFonts w:hint="eastAsia" w:ascii="宋体" w:hAnsi="宋体" w:cs="宋体"/>
          <w:color w:val="auto"/>
          <w:sz w:val="21"/>
          <w:szCs w:val="21"/>
          <w:highlight w:val="none"/>
        </w:rPr>
        <w:t>发包人和承包人同意以下情形视为异常恶劣的气候条件：</w:t>
      </w:r>
      <w:r>
        <w:rPr>
          <w:rFonts w:hint="eastAsia" w:ascii="宋体" w:hAnsi="宋体" w:cs="宋体"/>
          <w:color w:val="auto"/>
          <w:sz w:val="21"/>
          <w:szCs w:val="21"/>
          <w:highlight w:val="none"/>
          <w:u w:val="single"/>
          <w:lang w:val="zh-CN"/>
        </w:rPr>
        <w:t>（1）10级及以上持续1天的大风；（2）暴雨及以上持续1天的大雨天；（3）50年及以上未发生过，持续2天的高温天气；（4）50年及以上未发生过，持续2天的低温天气  。</w:t>
      </w:r>
    </w:p>
    <w:p w14:paraId="5A3474B4">
      <w:pPr>
        <w:keepNext/>
        <w:keepLines/>
        <w:spacing w:line="430" w:lineRule="exact"/>
        <w:ind w:firstLine="0" w:firstLineChars="0"/>
        <w:outlineLvl w:val="0"/>
        <w:rPr>
          <w:rFonts w:ascii="宋体" w:hAnsi="宋体" w:cs="宋体"/>
          <w:b/>
          <w:bCs/>
          <w:color w:val="auto"/>
          <w:kern w:val="44"/>
          <w:sz w:val="21"/>
          <w:szCs w:val="21"/>
          <w:highlight w:val="none"/>
        </w:rPr>
      </w:pPr>
      <w:bookmarkStart w:id="977" w:name="_Toc478389221"/>
      <w:bookmarkStart w:id="978" w:name="_Toc417904306"/>
      <w:r>
        <w:rPr>
          <w:rFonts w:hint="eastAsia" w:ascii="宋体" w:hAnsi="宋体" w:cs="宋体"/>
          <w:b/>
          <w:bCs/>
          <w:color w:val="auto"/>
          <w:kern w:val="44"/>
          <w:sz w:val="21"/>
          <w:szCs w:val="21"/>
          <w:highlight w:val="none"/>
        </w:rPr>
        <w:t>7.9 提前竣工的奖励</w:t>
      </w:r>
      <w:bookmarkEnd w:id="977"/>
      <w:bookmarkEnd w:id="978"/>
    </w:p>
    <w:p w14:paraId="296DFC67">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7.9.2提前竣工的奖励：</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7B78BB2E">
      <w:pPr>
        <w:keepNext/>
        <w:keepLines/>
        <w:spacing w:line="430" w:lineRule="exact"/>
        <w:ind w:firstLine="0" w:firstLineChars="0"/>
        <w:outlineLvl w:val="0"/>
        <w:rPr>
          <w:rFonts w:ascii="宋体" w:hAnsi="宋体" w:cs="宋体"/>
          <w:b/>
          <w:bCs/>
          <w:color w:val="auto"/>
          <w:kern w:val="44"/>
          <w:sz w:val="21"/>
          <w:szCs w:val="21"/>
          <w:highlight w:val="none"/>
        </w:rPr>
      </w:pPr>
      <w:bookmarkStart w:id="979" w:name="_Toc351203640"/>
      <w:bookmarkStart w:id="980" w:name="_Toc478389222"/>
      <w:bookmarkStart w:id="981" w:name="_Toc417904307"/>
      <w:r>
        <w:rPr>
          <w:rFonts w:hint="eastAsia" w:ascii="宋体" w:hAnsi="宋体" w:cs="宋体"/>
          <w:b/>
          <w:bCs/>
          <w:color w:val="auto"/>
          <w:kern w:val="44"/>
          <w:sz w:val="21"/>
          <w:szCs w:val="21"/>
          <w:highlight w:val="none"/>
        </w:rPr>
        <w:t>8. 材料与设备</w:t>
      </w:r>
      <w:bookmarkEnd w:id="979"/>
      <w:bookmarkEnd w:id="980"/>
      <w:bookmarkEnd w:id="981"/>
    </w:p>
    <w:bookmarkEnd w:id="883"/>
    <w:bookmarkEnd w:id="884"/>
    <w:bookmarkEnd w:id="885"/>
    <w:bookmarkEnd w:id="886"/>
    <w:bookmarkEnd w:id="887"/>
    <w:bookmarkEnd w:id="888"/>
    <w:bookmarkEnd w:id="889"/>
    <w:bookmarkEnd w:id="890"/>
    <w:bookmarkEnd w:id="891"/>
    <w:bookmarkEnd w:id="892"/>
    <w:p w14:paraId="61B1C3A7">
      <w:pPr>
        <w:keepNext/>
        <w:keepLines/>
        <w:spacing w:line="430" w:lineRule="exact"/>
        <w:ind w:firstLine="0" w:firstLineChars="0"/>
        <w:outlineLvl w:val="0"/>
        <w:rPr>
          <w:rFonts w:ascii="宋体" w:hAnsi="宋体" w:cs="宋体"/>
          <w:b/>
          <w:bCs/>
          <w:color w:val="auto"/>
          <w:kern w:val="44"/>
          <w:sz w:val="21"/>
          <w:szCs w:val="21"/>
          <w:highlight w:val="none"/>
        </w:rPr>
      </w:pPr>
      <w:bookmarkStart w:id="982" w:name="_Toc417904308"/>
      <w:bookmarkStart w:id="983" w:name="_Toc478389223"/>
      <w:r>
        <w:rPr>
          <w:rFonts w:hint="eastAsia" w:ascii="宋体" w:hAnsi="宋体" w:cs="宋体"/>
          <w:b/>
          <w:bCs/>
          <w:color w:val="auto"/>
          <w:kern w:val="44"/>
          <w:sz w:val="21"/>
          <w:szCs w:val="21"/>
          <w:highlight w:val="none"/>
        </w:rPr>
        <w:t>8</w:t>
      </w:r>
      <w:bookmarkStart w:id="984" w:name="_Toc296890995"/>
      <w:bookmarkStart w:id="985" w:name="_Toc297048353"/>
      <w:bookmarkStart w:id="986" w:name="_Toc296346668"/>
      <w:bookmarkStart w:id="987" w:name="_Toc296944506"/>
      <w:bookmarkStart w:id="988" w:name="_Toc297123527"/>
      <w:bookmarkStart w:id="989" w:name="_Toc296347166"/>
      <w:bookmarkStart w:id="990" w:name="_Toc292559372"/>
      <w:bookmarkStart w:id="991" w:name="_Toc292559877"/>
      <w:bookmarkStart w:id="992" w:name="_Toc296891207"/>
      <w:bookmarkStart w:id="993" w:name="_Toc304295556"/>
      <w:bookmarkStart w:id="994" w:name="_Toc280868654"/>
      <w:bookmarkStart w:id="995" w:name="_Toc296503167"/>
      <w:bookmarkStart w:id="996" w:name="_Toc303539136"/>
      <w:bookmarkStart w:id="997" w:name="_Toc300934979"/>
      <w:bookmarkStart w:id="998" w:name="_Toc297120467"/>
      <w:bookmarkStart w:id="999" w:name="_Toc297216186"/>
      <w:bookmarkStart w:id="1000" w:name="_Toc312677493"/>
      <w:bookmarkStart w:id="1001" w:name="_Toc312678019"/>
      <w:bookmarkStart w:id="1002" w:name="_Toc280868656"/>
      <w:bookmarkStart w:id="1003" w:name="_Toc267251424"/>
      <w:bookmarkStart w:id="1004" w:name="_Toc280868655"/>
      <w:r>
        <w:rPr>
          <w:rFonts w:hint="eastAsia" w:ascii="宋体" w:hAnsi="宋体" w:cs="宋体"/>
          <w:b/>
          <w:bCs/>
          <w:color w:val="auto"/>
          <w:kern w:val="44"/>
          <w:sz w:val="21"/>
          <w:szCs w:val="21"/>
          <w:highlight w:val="none"/>
        </w:rPr>
        <w:t>.4材料与工程设备的保管与使用</w:t>
      </w:r>
      <w:bookmarkEnd w:id="982"/>
      <w:bookmarkEnd w:id="983"/>
    </w:p>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14:paraId="7BABC5E4">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w:t>
      </w:r>
      <w:bookmarkStart w:id="1005" w:name="_Toc292559878"/>
      <w:bookmarkStart w:id="1006" w:name="_Toc292559373"/>
      <w:bookmarkStart w:id="1007" w:name="_Toc297216187"/>
      <w:bookmarkStart w:id="1008" w:name="_Toc296503168"/>
      <w:bookmarkStart w:id="1009" w:name="_Toc296944507"/>
      <w:bookmarkStart w:id="1010" w:name="_Toc297048354"/>
      <w:bookmarkStart w:id="1011" w:name="_Toc303539137"/>
      <w:bookmarkStart w:id="1012" w:name="_Toc318581173"/>
      <w:bookmarkStart w:id="1013" w:name="_Toc297120468"/>
      <w:bookmarkStart w:id="1014" w:name="_Toc296891208"/>
      <w:bookmarkStart w:id="1015" w:name="_Toc296347167"/>
      <w:bookmarkStart w:id="1016" w:name="_Toc297123528"/>
      <w:bookmarkStart w:id="1017" w:name="_Toc312678020"/>
      <w:bookmarkStart w:id="1018" w:name="_Toc296346669"/>
      <w:bookmarkStart w:id="1019" w:name="_Toc296890996"/>
      <w:bookmarkStart w:id="1020" w:name="_Toc300934980"/>
      <w:bookmarkStart w:id="1021" w:name="_Toc304295557"/>
      <w:bookmarkStart w:id="1022" w:name="_Toc312677494"/>
      <w:r>
        <w:rPr>
          <w:rFonts w:hint="eastAsia" w:ascii="宋体" w:hAnsi="宋体" w:cs="宋体"/>
          <w:color w:val="auto"/>
          <w:sz w:val="21"/>
          <w:szCs w:val="21"/>
          <w:highlight w:val="none"/>
        </w:rPr>
        <w:t>.4.1发包人供应的材料设备的保管费用的承担：</w:t>
      </w:r>
      <w:r>
        <w:rPr>
          <w:rFonts w:hint="eastAsia" w:ascii="宋体" w:hAnsi="宋体" w:cs="宋体"/>
          <w:color w:val="auto"/>
          <w:sz w:val="21"/>
          <w:szCs w:val="21"/>
          <w:highlight w:val="none"/>
          <w:u w:val="single"/>
        </w:rPr>
        <w:t xml:space="preserve">承包人承担 </w:t>
      </w:r>
      <w:r>
        <w:rPr>
          <w:rFonts w:hint="eastAsia" w:ascii="宋体" w:hAnsi="宋体" w:cs="宋体"/>
          <w:color w:val="auto"/>
          <w:sz w:val="21"/>
          <w:szCs w:val="21"/>
          <w:highlight w:val="none"/>
        </w:rPr>
        <w:t>。</w:t>
      </w:r>
      <w:bookmarkEnd w:id="1005"/>
      <w:bookmarkEnd w:id="1006"/>
    </w:p>
    <w:p w14:paraId="07D3AF12">
      <w:pPr>
        <w:autoSpaceDE w:val="0"/>
        <w:autoSpaceDN w:val="0"/>
        <w:adjustRightInd w:val="0"/>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8.6.1 样品的报送与封存</w:t>
      </w:r>
    </w:p>
    <w:p w14:paraId="5EF0071A">
      <w:pPr>
        <w:autoSpaceDE w:val="0"/>
        <w:autoSpaceDN w:val="0"/>
        <w:adjustRightInd w:val="0"/>
        <w:ind w:firstLine="420"/>
        <w:jc w:val="left"/>
        <w:rPr>
          <w:rFonts w:ascii="宋体" w:hAnsi="宋体" w:cs="宋体"/>
          <w:color w:val="auto"/>
          <w:sz w:val="21"/>
          <w:szCs w:val="21"/>
          <w:highlight w:val="none"/>
          <w:u w:val="single"/>
        </w:rPr>
      </w:pPr>
      <w:r>
        <w:rPr>
          <w:rFonts w:hint="eastAsia" w:ascii="宋体" w:hAnsi="宋体" w:cs="宋体"/>
          <w:color w:val="auto"/>
          <w:kern w:val="0"/>
          <w:sz w:val="21"/>
          <w:szCs w:val="21"/>
          <w:highlight w:val="none"/>
        </w:rPr>
        <w:t>需要承包人报送样品的材料或工程设备，样品的种类、名称、规格、数量要求：</w:t>
      </w:r>
      <w:r>
        <w:rPr>
          <w:rFonts w:hint="eastAsia" w:ascii="宋体" w:hAnsi="宋体" w:cs="宋体"/>
          <w:color w:val="auto"/>
          <w:sz w:val="21"/>
          <w:szCs w:val="21"/>
          <w:highlight w:val="none"/>
          <w:u w:val="single"/>
        </w:rPr>
        <w:t>主要材料涉及品种、款式、颜色等方面内容的，承包人应提交准备合格的材料样品送发包人选定。</w:t>
      </w:r>
    </w:p>
    <w:p w14:paraId="394D47D0">
      <w:pPr>
        <w:keepNext/>
        <w:keepLines/>
        <w:spacing w:line="430" w:lineRule="exact"/>
        <w:ind w:firstLine="0" w:firstLineChars="0"/>
        <w:outlineLvl w:val="0"/>
        <w:rPr>
          <w:rFonts w:ascii="宋体" w:hAnsi="宋体" w:cs="宋体"/>
          <w:b/>
          <w:bCs/>
          <w:color w:val="auto"/>
          <w:kern w:val="44"/>
          <w:sz w:val="21"/>
          <w:szCs w:val="21"/>
          <w:highlight w:val="none"/>
        </w:rPr>
      </w:pPr>
      <w:bookmarkStart w:id="1023" w:name="_Toc373227734"/>
      <w:bookmarkStart w:id="1024" w:name="_Toc478389224"/>
      <w:bookmarkStart w:id="1025" w:name="_Toc389065300"/>
      <w:bookmarkStart w:id="1026" w:name="_Toc395382536"/>
      <w:bookmarkStart w:id="1027" w:name="_Toc373478381"/>
      <w:r>
        <w:rPr>
          <w:rFonts w:hint="eastAsia" w:ascii="宋体" w:hAnsi="宋体" w:cs="宋体"/>
          <w:b/>
          <w:bCs/>
          <w:color w:val="auto"/>
          <w:kern w:val="44"/>
          <w:sz w:val="21"/>
          <w:szCs w:val="21"/>
          <w:highlight w:val="none"/>
        </w:rPr>
        <w:t>8.6 样品</w:t>
      </w:r>
      <w:bookmarkEnd w:id="1023"/>
      <w:bookmarkEnd w:id="1024"/>
      <w:bookmarkEnd w:id="1025"/>
      <w:bookmarkEnd w:id="1026"/>
      <w:bookmarkEnd w:id="1027"/>
    </w:p>
    <w:p w14:paraId="64C8C875">
      <w:pPr>
        <w:autoSpaceDE w:val="0"/>
        <w:autoSpaceDN w:val="0"/>
        <w:adjustRightInd w:val="0"/>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8.6.1 样品的报送与封存</w:t>
      </w:r>
    </w:p>
    <w:p w14:paraId="05BF1ECD">
      <w:pPr>
        <w:spacing w:line="43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需要承包人报送样品的材料或工程设备，样品的种类、名称、规格、数量要求：</w:t>
      </w:r>
      <w:r>
        <w:rPr>
          <w:rFonts w:hint="eastAsia" w:ascii="宋体" w:hAnsi="宋体" w:cs="宋体"/>
          <w:color w:val="auto"/>
          <w:sz w:val="21"/>
          <w:szCs w:val="21"/>
          <w:highlight w:val="none"/>
          <w:u w:val="single"/>
        </w:rPr>
        <w:t>主要材料涉及品种、款式、颜色等方面内容的，承包人应提交准备合格的材料样品送发包人选定。</w:t>
      </w:r>
    </w:p>
    <w:p w14:paraId="100D6056">
      <w:pPr>
        <w:keepNext/>
        <w:keepLines/>
        <w:spacing w:line="430" w:lineRule="exact"/>
        <w:ind w:firstLine="0" w:firstLineChars="0"/>
        <w:outlineLvl w:val="0"/>
        <w:rPr>
          <w:rFonts w:ascii="宋体" w:hAnsi="宋体" w:cs="宋体"/>
          <w:b/>
          <w:bCs/>
          <w:color w:val="auto"/>
          <w:kern w:val="44"/>
          <w:sz w:val="21"/>
          <w:szCs w:val="21"/>
          <w:highlight w:val="none"/>
        </w:rPr>
      </w:pPr>
      <w:bookmarkStart w:id="1028" w:name="_Toc478389225"/>
      <w:bookmarkStart w:id="1029" w:name="_Toc417904310"/>
      <w:r>
        <w:rPr>
          <w:rFonts w:hint="eastAsia" w:ascii="宋体" w:hAnsi="宋体" w:cs="宋体"/>
          <w:b/>
          <w:bCs/>
          <w:color w:val="auto"/>
          <w:kern w:val="44"/>
          <w:sz w:val="21"/>
          <w:szCs w:val="21"/>
          <w:highlight w:val="none"/>
        </w:rPr>
        <w:t>8.8 施工设备和临时设施</w:t>
      </w:r>
      <w:bookmarkEnd w:id="1028"/>
      <w:bookmarkEnd w:id="1029"/>
    </w:p>
    <w:p w14:paraId="6C35901E">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8.8.1 承包人提供的施工设备和临时设施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6。</w:t>
      </w:r>
    </w:p>
    <w:p w14:paraId="5DE6B6AC">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关于修建临时设施费用承担的约定： </w:t>
      </w:r>
    </w:p>
    <w:p w14:paraId="76FAD459">
      <w:pPr>
        <w:spacing w:line="43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①承包人的临时用地（含项目部驻地等）租用费（含拆迁补偿）、临时用地的环保、恢复、临时用地的青苗补偿及地面附着物拆除等费用均由承包人负责，以上费用在磋商报价中综合考虑。</w:t>
      </w:r>
    </w:p>
    <w:p w14:paraId="0FB161CE">
      <w:pPr>
        <w:spacing w:line="43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②承包人负责合同实施期间其合同段内临时交通道路（含场内外连接公共交通道路）和交通设施的修建、维修、养护和交通管理工作，并承担一切费用。</w:t>
      </w:r>
    </w:p>
    <w:p w14:paraId="2301DEE6">
      <w:pPr>
        <w:spacing w:line="43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19D0E6D6">
      <w:pPr>
        <w:autoSpaceDE w:val="0"/>
        <w:autoSpaceDN w:val="0"/>
        <w:adjustRightInd w:val="0"/>
        <w:spacing w:line="43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8.8.2 发包人提供的施工设备和临时设施</w:t>
      </w:r>
    </w:p>
    <w:p w14:paraId="7E346BF1">
      <w:pPr>
        <w:autoSpaceDE w:val="0"/>
        <w:autoSpaceDN w:val="0"/>
        <w:adjustRightInd w:val="0"/>
        <w:spacing w:line="43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发包人提供的施工设备和临时设施：</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3C1DF257">
      <w:pPr>
        <w:autoSpaceDE w:val="0"/>
        <w:autoSpaceDN w:val="0"/>
        <w:adjustRightInd w:val="0"/>
        <w:spacing w:line="43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发包人提供的施工设备和临时设施的运行、维护、拆除、清运费用的承担人：</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14:paraId="63E6BBC2">
      <w:pPr>
        <w:keepNext/>
        <w:keepLines/>
        <w:spacing w:line="430" w:lineRule="exact"/>
        <w:ind w:firstLine="0" w:firstLineChars="0"/>
        <w:outlineLvl w:val="0"/>
        <w:rPr>
          <w:rFonts w:ascii="宋体" w:hAnsi="宋体" w:cs="宋体"/>
          <w:b/>
          <w:bCs/>
          <w:color w:val="auto"/>
          <w:kern w:val="44"/>
          <w:sz w:val="21"/>
          <w:szCs w:val="21"/>
          <w:highlight w:val="none"/>
        </w:rPr>
      </w:pPr>
      <w:bookmarkStart w:id="1030" w:name="_Toc478389226"/>
      <w:bookmarkStart w:id="1031" w:name="_Toc351203641"/>
      <w:bookmarkStart w:id="1032" w:name="_Toc417904311"/>
      <w:r>
        <w:rPr>
          <w:rFonts w:hint="eastAsia" w:ascii="宋体" w:hAnsi="宋体" w:cs="宋体"/>
          <w:b/>
          <w:bCs/>
          <w:color w:val="auto"/>
          <w:kern w:val="44"/>
          <w:sz w:val="21"/>
          <w:szCs w:val="21"/>
          <w:highlight w:val="none"/>
        </w:rPr>
        <w:t>9</w:t>
      </w:r>
      <w:bookmarkEnd w:id="1002"/>
      <w:bookmarkEnd w:id="1003"/>
      <w:bookmarkEnd w:id="1004"/>
      <w:bookmarkStart w:id="1033" w:name="_Toc297123533"/>
      <w:bookmarkStart w:id="1034" w:name="_Toc300934982"/>
      <w:bookmarkStart w:id="1035" w:name="_Toc303539139"/>
      <w:bookmarkStart w:id="1036" w:name="_Toc312677495"/>
      <w:bookmarkStart w:id="1037" w:name="_Toc312678021"/>
      <w:bookmarkStart w:id="1038" w:name="_Toc297216192"/>
      <w:bookmarkStart w:id="1039" w:name="_Toc304295559"/>
      <w:bookmarkStart w:id="1040" w:name="_Toc296891001"/>
      <w:bookmarkStart w:id="1041" w:name="_Toc292559883"/>
      <w:bookmarkStart w:id="1042" w:name="_Toc296347172"/>
      <w:bookmarkStart w:id="1043" w:name="_Toc267251427"/>
      <w:bookmarkStart w:id="1044" w:name="_Toc296346674"/>
      <w:bookmarkStart w:id="1045" w:name="_Toc296944512"/>
      <w:bookmarkStart w:id="1046" w:name="_Toc296891213"/>
      <w:bookmarkStart w:id="1047" w:name="_Toc296503173"/>
      <w:bookmarkStart w:id="1048" w:name="_Toc267251428"/>
      <w:bookmarkStart w:id="1049" w:name="_Toc297048359"/>
      <w:bookmarkStart w:id="1050" w:name="_Toc297120473"/>
      <w:bookmarkStart w:id="1051" w:name="_Toc292559378"/>
      <w:r>
        <w:rPr>
          <w:rFonts w:hint="eastAsia" w:ascii="宋体" w:hAnsi="宋体" w:cs="宋体"/>
          <w:b/>
          <w:bCs/>
          <w:color w:val="auto"/>
          <w:kern w:val="44"/>
          <w:sz w:val="21"/>
          <w:szCs w:val="21"/>
          <w:highlight w:val="none"/>
        </w:rPr>
        <w:t>. 试验与检验</w:t>
      </w:r>
      <w:bookmarkEnd w:id="1030"/>
      <w:bookmarkEnd w:id="1031"/>
      <w:bookmarkEnd w:id="1032"/>
    </w:p>
    <w:bookmarkEnd w:id="1033"/>
    <w:bookmarkEnd w:id="1034"/>
    <w:bookmarkEnd w:id="1035"/>
    <w:bookmarkEnd w:id="1036"/>
    <w:bookmarkEnd w:id="1037"/>
    <w:bookmarkEnd w:id="1038"/>
    <w:bookmarkEnd w:id="1039"/>
    <w:p w14:paraId="25BDFE9C">
      <w:pPr>
        <w:keepNext/>
        <w:keepLines/>
        <w:spacing w:line="420" w:lineRule="exact"/>
        <w:ind w:firstLine="0" w:firstLineChars="0"/>
        <w:outlineLvl w:val="0"/>
        <w:rPr>
          <w:rFonts w:ascii="宋体" w:hAnsi="宋体" w:cs="宋体"/>
          <w:b/>
          <w:bCs/>
          <w:color w:val="auto"/>
          <w:kern w:val="44"/>
          <w:sz w:val="21"/>
          <w:szCs w:val="21"/>
          <w:highlight w:val="none"/>
        </w:rPr>
      </w:pPr>
      <w:bookmarkStart w:id="1052" w:name="_Toc478389227"/>
      <w:bookmarkStart w:id="1053" w:name="_Toc417904312"/>
      <w:r>
        <w:rPr>
          <w:rFonts w:hint="eastAsia" w:ascii="宋体" w:hAnsi="宋体" w:cs="宋体"/>
          <w:b/>
          <w:bCs/>
          <w:color w:val="auto"/>
          <w:kern w:val="44"/>
          <w:sz w:val="21"/>
          <w:szCs w:val="21"/>
          <w:highlight w:val="none"/>
        </w:rPr>
        <w:t>9</w:t>
      </w:r>
      <w:bookmarkStart w:id="1054" w:name="_Toc304295560"/>
      <w:bookmarkStart w:id="1055" w:name="_Toc303539140"/>
      <w:bookmarkStart w:id="1056" w:name="_Toc297216193"/>
      <w:bookmarkStart w:id="1057" w:name="_Toc300934983"/>
      <w:bookmarkStart w:id="1058" w:name="_Toc312677496"/>
      <w:bookmarkStart w:id="1059" w:name="_Toc312678022"/>
      <w:bookmarkStart w:id="1060" w:name="_Toc297123534"/>
      <w:r>
        <w:rPr>
          <w:rFonts w:hint="eastAsia" w:ascii="宋体" w:hAnsi="宋体" w:cs="宋体"/>
          <w:b/>
          <w:bCs/>
          <w:color w:val="auto"/>
          <w:kern w:val="44"/>
          <w:sz w:val="21"/>
          <w:szCs w:val="21"/>
          <w:highlight w:val="none"/>
        </w:rPr>
        <w:t>.1试验设备与试验人员</w:t>
      </w:r>
      <w:bookmarkEnd w:id="1052"/>
      <w:bookmarkEnd w:id="1053"/>
    </w:p>
    <w:bookmarkEnd w:id="1054"/>
    <w:bookmarkEnd w:id="1055"/>
    <w:bookmarkEnd w:id="1056"/>
    <w:bookmarkEnd w:id="1057"/>
    <w:bookmarkEnd w:id="1058"/>
    <w:bookmarkEnd w:id="1059"/>
    <w:bookmarkEnd w:id="1060"/>
    <w:p w14:paraId="04DD673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9</w:t>
      </w:r>
      <w:bookmarkStart w:id="1061" w:name="_Toc303539141"/>
      <w:bookmarkStart w:id="1062" w:name="_Toc300934984"/>
      <w:bookmarkStart w:id="1063" w:name="_Toc312677497"/>
      <w:bookmarkStart w:id="1064" w:name="_Toc304295561"/>
      <w:bookmarkStart w:id="1065" w:name="_Toc297123535"/>
      <w:bookmarkStart w:id="1066" w:name="_Toc297216194"/>
      <w:bookmarkStart w:id="1067" w:name="_Toc312678023"/>
      <w:bookmarkStart w:id="1068" w:name="_Toc318581174"/>
      <w:r>
        <w:rPr>
          <w:rFonts w:hint="eastAsia" w:ascii="宋体" w:hAnsi="宋体" w:cs="宋体"/>
          <w:color w:val="auto"/>
          <w:sz w:val="21"/>
          <w:szCs w:val="21"/>
          <w:highlight w:val="none"/>
        </w:rPr>
        <w:t>.1.2 试验设备</w:t>
      </w:r>
    </w:p>
    <w:p w14:paraId="3CCC5EF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施工现场需要配置的试验场所：</w:t>
      </w:r>
      <w:bookmarkEnd w:id="1061"/>
      <w:bookmarkEnd w:id="1062"/>
      <w:bookmarkEnd w:id="1063"/>
      <w:bookmarkEnd w:id="1064"/>
      <w:bookmarkEnd w:id="1065"/>
      <w:bookmarkEnd w:id="1066"/>
      <w:bookmarkEnd w:id="1067"/>
      <w:bookmarkStart w:id="1069" w:name="_Toc303539142"/>
      <w:bookmarkStart w:id="1070" w:name="_Toc297123536"/>
      <w:bookmarkStart w:id="1071" w:name="_Toc297216195"/>
      <w:bookmarkStart w:id="1072" w:name="_Toc312677498"/>
      <w:bookmarkStart w:id="1073" w:name="_Toc304295562"/>
      <w:bookmarkStart w:id="1074" w:name="_Toc312678024"/>
      <w:bookmarkStart w:id="1075" w:name="_Toc300934985"/>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 xml:space="preserve">。 </w:t>
      </w:r>
    </w:p>
    <w:p w14:paraId="07645BB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施工现场需要配备的试验设备：</w:t>
      </w:r>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w:t>
      </w:r>
    </w:p>
    <w:p w14:paraId="301E31A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施工现场需要具备的其他试验条件：</w:t>
      </w:r>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w:t>
      </w:r>
    </w:p>
    <w:p w14:paraId="116293EE">
      <w:pPr>
        <w:keepNext/>
        <w:keepLines/>
        <w:spacing w:line="420" w:lineRule="exact"/>
        <w:ind w:firstLine="0" w:firstLineChars="0"/>
        <w:outlineLvl w:val="0"/>
        <w:rPr>
          <w:rFonts w:ascii="宋体" w:hAnsi="宋体" w:cs="宋体"/>
          <w:b/>
          <w:bCs/>
          <w:color w:val="auto"/>
          <w:kern w:val="44"/>
          <w:sz w:val="21"/>
          <w:szCs w:val="21"/>
          <w:highlight w:val="none"/>
        </w:rPr>
      </w:pPr>
      <w:bookmarkStart w:id="1076" w:name="_Toc478389228"/>
      <w:bookmarkStart w:id="1077" w:name="_Toc417904313"/>
      <w:r>
        <w:rPr>
          <w:rFonts w:hint="eastAsia" w:ascii="宋体" w:hAnsi="宋体" w:cs="宋体"/>
          <w:b/>
          <w:bCs/>
          <w:color w:val="auto"/>
          <w:kern w:val="44"/>
          <w:sz w:val="21"/>
          <w:szCs w:val="21"/>
          <w:highlight w:val="none"/>
        </w:rPr>
        <w:t>9.4 现场工艺试验</w:t>
      </w:r>
      <w:bookmarkEnd w:id="1076"/>
      <w:bookmarkEnd w:id="1077"/>
    </w:p>
    <w:p w14:paraId="0DD1CB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现场工艺试验的有关约定：</w:t>
      </w:r>
      <w:r>
        <w:rPr>
          <w:rFonts w:hint="eastAsia" w:ascii="宋体" w:hAnsi="宋体" w:cs="宋体"/>
          <w:color w:val="auto"/>
          <w:sz w:val="21"/>
          <w:szCs w:val="21"/>
          <w:highlight w:val="none"/>
          <w:u w:val="single"/>
        </w:rPr>
        <w:t xml:space="preserve">    按实际需要和国家规定  </w:t>
      </w:r>
      <w:r>
        <w:rPr>
          <w:rFonts w:hint="eastAsia" w:ascii="宋体" w:hAnsi="宋体" w:cs="宋体"/>
          <w:color w:val="auto"/>
          <w:sz w:val="21"/>
          <w:szCs w:val="21"/>
          <w:highlight w:val="none"/>
        </w:rPr>
        <w:t>。</w:t>
      </w:r>
    </w:p>
    <w:bookmarkEnd w:id="1068"/>
    <w:bookmarkEnd w:id="1069"/>
    <w:bookmarkEnd w:id="1070"/>
    <w:bookmarkEnd w:id="1071"/>
    <w:bookmarkEnd w:id="1072"/>
    <w:bookmarkEnd w:id="1073"/>
    <w:bookmarkEnd w:id="1074"/>
    <w:bookmarkEnd w:id="1075"/>
    <w:p w14:paraId="448850D5">
      <w:pPr>
        <w:keepNext/>
        <w:keepLines/>
        <w:spacing w:line="420" w:lineRule="exact"/>
        <w:ind w:firstLine="0" w:firstLineChars="0"/>
        <w:outlineLvl w:val="0"/>
        <w:rPr>
          <w:rFonts w:ascii="宋体" w:hAnsi="宋体" w:cs="宋体"/>
          <w:b/>
          <w:bCs/>
          <w:color w:val="auto"/>
          <w:kern w:val="44"/>
          <w:sz w:val="21"/>
          <w:szCs w:val="21"/>
          <w:highlight w:val="none"/>
        </w:rPr>
      </w:pPr>
      <w:bookmarkStart w:id="1078" w:name="_Toc478389230"/>
      <w:bookmarkStart w:id="1079" w:name="_Toc351203642"/>
      <w:bookmarkStart w:id="1080" w:name="_Toc417904315"/>
      <w:r>
        <w:rPr>
          <w:rFonts w:hint="eastAsia" w:ascii="宋体" w:hAnsi="宋体" w:cs="宋体"/>
          <w:b/>
          <w:bCs/>
          <w:color w:val="auto"/>
          <w:kern w:val="44"/>
          <w:sz w:val="21"/>
          <w:szCs w:val="21"/>
          <w:highlight w:val="none"/>
        </w:rPr>
        <w:t>1</w:t>
      </w:r>
      <w:bookmarkEnd w:id="1040"/>
      <w:bookmarkEnd w:id="1041"/>
      <w:bookmarkEnd w:id="1042"/>
      <w:bookmarkEnd w:id="1043"/>
      <w:bookmarkEnd w:id="1044"/>
      <w:bookmarkEnd w:id="1045"/>
      <w:bookmarkEnd w:id="1046"/>
      <w:bookmarkEnd w:id="1047"/>
      <w:bookmarkEnd w:id="1048"/>
      <w:bookmarkEnd w:id="1049"/>
      <w:bookmarkEnd w:id="1050"/>
      <w:bookmarkEnd w:id="1051"/>
      <w:bookmarkStart w:id="1081" w:name="_Toc292559398"/>
      <w:bookmarkStart w:id="1082" w:name="_Toc296891233"/>
      <w:bookmarkStart w:id="1083" w:name="_Toc296346694"/>
      <w:bookmarkStart w:id="1084" w:name="_Toc296944532"/>
      <w:bookmarkStart w:id="1085" w:name="_Toc292559903"/>
      <w:bookmarkStart w:id="1086" w:name="_Toc304295566"/>
      <w:bookmarkStart w:id="1087" w:name="_Toc297120493"/>
      <w:bookmarkStart w:id="1088" w:name="_Toc296503193"/>
      <w:bookmarkStart w:id="1089" w:name="_Toc296891021"/>
      <w:bookmarkStart w:id="1090" w:name="_Toc297048379"/>
      <w:bookmarkStart w:id="1091" w:name="_Toc297216199"/>
      <w:bookmarkStart w:id="1092" w:name="_Toc296347192"/>
      <w:bookmarkStart w:id="1093" w:name="_Toc300934989"/>
      <w:bookmarkStart w:id="1094" w:name="_Toc297123540"/>
      <w:bookmarkStart w:id="1095" w:name="_Toc303539146"/>
      <w:bookmarkStart w:id="1096" w:name="_Toc312678025"/>
      <w:bookmarkStart w:id="1097" w:name="_Toc312677499"/>
      <w:bookmarkStart w:id="1098" w:name="_Toc267251439"/>
      <w:bookmarkStart w:id="1099" w:name="_Toc267251433"/>
      <w:bookmarkStart w:id="1100" w:name="_Toc267251435"/>
      <w:bookmarkStart w:id="1101" w:name="_Toc267251437"/>
      <w:bookmarkStart w:id="1102" w:name="_Toc267251440"/>
      <w:bookmarkStart w:id="1103" w:name="_Toc267251441"/>
      <w:bookmarkStart w:id="1104" w:name="_Toc267251442"/>
      <w:r>
        <w:rPr>
          <w:rFonts w:hint="eastAsia" w:ascii="宋体" w:hAnsi="宋体" w:cs="宋体"/>
          <w:b/>
          <w:bCs/>
          <w:color w:val="auto"/>
          <w:kern w:val="44"/>
          <w:sz w:val="21"/>
          <w:szCs w:val="21"/>
          <w:highlight w:val="none"/>
        </w:rPr>
        <w:t>0. 变更</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bookmarkEnd w:id="1096"/>
    <w:bookmarkEnd w:id="1097"/>
    <w:p w14:paraId="3C91D525">
      <w:pPr>
        <w:keepNext/>
        <w:keepLines/>
        <w:spacing w:line="420" w:lineRule="exact"/>
        <w:ind w:firstLine="0" w:firstLineChars="0"/>
        <w:outlineLvl w:val="0"/>
        <w:rPr>
          <w:rFonts w:ascii="宋体" w:hAnsi="宋体" w:cs="宋体"/>
          <w:b/>
          <w:bCs/>
          <w:color w:val="auto"/>
          <w:kern w:val="44"/>
          <w:sz w:val="21"/>
          <w:szCs w:val="21"/>
          <w:highlight w:val="none"/>
        </w:rPr>
      </w:pPr>
      <w:bookmarkStart w:id="1105" w:name="_Toc417904316"/>
      <w:bookmarkStart w:id="1106" w:name="_Toc478389231"/>
      <w:r>
        <w:rPr>
          <w:rFonts w:hint="eastAsia" w:ascii="宋体" w:hAnsi="宋体" w:cs="宋体"/>
          <w:b/>
          <w:bCs/>
          <w:color w:val="auto"/>
          <w:kern w:val="44"/>
          <w:sz w:val="21"/>
          <w:szCs w:val="21"/>
          <w:highlight w:val="none"/>
        </w:rPr>
        <w:t>1</w:t>
      </w:r>
      <w:bookmarkStart w:id="1107" w:name="_Toc297120494"/>
      <w:bookmarkStart w:id="1108" w:name="_Toc300934990"/>
      <w:bookmarkStart w:id="1109" w:name="_Toc312677500"/>
      <w:bookmarkStart w:id="1110" w:name="_Toc296347193"/>
      <w:bookmarkStart w:id="1111" w:name="_Toc296944533"/>
      <w:bookmarkStart w:id="1112" w:name="_Toc297216200"/>
      <w:bookmarkStart w:id="1113" w:name="_Toc292559904"/>
      <w:bookmarkStart w:id="1114" w:name="_Toc296346695"/>
      <w:bookmarkStart w:id="1115" w:name="_Toc297123541"/>
      <w:bookmarkStart w:id="1116" w:name="_Toc312678026"/>
      <w:bookmarkStart w:id="1117" w:name="_Toc297048380"/>
      <w:bookmarkStart w:id="1118" w:name="_Toc296891234"/>
      <w:bookmarkStart w:id="1119" w:name="_Toc303539147"/>
      <w:bookmarkStart w:id="1120" w:name="_Toc296503194"/>
      <w:bookmarkStart w:id="1121" w:name="_Toc292559399"/>
      <w:bookmarkStart w:id="1122" w:name="_Toc296891022"/>
      <w:bookmarkStart w:id="1123" w:name="_Toc304295567"/>
      <w:r>
        <w:rPr>
          <w:rFonts w:hint="eastAsia" w:ascii="宋体" w:hAnsi="宋体" w:cs="宋体"/>
          <w:b/>
          <w:bCs/>
          <w:color w:val="auto"/>
          <w:kern w:val="44"/>
          <w:sz w:val="21"/>
          <w:szCs w:val="21"/>
          <w:highlight w:val="none"/>
        </w:rPr>
        <w:t>0.1变更的范围</w:t>
      </w:r>
      <w:bookmarkEnd w:id="1105"/>
      <w:bookmarkEnd w:id="1106"/>
    </w:p>
    <w:p w14:paraId="41AAB725">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关于变更的范围的约定：</w:t>
      </w:r>
      <w:r>
        <w:rPr>
          <w:rFonts w:hint="eastAsia" w:ascii="宋体" w:hAnsi="宋体" w:cs="宋体"/>
          <w:color w:val="auto"/>
          <w:sz w:val="21"/>
          <w:szCs w:val="21"/>
          <w:highlight w:val="none"/>
          <w:u w:val="single"/>
        </w:rPr>
        <w:t>因设计变更或者现场签证导致变更后的预算超过分项预算或者总预算的5%以上的，须经发包人审核后实施</w:t>
      </w:r>
      <w:r>
        <w:rPr>
          <w:rFonts w:hint="eastAsia" w:ascii="宋体" w:hAnsi="宋体" w:cs="宋体"/>
          <w:color w:val="auto"/>
          <w:sz w:val="21"/>
          <w:szCs w:val="21"/>
          <w:highlight w:val="none"/>
        </w:rPr>
        <w:t>。发包人可以取消部分工作内容或楼栋的施工。</w:t>
      </w:r>
    </w:p>
    <w:p w14:paraId="4D40E3F4">
      <w:pPr>
        <w:keepNext/>
        <w:keepLines/>
        <w:spacing w:line="420" w:lineRule="exact"/>
        <w:ind w:firstLine="0" w:firstLineChars="0"/>
        <w:outlineLvl w:val="0"/>
        <w:rPr>
          <w:rFonts w:ascii="宋体" w:hAnsi="宋体" w:cs="宋体"/>
          <w:b/>
          <w:bCs/>
          <w:color w:val="auto"/>
          <w:kern w:val="44"/>
          <w:sz w:val="21"/>
          <w:szCs w:val="21"/>
          <w:highlight w:val="none"/>
        </w:rPr>
      </w:pPr>
      <w:bookmarkStart w:id="1124" w:name="_Toc395382544"/>
      <w:bookmarkStart w:id="1125" w:name="_Toc478389232"/>
      <w:bookmarkStart w:id="1126" w:name="_Toc373478388"/>
      <w:bookmarkStart w:id="1127" w:name="_Toc389065307"/>
      <w:bookmarkStart w:id="1128" w:name="_Toc373227741"/>
      <w:bookmarkStart w:id="1129" w:name="_Toc417904317"/>
      <w:r>
        <w:rPr>
          <w:rFonts w:hint="eastAsia" w:ascii="宋体" w:hAnsi="宋体" w:cs="宋体"/>
          <w:b/>
          <w:bCs/>
          <w:color w:val="auto"/>
          <w:kern w:val="44"/>
          <w:sz w:val="21"/>
          <w:szCs w:val="21"/>
          <w:highlight w:val="none"/>
        </w:rPr>
        <w:t>10.3 变更程序</w:t>
      </w:r>
      <w:bookmarkEnd w:id="1124"/>
      <w:bookmarkEnd w:id="1125"/>
      <w:bookmarkEnd w:id="1126"/>
      <w:bookmarkEnd w:id="1127"/>
      <w:bookmarkEnd w:id="1128"/>
      <w:bookmarkEnd w:id="1129"/>
    </w:p>
    <w:p w14:paraId="4D75D57E">
      <w:pPr>
        <w:spacing w:line="42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10.3.2 非国有投资项目：</w:t>
      </w:r>
      <w:r>
        <w:rPr>
          <w:rFonts w:hint="eastAsia" w:ascii="宋体" w:hAnsi="宋体" w:cs="宋体"/>
          <w:color w:val="auto"/>
          <w:sz w:val="21"/>
          <w:szCs w:val="21"/>
          <w:highlight w:val="none"/>
          <w:u w:val="single"/>
        </w:rPr>
        <w:t>无</w:t>
      </w:r>
      <w:r>
        <w:rPr>
          <w:rFonts w:hint="eastAsia" w:ascii="宋体" w:hAnsi="宋体" w:cs="宋体"/>
          <w:bCs/>
          <w:color w:val="auto"/>
          <w:sz w:val="21"/>
          <w:szCs w:val="21"/>
          <w:highlight w:val="none"/>
        </w:rPr>
        <w:t>。</w:t>
      </w:r>
    </w:p>
    <w:p w14:paraId="3C8C120C">
      <w:pPr>
        <w:keepNext/>
        <w:keepLines/>
        <w:spacing w:line="420" w:lineRule="exact"/>
        <w:ind w:firstLine="0" w:firstLineChars="0"/>
        <w:outlineLvl w:val="0"/>
        <w:rPr>
          <w:rFonts w:ascii="宋体" w:hAnsi="宋体" w:cs="宋体"/>
          <w:b/>
          <w:bCs/>
          <w:color w:val="auto"/>
          <w:kern w:val="44"/>
          <w:sz w:val="21"/>
          <w:szCs w:val="21"/>
          <w:highlight w:val="none"/>
        </w:rPr>
      </w:pPr>
      <w:bookmarkStart w:id="1130" w:name="_Toc478389233"/>
      <w:bookmarkStart w:id="1131" w:name="_Toc417904318"/>
      <w:r>
        <w:rPr>
          <w:rFonts w:hint="eastAsia" w:ascii="宋体" w:hAnsi="宋体" w:cs="宋体"/>
          <w:b/>
          <w:bCs/>
          <w:color w:val="auto"/>
          <w:kern w:val="44"/>
          <w:sz w:val="21"/>
          <w:szCs w:val="21"/>
          <w:highlight w:val="none"/>
        </w:rPr>
        <w:t>10.4 变更估价</w:t>
      </w:r>
      <w:bookmarkEnd w:id="1130"/>
      <w:bookmarkEnd w:id="1131"/>
    </w:p>
    <w:p w14:paraId="649D36F1">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10.4.1变更估价原则</w:t>
      </w:r>
      <w:r>
        <w:rPr>
          <w:rFonts w:hint="eastAsia" w:ascii="宋体" w:hAnsi="宋体" w:cs="宋体"/>
          <w:color w:val="auto"/>
          <w:sz w:val="21"/>
          <w:szCs w:val="21"/>
          <w:highlight w:val="none"/>
          <w:lang w:eastAsia="zh-CN"/>
        </w:rPr>
        <w:t>：</w:t>
      </w:r>
      <w:bookmarkStart w:id="1132" w:name="_Toc251051742"/>
      <w:r>
        <w:rPr>
          <w:rFonts w:hint="eastAsia" w:ascii="宋体" w:hAnsi="宋体" w:cs="宋体"/>
          <w:color w:val="auto"/>
          <w:sz w:val="21"/>
          <w:szCs w:val="21"/>
          <w:highlight w:val="none"/>
          <w:u w:val="single"/>
          <w:lang w:val="en-US" w:eastAsia="zh-CN"/>
        </w:rPr>
        <w:t>本工程由承包方按图纸进行施工，原则上本工程无工程量增加。如有</w:t>
      </w:r>
      <w:r>
        <w:rPr>
          <w:rFonts w:hint="eastAsia" w:ascii="宋体" w:hAnsi="宋体" w:cs="宋体"/>
          <w:bCs/>
          <w:color w:val="auto"/>
          <w:sz w:val="21"/>
          <w:szCs w:val="21"/>
          <w:highlight w:val="none"/>
          <w:u w:val="single"/>
        </w:rPr>
        <w:t>因设计变更、相关签证引起工程项目、工程量任何变化的，变更合同价款按下列方法进行：（1）合同中已有相同清单项目的，按合同该清单项目价格进行计算；（2）合同中只有类似清单项目的，参照该类似清单项目价格进行计算；（3）合同中没有适用或类似清单项目的价格计算方法：有定额的套定额，并乘以</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最后报价</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最高限价</w:t>
      </w:r>
      <w:r>
        <w:rPr>
          <w:rFonts w:hint="eastAsia" w:ascii="宋体" w:hAnsi="宋体" w:cs="宋体"/>
          <w:color w:val="auto"/>
          <w:sz w:val="21"/>
          <w:szCs w:val="21"/>
          <w:highlight w:val="none"/>
          <w:u w:val="single"/>
        </w:rPr>
        <w:t>）</w:t>
      </w:r>
      <w:r>
        <w:rPr>
          <w:rFonts w:hint="eastAsia" w:ascii="宋体" w:hAnsi="宋体" w:cs="宋体"/>
          <w:bCs/>
          <w:color w:val="auto"/>
          <w:sz w:val="21"/>
          <w:szCs w:val="21"/>
          <w:highlight w:val="none"/>
          <w:u w:val="single"/>
        </w:rPr>
        <w:t>计算，其中材料价格按施工期间的《桂林市建设工程造价信息》相应价格信息进行计算；桂林信息价没有的参考桂林同期信息价或市场询价；无定额可套的，根据市场价格协商确定综合价格；对于国有资产投资的项目，新增项目的单价必须经发包人委托的第三方审核机构审定</w:t>
      </w:r>
      <w:bookmarkEnd w:id="1132"/>
      <w:r>
        <w:rPr>
          <w:rFonts w:hint="eastAsia" w:ascii="宋体" w:hAnsi="宋体" w:cs="宋体"/>
          <w:color w:val="auto"/>
          <w:sz w:val="21"/>
          <w:szCs w:val="21"/>
          <w:highlight w:val="none"/>
        </w:rPr>
        <w:t>。</w:t>
      </w:r>
    </w:p>
    <w:p w14:paraId="7E519A8E">
      <w:pPr>
        <w:spacing w:line="400" w:lineRule="exact"/>
        <w:ind w:firstLine="420"/>
        <w:jc w:val="left"/>
        <w:rPr>
          <w:rFonts w:ascii="宋体" w:hAnsi="宋体" w:cs="宋体"/>
          <w:b/>
          <w:color w:val="auto"/>
          <w:sz w:val="21"/>
          <w:szCs w:val="21"/>
          <w:highlight w:val="none"/>
          <w:u w:val="single"/>
        </w:rPr>
      </w:pPr>
      <w:r>
        <w:rPr>
          <w:rFonts w:hint="eastAsia" w:ascii="宋体" w:hAnsi="宋体" w:cs="宋体"/>
          <w:color w:val="auto"/>
          <w:sz w:val="21"/>
          <w:szCs w:val="21"/>
          <w:highlight w:val="none"/>
        </w:rPr>
        <w:t>关于变更估价的约定</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u w:val="single"/>
        </w:rPr>
        <w:t>（1）</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中已有适用于变更工程的综合单价，按已有的综合单价，综合单价不随工程量的增减而变化</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（2）</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中有类似变更工程的综合单价，可参照</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中类似的综合单价确定</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（3）</w:t>
      </w:r>
      <w:r>
        <w:rPr>
          <w:rFonts w:hint="eastAsia" w:ascii="宋体" w:hAnsi="宋体" w:cs="宋体"/>
          <w:color w:val="auto"/>
          <w:sz w:val="21"/>
          <w:szCs w:val="21"/>
          <w:highlight w:val="none"/>
          <w:u w:val="single"/>
          <w:lang w:eastAsia="zh-CN"/>
        </w:rPr>
        <w:t>工程量清单报价表（最后</w:t>
      </w:r>
      <w:r>
        <w:rPr>
          <w:rFonts w:hint="eastAsia" w:ascii="宋体" w:hAnsi="宋体" w:cs="宋体"/>
          <w:color w:val="auto"/>
          <w:sz w:val="21"/>
          <w:szCs w:val="21"/>
          <w:highlight w:val="none"/>
          <w:u w:val="single"/>
        </w:rPr>
        <w:t>报价</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中没有适用或类似于变更工程的综合单价，则有定额的套定额计算，执行本工程编制预算控制价的参考依据，其中材料价格有信息价的按合同该新增子项实施期间参考《桂林市建设工程造价信息》，信息价没有的，参考桂林市信息价，信息价上缺项的，按照市场询价进行计算，不在下浮范围之内；新增结算综合单价=定额计算的综合单价×（</w:t>
      </w:r>
      <w:r>
        <w:rPr>
          <w:rFonts w:hint="eastAsia" w:ascii="宋体" w:hAnsi="宋体" w:cs="宋体"/>
          <w:color w:val="auto"/>
          <w:sz w:val="21"/>
          <w:szCs w:val="21"/>
          <w:highlight w:val="none"/>
          <w:u w:val="single"/>
          <w:lang w:eastAsia="zh-CN"/>
        </w:rPr>
        <w:t>最后报价</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eastAsia="zh-CN"/>
        </w:rPr>
        <w:t>最高限价</w:t>
      </w:r>
      <w:r>
        <w:rPr>
          <w:rFonts w:hint="eastAsia" w:ascii="宋体" w:hAnsi="宋体" w:cs="宋体"/>
          <w:color w:val="auto"/>
          <w:sz w:val="21"/>
          <w:szCs w:val="21"/>
          <w:highlight w:val="none"/>
          <w:u w:val="single"/>
        </w:rPr>
        <w:t>），新增项目无定额可套时，由发包人、承包人及监理等</w:t>
      </w:r>
      <w:r>
        <w:rPr>
          <w:rFonts w:hint="eastAsia" w:ascii="宋体" w:hAnsi="宋体" w:cs="宋体"/>
          <w:color w:val="auto"/>
          <w:sz w:val="21"/>
          <w:szCs w:val="21"/>
          <w:highlight w:val="none"/>
          <w:u w:val="single"/>
          <w:lang w:eastAsia="zh-CN"/>
        </w:rPr>
        <w:t>协商</w:t>
      </w:r>
      <w:r>
        <w:rPr>
          <w:rFonts w:hint="eastAsia" w:ascii="宋体" w:hAnsi="宋体" w:cs="宋体"/>
          <w:color w:val="auto"/>
          <w:sz w:val="21"/>
          <w:szCs w:val="21"/>
          <w:highlight w:val="none"/>
          <w:u w:val="single"/>
        </w:rPr>
        <w:t>确定包干价，不在下浮范围之内。暂定价调整方法为：暂定材料价格部分仅调整合同实施期间材料市场价与暂定价之间的价差并计相应的规费和增值税，</w:t>
      </w:r>
      <w:r>
        <w:rPr>
          <w:rFonts w:hint="eastAsia" w:ascii="宋体" w:hAnsi="宋体" w:cs="宋体"/>
          <w:color w:val="auto"/>
          <w:sz w:val="21"/>
          <w:szCs w:val="21"/>
          <w:highlight w:val="none"/>
          <w:u w:val="single"/>
          <w:lang w:eastAsia="zh-CN"/>
        </w:rPr>
        <w:t>响应文件</w:t>
      </w:r>
      <w:r>
        <w:rPr>
          <w:rFonts w:hint="eastAsia" w:ascii="宋体" w:hAnsi="宋体" w:cs="宋体"/>
          <w:color w:val="auto"/>
          <w:sz w:val="21"/>
          <w:szCs w:val="21"/>
          <w:highlight w:val="none"/>
          <w:u w:val="single"/>
        </w:rPr>
        <w:t>中相应的综合单价不再调整。本工程最终结算价以审计审定为准。</w:t>
      </w:r>
    </w:p>
    <w:p w14:paraId="1BA3461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关于清单项目增减的约定：在实际施工过程中，根据发包人的需求可增加或减少合同内清单项目，其余的清单项目单价不作调整。</w:t>
      </w:r>
    </w:p>
    <w:p w14:paraId="61C436EB">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无约定的参照我区现行《建设工程工程量清单计价规范》相关规定执行。</w:t>
      </w:r>
    </w:p>
    <w:p w14:paraId="3F7BC46A">
      <w:pPr>
        <w:keepNext/>
        <w:keepLines/>
        <w:spacing w:line="400" w:lineRule="exact"/>
        <w:ind w:firstLine="0" w:firstLineChars="0"/>
        <w:outlineLvl w:val="0"/>
        <w:rPr>
          <w:rFonts w:ascii="宋体" w:hAnsi="宋体" w:cs="宋体"/>
          <w:b/>
          <w:bCs/>
          <w:color w:val="auto"/>
          <w:kern w:val="44"/>
          <w:sz w:val="21"/>
          <w:szCs w:val="21"/>
          <w:highlight w:val="none"/>
        </w:rPr>
      </w:pPr>
      <w:bookmarkStart w:id="1133" w:name="_Toc417904319"/>
      <w:bookmarkStart w:id="1134" w:name="_Toc478389234"/>
      <w:r>
        <w:rPr>
          <w:rFonts w:hint="eastAsia" w:ascii="宋体" w:hAnsi="宋体" w:cs="宋体"/>
          <w:b/>
          <w:bCs/>
          <w:color w:val="auto"/>
          <w:kern w:val="44"/>
          <w:sz w:val="21"/>
          <w:szCs w:val="21"/>
          <w:highlight w:val="none"/>
        </w:rPr>
        <w:t>1</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Start w:id="1135" w:name="_Toc296503197"/>
      <w:bookmarkStart w:id="1136" w:name="_Toc292559402"/>
      <w:bookmarkStart w:id="1137" w:name="_Toc296891237"/>
      <w:bookmarkStart w:id="1138" w:name="_Toc292559907"/>
      <w:bookmarkStart w:id="1139" w:name="_Toc296891025"/>
      <w:bookmarkStart w:id="1140" w:name="_Toc303539150"/>
      <w:bookmarkStart w:id="1141" w:name="_Toc296347196"/>
      <w:bookmarkStart w:id="1142" w:name="_Toc296346698"/>
      <w:bookmarkStart w:id="1143" w:name="_Toc297216203"/>
      <w:bookmarkStart w:id="1144" w:name="_Toc297123544"/>
      <w:bookmarkStart w:id="1145" w:name="_Toc300934993"/>
      <w:bookmarkStart w:id="1146" w:name="_Toc296944536"/>
      <w:bookmarkStart w:id="1147" w:name="_Toc297120497"/>
      <w:bookmarkStart w:id="1148" w:name="_Toc297048383"/>
      <w:bookmarkStart w:id="1149" w:name="_Toc312677503"/>
      <w:bookmarkStart w:id="1150" w:name="_Toc312678029"/>
      <w:bookmarkStart w:id="1151" w:name="_Toc304295570"/>
      <w:r>
        <w:rPr>
          <w:rFonts w:hint="eastAsia" w:ascii="宋体" w:hAnsi="宋体" w:cs="宋体"/>
          <w:b/>
          <w:bCs/>
          <w:color w:val="auto"/>
          <w:kern w:val="44"/>
          <w:sz w:val="21"/>
          <w:szCs w:val="21"/>
          <w:highlight w:val="none"/>
        </w:rPr>
        <w:t>0.5承</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Start w:id="1152" w:name="_Toc296503203"/>
      <w:bookmarkStart w:id="1153" w:name="_Toc303539151"/>
      <w:bookmarkStart w:id="1154" w:name="_Toc296346704"/>
      <w:bookmarkStart w:id="1155" w:name="_Toc296891031"/>
      <w:bookmarkStart w:id="1156" w:name="_Toc296891243"/>
      <w:bookmarkStart w:id="1157" w:name="_Toc292559913"/>
      <w:bookmarkStart w:id="1158" w:name="_Toc300934994"/>
      <w:bookmarkStart w:id="1159" w:name="_Toc297216204"/>
      <w:bookmarkStart w:id="1160" w:name="_Toc297048389"/>
      <w:bookmarkStart w:id="1161" w:name="_Toc296944542"/>
      <w:bookmarkStart w:id="1162" w:name="_Toc297123545"/>
      <w:bookmarkStart w:id="1163" w:name="_Toc297120503"/>
      <w:bookmarkStart w:id="1164" w:name="_Toc296347202"/>
      <w:bookmarkStart w:id="1165" w:name="_Toc292559408"/>
      <w:r>
        <w:rPr>
          <w:rFonts w:hint="eastAsia" w:ascii="宋体" w:hAnsi="宋体" w:cs="宋体"/>
          <w:b/>
          <w:bCs/>
          <w:color w:val="auto"/>
          <w:kern w:val="44"/>
          <w:sz w:val="21"/>
          <w:szCs w:val="21"/>
          <w:highlight w:val="none"/>
        </w:rPr>
        <w:t>包人的合理化建议</w:t>
      </w:r>
      <w:bookmarkEnd w:id="1133"/>
      <w:bookmarkEnd w:id="1134"/>
    </w:p>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14:paraId="0A2AF7B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监理人审查承包人合理化建议的期限：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2D6D0B5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发包人审批承包人合理化建议的期限：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4B58810A">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w:t>
      </w:r>
      <w:bookmarkStart w:id="1166" w:name="_Toc312677504"/>
      <w:bookmarkStart w:id="1167" w:name="_Toc297048390"/>
      <w:bookmarkStart w:id="1168" w:name="_Toc312678030"/>
      <w:bookmarkStart w:id="1169" w:name="_Toc296891244"/>
      <w:bookmarkStart w:id="1170" w:name="_Toc300934995"/>
      <w:bookmarkStart w:id="1171" w:name="_Toc296347203"/>
      <w:bookmarkStart w:id="1172" w:name="_Toc318581175"/>
      <w:bookmarkStart w:id="1173" w:name="_Toc303539152"/>
      <w:bookmarkStart w:id="1174" w:name="_Toc292559914"/>
      <w:bookmarkStart w:id="1175" w:name="_Toc296944543"/>
      <w:bookmarkStart w:id="1176" w:name="_Toc296346705"/>
      <w:bookmarkStart w:id="1177" w:name="_Toc296891032"/>
      <w:bookmarkStart w:id="1178" w:name="_Toc296503204"/>
      <w:bookmarkStart w:id="1179" w:name="_Toc297123546"/>
      <w:bookmarkStart w:id="1180" w:name="_Toc292559409"/>
      <w:bookmarkStart w:id="1181" w:name="_Toc304295571"/>
      <w:bookmarkStart w:id="1182" w:name="_Toc297216205"/>
      <w:bookmarkStart w:id="1183" w:name="_Toc297120504"/>
      <w:r>
        <w:rPr>
          <w:rFonts w:hint="eastAsia" w:ascii="宋体" w:hAnsi="宋体" w:cs="宋体"/>
          <w:color w:val="auto"/>
          <w:sz w:val="21"/>
          <w:szCs w:val="21"/>
          <w:highlight w:val="none"/>
        </w:rPr>
        <w:t>包人提出的合理化建议降低了合同价格或者提高了工程经济效益的奖励的方法和金额为：</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14:paraId="1D5B2936">
      <w:pPr>
        <w:keepNext/>
        <w:keepLines/>
        <w:spacing w:line="400" w:lineRule="exact"/>
        <w:ind w:firstLine="0" w:firstLineChars="0"/>
        <w:outlineLvl w:val="0"/>
        <w:rPr>
          <w:rFonts w:ascii="宋体" w:hAnsi="宋体" w:cs="宋体"/>
          <w:b/>
          <w:bCs/>
          <w:color w:val="auto"/>
          <w:kern w:val="44"/>
          <w:sz w:val="21"/>
          <w:szCs w:val="21"/>
          <w:highlight w:val="none"/>
        </w:rPr>
      </w:pPr>
      <w:bookmarkStart w:id="1184" w:name="_Toc417904320"/>
      <w:bookmarkStart w:id="1185" w:name="_Toc478389235"/>
      <w:r>
        <w:rPr>
          <w:rFonts w:hint="eastAsia" w:ascii="宋体" w:hAnsi="宋体" w:cs="宋体"/>
          <w:b/>
          <w:bCs/>
          <w:color w:val="auto"/>
          <w:kern w:val="44"/>
          <w:sz w:val="21"/>
          <w:szCs w:val="21"/>
          <w:highlight w:val="none"/>
        </w:rPr>
        <w:t>1</w:t>
      </w:r>
      <w:bookmarkStart w:id="1186" w:name="_Toc312678033"/>
      <w:bookmarkStart w:id="1187" w:name="_Toc292559909"/>
      <w:bookmarkStart w:id="1188" w:name="_Toc296347198"/>
      <w:bookmarkStart w:id="1189" w:name="_Toc296503199"/>
      <w:bookmarkStart w:id="1190" w:name="_Toc297123548"/>
      <w:bookmarkStart w:id="1191" w:name="_Toc297120499"/>
      <w:bookmarkStart w:id="1192" w:name="_Toc296891027"/>
      <w:bookmarkStart w:id="1193" w:name="_Toc296346700"/>
      <w:bookmarkStart w:id="1194" w:name="_Toc297048385"/>
      <w:bookmarkStart w:id="1195" w:name="_Toc312677507"/>
      <w:bookmarkStart w:id="1196" w:name="_Toc303539154"/>
      <w:bookmarkStart w:id="1197" w:name="_Toc297216207"/>
      <w:bookmarkStart w:id="1198" w:name="_Toc296944538"/>
      <w:bookmarkStart w:id="1199" w:name="_Toc304295574"/>
      <w:bookmarkStart w:id="1200" w:name="_Toc300934997"/>
      <w:bookmarkStart w:id="1201" w:name="_Toc296891239"/>
      <w:bookmarkStart w:id="1202" w:name="_Toc292559404"/>
      <w:r>
        <w:rPr>
          <w:rFonts w:hint="eastAsia" w:ascii="宋体" w:hAnsi="宋体" w:cs="宋体"/>
          <w:b/>
          <w:bCs/>
          <w:color w:val="auto"/>
          <w:kern w:val="44"/>
          <w:sz w:val="21"/>
          <w:szCs w:val="21"/>
          <w:highlight w:val="none"/>
        </w:rPr>
        <w:t>0.7 暂估价</w:t>
      </w:r>
      <w:bookmarkEnd w:id="1184"/>
      <w:bookmarkEnd w:id="1185"/>
    </w:p>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14:paraId="4D48C88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暂估价材料和工程设备的明细详见附件11：《暂估价一览表》。</w:t>
      </w:r>
    </w:p>
    <w:p w14:paraId="7C41703A">
      <w:pPr>
        <w:spacing w:line="400" w:lineRule="exact"/>
        <w:ind w:firstLine="420"/>
        <w:outlineLvl w:val="0"/>
        <w:rPr>
          <w:rFonts w:ascii="宋体" w:hAnsi="宋体" w:cs="宋体"/>
          <w:color w:val="auto"/>
          <w:sz w:val="21"/>
          <w:szCs w:val="21"/>
          <w:highlight w:val="none"/>
        </w:rPr>
      </w:pPr>
      <w:bookmarkStart w:id="1203" w:name="_Toc406419390"/>
      <w:bookmarkStart w:id="1204" w:name="_Toc478389236"/>
      <w:bookmarkStart w:id="1205" w:name="_Toc406522266"/>
      <w:bookmarkStart w:id="1206" w:name="_Toc417904321"/>
      <w:r>
        <w:rPr>
          <w:rFonts w:hint="eastAsia" w:ascii="宋体" w:hAnsi="宋体" w:cs="宋体"/>
          <w:color w:val="auto"/>
          <w:sz w:val="21"/>
          <w:szCs w:val="21"/>
          <w:highlight w:val="none"/>
        </w:rPr>
        <w:t>1</w:t>
      </w:r>
      <w:bookmarkStart w:id="1207" w:name="_Toc312678035"/>
      <w:bookmarkStart w:id="1208" w:name="_Toc318581177"/>
      <w:bookmarkStart w:id="1209" w:name="_Toc312677509"/>
      <w:r>
        <w:rPr>
          <w:rFonts w:hint="eastAsia" w:ascii="宋体" w:hAnsi="宋体" w:cs="宋体"/>
          <w:color w:val="auto"/>
          <w:sz w:val="21"/>
          <w:szCs w:val="21"/>
          <w:highlight w:val="none"/>
        </w:rPr>
        <w:t>0.7.1 依法必须招标的暂估价项目</w:t>
      </w:r>
      <w:bookmarkEnd w:id="1203"/>
      <w:bookmarkEnd w:id="1204"/>
      <w:bookmarkEnd w:id="1205"/>
      <w:bookmarkEnd w:id="1206"/>
    </w:p>
    <w:bookmarkEnd w:id="1207"/>
    <w:bookmarkEnd w:id="1208"/>
    <w:bookmarkEnd w:id="1209"/>
    <w:p w14:paraId="757B601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对于依法必须招标的暂估价项目的确认和批准采取第</w:t>
      </w:r>
      <w:r>
        <w:rPr>
          <w:rFonts w:hint="eastAsia" w:ascii="宋体" w:hAnsi="宋体" w:cs="宋体"/>
          <w:color w:val="auto"/>
          <w:sz w:val="21"/>
          <w:szCs w:val="21"/>
          <w:highlight w:val="none"/>
          <w:u w:val="single"/>
        </w:rPr>
        <w:t xml:space="preserve">  双方协定  </w:t>
      </w:r>
      <w:r>
        <w:rPr>
          <w:rFonts w:hint="eastAsia" w:ascii="宋体" w:hAnsi="宋体" w:cs="宋体"/>
          <w:color w:val="auto"/>
          <w:sz w:val="21"/>
          <w:szCs w:val="21"/>
          <w:highlight w:val="none"/>
        </w:rPr>
        <w:t>种方式确定。</w:t>
      </w:r>
    </w:p>
    <w:p w14:paraId="19218E4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10.7.2 不属于依法必须招标的暂估价项目</w:t>
      </w:r>
    </w:p>
    <w:p w14:paraId="375ADC8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对于不属于依法必须招标的暂估价项目的确认和批准采取第</w:t>
      </w:r>
      <w:r>
        <w:rPr>
          <w:rFonts w:hint="eastAsia" w:ascii="宋体" w:hAnsi="宋体" w:cs="宋体"/>
          <w:color w:val="auto"/>
          <w:sz w:val="21"/>
          <w:szCs w:val="21"/>
          <w:highlight w:val="none"/>
          <w:u w:val="single"/>
        </w:rPr>
        <w:t xml:space="preserve"> 3  </w:t>
      </w:r>
      <w:r>
        <w:rPr>
          <w:rFonts w:hint="eastAsia" w:ascii="宋体" w:hAnsi="宋体" w:cs="宋体"/>
          <w:color w:val="auto"/>
          <w:sz w:val="21"/>
          <w:szCs w:val="21"/>
          <w:highlight w:val="none"/>
        </w:rPr>
        <w:t xml:space="preserve"> 种方式确定。</w:t>
      </w:r>
    </w:p>
    <w:p w14:paraId="33CB187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第3种方式：承包人直接实施的暂估价项目</w:t>
      </w:r>
    </w:p>
    <w:p w14:paraId="1177270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承包人直接实施的暂估价项目的约定：</w:t>
      </w:r>
      <w:r>
        <w:rPr>
          <w:rFonts w:hint="eastAsia" w:ascii="宋体" w:hAnsi="宋体" w:cs="宋体"/>
          <w:color w:val="auto"/>
          <w:sz w:val="21"/>
          <w:szCs w:val="21"/>
          <w:highlight w:val="none"/>
          <w:u w:val="single"/>
        </w:rPr>
        <w:t>按市场价格由发包人、承包人、发包人建</w:t>
      </w:r>
      <w:r>
        <w:rPr>
          <w:rFonts w:hint="eastAsia" w:ascii="宋体" w:hAnsi="宋体" w:cs="宋体"/>
          <w:color w:val="auto"/>
          <w:sz w:val="21"/>
          <w:szCs w:val="21"/>
          <w:highlight w:val="none"/>
          <w:u w:val="single"/>
          <w:lang w:eastAsia="zh-CN"/>
        </w:rPr>
        <w:t>设</w:t>
      </w:r>
      <w:r>
        <w:rPr>
          <w:rFonts w:hint="eastAsia" w:ascii="宋体" w:hAnsi="宋体" w:cs="宋体"/>
          <w:color w:val="auto"/>
          <w:sz w:val="21"/>
          <w:szCs w:val="21"/>
          <w:highlight w:val="none"/>
          <w:u w:val="single"/>
        </w:rPr>
        <w:t xml:space="preserve">代表、发包人委托的造价咨询机构、现场监管代表及监理协商确定材料价  </w:t>
      </w:r>
      <w:r>
        <w:rPr>
          <w:rFonts w:hint="eastAsia" w:ascii="宋体" w:hAnsi="宋体" w:cs="宋体"/>
          <w:color w:val="auto"/>
          <w:sz w:val="21"/>
          <w:szCs w:val="21"/>
          <w:highlight w:val="none"/>
        </w:rPr>
        <w:t>。</w:t>
      </w:r>
    </w:p>
    <w:p w14:paraId="232163E1">
      <w:pPr>
        <w:keepNext/>
        <w:keepLines/>
        <w:spacing w:line="400" w:lineRule="exact"/>
        <w:ind w:firstLine="0" w:firstLineChars="0"/>
        <w:outlineLvl w:val="0"/>
        <w:rPr>
          <w:rFonts w:ascii="宋体" w:hAnsi="宋体" w:cs="宋体"/>
          <w:b/>
          <w:bCs/>
          <w:color w:val="auto"/>
          <w:kern w:val="44"/>
          <w:sz w:val="21"/>
          <w:szCs w:val="21"/>
          <w:highlight w:val="none"/>
        </w:rPr>
      </w:pPr>
      <w:bookmarkStart w:id="1210" w:name="_Toc417904322"/>
      <w:bookmarkStart w:id="1211" w:name="_Toc478389237"/>
      <w:r>
        <w:rPr>
          <w:rFonts w:hint="eastAsia" w:ascii="宋体" w:hAnsi="宋体" w:cs="宋体"/>
          <w:b/>
          <w:bCs/>
          <w:color w:val="auto"/>
          <w:kern w:val="44"/>
          <w:sz w:val="21"/>
          <w:szCs w:val="21"/>
          <w:highlight w:val="none"/>
        </w:rPr>
        <w:t>10.8 暂列金额</w:t>
      </w:r>
      <w:bookmarkEnd w:id="1210"/>
      <w:bookmarkEnd w:id="1211"/>
    </w:p>
    <w:p w14:paraId="53017FE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合同当事人关于暂列金额使用的约定：</w:t>
      </w:r>
      <w:r>
        <w:rPr>
          <w:rFonts w:hint="eastAsia" w:ascii="宋体" w:hAnsi="宋体" w:cs="宋体"/>
          <w:color w:val="auto"/>
          <w:sz w:val="21"/>
          <w:szCs w:val="21"/>
          <w:highlight w:val="none"/>
          <w:u w:val="single"/>
        </w:rPr>
        <w:t xml:space="preserve">按市场价格由发包人、承包人、发包人委托的造价咨询机构、现场监管代表及监理协商确定材料价       </w:t>
      </w:r>
      <w:r>
        <w:rPr>
          <w:rFonts w:hint="eastAsia" w:ascii="宋体" w:hAnsi="宋体" w:cs="宋体"/>
          <w:color w:val="auto"/>
          <w:sz w:val="21"/>
          <w:szCs w:val="21"/>
          <w:highlight w:val="none"/>
        </w:rPr>
        <w:t>。</w:t>
      </w:r>
    </w:p>
    <w:p w14:paraId="7B93F670">
      <w:pPr>
        <w:keepNext/>
        <w:keepLines/>
        <w:spacing w:line="400" w:lineRule="exact"/>
        <w:ind w:firstLine="0" w:firstLineChars="0"/>
        <w:outlineLvl w:val="0"/>
        <w:rPr>
          <w:rFonts w:ascii="宋体" w:hAnsi="宋体" w:cs="宋体"/>
          <w:b/>
          <w:bCs/>
          <w:color w:val="auto"/>
          <w:kern w:val="44"/>
          <w:sz w:val="21"/>
          <w:szCs w:val="21"/>
          <w:highlight w:val="none"/>
        </w:rPr>
      </w:pPr>
      <w:bookmarkStart w:id="1212" w:name="_Toc417904323"/>
      <w:bookmarkStart w:id="1213" w:name="_Toc478389238"/>
      <w:bookmarkStart w:id="1214" w:name="_Toc351203643"/>
      <w:r>
        <w:rPr>
          <w:rFonts w:hint="eastAsia" w:ascii="宋体" w:hAnsi="宋体" w:cs="宋体"/>
          <w:b/>
          <w:bCs/>
          <w:color w:val="auto"/>
          <w:kern w:val="44"/>
          <w:sz w:val="21"/>
          <w:szCs w:val="21"/>
          <w:highlight w:val="none"/>
        </w:rPr>
        <w:t>11. 价格调整</w:t>
      </w:r>
      <w:bookmarkEnd w:id="1212"/>
      <w:bookmarkEnd w:id="1213"/>
      <w:bookmarkEnd w:id="1214"/>
    </w:p>
    <w:p w14:paraId="766211C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市场价格波动是否调整合同价格的约定：</w:t>
      </w:r>
      <w:r>
        <w:rPr>
          <w:rFonts w:hint="eastAsia" w:ascii="宋体" w:hAnsi="宋体" w:cs="宋体"/>
          <w:color w:val="auto"/>
          <w:sz w:val="21"/>
          <w:szCs w:val="21"/>
          <w:highlight w:val="none"/>
          <w:u w:val="single"/>
        </w:rPr>
        <w:t xml:space="preserve">     不调整    </w:t>
      </w:r>
      <w:r>
        <w:rPr>
          <w:rFonts w:hint="eastAsia" w:ascii="宋体" w:hAnsi="宋体" w:cs="宋体"/>
          <w:color w:val="auto"/>
          <w:sz w:val="21"/>
          <w:szCs w:val="21"/>
          <w:highlight w:val="none"/>
        </w:rPr>
        <w:t>。</w:t>
      </w:r>
    </w:p>
    <w:p w14:paraId="2B502F0C">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其他约定：</w:t>
      </w:r>
      <w:r>
        <w:rPr>
          <w:rFonts w:hint="eastAsia" w:ascii="宋体" w:hAnsi="宋体" w:cs="宋体"/>
          <w:color w:val="auto"/>
          <w:sz w:val="21"/>
          <w:szCs w:val="21"/>
          <w:highlight w:val="none"/>
          <w:u w:val="single"/>
        </w:rPr>
        <w:t>双方约定合同价款的其他因素：①工程量错漏项、设计变更、工程变更、现场签证引起的合同价款的调整；②不可抗力引起的合同价款的调整；③政策性调整（以</w:t>
      </w:r>
      <w:r>
        <w:rPr>
          <w:rFonts w:hint="eastAsia" w:ascii="宋体" w:hAnsi="宋体" w:cs="宋体"/>
          <w:snapToGrid w:val="0"/>
          <w:color w:val="auto"/>
          <w:sz w:val="21"/>
          <w:szCs w:val="21"/>
          <w:highlight w:val="none"/>
          <w:u w:val="single"/>
        </w:rPr>
        <w:t>国家和自治区及工程所在地政府或</w:t>
      </w:r>
      <w:r>
        <w:rPr>
          <w:rFonts w:hint="eastAsia" w:ascii="宋体" w:hAnsi="宋体" w:cs="宋体"/>
          <w:color w:val="auto"/>
          <w:sz w:val="21"/>
          <w:szCs w:val="21"/>
          <w:highlight w:val="none"/>
          <w:u w:val="single"/>
        </w:rPr>
        <w:t>当地建设行政管理部门颁布的文件为准）；④非承包人原因造成承包人的停工、窝工或周转材料、机械停滞的，发生的所有费用按实际签证或按承包人提供的其他证明材料计取；⑤本合同规定的其他合同价款的调整。</w:t>
      </w:r>
    </w:p>
    <w:p w14:paraId="3E29A4AB">
      <w:pPr>
        <w:spacing w:line="40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风险范围以外合同价格的调整方法：</w:t>
      </w:r>
    </w:p>
    <w:p w14:paraId="5E9F0EA2">
      <w:pPr>
        <w:pStyle w:val="26"/>
        <w:spacing w:line="440" w:lineRule="exact"/>
        <w:ind w:firstLine="420"/>
        <w:rPr>
          <w:rFonts w:hint="eastAsia" w:ascii="宋体" w:hAnsi="宋体" w:eastAsia="宋体" w:cs="宋体"/>
          <w:color w:val="auto"/>
          <w:sz w:val="21"/>
          <w:szCs w:val="21"/>
          <w:highlight w:val="none"/>
          <w:u w:val="single"/>
        </w:rPr>
      </w:pPr>
      <w:r>
        <w:rPr>
          <w:rFonts w:hint="eastAsia" w:ascii="宋体" w:hAnsi="宋体" w:cs="宋体"/>
          <w:color w:val="auto"/>
          <w:sz w:val="21"/>
          <w:szCs w:val="21"/>
          <w:highlight w:val="none"/>
        </w:rPr>
        <w:t>因分部分项工程量清单错漏项、工程变更、设计变更、相关签证引起工程项目、工程量任何变化的，变更合同价款按下列方法进行：</w:t>
      </w:r>
      <w:r>
        <w:rPr>
          <w:rFonts w:hint="eastAsia" w:ascii="宋体" w:hAnsi="宋体" w:eastAsia="宋体" w:cs="宋体"/>
          <w:color w:val="auto"/>
          <w:kern w:val="2"/>
          <w:sz w:val="21"/>
          <w:szCs w:val="21"/>
          <w:highlight w:val="none"/>
          <w:u w:val="single"/>
          <w:lang w:val="en-US" w:eastAsia="zh-CN" w:bidi="ar-SA"/>
        </w:rPr>
        <w:t>按本合同第10.4 变更估价规定执行。</w:t>
      </w:r>
    </w:p>
    <w:p w14:paraId="170146E1">
      <w:pPr>
        <w:keepNext/>
        <w:keepLines/>
        <w:spacing w:line="420" w:lineRule="exact"/>
        <w:ind w:firstLine="0" w:firstLineChars="0"/>
        <w:outlineLvl w:val="0"/>
        <w:rPr>
          <w:rFonts w:ascii="宋体" w:hAnsi="宋体" w:cs="宋体"/>
          <w:color w:val="auto"/>
          <w:kern w:val="44"/>
          <w:sz w:val="21"/>
          <w:szCs w:val="21"/>
          <w:highlight w:val="none"/>
        </w:rPr>
      </w:pPr>
      <w:bookmarkStart w:id="1215" w:name="_Toc296346706"/>
      <w:bookmarkStart w:id="1216" w:name="_Toc296503205"/>
      <w:bookmarkStart w:id="1217" w:name="_Toc296944544"/>
      <w:bookmarkStart w:id="1218" w:name="_Toc297048391"/>
      <w:bookmarkStart w:id="1219" w:name="_Toc292559410"/>
      <w:bookmarkStart w:id="1220" w:name="_Toc296347204"/>
      <w:bookmarkStart w:id="1221" w:name="_Toc297120505"/>
      <w:bookmarkStart w:id="1222" w:name="_Toc296891245"/>
      <w:bookmarkStart w:id="1223" w:name="_Toc292559915"/>
      <w:bookmarkStart w:id="1224" w:name="_Toc296891033"/>
      <w:bookmarkStart w:id="1225" w:name="_Toc417904325"/>
      <w:bookmarkStart w:id="1226" w:name="_Toc351203644"/>
      <w:bookmarkStart w:id="1227" w:name="_Toc478389239"/>
      <w:r>
        <w:rPr>
          <w:rFonts w:hint="eastAsia" w:ascii="宋体" w:hAnsi="宋体" w:cs="宋体"/>
          <w:b/>
          <w:bCs/>
          <w:color w:val="auto"/>
          <w:kern w:val="44"/>
          <w:sz w:val="21"/>
          <w:szCs w:val="21"/>
          <w:highlight w:val="none"/>
        </w:rPr>
        <w:t xml:space="preserve">12. </w:t>
      </w:r>
      <w:bookmarkEnd w:id="1215"/>
      <w:bookmarkEnd w:id="1216"/>
      <w:bookmarkEnd w:id="1217"/>
      <w:bookmarkEnd w:id="1218"/>
      <w:bookmarkEnd w:id="1219"/>
      <w:bookmarkEnd w:id="1220"/>
      <w:bookmarkEnd w:id="1221"/>
      <w:bookmarkEnd w:id="1222"/>
      <w:bookmarkEnd w:id="1223"/>
      <w:bookmarkEnd w:id="1224"/>
      <w:r>
        <w:rPr>
          <w:rFonts w:hint="eastAsia" w:ascii="宋体" w:hAnsi="宋体" w:cs="宋体"/>
          <w:b/>
          <w:bCs/>
          <w:color w:val="auto"/>
          <w:kern w:val="44"/>
          <w:sz w:val="21"/>
          <w:szCs w:val="21"/>
          <w:highlight w:val="none"/>
        </w:rPr>
        <w:t>合同价格、计量与支付</w:t>
      </w:r>
      <w:bookmarkEnd w:id="1225"/>
      <w:bookmarkEnd w:id="1226"/>
      <w:bookmarkEnd w:id="1227"/>
    </w:p>
    <w:bookmarkEnd w:id="1098"/>
    <w:bookmarkEnd w:id="1099"/>
    <w:bookmarkEnd w:id="1100"/>
    <w:bookmarkEnd w:id="1101"/>
    <w:bookmarkEnd w:id="1102"/>
    <w:bookmarkEnd w:id="1103"/>
    <w:p w14:paraId="2708DA0A">
      <w:pPr>
        <w:keepNext/>
        <w:keepLines/>
        <w:spacing w:line="420" w:lineRule="exact"/>
        <w:ind w:firstLine="0" w:firstLineChars="0"/>
        <w:outlineLvl w:val="0"/>
        <w:rPr>
          <w:rFonts w:ascii="宋体" w:hAnsi="宋体" w:cs="宋体"/>
          <w:b/>
          <w:bCs/>
          <w:color w:val="auto"/>
          <w:kern w:val="44"/>
          <w:sz w:val="21"/>
          <w:szCs w:val="21"/>
          <w:highlight w:val="none"/>
        </w:rPr>
      </w:pPr>
      <w:bookmarkStart w:id="1228" w:name="_Toc292559916"/>
      <w:bookmarkStart w:id="1229" w:name="_Toc267251461"/>
      <w:bookmarkStart w:id="1230" w:name="_Toc292559411"/>
      <w:bookmarkStart w:id="1231" w:name="_Toc297120506"/>
      <w:bookmarkStart w:id="1232" w:name="_Toc296891246"/>
      <w:bookmarkStart w:id="1233" w:name="_Toc296346707"/>
      <w:bookmarkStart w:id="1234" w:name="_Toc296944545"/>
      <w:bookmarkStart w:id="1235" w:name="_Toc297048392"/>
      <w:bookmarkStart w:id="1236" w:name="_Toc296891034"/>
      <w:bookmarkStart w:id="1237" w:name="_Toc296347205"/>
      <w:bookmarkStart w:id="1238" w:name="_Toc296503206"/>
      <w:bookmarkStart w:id="1239" w:name="_Toc373227749"/>
      <w:bookmarkStart w:id="1240" w:name="_Toc406421001"/>
      <w:bookmarkStart w:id="1241" w:name="_Toc389065314"/>
      <w:bookmarkStart w:id="1242" w:name="_Toc417904326"/>
      <w:bookmarkStart w:id="1243" w:name="_Toc478389240"/>
      <w:bookmarkStart w:id="1244" w:name="_Toc395382552"/>
      <w:bookmarkStart w:id="1245" w:name="_Toc373478396"/>
      <w:bookmarkStart w:id="1246" w:name="_Toc297123553"/>
      <w:bookmarkStart w:id="1247" w:name="_Toc304295580"/>
      <w:bookmarkStart w:id="1248" w:name="_Toc303539160"/>
      <w:bookmarkStart w:id="1249" w:name="_Toc312678041"/>
      <w:bookmarkStart w:id="1250" w:name="_Toc300935003"/>
      <w:bookmarkStart w:id="1251" w:name="_Toc297216212"/>
      <w:bookmarkStart w:id="1252" w:name="_Toc297216213"/>
      <w:bookmarkStart w:id="1253" w:name="_Toc297123554"/>
      <w:bookmarkStart w:id="1254" w:name="_Toc300935004"/>
      <w:bookmarkStart w:id="1255" w:name="_Toc312678042"/>
      <w:bookmarkStart w:id="1256" w:name="_Toc303539161"/>
      <w:bookmarkStart w:id="1257" w:name="_Toc304295581"/>
      <w:bookmarkStart w:id="1258" w:name="_Toc297048393"/>
      <w:bookmarkStart w:id="1259" w:name="_Toc296891247"/>
      <w:bookmarkStart w:id="1260" w:name="_Toc296944546"/>
      <w:bookmarkStart w:id="1261" w:name="_Toc292559917"/>
      <w:bookmarkStart w:id="1262" w:name="_Toc292559412"/>
      <w:bookmarkStart w:id="1263" w:name="_Toc296346708"/>
      <w:bookmarkStart w:id="1264" w:name="_Toc296503207"/>
      <w:bookmarkStart w:id="1265" w:name="_Toc297120507"/>
      <w:bookmarkStart w:id="1266" w:name="_Toc296891035"/>
      <w:bookmarkStart w:id="1267" w:name="_Toc296347206"/>
      <w:r>
        <w:rPr>
          <w:rFonts w:hint="eastAsia" w:ascii="宋体" w:hAnsi="宋体" w:cs="宋体"/>
          <w:b/>
          <w:bCs/>
          <w:color w:val="auto"/>
          <w:kern w:val="44"/>
          <w:sz w:val="21"/>
          <w:szCs w:val="21"/>
          <w:highlight w:val="none"/>
        </w:rPr>
        <w:t>12.1 合</w:t>
      </w:r>
      <w:bookmarkEnd w:id="1228"/>
      <w:bookmarkEnd w:id="1229"/>
      <w:bookmarkEnd w:id="1230"/>
      <w:r>
        <w:rPr>
          <w:rFonts w:hint="eastAsia" w:ascii="宋体" w:hAnsi="宋体" w:cs="宋体"/>
          <w:b/>
          <w:bCs/>
          <w:color w:val="auto"/>
          <w:kern w:val="44"/>
          <w:sz w:val="21"/>
          <w:szCs w:val="21"/>
          <w:highlight w:val="none"/>
        </w:rPr>
        <w:t>同价</w:t>
      </w:r>
      <w:bookmarkEnd w:id="1231"/>
      <w:bookmarkEnd w:id="1232"/>
      <w:bookmarkEnd w:id="1233"/>
      <w:bookmarkEnd w:id="1234"/>
      <w:bookmarkEnd w:id="1235"/>
      <w:bookmarkEnd w:id="1236"/>
      <w:bookmarkEnd w:id="1237"/>
      <w:bookmarkEnd w:id="1238"/>
      <w:r>
        <w:rPr>
          <w:rFonts w:hint="eastAsia" w:ascii="宋体" w:hAnsi="宋体" w:cs="宋体"/>
          <w:b/>
          <w:bCs/>
          <w:color w:val="auto"/>
          <w:kern w:val="44"/>
          <w:sz w:val="21"/>
          <w:szCs w:val="21"/>
          <w:highlight w:val="none"/>
        </w:rPr>
        <w:t>格形式</w:t>
      </w:r>
      <w:bookmarkEnd w:id="1239"/>
      <w:bookmarkEnd w:id="1240"/>
      <w:bookmarkEnd w:id="1241"/>
      <w:bookmarkEnd w:id="1242"/>
      <w:bookmarkEnd w:id="1243"/>
      <w:bookmarkEnd w:id="1244"/>
      <w:bookmarkEnd w:id="1245"/>
    </w:p>
    <w:bookmarkEnd w:id="1246"/>
    <w:bookmarkEnd w:id="1247"/>
    <w:bookmarkEnd w:id="1248"/>
    <w:bookmarkEnd w:id="1249"/>
    <w:bookmarkEnd w:id="1250"/>
    <w:bookmarkEnd w:id="1251"/>
    <w:p w14:paraId="19A1833B">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（1）单价合同。</w:t>
      </w:r>
    </w:p>
    <w:p w14:paraId="643440DA">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本合同价款采用固定综合单价方式确定。</w:t>
      </w:r>
    </w:p>
    <w:p w14:paraId="43A8E3E8">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综合单价包含的风险范围：</w:t>
      </w:r>
      <w:r>
        <w:rPr>
          <w:rFonts w:hint="eastAsia" w:ascii="宋体" w:hAnsi="宋体" w:cs="宋体"/>
          <w:color w:val="auto"/>
          <w:sz w:val="21"/>
          <w:szCs w:val="21"/>
          <w:highlight w:val="none"/>
          <w:u w:val="single"/>
        </w:rPr>
        <w:t>除工程变更、政策性调整变动风险以外因素。</w:t>
      </w:r>
    </w:p>
    <w:p w14:paraId="413C06A9">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风险范围以外合同价格的调整方法：　</w:t>
      </w:r>
    </w:p>
    <w:p w14:paraId="36D850E5">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①工程变更：按10.4.1变更估价原则的约定调整。</w:t>
      </w:r>
    </w:p>
    <w:p w14:paraId="23A43051">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②政策性调整：按自治区建设行政主管部门颁布的文件执行。</w:t>
      </w:r>
    </w:p>
    <w:p w14:paraId="6CDE6612">
      <w:pPr>
        <w:adjustRightInd w:val="0"/>
        <w:snapToGrid w:val="0"/>
        <w:spacing w:line="420" w:lineRule="exact"/>
        <w:ind w:firstLine="441" w:firstLineChars="210"/>
        <w:rPr>
          <w:rFonts w:ascii="宋体" w:hAnsi="宋体" w:cs="宋体"/>
          <w:color w:val="auto"/>
          <w:sz w:val="21"/>
          <w:szCs w:val="21"/>
          <w:highlight w:val="none"/>
        </w:rPr>
      </w:pPr>
      <w:r>
        <w:rPr>
          <w:rFonts w:hint="eastAsia" w:ascii="宋体" w:hAnsi="宋体" w:cs="宋体"/>
          <w:color w:val="auto"/>
          <w:sz w:val="21"/>
          <w:szCs w:val="21"/>
          <w:highlight w:val="none"/>
        </w:rPr>
        <w:t>③材料价格风险：按11</w:t>
      </w:r>
      <w:r>
        <w:rPr>
          <w:rFonts w:hint="eastAsia" w:ascii="宋体" w:hAnsi="宋体" w:cs="宋体"/>
          <w:color w:val="auto"/>
          <w:sz w:val="21"/>
          <w:szCs w:val="21"/>
          <w:highlight w:val="none"/>
          <w:lang w:eastAsia="zh-CN"/>
        </w:rPr>
        <w:t>条</w:t>
      </w:r>
      <w:r>
        <w:rPr>
          <w:rFonts w:hint="eastAsia" w:ascii="宋体" w:hAnsi="宋体" w:cs="宋体"/>
          <w:color w:val="auto"/>
          <w:sz w:val="21"/>
          <w:szCs w:val="21"/>
          <w:highlight w:val="none"/>
        </w:rPr>
        <w:t>的约定调整。</w:t>
      </w:r>
    </w:p>
    <w:p w14:paraId="2AFEA7CB">
      <w:pPr>
        <w:adjustRightInd w:val="0"/>
        <w:snapToGrid w:val="0"/>
        <w:spacing w:line="42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④其它：</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0677D5EA">
      <w:pPr>
        <w:keepNext/>
        <w:keepLines/>
        <w:spacing w:line="420" w:lineRule="exact"/>
        <w:ind w:firstLine="0" w:firstLineChars="0"/>
        <w:outlineLvl w:val="0"/>
        <w:rPr>
          <w:rFonts w:ascii="宋体" w:hAnsi="宋体" w:cs="宋体"/>
          <w:b/>
          <w:bCs/>
          <w:color w:val="auto"/>
          <w:kern w:val="44"/>
          <w:sz w:val="21"/>
          <w:szCs w:val="21"/>
          <w:highlight w:val="none"/>
        </w:rPr>
      </w:pPr>
      <w:bookmarkStart w:id="1268" w:name="_Toc478389241"/>
      <w:bookmarkStart w:id="1269" w:name="_Toc417904327"/>
      <w:r>
        <w:rPr>
          <w:rFonts w:hint="eastAsia" w:ascii="宋体" w:hAnsi="宋体" w:cs="宋体"/>
          <w:b/>
          <w:bCs/>
          <w:color w:val="auto"/>
          <w:kern w:val="44"/>
          <w:sz w:val="21"/>
          <w:szCs w:val="21"/>
          <w:highlight w:val="none"/>
        </w:rPr>
        <w:t>12.2 预付款</w:t>
      </w:r>
      <w:bookmarkEnd w:id="1268"/>
      <w:bookmarkEnd w:id="1269"/>
    </w:p>
    <w:bookmarkEnd w:id="1252"/>
    <w:bookmarkEnd w:id="1253"/>
    <w:bookmarkEnd w:id="1254"/>
    <w:bookmarkEnd w:id="1255"/>
    <w:bookmarkEnd w:id="1256"/>
    <w:bookmarkEnd w:id="1257"/>
    <w:p w14:paraId="3E562A34">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12.2.1 预付款的支付</w:t>
      </w:r>
    </w:p>
    <w:p w14:paraId="0A9DEF9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预付款支付比例或金额：</w:t>
      </w:r>
      <w:r>
        <w:rPr>
          <w:rFonts w:hint="eastAsia" w:ascii="宋体" w:hAnsi="宋体"/>
          <w:color w:val="auto"/>
          <w:sz w:val="21"/>
          <w:szCs w:val="21"/>
          <w:highlight w:val="none"/>
          <w:u w:val="single"/>
        </w:rPr>
        <w:t>/</w:t>
      </w:r>
      <w:r>
        <w:rPr>
          <w:rFonts w:hint="eastAsia" w:ascii="宋体" w:hAnsi="宋体" w:cs="宋体"/>
          <w:color w:val="auto"/>
          <w:sz w:val="21"/>
          <w:szCs w:val="21"/>
          <w:highlight w:val="none"/>
        </w:rPr>
        <w:t>。</w:t>
      </w:r>
    </w:p>
    <w:p w14:paraId="67FC965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预付款支付期限：</w:t>
      </w:r>
      <w:r>
        <w:rPr>
          <w:rFonts w:hint="eastAsia" w:ascii="宋体" w:hAnsi="宋体"/>
          <w:color w:val="auto"/>
          <w:sz w:val="21"/>
          <w:szCs w:val="21"/>
          <w:highlight w:val="none"/>
          <w:u w:val="single"/>
        </w:rPr>
        <w:t>/</w:t>
      </w:r>
      <w:r>
        <w:rPr>
          <w:rFonts w:hint="eastAsia" w:ascii="宋体" w:hAnsi="宋体" w:cs="宋体"/>
          <w:color w:val="auto"/>
          <w:sz w:val="21"/>
          <w:szCs w:val="21"/>
          <w:highlight w:val="none"/>
          <w:u w:val="single"/>
        </w:rPr>
        <w:t>。</w:t>
      </w:r>
    </w:p>
    <w:p w14:paraId="602093C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预付款扣回的方式：</w:t>
      </w:r>
      <w:r>
        <w:rPr>
          <w:rFonts w:hint="eastAsia" w:ascii="宋体" w:hAnsi="宋体" w:cs="宋体"/>
          <w:color w:val="auto"/>
          <w:sz w:val="21"/>
          <w:szCs w:val="21"/>
          <w:highlight w:val="none"/>
          <w:u w:val="single"/>
        </w:rPr>
        <w:t>/。</w:t>
      </w:r>
    </w:p>
    <w:p w14:paraId="5CD2CD2D">
      <w:pPr>
        <w:spacing w:line="420" w:lineRule="exact"/>
        <w:ind w:firstLine="420"/>
        <w:outlineLvl w:val="0"/>
        <w:rPr>
          <w:rFonts w:ascii="宋体" w:hAnsi="宋体" w:cs="宋体"/>
          <w:color w:val="auto"/>
          <w:sz w:val="21"/>
          <w:szCs w:val="21"/>
          <w:highlight w:val="none"/>
        </w:rPr>
      </w:pPr>
      <w:bookmarkStart w:id="1270" w:name="_Toc406419397"/>
      <w:bookmarkStart w:id="1271" w:name="_Toc406522273"/>
      <w:bookmarkStart w:id="1272" w:name="_Toc478389242"/>
      <w:bookmarkStart w:id="1273" w:name="_Toc417904328"/>
      <w:r>
        <w:rPr>
          <w:rFonts w:hint="eastAsia" w:ascii="宋体" w:hAnsi="宋体" w:cs="宋体"/>
          <w:color w:val="auto"/>
          <w:sz w:val="21"/>
          <w:szCs w:val="21"/>
          <w:highlight w:val="none"/>
        </w:rPr>
        <w:t>12.2.2 预付款担保</w:t>
      </w:r>
      <w:bookmarkEnd w:id="1270"/>
      <w:bookmarkEnd w:id="1271"/>
      <w:bookmarkEnd w:id="1272"/>
      <w:bookmarkEnd w:id="1273"/>
    </w:p>
    <w:p w14:paraId="1E162FE9">
      <w:pPr>
        <w:spacing w:line="42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承包人提交预付款担保的期限：</w:t>
      </w:r>
      <w:r>
        <w:rPr>
          <w:rFonts w:hint="eastAsia" w:ascii="宋体" w:hAnsi="宋体" w:cs="宋体"/>
          <w:color w:val="auto"/>
          <w:sz w:val="21"/>
          <w:szCs w:val="21"/>
          <w:highlight w:val="none"/>
          <w:u w:val="single"/>
        </w:rPr>
        <w:t xml:space="preserve">  无。</w:t>
      </w:r>
    </w:p>
    <w:p w14:paraId="5438BB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预付款担保的形式为：</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258"/>
    <w:bookmarkEnd w:id="1259"/>
    <w:bookmarkEnd w:id="1260"/>
    <w:bookmarkEnd w:id="1261"/>
    <w:bookmarkEnd w:id="1262"/>
    <w:bookmarkEnd w:id="1263"/>
    <w:bookmarkEnd w:id="1264"/>
    <w:bookmarkEnd w:id="1265"/>
    <w:bookmarkEnd w:id="1266"/>
    <w:bookmarkEnd w:id="1267"/>
    <w:p w14:paraId="1F6E12BC">
      <w:pPr>
        <w:keepNext/>
        <w:keepLines/>
        <w:spacing w:line="420" w:lineRule="exact"/>
        <w:ind w:firstLine="0" w:firstLineChars="0"/>
        <w:outlineLvl w:val="0"/>
        <w:rPr>
          <w:rFonts w:ascii="宋体" w:hAnsi="宋体" w:cs="宋体"/>
          <w:b/>
          <w:bCs/>
          <w:color w:val="auto"/>
          <w:kern w:val="44"/>
          <w:sz w:val="21"/>
          <w:szCs w:val="21"/>
          <w:highlight w:val="none"/>
        </w:rPr>
      </w:pPr>
      <w:bookmarkStart w:id="1274" w:name="_Toc478389243"/>
      <w:bookmarkStart w:id="1275" w:name="_Toc417904329"/>
      <w:r>
        <w:rPr>
          <w:rFonts w:hint="eastAsia" w:ascii="宋体" w:hAnsi="宋体" w:cs="宋体"/>
          <w:b/>
          <w:bCs/>
          <w:color w:val="auto"/>
          <w:kern w:val="44"/>
          <w:sz w:val="21"/>
          <w:szCs w:val="21"/>
          <w:highlight w:val="none"/>
        </w:rPr>
        <w:t>12.3 计量</w:t>
      </w:r>
      <w:bookmarkEnd w:id="1274"/>
      <w:bookmarkEnd w:id="1275"/>
    </w:p>
    <w:p w14:paraId="5CD184AC">
      <w:pPr>
        <w:spacing w:line="390" w:lineRule="exact"/>
        <w:ind w:firstLine="422"/>
        <w:rPr>
          <w:rFonts w:ascii="宋体" w:hAnsi="宋体" w:cs="宋体"/>
          <w:b/>
          <w:bCs/>
          <w:color w:val="auto"/>
          <w:sz w:val="21"/>
          <w:szCs w:val="21"/>
          <w:highlight w:val="none"/>
          <w:u w:val="single"/>
        </w:rPr>
      </w:pPr>
      <w:bookmarkStart w:id="1276" w:name="_Toc406419399"/>
      <w:r>
        <w:rPr>
          <w:rFonts w:hint="eastAsia" w:ascii="宋体" w:hAnsi="宋体" w:cs="宋体"/>
          <w:b/>
          <w:bCs/>
          <w:color w:val="auto"/>
          <w:sz w:val="21"/>
          <w:szCs w:val="21"/>
          <w:highlight w:val="none"/>
          <w:u w:val="single"/>
        </w:rPr>
        <w:t>12.3.1 计量原则</w:t>
      </w:r>
    </w:p>
    <w:p w14:paraId="6CDB942C">
      <w:pPr>
        <w:spacing w:line="390" w:lineRule="exact"/>
        <w:ind w:firstLine="420"/>
        <w:rPr>
          <w:rFonts w:ascii="宋体" w:hAnsi="宋体" w:cs="宋体"/>
          <w:b/>
          <w:color w:val="auto"/>
          <w:sz w:val="21"/>
          <w:szCs w:val="21"/>
          <w:highlight w:val="none"/>
          <w:u w:val="single"/>
        </w:rPr>
      </w:pPr>
      <w:r>
        <w:rPr>
          <w:rFonts w:hint="eastAsia" w:ascii="宋体" w:hAnsi="宋体" w:cs="宋体"/>
          <w:bCs/>
          <w:color w:val="auto"/>
          <w:sz w:val="21"/>
          <w:szCs w:val="21"/>
          <w:highlight w:val="none"/>
          <w:u w:val="single"/>
        </w:rPr>
        <w:t>工程量计算规则：工程的计量均以《建设工程工程量清单计价规范》（</w:t>
      </w:r>
      <w:r>
        <w:rPr>
          <w:rFonts w:ascii="宋体" w:hAnsi="宋体" w:cs="宋体"/>
          <w:bCs/>
          <w:color w:val="auto"/>
          <w:sz w:val="21"/>
          <w:szCs w:val="21"/>
          <w:highlight w:val="none"/>
          <w:u w:val="single"/>
        </w:rPr>
        <w:t>GB50500</w:t>
      </w:r>
      <w:r>
        <w:rPr>
          <w:rFonts w:hint="eastAsia" w:ascii="宋体" w:hAnsi="宋体" w:cs="宋体"/>
          <w:bCs/>
          <w:color w:val="auto"/>
          <w:sz w:val="21"/>
          <w:szCs w:val="21"/>
          <w:highlight w:val="none"/>
          <w:u w:val="single"/>
        </w:rPr>
        <w:t>－</w:t>
      </w:r>
      <w:r>
        <w:rPr>
          <w:rFonts w:ascii="宋体" w:hAnsi="宋体" w:cs="宋体"/>
          <w:bCs/>
          <w:color w:val="auto"/>
          <w:sz w:val="21"/>
          <w:szCs w:val="21"/>
          <w:highlight w:val="none"/>
          <w:u w:val="single"/>
        </w:rPr>
        <w:t>2013</w:t>
      </w:r>
      <w:r>
        <w:rPr>
          <w:rFonts w:hint="eastAsia" w:ascii="宋体" w:hAnsi="宋体" w:cs="宋体"/>
          <w:bCs/>
          <w:color w:val="auto"/>
          <w:sz w:val="21"/>
          <w:szCs w:val="21"/>
          <w:highlight w:val="none"/>
          <w:u w:val="single"/>
        </w:rPr>
        <w:t>）及广西壮族自治区实施细则、《建设工程工程量清单计算规范》（</w:t>
      </w:r>
      <w:r>
        <w:rPr>
          <w:rFonts w:ascii="宋体" w:hAnsi="宋体" w:cs="宋体"/>
          <w:bCs/>
          <w:color w:val="auto"/>
          <w:sz w:val="21"/>
          <w:szCs w:val="21"/>
          <w:highlight w:val="none"/>
          <w:u w:val="single"/>
        </w:rPr>
        <w:t>GB50854~50862</w:t>
      </w:r>
      <w:r>
        <w:rPr>
          <w:rFonts w:hint="eastAsia" w:ascii="宋体" w:hAnsi="宋体" w:cs="宋体"/>
          <w:bCs/>
          <w:color w:val="auto"/>
          <w:sz w:val="21"/>
          <w:szCs w:val="21"/>
          <w:highlight w:val="none"/>
          <w:u w:val="single"/>
        </w:rPr>
        <w:t>－</w:t>
      </w:r>
      <w:r>
        <w:rPr>
          <w:rFonts w:ascii="宋体" w:hAnsi="宋体" w:cs="宋体"/>
          <w:bCs/>
          <w:color w:val="auto"/>
          <w:sz w:val="21"/>
          <w:szCs w:val="21"/>
          <w:highlight w:val="none"/>
          <w:u w:val="single"/>
        </w:rPr>
        <w:t>2013</w:t>
      </w:r>
      <w:r>
        <w:rPr>
          <w:rFonts w:hint="eastAsia" w:ascii="宋体" w:hAnsi="宋体" w:cs="宋体"/>
          <w:bCs/>
          <w:color w:val="auto"/>
          <w:sz w:val="21"/>
          <w:szCs w:val="21"/>
          <w:highlight w:val="none"/>
          <w:u w:val="single"/>
        </w:rPr>
        <w:t>）及广西实施细则、本工程补充项目清单为准。</w:t>
      </w:r>
    </w:p>
    <w:p w14:paraId="3ED04615">
      <w:pPr>
        <w:spacing w:line="420" w:lineRule="exact"/>
        <w:ind w:firstLine="420"/>
        <w:outlineLvl w:val="0"/>
        <w:rPr>
          <w:rFonts w:ascii="宋体" w:hAnsi="宋体" w:cs="宋体"/>
          <w:color w:val="auto"/>
          <w:sz w:val="21"/>
          <w:szCs w:val="21"/>
          <w:highlight w:val="none"/>
        </w:rPr>
      </w:pPr>
      <w:bookmarkStart w:id="1277" w:name="_Toc406522275"/>
      <w:bookmarkStart w:id="1278" w:name="_Toc417904330"/>
      <w:bookmarkStart w:id="1279" w:name="_Toc478389244"/>
      <w:r>
        <w:rPr>
          <w:rFonts w:hint="eastAsia" w:ascii="宋体" w:hAnsi="宋体" w:cs="宋体"/>
          <w:color w:val="auto"/>
          <w:sz w:val="21"/>
          <w:szCs w:val="21"/>
          <w:highlight w:val="none"/>
        </w:rPr>
        <w:t>12.3.2 计量周期</w:t>
      </w:r>
      <w:bookmarkEnd w:id="1276"/>
      <w:bookmarkEnd w:id="1277"/>
      <w:bookmarkEnd w:id="1278"/>
      <w:bookmarkEnd w:id="1279"/>
    </w:p>
    <w:p w14:paraId="571D754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关于计量周期的约定：</w:t>
      </w:r>
      <w:r>
        <w:rPr>
          <w:rFonts w:hint="eastAsia" w:ascii="宋体" w:hAnsi="宋体" w:cs="宋体"/>
          <w:color w:val="auto"/>
          <w:sz w:val="21"/>
          <w:szCs w:val="21"/>
          <w:highlight w:val="none"/>
          <w:u w:val="single"/>
        </w:rPr>
        <w:t>本合同的计量周期为月，每月25日为当月计量截止日期（不含当日）和下月计量起始日期（含当日）。</w:t>
      </w:r>
    </w:p>
    <w:p w14:paraId="202858D1">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12.3.3 单价合同的计量</w:t>
      </w:r>
    </w:p>
    <w:p w14:paraId="46E41CB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关于单价合同计量的约定：</w:t>
      </w:r>
      <w:r>
        <w:rPr>
          <w:rFonts w:hint="eastAsia" w:ascii="宋体" w:hAnsi="宋体" w:cs="宋体"/>
          <w:color w:val="auto"/>
          <w:sz w:val="21"/>
          <w:szCs w:val="21"/>
          <w:highlight w:val="none"/>
          <w:u w:val="single"/>
        </w:rPr>
        <w:t xml:space="preserve">      按实际完成量           </w:t>
      </w:r>
      <w:r>
        <w:rPr>
          <w:rFonts w:hint="eastAsia" w:ascii="宋体" w:hAnsi="宋体" w:cs="宋体"/>
          <w:color w:val="auto"/>
          <w:sz w:val="21"/>
          <w:szCs w:val="21"/>
          <w:highlight w:val="none"/>
        </w:rPr>
        <w:t>。</w:t>
      </w:r>
    </w:p>
    <w:p w14:paraId="382EB408">
      <w:pPr>
        <w:spacing w:line="420" w:lineRule="exact"/>
        <w:ind w:firstLine="420"/>
        <w:outlineLvl w:val="0"/>
        <w:rPr>
          <w:rFonts w:ascii="宋体" w:hAnsi="宋体" w:cs="宋体"/>
          <w:color w:val="auto"/>
          <w:sz w:val="21"/>
          <w:szCs w:val="21"/>
          <w:highlight w:val="none"/>
        </w:rPr>
      </w:pPr>
      <w:bookmarkStart w:id="1280" w:name="_Toc478389245"/>
      <w:bookmarkStart w:id="1281" w:name="_Toc417904331"/>
      <w:bookmarkStart w:id="1282" w:name="_Toc406419400"/>
      <w:bookmarkStart w:id="1283" w:name="_Toc406522276"/>
      <w:r>
        <w:rPr>
          <w:rFonts w:hint="eastAsia" w:ascii="宋体" w:hAnsi="宋体" w:cs="宋体"/>
          <w:color w:val="auto"/>
          <w:sz w:val="21"/>
          <w:szCs w:val="21"/>
          <w:highlight w:val="none"/>
        </w:rPr>
        <w:t>12.3.4 总价合同的计量</w:t>
      </w:r>
      <w:bookmarkEnd w:id="1280"/>
      <w:bookmarkEnd w:id="1281"/>
      <w:bookmarkEnd w:id="1282"/>
      <w:bookmarkEnd w:id="1283"/>
    </w:p>
    <w:p w14:paraId="72BD740A">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关于总价合同计量的约定：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9199B5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12.3.5总价合同采用支付分解表计量支付的，是否适用第12.3.4项〔总价合同的计量〕约定进行计量：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66A492E">
      <w:pPr>
        <w:spacing w:line="420" w:lineRule="exact"/>
        <w:ind w:firstLine="420"/>
        <w:outlineLvl w:val="0"/>
        <w:rPr>
          <w:rFonts w:ascii="宋体" w:hAnsi="宋体" w:cs="宋体"/>
          <w:color w:val="auto"/>
          <w:sz w:val="21"/>
          <w:szCs w:val="21"/>
          <w:highlight w:val="none"/>
        </w:rPr>
      </w:pPr>
      <w:bookmarkStart w:id="1284" w:name="_Toc417904332"/>
      <w:bookmarkStart w:id="1285" w:name="_Toc478389246"/>
      <w:bookmarkStart w:id="1286" w:name="_Toc406522277"/>
      <w:bookmarkStart w:id="1287" w:name="_Toc406419401"/>
      <w:r>
        <w:rPr>
          <w:rFonts w:hint="eastAsia" w:ascii="宋体" w:hAnsi="宋体" w:cs="宋体"/>
          <w:color w:val="auto"/>
          <w:sz w:val="21"/>
          <w:szCs w:val="21"/>
          <w:highlight w:val="none"/>
        </w:rPr>
        <w:t>12.3.6 其他价格形式合同的计量</w:t>
      </w:r>
      <w:bookmarkEnd w:id="1284"/>
      <w:bookmarkEnd w:id="1285"/>
      <w:bookmarkEnd w:id="1286"/>
      <w:bookmarkEnd w:id="1287"/>
    </w:p>
    <w:p w14:paraId="06862FFF">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其他价格形式的计量方式和程序：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4EC0BA6">
      <w:pPr>
        <w:keepNext/>
        <w:keepLines/>
        <w:spacing w:line="420" w:lineRule="exact"/>
        <w:ind w:firstLine="0" w:firstLineChars="0"/>
        <w:outlineLvl w:val="0"/>
        <w:rPr>
          <w:rFonts w:ascii="宋体" w:hAnsi="宋体" w:cs="宋体"/>
          <w:b/>
          <w:bCs/>
          <w:color w:val="auto"/>
          <w:kern w:val="44"/>
          <w:sz w:val="21"/>
          <w:szCs w:val="21"/>
          <w:highlight w:val="none"/>
        </w:rPr>
      </w:pPr>
      <w:bookmarkStart w:id="1288" w:name="_Toc417904333"/>
      <w:bookmarkStart w:id="1289" w:name="_Toc478389247"/>
      <w:r>
        <w:rPr>
          <w:rFonts w:hint="eastAsia" w:ascii="宋体" w:hAnsi="宋体" w:cs="宋体"/>
          <w:b/>
          <w:bCs/>
          <w:color w:val="auto"/>
          <w:kern w:val="44"/>
          <w:sz w:val="21"/>
          <w:szCs w:val="21"/>
          <w:highlight w:val="none"/>
        </w:rPr>
        <w:t>12.4 工程进度款支付</w:t>
      </w:r>
      <w:bookmarkEnd w:id="1288"/>
      <w:bookmarkEnd w:id="1289"/>
    </w:p>
    <w:p w14:paraId="4E87BA1E">
      <w:pPr>
        <w:spacing w:line="420" w:lineRule="exact"/>
        <w:ind w:firstLine="420"/>
        <w:rPr>
          <w:rFonts w:ascii="宋体" w:hAnsi="宋体" w:cs="宋体"/>
          <w:color w:val="auto"/>
          <w:sz w:val="21"/>
          <w:szCs w:val="21"/>
          <w:highlight w:val="none"/>
        </w:rPr>
      </w:pPr>
      <w:bookmarkStart w:id="1290" w:name="_Toc296891251"/>
      <w:bookmarkStart w:id="1291" w:name="_Toc297048397"/>
      <w:bookmarkStart w:id="1292" w:name="_Toc297120511"/>
      <w:bookmarkStart w:id="1293" w:name="_Toc292559416"/>
      <w:bookmarkStart w:id="1294" w:name="_Toc303539163"/>
      <w:bookmarkStart w:id="1295" w:name="_Toc297123556"/>
      <w:bookmarkStart w:id="1296" w:name="_Toc297216215"/>
      <w:bookmarkStart w:id="1297" w:name="_Toc296347210"/>
      <w:bookmarkStart w:id="1298" w:name="_Toc296944550"/>
      <w:bookmarkStart w:id="1299" w:name="_Toc292559921"/>
      <w:bookmarkStart w:id="1300" w:name="_Toc296346712"/>
      <w:bookmarkStart w:id="1301" w:name="_Toc296891039"/>
      <w:bookmarkStart w:id="1302" w:name="_Toc296503211"/>
      <w:bookmarkStart w:id="1303" w:name="_Toc300935006"/>
      <w:r>
        <w:rPr>
          <w:rFonts w:hint="eastAsia" w:ascii="宋体" w:hAnsi="宋体" w:cs="宋体"/>
          <w:color w:val="auto"/>
          <w:sz w:val="21"/>
          <w:szCs w:val="21"/>
          <w:highlight w:val="none"/>
        </w:rPr>
        <w:t>12.4.1 付款周期</w:t>
      </w:r>
    </w:p>
    <w:p w14:paraId="244123A5">
      <w:pPr>
        <w:spacing w:line="420" w:lineRule="exact"/>
        <w:ind w:firstLine="422"/>
        <w:outlineLvl w:val="0"/>
        <w:rPr>
          <w:rFonts w:hint="eastAsia" w:ascii="宋体" w:hAnsi="宋体" w:cs="宋体"/>
          <w:b w:val="0"/>
          <w:bCs/>
          <w:color w:val="auto"/>
          <w:sz w:val="21"/>
          <w:szCs w:val="21"/>
          <w:highlight w:val="none"/>
        </w:rPr>
      </w:pPr>
      <w:bookmarkStart w:id="1304" w:name="_Toc478389248"/>
      <w:bookmarkStart w:id="1305" w:name="_Toc417904334"/>
      <w:bookmarkStart w:id="1306" w:name="_Toc406522279"/>
      <w:bookmarkStart w:id="1307" w:name="_Toc406419403"/>
      <w:r>
        <w:rPr>
          <w:rFonts w:hint="eastAsia" w:ascii="宋体" w:hAnsi="宋体" w:cs="宋体"/>
          <w:b w:val="0"/>
          <w:bCs/>
          <w:color w:val="auto"/>
          <w:sz w:val="21"/>
          <w:szCs w:val="21"/>
          <w:highlight w:val="none"/>
        </w:rPr>
        <w:t>本项目无预付款，</w:t>
      </w:r>
      <w:r>
        <w:rPr>
          <w:rFonts w:hint="eastAsia" w:ascii="宋体" w:hAnsi="宋体" w:cs="宋体"/>
          <w:b w:val="0"/>
          <w:bCs/>
          <w:color w:val="auto"/>
          <w:sz w:val="21"/>
          <w:szCs w:val="21"/>
          <w:highlight w:val="none"/>
          <w:lang w:eastAsia="zh-CN"/>
        </w:rPr>
        <w:t>承包人施工</w:t>
      </w:r>
      <w:r>
        <w:rPr>
          <w:rFonts w:hint="eastAsia" w:ascii="宋体" w:hAnsi="宋体" w:cs="宋体"/>
          <w:b w:val="0"/>
          <w:bCs/>
          <w:color w:val="auto"/>
          <w:sz w:val="21"/>
          <w:szCs w:val="21"/>
          <w:highlight w:val="none"/>
        </w:rPr>
        <w:t>完毕、验收合格，并</w:t>
      </w:r>
      <w:r>
        <w:rPr>
          <w:rFonts w:hint="eastAsia" w:ascii="宋体" w:hAnsi="宋体" w:cs="宋体"/>
          <w:b w:val="0"/>
          <w:bCs/>
          <w:color w:val="auto"/>
          <w:sz w:val="21"/>
          <w:szCs w:val="21"/>
          <w:highlight w:val="none"/>
          <w:lang w:eastAsia="zh-CN"/>
        </w:rPr>
        <w:t>向发包人</w:t>
      </w:r>
      <w:r>
        <w:rPr>
          <w:rFonts w:hint="eastAsia" w:ascii="宋体" w:hAnsi="宋体" w:cs="宋体"/>
          <w:b w:val="0"/>
          <w:bCs/>
          <w:color w:val="auto"/>
          <w:sz w:val="21"/>
          <w:szCs w:val="21"/>
          <w:highlight w:val="none"/>
        </w:rPr>
        <w:t>开具全额增值税发票后，可支付合同款的80%，</w:t>
      </w:r>
      <w:r>
        <w:rPr>
          <w:rFonts w:hint="eastAsia" w:ascii="宋体" w:hAnsi="宋体" w:cs="宋体"/>
          <w:b w:val="0"/>
          <w:bCs/>
          <w:color w:val="auto"/>
          <w:sz w:val="21"/>
          <w:szCs w:val="21"/>
          <w:highlight w:val="none"/>
          <w:lang w:eastAsia="zh-CN"/>
        </w:rPr>
        <w:t>送审结算完成</w:t>
      </w:r>
      <w:r>
        <w:rPr>
          <w:rFonts w:hint="eastAsia" w:ascii="宋体" w:hAnsi="宋体" w:cs="宋体"/>
          <w:b w:val="0"/>
          <w:bCs/>
          <w:color w:val="auto"/>
          <w:sz w:val="21"/>
          <w:szCs w:val="21"/>
          <w:highlight w:val="none"/>
        </w:rPr>
        <w:t>后支付</w:t>
      </w:r>
      <w:r>
        <w:rPr>
          <w:rFonts w:hint="eastAsia" w:ascii="宋体" w:hAnsi="宋体" w:cs="宋体"/>
          <w:b w:val="0"/>
          <w:bCs/>
          <w:color w:val="auto"/>
          <w:sz w:val="21"/>
          <w:szCs w:val="21"/>
          <w:highlight w:val="none"/>
          <w:lang w:eastAsia="zh-CN"/>
        </w:rPr>
        <w:t>至结算价</w:t>
      </w:r>
      <w:r>
        <w:rPr>
          <w:rFonts w:hint="eastAsia" w:ascii="宋体" w:hAnsi="宋体" w:cs="宋体"/>
          <w:b w:val="0"/>
          <w:bCs/>
          <w:color w:val="auto"/>
          <w:sz w:val="21"/>
          <w:szCs w:val="21"/>
          <w:highlight w:val="none"/>
        </w:rPr>
        <w:t>的</w:t>
      </w:r>
      <w:r>
        <w:rPr>
          <w:rFonts w:hint="eastAsia" w:ascii="宋体" w:hAnsi="宋体" w:cs="宋体"/>
          <w:b w:val="0"/>
          <w:bCs/>
          <w:color w:val="auto"/>
          <w:sz w:val="21"/>
          <w:szCs w:val="21"/>
          <w:highlight w:val="none"/>
          <w:lang w:val="en-US" w:eastAsia="zh-CN"/>
        </w:rPr>
        <w:t>100</w:t>
      </w:r>
      <w:r>
        <w:rPr>
          <w:rFonts w:hint="eastAsia" w:ascii="宋体" w:hAnsi="宋体" w:cs="宋体"/>
          <w:b w:val="0"/>
          <w:bCs/>
          <w:color w:val="auto"/>
          <w:sz w:val="21"/>
          <w:szCs w:val="21"/>
          <w:highlight w:val="none"/>
        </w:rPr>
        <w:t>%工程款</w:t>
      </w:r>
      <w:r>
        <w:rPr>
          <w:rFonts w:hint="eastAsia" w:ascii="宋体" w:hAnsi="宋体" w:cs="宋体"/>
          <w:b w:val="0"/>
          <w:bCs/>
          <w:color w:val="auto"/>
          <w:sz w:val="21"/>
          <w:szCs w:val="21"/>
          <w:highlight w:val="none"/>
          <w:lang w:eastAsia="zh-CN"/>
        </w:rPr>
        <w:t>（无息）</w:t>
      </w:r>
      <w:r>
        <w:rPr>
          <w:rFonts w:hint="eastAsia" w:ascii="宋体" w:hAnsi="宋体" w:cs="宋体"/>
          <w:b w:val="0"/>
          <w:bCs/>
          <w:color w:val="auto"/>
          <w:sz w:val="21"/>
          <w:szCs w:val="21"/>
          <w:highlight w:val="none"/>
        </w:rPr>
        <w:t>。</w:t>
      </w:r>
    </w:p>
    <w:p w14:paraId="1299F274">
      <w:pPr>
        <w:spacing w:line="420" w:lineRule="exact"/>
        <w:ind w:firstLine="422"/>
        <w:outlineLvl w:val="0"/>
        <w:rPr>
          <w:rFonts w:ascii="宋体" w:hAnsi="宋体" w:cs="宋体"/>
          <w:b w:val="0"/>
          <w:bCs/>
          <w:color w:val="auto"/>
          <w:sz w:val="21"/>
          <w:szCs w:val="21"/>
          <w:highlight w:val="none"/>
        </w:rPr>
      </w:pPr>
      <w:r>
        <w:rPr>
          <w:rFonts w:hint="eastAsia" w:ascii="宋体" w:hAnsi="宋体" w:cs="宋体"/>
          <w:b w:val="0"/>
          <w:bCs/>
          <w:color w:val="auto"/>
          <w:sz w:val="21"/>
          <w:szCs w:val="21"/>
          <w:highlight w:val="none"/>
        </w:rPr>
        <w:t>注：因</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支付的工程款为上级财政拨付，如上级财政未能按合同约定及时拨款至</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账户，</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付款期限则自动延期，且</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无需承担任何违约责任，付款时间更改为上级财政拨款至</w:t>
      </w:r>
      <w:r>
        <w:rPr>
          <w:rFonts w:hint="eastAsia" w:ascii="宋体" w:hAnsi="宋体" w:cs="宋体"/>
          <w:b w:val="0"/>
          <w:bCs/>
          <w:color w:val="auto"/>
          <w:sz w:val="21"/>
          <w:szCs w:val="21"/>
          <w:highlight w:val="none"/>
          <w:lang w:eastAsia="zh-CN"/>
        </w:rPr>
        <w:t>发包人</w:t>
      </w:r>
      <w:r>
        <w:rPr>
          <w:rFonts w:hint="eastAsia" w:ascii="宋体" w:hAnsi="宋体" w:cs="宋体"/>
          <w:b w:val="0"/>
          <w:bCs/>
          <w:color w:val="auto"/>
          <w:sz w:val="21"/>
          <w:szCs w:val="21"/>
          <w:highlight w:val="none"/>
        </w:rPr>
        <w:t>账户三日内。</w:t>
      </w:r>
    </w:p>
    <w:p w14:paraId="27439C81">
      <w:pPr>
        <w:spacing w:line="420" w:lineRule="exact"/>
        <w:ind w:firstLine="420"/>
        <w:outlineLvl w:val="0"/>
        <w:rPr>
          <w:rFonts w:ascii="宋体" w:hAnsi="宋体" w:cs="宋体"/>
          <w:color w:val="auto"/>
          <w:kern w:val="0"/>
          <w:sz w:val="21"/>
          <w:szCs w:val="21"/>
          <w:highlight w:val="none"/>
        </w:rPr>
      </w:pPr>
      <w:r>
        <w:rPr>
          <w:rFonts w:hint="eastAsia" w:ascii="宋体" w:hAnsi="宋体" w:cs="宋体"/>
          <w:color w:val="auto"/>
          <w:sz w:val="21"/>
          <w:szCs w:val="21"/>
          <w:highlight w:val="none"/>
        </w:rPr>
        <w:t>12.4.2 进度付款申请单的编制</w:t>
      </w:r>
      <w:bookmarkEnd w:id="1304"/>
      <w:bookmarkEnd w:id="1305"/>
      <w:bookmarkEnd w:id="1306"/>
      <w:bookmarkEnd w:id="1307"/>
    </w:p>
    <w:p w14:paraId="67D7D3F5">
      <w:pPr>
        <w:spacing w:line="48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关于进度付款申请单编制的约定：</w:t>
      </w:r>
      <w:r>
        <w:rPr>
          <w:rFonts w:hint="eastAsia" w:ascii="宋体" w:hAnsi="宋体" w:cs="宋体"/>
          <w:color w:val="auto"/>
          <w:sz w:val="21"/>
          <w:szCs w:val="21"/>
          <w:highlight w:val="none"/>
          <w:u w:val="single"/>
        </w:rPr>
        <w:t>承包人应在每个计量周期到期后的7天内向发包人提交已完工程进度款支付申请一式四份，详细说明此周期自己认为有权得到的款额，包括分包人已完工程的价款。</w:t>
      </w:r>
    </w:p>
    <w:p w14:paraId="5DEB48B3">
      <w:pPr>
        <w:spacing w:line="480" w:lineRule="exact"/>
        <w:ind w:firstLine="420"/>
        <w:rPr>
          <w:rFonts w:ascii="宋体" w:hAnsi="宋体" w:cs="宋体"/>
          <w:color w:val="auto"/>
          <w:sz w:val="21"/>
          <w:szCs w:val="21"/>
          <w:highlight w:val="none"/>
          <w:u w:val="single"/>
        </w:rPr>
      </w:pPr>
      <w:r>
        <w:rPr>
          <w:rFonts w:hint="eastAsia" w:ascii="宋体" w:hAnsi="宋体" w:cs="宋体"/>
          <w:bCs/>
          <w:color w:val="auto"/>
          <w:sz w:val="21"/>
          <w:szCs w:val="21"/>
          <w:highlight w:val="none"/>
        </w:rPr>
        <w:t>工程完工，具备验收条件后，</w:t>
      </w:r>
      <w:r>
        <w:rPr>
          <w:rFonts w:hint="eastAsia" w:ascii="宋体" w:hAnsi="宋体" w:cs="宋体"/>
          <w:color w:val="auto"/>
          <w:kern w:val="0"/>
          <w:sz w:val="21"/>
          <w:szCs w:val="21"/>
          <w:highlight w:val="none"/>
        </w:rPr>
        <w:t>经发包人或发包人委托的中介机构审定后方可办理工程结算或竣工决算。</w:t>
      </w:r>
    </w:p>
    <w:p w14:paraId="2650EE0B">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r>
        <w:rPr>
          <w:rFonts w:hint="eastAsia" w:ascii="宋体" w:hAnsi="宋体" w:cs="宋体"/>
          <w:color w:val="auto"/>
          <w:sz w:val="21"/>
          <w:szCs w:val="21"/>
          <w:highlight w:val="none"/>
        </w:rPr>
        <w:t>2.4.3 进度付款申请单的提交</w:t>
      </w:r>
    </w:p>
    <w:p w14:paraId="09C8EEDF">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（1）单价合同进度付款申请单提交的约定：</w:t>
      </w:r>
      <w:r>
        <w:rPr>
          <w:rFonts w:hint="eastAsia" w:ascii="宋体" w:hAnsi="宋体" w:cs="宋体"/>
          <w:color w:val="auto"/>
          <w:sz w:val="21"/>
          <w:szCs w:val="21"/>
          <w:highlight w:val="none"/>
          <w:u w:val="single"/>
        </w:rPr>
        <w:t xml:space="preserve">    按支付方式的进度　　 </w:t>
      </w:r>
      <w:r>
        <w:rPr>
          <w:rFonts w:hint="eastAsia" w:ascii="宋体" w:hAnsi="宋体" w:cs="宋体"/>
          <w:color w:val="auto"/>
          <w:sz w:val="21"/>
          <w:szCs w:val="21"/>
          <w:highlight w:val="none"/>
        </w:rPr>
        <w:t>。</w:t>
      </w:r>
    </w:p>
    <w:p w14:paraId="7C809070">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（2）总价合同进度付款申请单提交的约定：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B321810">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（3）其他价格形式合同进度付款申请单提交的约定：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7BD215EB">
      <w:pPr>
        <w:spacing w:line="480" w:lineRule="exact"/>
        <w:ind w:firstLine="420"/>
        <w:outlineLvl w:val="0"/>
        <w:rPr>
          <w:rFonts w:ascii="宋体" w:hAnsi="宋体" w:cs="宋体"/>
          <w:color w:val="auto"/>
          <w:sz w:val="21"/>
          <w:szCs w:val="21"/>
          <w:highlight w:val="none"/>
        </w:rPr>
      </w:pPr>
      <w:bookmarkStart w:id="1308" w:name="_Toc406522280"/>
      <w:bookmarkStart w:id="1309" w:name="_Toc417904335"/>
      <w:bookmarkStart w:id="1310" w:name="_Toc478389249"/>
      <w:bookmarkStart w:id="1311" w:name="_Toc406419404"/>
      <w:r>
        <w:rPr>
          <w:rFonts w:hint="eastAsia" w:ascii="宋体" w:hAnsi="宋体" w:cs="宋体"/>
          <w:color w:val="auto"/>
          <w:sz w:val="21"/>
          <w:szCs w:val="21"/>
          <w:highlight w:val="none"/>
        </w:rPr>
        <w:t>12.4.4 进度款审核和支付</w:t>
      </w:r>
      <w:bookmarkEnd w:id="1308"/>
      <w:bookmarkEnd w:id="1309"/>
      <w:bookmarkEnd w:id="1310"/>
      <w:bookmarkEnd w:id="1311"/>
    </w:p>
    <w:p w14:paraId="459FDF2B">
      <w:pPr>
        <w:spacing w:line="48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（1）监理人审查并报送发包人的期限：</w:t>
      </w:r>
      <w:r>
        <w:rPr>
          <w:rFonts w:hint="eastAsia" w:ascii="宋体" w:hAnsi="宋体" w:cs="宋体"/>
          <w:color w:val="auto"/>
          <w:sz w:val="21"/>
          <w:szCs w:val="21"/>
          <w:highlight w:val="none"/>
          <w:u w:val="single"/>
        </w:rPr>
        <w:t xml:space="preserve">  3天内　</w:t>
      </w:r>
      <w:r>
        <w:rPr>
          <w:rFonts w:hint="eastAsia" w:ascii="宋体" w:hAnsi="宋体" w:cs="宋体"/>
          <w:color w:val="auto"/>
          <w:sz w:val="21"/>
          <w:szCs w:val="21"/>
          <w:highlight w:val="none"/>
        </w:rPr>
        <w:t>。</w:t>
      </w:r>
    </w:p>
    <w:p w14:paraId="214145C5">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发包人完成审批并签发进度款支付证书的期限：</w:t>
      </w:r>
      <w:r>
        <w:rPr>
          <w:rFonts w:hint="eastAsia" w:ascii="宋体" w:hAnsi="宋体" w:cs="宋体"/>
          <w:color w:val="auto"/>
          <w:sz w:val="21"/>
          <w:szCs w:val="21"/>
          <w:highlight w:val="none"/>
          <w:u w:val="single"/>
        </w:rPr>
        <w:t xml:space="preserve">     7天内        </w:t>
      </w:r>
      <w:r>
        <w:rPr>
          <w:rFonts w:hint="eastAsia" w:ascii="宋体" w:hAnsi="宋体" w:cs="宋体"/>
          <w:color w:val="auto"/>
          <w:sz w:val="21"/>
          <w:szCs w:val="21"/>
          <w:highlight w:val="none"/>
        </w:rPr>
        <w:t>。</w:t>
      </w:r>
    </w:p>
    <w:p w14:paraId="601E658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（2）发包人支付进度款的期限：</w:t>
      </w:r>
      <w:r>
        <w:rPr>
          <w:rFonts w:hint="eastAsia" w:ascii="宋体" w:hAnsi="宋体" w:cs="宋体"/>
          <w:color w:val="auto"/>
          <w:sz w:val="21"/>
          <w:szCs w:val="21"/>
          <w:highlight w:val="none"/>
          <w:u w:val="single"/>
        </w:rPr>
        <w:t xml:space="preserve">   承包人提出书面申请后30个工作日内    　　　</w:t>
      </w:r>
      <w:r>
        <w:rPr>
          <w:rFonts w:hint="eastAsia" w:ascii="宋体" w:hAnsi="宋体" w:cs="宋体"/>
          <w:color w:val="auto"/>
          <w:sz w:val="21"/>
          <w:szCs w:val="21"/>
          <w:highlight w:val="none"/>
        </w:rPr>
        <w:t>。</w:t>
      </w:r>
    </w:p>
    <w:p w14:paraId="092A4A36">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发包人逾期支付进度款的违约金的计算方式：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366D9C63">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12.4.6 支付分解表的编制</w:t>
      </w:r>
    </w:p>
    <w:p w14:paraId="2615403B">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cs="宋体"/>
          <w:color w:val="auto"/>
          <w:sz w:val="21"/>
          <w:szCs w:val="21"/>
          <w:highlight w:val="none"/>
        </w:rPr>
        <w:t>总价合同支付分解表的编制与审批：</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84DEF1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lang w:eastAsia="zh-CN"/>
        </w:rPr>
        <w:t>3.</w:t>
      </w:r>
      <w:r>
        <w:rPr>
          <w:rFonts w:hint="eastAsia" w:ascii="宋体" w:hAnsi="宋体" w:cs="宋体"/>
          <w:color w:val="auto"/>
          <w:sz w:val="21"/>
          <w:szCs w:val="21"/>
          <w:highlight w:val="none"/>
        </w:rPr>
        <w:t>单价合同的总价项目支付分解表的编制与审批：</w:t>
      </w:r>
      <w:r>
        <w:rPr>
          <w:rFonts w:hint="eastAsia" w:ascii="宋体" w:hAnsi="宋体" w:cs="宋体"/>
          <w:color w:val="auto"/>
          <w:sz w:val="21"/>
          <w:szCs w:val="21"/>
          <w:highlight w:val="none"/>
          <w:u w:val="single"/>
        </w:rPr>
        <w:t xml:space="preserve">    按支付方式      </w:t>
      </w:r>
      <w:r>
        <w:rPr>
          <w:rFonts w:hint="eastAsia" w:ascii="宋体" w:hAnsi="宋体" w:cs="宋体"/>
          <w:color w:val="auto"/>
          <w:sz w:val="21"/>
          <w:szCs w:val="21"/>
          <w:highlight w:val="none"/>
        </w:rPr>
        <w:t>。</w:t>
      </w:r>
    </w:p>
    <w:bookmarkEnd w:id="1104"/>
    <w:p w14:paraId="00DA7FDB">
      <w:pPr>
        <w:keepNext/>
        <w:keepLines/>
        <w:spacing w:line="480" w:lineRule="exact"/>
        <w:ind w:firstLine="0" w:firstLineChars="0"/>
        <w:outlineLvl w:val="0"/>
        <w:rPr>
          <w:rFonts w:ascii="宋体" w:hAnsi="宋体" w:cs="宋体"/>
          <w:b/>
          <w:bCs/>
          <w:color w:val="auto"/>
          <w:kern w:val="44"/>
          <w:sz w:val="21"/>
          <w:szCs w:val="21"/>
          <w:highlight w:val="none"/>
        </w:rPr>
      </w:pPr>
      <w:bookmarkStart w:id="1312" w:name="_Toc351203645"/>
      <w:bookmarkStart w:id="1313" w:name="_Toc417904336"/>
      <w:bookmarkStart w:id="1314" w:name="_Toc478389250"/>
      <w:bookmarkStart w:id="1315" w:name="_Toc296503219"/>
      <w:bookmarkStart w:id="1316" w:name="_Toc303539172"/>
      <w:bookmarkStart w:id="1317" w:name="_Toc297123564"/>
      <w:bookmarkStart w:id="1318" w:name="_Toc296347218"/>
      <w:bookmarkStart w:id="1319" w:name="_Toc296891047"/>
      <w:bookmarkStart w:id="1320" w:name="_Toc297048405"/>
      <w:bookmarkStart w:id="1321" w:name="_Toc296891259"/>
      <w:bookmarkStart w:id="1322" w:name="_Toc304295593"/>
      <w:bookmarkStart w:id="1323" w:name="_Toc297120519"/>
      <w:bookmarkStart w:id="1324" w:name="_Toc300935015"/>
      <w:bookmarkStart w:id="1325" w:name="_Toc296944558"/>
      <w:bookmarkStart w:id="1326" w:name="_Toc296346720"/>
      <w:bookmarkStart w:id="1327" w:name="_Toc297216223"/>
      <w:bookmarkStart w:id="1328" w:name="_Toc292559929"/>
      <w:bookmarkStart w:id="1329" w:name="_Toc312678053"/>
      <w:bookmarkStart w:id="1330" w:name="_Toc292559424"/>
      <w:r>
        <w:rPr>
          <w:rFonts w:hint="eastAsia" w:ascii="宋体" w:hAnsi="宋体" w:cs="宋体"/>
          <w:b/>
          <w:bCs/>
          <w:color w:val="auto"/>
          <w:kern w:val="44"/>
          <w:sz w:val="21"/>
          <w:szCs w:val="21"/>
          <w:highlight w:val="none"/>
        </w:rPr>
        <w:t>13. 验收</w:t>
      </w:r>
      <w:bookmarkEnd w:id="1312"/>
      <w:bookmarkEnd w:id="1313"/>
      <w:bookmarkEnd w:id="1314"/>
    </w:p>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14:paraId="5967AC01">
      <w:pPr>
        <w:keepNext/>
        <w:keepLines/>
        <w:spacing w:line="480" w:lineRule="exact"/>
        <w:ind w:firstLine="0" w:firstLineChars="0"/>
        <w:outlineLvl w:val="0"/>
        <w:rPr>
          <w:rFonts w:ascii="宋体" w:hAnsi="宋体" w:cs="宋体"/>
          <w:b/>
          <w:bCs/>
          <w:color w:val="auto"/>
          <w:kern w:val="44"/>
          <w:sz w:val="21"/>
          <w:szCs w:val="21"/>
          <w:highlight w:val="none"/>
        </w:rPr>
      </w:pPr>
      <w:bookmarkStart w:id="1331" w:name="_Toc417904337"/>
      <w:bookmarkStart w:id="1332" w:name="_Toc478389251"/>
      <w:r>
        <w:rPr>
          <w:rFonts w:hint="eastAsia" w:ascii="宋体" w:hAnsi="宋体" w:cs="宋体"/>
          <w:b/>
          <w:bCs/>
          <w:color w:val="auto"/>
          <w:kern w:val="44"/>
          <w:sz w:val="21"/>
          <w:szCs w:val="21"/>
          <w:highlight w:val="none"/>
        </w:rPr>
        <w:t>13.1 分部分项工程验收</w:t>
      </w:r>
      <w:bookmarkEnd w:id="1331"/>
      <w:bookmarkEnd w:id="1332"/>
    </w:p>
    <w:p w14:paraId="793E8C16">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13.1.2监理人不能按时进行验收时，应提前</w:t>
      </w:r>
      <w:r>
        <w:rPr>
          <w:rFonts w:hint="eastAsia" w:ascii="宋体" w:hAnsi="宋体" w:cs="宋体"/>
          <w:color w:val="auto"/>
          <w:sz w:val="21"/>
          <w:szCs w:val="21"/>
          <w:highlight w:val="none"/>
          <w:u w:val="single"/>
        </w:rPr>
        <w:t xml:space="preserve">  24   </w:t>
      </w:r>
      <w:r>
        <w:rPr>
          <w:rFonts w:hint="eastAsia" w:ascii="宋体" w:hAnsi="宋体" w:cs="宋体"/>
          <w:color w:val="auto"/>
          <w:sz w:val="21"/>
          <w:szCs w:val="21"/>
          <w:highlight w:val="none"/>
        </w:rPr>
        <w:t>小时提交书面延期要求。</w:t>
      </w:r>
    </w:p>
    <w:p w14:paraId="6F91189B">
      <w:pPr>
        <w:spacing w:line="480" w:lineRule="exact"/>
        <w:ind w:firstLine="420"/>
        <w:rPr>
          <w:rFonts w:ascii="宋体" w:hAnsi="宋体" w:cs="宋体"/>
          <w:b/>
          <w:color w:val="auto"/>
          <w:sz w:val="21"/>
          <w:szCs w:val="21"/>
          <w:highlight w:val="none"/>
        </w:rPr>
      </w:pPr>
      <w:r>
        <w:rPr>
          <w:rFonts w:hint="eastAsia" w:ascii="宋体" w:hAnsi="宋体" w:cs="宋体"/>
          <w:color w:val="auto"/>
          <w:sz w:val="21"/>
          <w:szCs w:val="21"/>
          <w:highlight w:val="none"/>
        </w:rPr>
        <w:t>关于延期最长不得超过：</w:t>
      </w:r>
      <w:r>
        <w:rPr>
          <w:rFonts w:hint="eastAsia" w:ascii="宋体" w:hAnsi="宋体" w:cs="宋体"/>
          <w:color w:val="auto"/>
          <w:sz w:val="21"/>
          <w:szCs w:val="21"/>
          <w:highlight w:val="none"/>
          <w:u w:val="single"/>
        </w:rPr>
        <w:t xml:space="preserve">    48    </w:t>
      </w:r>
      <w:r>
        <w:rPr>
          <w:rFonts w:hint="eastAsia" w:ascii="宋体" w:hAnsi="宋体" w:cs="宋体"/>
          <w:color w:val="auto"/>
          <w:sz w:val="21"/>
          <w:szCs w:val="21"/>
          <w:highlight w:val="none"/>
        </w:rPr>
        <w:t>小时。</w:t>
      </w:r>
    </w:p>
    <w:p w14:paraId="2C69F2D0">
      <w:pPr>
        <w:keepNext/>
        <w:keepLines/>
        <w:spacing w:line="480" w:lineRule="exact"/>
        <w:ind w:firstLine="0" w:firstLineChars="0"/>
        <w:outlineLvl w:val="0"/>
        <w:rPr>
          <w:rFonts w:ascii="宋体" w:hAnsi="宋体" w:cs="宋体"/>
          <w:b/>
          <w:bCs/>
          <w:color w:val="auto"/>
          <w:kern w:val="44"/>
          <w:sz w:val="21"/>
          <w:szCs w:val="21"/>
          <w:highlight w:val="none"/>
        </w:rPr>
      </w:pPr>
      <w:bookmarkStart w:id="1333" w:name="_Toc478389252"/>
      <w:bookmarkStart w:id="1334" w:name="_Toc417904338"/>
      <w:bookmarkStart w:id="1335" w:name="_Toc292559933"/>
      <w:bookmarkStart w:id="1336" w:name="_Toc303539173"/>
      <w:bookmarkStart w:id="1337" w:name="_Toc297123565"/>
      <w:bookmarkStart w:id="1338" w:name="_Toc296346724"/>
      <w:bookmarkStart w:id="1339" w:name="_Toc296891263"/>
      <w:bookmarkStart w:id="1340" w:name="_Toc292559428"/>
      <w:bookmarkStart w:id="1341" w:name="_Toc297216224"/>
      <w:bookmarkStart w:id="1342" w:name="_Toc297120523"/>
      <w:bookmarkStart w:id="1343" w:name="_Toc296891051"/>
      <w:bookmarkStart w:id="1344" w:name="_Toc304295596"/>
      <w:bookmarkStart w:id="1345" w:name="_Toc297048409"/>
      <w:bookmarkStart w:id="1346" w:name="_Toc312678056"/>
      <w:bookmarkStart w:id="1347" w:name="_Toc296503223"/>
      <w:bookmarkStart w:id="1348" w:name="_Toc300935016"/>
      <w:bookmarkStart w:id="1349" w:name="_Toc296944562"/>
      <w:bookmarkStart w:id="1350" w:name="_Toc296347222"/>
      <w:bookmarkStart w:id="1351" w:name="_Toc267251472"/>
      <w:bookmarkStart w:id="1352" w:name="_Toc267251473"/>
      <w:bookmarkStart w:id="1353" w:name="_Toc267251476"/>
      <w:bookmarkStart w:id="1354" w:name="_Toc267251470"/>
      <w:bookmarkStart w:id="1355" w:name="_Toc267251471"/>
      <w:bookmarkStart w:id="1356" w:name="_Toc267251474"/>
      <w:bookmarkStart w:id="1357" w:name="_Toc267251475"/>
      <w:r>
        <w:rPr>
          <w:rFonts w:hint="eastAsia" w:ascii="宋体" w:hAnsi="宋体" w:cs="宋体"/>
          <w:b/>
          <w:bCs/>
          <w:color w:val="auto"/>
          <w:kern w:val="44"/>
          <w:sz w:val="21"/>
          <w:szCs w:val="21"/>
          <w:highlight w:val="none"/>
        </w:rPr>
        <w:t>13.2 竣工验收</w:t>
      </w:r>
      <w:bookmarkEnd w:id="1333"/>
      <w:bookmarkEnd w:id="1334"/>
    </w:p>
    <w:p w14:paraId="7794DCD1">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13.2.1竣工验收条件</w:t>
      </w:r>
    </w:p>
    <w:p w14:paraId="24E8342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（3）承包人负责整理和提交的竣工验收资料应当符合工程所在地建设行政主管部门和</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或</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城市建设档案管理机构有关施工资料的要求，具体内容包括：</w:t>
      </w:r>
      <w:r>
        <w:rPr>
          <w:rFonts w:hint="eastAsia" w:ascii="宋体" w:hAnsi="宋体" w:cs="宋体"/>
          <w:color w:val="auto"/>
          <w:sz w:val="21"/>
          <w:szCs w:val="21"/>
          <w:highlight w:val="none"/>
          <w:u w:val="single"/>
        </w:rPr>
        <w:t>①工程具备竣工验收条件，承包人按工程竣工验收有关规定，向发包人提交符合城建档案馆归档要求内容装订成册的完整竣工资料及竣工验收报告、工程竣工图；②承包人所提交的竣工资料必须符合《建设工程文件归档整理规范》要求</w:t>
      </w:r>
      <w:r>
        <w:rPr>
          <w:rFonts w:hint="eastAsia" w:ascii="宋体" w:hAnsi="宋体" w:cs="宋体"/>
          <w:color w:val="auto"/>
          <w:sz w:val="21"/>
          <w:szCs w:val="21"/>
          <w:highlight w:val="none"/>
        </w:rPr>
        <w:t>。</w:t>
      </w:r>
    </w:p>
    <w:p w14:paraId="7B25FB02">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竣工验收资料的份数：</w:t>
      </w:r>
      <w:r>
        <w:rPr>
          <w:rFonts w:hint="eastAsia" w:ascii="宋体" w:hAnsi="宋体" w:cs="宋体"/>
          <w:color w:val="auto"/>
          <w:sz w:val="21"/>
          <w:szCs w:val="21"/>
          <w:highlight w:val="none"/>
          <w:u w:val="single"/>
        </w:rPr>
        <w:t xml:space="preserve">   4份     </w:t>
      </w:r>
      <w:r>
        <w:rPr>
          <w:rFonts w:hint="eastAsia" w:ascii="宋体" w:hAnsi="宋体" w:cs="宋体"/>
          <w:color w:val="auto"/>
          <w:sz w:val="21"/>
          <w:szCs w:val="21"/>
          <w:highlight w:val="none"/>
        </w:rPr>
        <w:t>。</w:t>
      </w:r>
    </w:p>
    <w:p w14:paraId="7B1B6E10">
      <w:pPr>
        <w:spacing w:line="480" w:lineRule="exact"/>
        <w:ind w:firstLine="420"/>
        <w:rPr>
          <w:rFonts w:ascii="宋体" w:hAnsi="宋体" w:cs="宋体"/>
          <w:color w:val="auto"/>
          <w:sz w:val="21"/>
          <w:szCs w:val="21"/>
          <w:highlight w:val="none"/>
        </w:rPr>
      </w:pPr>
      <w:r>
        <w:rPr>
          <w:rFonts w:hint="eastAsia" w:ascii="宋体" w:hAnsi="宋体" w:cs="宋体"/>
          <w:bCs/>
          <w:color w:val="auto"/>
          <w:sz w:val="21"/>
          <w:szCs w:val="21"/>
          <w:highlight w:val="none"/>
        </w:rPr>
        <w:t>承包人提供竣工图的约定：</w:t>
      </w:r>
      <w:r>
        <w:rPr>
          <w:rFonts w:hint="eastAsia" w:ascii="宋体" w:hAnsi="宋体" w:cs="宋体"/>
          <w:bCs/>
          <w:color w:val="auto"/>
          <w:sz w:val="21"/>
          <w:szCs w:val="21"/>
          <w:highlight w:val="none"/>
          <w:u w:val="single"/>
        </w:rPr>
        <w:t>竣工验收正式通过后5天（工程造价在500万元以下含500万元）、10天（工程造价在500万元至1000万元之间含1000万元）、15天（工程造价在1000万元以上），提供竣工图的数量6套。</w:t>
      </w:r>
    </w:p>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14:paraId="665A6335">
      <w:pPr>
        <w:spacing w:line="480" w:lineRule="exact"/>
        <w:ind w:firstLine="420"/>
        <w:rPr>
          <w:rFonts w:ascii="宋体" w:hAnsi="宋体" w:cs="宋体"/>
          <w:color w:val="auto"/>
          <w:sz w:val="21"/>
          <w:szCs w:val="21"/>
          <w:highlight w:val="none"/>
        </w:rPr>
      </w:pPr>
      <w:bookmarkStart w:id="1358" w:name="_Toc280868704"/>
      <w:bookmarkStart w:id="1359" w:name="_Toc280868705"/>
      <w:bookmarkStart w:id="1360" w:name="_Toc280868706"/>
      <w:bookmarkStart w:id="1361" w:name="_Toc280868707"/>
      <w:bookmarkStart w:id="1362" w:name="_Toc280868708"/>
      <w:bookmarkStart w:id="1363" w:name="_Toc280868709"/>
      <w:r>
        <w:rPr>
          <w:rFonts w:hint="eastAsia" w:ascii="宋体" w:hAnsi="宋体" w:cs="宋体"/>
          <w:color w:val="auto"/>
          <w:sz w:val="21"/>
          <w:szCs w:val="21"/>
          <w:highlight w:val="none"/>
        </w:rPr>
        <w:t>13.2.2竣工验收程序</w:t>
      </w:r>
    </w:p>
    <w:bookmarkEnd w:id="1358"/>
    <w:p w14:paraId="349CCAC9">
      <w:pPr>
        <w:spacing w:line="480" w:lineRule="exact"/>
        <w:ind w:firstLine="420"/>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rPr>
        <w:t>关于竣工验收程序的约定：</w:t>
      </w:r>
      <w:r>
        <w:rPr>
          <w:rFonts w:hint="eastAsia" w:ascii="宋体" w:hAnsi="宋体" w:cs="宋体"/>
          <w:color w:val="auto"/>
          <w:sz w:val="21"/>
          <w:szCs w:val="21"/>
          <w:highlight w:val="none"/>
          <w:u w:val="single"/>
          <w:lang w:val="en-US" w:eastAsia="zh-CN"/>
        </w:rPr>
        <w:t>1.</w:t>
      </w:r>
      <w:r>
        <w:rPr>
          <w:rFonts w:hint="eastAsia" w:ascii="宋体" w:hAnsi="宋体" w:cs="宋体"/>
          <w:color w:val="auto"/>
          <w:sz w:val="21"/>
          <w:szCs w:val="21"/>
          <w:highlight w:val="none"/>
          <w:u w:val="single"/>
        </w:rPr>
        <w:t>按国家及地方规</w:t>
      </w:r>
      <w:r>
        <w:rPr>
          <w:rFonts w:hint="eastAsia" w:ascii="宋体" w:hAnsi="宋体" w:eastAsia="宋体" w:cs="宋体"/>
          <w:color w:val="auto"/>
          <w:sz w:val="21"/>
          <w:szCs w:val="21"/>
          <w:highlight w:val="none"/>
          <w:u w:val="single"/>
        </w:rPr>
        <w:t>定和规范要求。</w:t>
      </w:r>
      <w:r>
        <w:rPr>
          <w:rFonts w:hint="eastAsia" w:ascii="宋体" w:hAnsi="宋体" w:eastAsia="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lang w:eastAsia="zh-CN"/>
        </w:rPr>
        <w:t>承包人须</w:t>
      </w:r>
      <w:r>
        <w:rPr>
          <w:rFonts w:hint="eastAsia" w:ascii="宋体" w:hAnsi="宋体" w:eastAsia="宋体" w:cs="宋体"/>
          <w:color w:val="auto"/>
          <w:sz w:val="21"/>
          <w:szCs w:val="21"/>
          <w:highlight w:val="none"/>
          <w:u w:val="single"/>
        </w:rPr>
        <w:t>根据设计图纸要求</w:t>
      </w:r>
      <w:r>
        <w:rPr>
          <w:rFonts w:hint="eastAsia" w:ascii="宋体" w:hAnsi="宋体" w:cs="宋体"/>
          <w:color w:val="auto"/>
          <w:sz w:val="21"/>
          <w:szCs w:val="21"/>
          <w:highlight w:val="none"/>
          <w:u w:val="single"/>
          <w:lang w:eastAsia="zh-CN"/>
        </w:rPr>
        <w:t>进行施工</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eastAsia="zh-CN"/>
        </w:rPr>
        <w:t>发包人</w:t>
      </w:r>
      <w:r>
        <w:rPr>
          <w:rFonts w:hint="eastAsia" w:ascii="宋体" w:hAnsi="宋体" w:eastAsia="宋体" w:cs="宋体"/>
          <w:color w:val="auto"/>
          <w:sz w:val="21"/>
          <w:szCs w:val="21"/>
          <w:highlight w:val="none"/>
          <w:u w:val="single"/>
        </w:rPr>
        <w:t>可根据需要，由</w:t>
      </w:r>
      <w:r>
        <w:rPr>
          <w:rFonts w:hint="eastAsia" w:ascii="宋体" w:hAnsi="宋体" w:eastAsia="宋体" w:cs="宋体"/>
          <w:color w:val="auto"/>
          <w:sz w:val="21"/>
          <w:szCs w:val="21"/>
          <w:highlight w:val="none"/>
          <w:u w:val="single"/>
          <w:lang w:eastAsia="zh-CN"/>
        </w:rPr>
        <w:t>发包人</w:t>
      </w:r>
      <w:r>
        <w:rPr>
          <w:rFonts w:hint="eastAsia" w:ascii="宋体" w:hAnsi="宋体" w:eastAsia="宋体" w:cs="宋体"/>
          <w:color w:val="auto"/>
          <w:sz w:val="21"/>
          <w:szCs w:val="21"/>
          <w:highlight w:val="none"/>
          <w:u w:val="single"/>
        </w:rPr>
        <w:t>安排人员随机取样送第三方检测</w:t>
      </w:r>
      <w:r>
        <w:rPr>
          <w:rFonts w:hint="eastAsia" w:ascii="宋体" w:hAnsi="宋体" w:eastAsia="宋体" w:cs="宋体"/>
          <w:color w:val="auto"/>
          <w:sz w:val="21"/>
          <w:szCs w:val="21"/>
          <w:highlight w:val="none"/>
          <w:u w:val="single"/>
          <w:lang w:eastAsia="zh-CN"/>
        </w:rPr>
        <w:t>机构进行</w:t>
      </w:r>
      <w:r>
        <w:rPr>
          <w:rFonts w:hint="eastAsia" w:ascii="宋体" w:hAnsi="宋体" w:eastAsia="宋体" w:cs="宋体"/>
          <w:color w:val="auto"/>
          <w:sz w:val="21"/>
          <w:szCs w:val="21"/>
          <w:highlight w:val="none"/>
          <w:u w:val="single"/>
        </w:rPr>
        <w:t>检测</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检测合格</w:t>
      </w:r>
      <w:r>
        <w:rPr>
          <w:rFonts w:hint="eastAsia" w:ascii="宋体" w:hAnsi="宋体" w:eastAsia="宋体" w:cs="宋体"/>
          <w:color w:val="auto"/>
          <w:sz w:val="21"/>
          <w:szCs w:val="21"/>
          <w:highlight w:val="none"/>
          <w:u w:val="single"/>
          <w:lang w:eastAsia="zh-CN"/>
        </w:rPr>
        <w:t>的</w:t>
      </w:r>
      <w:r>
        <w:rPr>
          <w:rFonts w:hint="eastAsia" w:ascii="宋体" w:hAnsi="宋体" w:eastAsia="宋体" w:cs="宋体"/>
          <w:color w:val="auto"/>
          <w:sz w:val="21"/>
          <w:szCs w:val="21"/>
          <w:highlight w:val="none"/>
          <w:u w:val="single"/>
        </w:rPr>
        <w:t>，检测费用由</w:t>
      </w:r>
      <w:r>
        <w:rPr>
          <w:rFonts w:hint="eastAsia" w:ascii="宋体" w:hAnsi="宋体" w:eastAsia="宋体" w:cs="宋体"/>
          <w:color w:val="auto"/>
          <w:sz w:val="21"/>
          <w:szCs w:val="21"/>
          <w:highlight w:val="none"/>
          <w:u w:val="single"/>
          <w:lang w:eastAsia="zh-CN"/>
        </w:rPr>
        <w:t>发包人</w:t>
      </w:r>
      <w:r>
        <w:rPr>
          <w:rFonts w:hint="eastAsia" w:ascii="宋体" w:hAnsi="宋体" w:eastAsia="宋体" w:cs="宋体"/>
          <w:color w:val="auto"/>
          <w:sz w:val="21"/>
          <w:szCs w:val="21"/>
          <w:highlight w:val="none"/>
          <w:u w:val="single"/>
        </w:rPr>
        <w:t>支付；如检测结果不合格，检测费用由</w:t>
      </w:r>
      <w:r>
        <w:rPr>
          <w:rFonts w:hint="eastAsia" w:ascii="宋体" w:hAnsi="宋体" w:eastAsia="宋体" w:cs="宋体"/>
          <w:color w:val="auto"/>
          <w:sz w:val="21"/>
          <w:szCs w:val="21"/>
          <w:highlight w:val="none"/>
          <w:u w:val="single"/>
          <w:lang w:eastAsia="zh-CN"/>
        </w:rPr>
        <w:t>承包人</w:t>
      </w:r>
      <w:r>
        <w:rPr>
          <w:rFonts w:hint="eastAsia" w:ascii="宋体" w:hAnsi="宋体" w:eastAsia="宋体" w:cs="宋体"/>
          <w:color w:val="auto"/>
          <w:sz w:val="21"/>
          <w:szCs w:val="21"/>
          <w:highlight w:val="none"/>
          <w:u w:val="single"/>
        </w:rPr>
        <w:t>支付且</w:t>
      </w:r>
      <w:r>
        <w:rPr>
          <w:rFonts w:hint="eastAsia" w:ascii="宋体" w:hAnsi="宋体" w:eastAsia="宋体" w:cs="宋体"/>
          <w:color w:val="auto"/>
          <w:sz w:val="21"/>
          <w:szCs w:val="21"/>
          <w:highlight w:val="none"/>
          <w:u w:val="single"/>
          <w:lang w:eastAsia="zh-CN"/>
        </w:rPr>
        <w:t>承包人负责</w:t>
      </w:r>
      <w:r>
        <w:rPr>
          <w:rFonts w:hint="eastAsia" w:ascii="宋体" w:hAnsi="宋体" w:eastAsia="宋体" w:cs="宋体"/>
          <w:color w:val="auto"/>
          <w:sz w:val="21"/>
          <w:szCs w:val="21"/>
          <w:highlight w:val="none"/>
          <w:u w:val="single"/>
        </w:rPr>
        <w:t>整改至合格为止</w:t>
      </w:r>
      <w:r>
        <w:rPr>
          <w:rFonts w:hint="eastAsia" w:ascii="宋体" w:hAnsi="宋体" w:eastAsia="宋体" w:cs="宋体"/>
          <w:color w:val="auto"/>
          <w:sz w:val="21"/>
          <w:szCs w:val="21"/>
          <w:highlight w:val="none"/>
          <w:u w:val="single"/>
          <w:lang w:eastAsia="zh-CN"/>
        </w:rPr>
        <w:t>，所产生的费用由承包人自行承担</w:t>
      </w:r>
      <w:r>
        <w:rPr>
          <w:rFonts w:hint="eastAsia" w:ascii="宋体" w:hAnsi="宋体" w:eastAsia="宋体" w:cs="宋体"/>
          <w:color w:val="auto"/>
          <w:sz w:val="21"/>
          <w:szCs w:val="21"/>
          <w:highlight w:val="none"/>
          <w:u w:val="single"/>
        </w:rPr>
        <w:t>。</w:t>
      </w:r>
    </w:p>
    <w:p w14:paraId="7E1C5563">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发包人不按照本项约定组织竣工验收、颁发工程接收证书的违约金的计算方法：</w:t>
      </w:r>
      <w:r>
        <w:rPr>
          <w:rFonts w:hint="eastAsia" w:ascii="宋体" w:hAnsi="宋体" w:cs="宋体"/>
          <w:color w:val="auto"/>
          <w:sz w:val="21"/>
          <w:szCs w:val="21"/>
          <w:highlight w:val="none"/>
          <w:u w:val="single"/>
        </w:rPr>
        <w:t xml:space="preserve"> 无</w:t>
      </w:r>
      <w:r>
        <w:rPr>
          <w:rFonts w:hint="eastAsia" w:ascii="宋体" w:hAnsi="宋体" w:cs="宋体"/>
          <w:color w:val="auto"/>
          <w:sz w:val="21"/>
          <w:szCs w:val="21"/>
          <w:highlight w:val="none"/>
        </w:rPr>
        <w:t>。</w:t>
      </w:r>
    </w:p>
    <w:bookmarkEnd w:id="1359"/>
    <w:p w14:paraId="2004A509">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13.2.5移交、接收全部与部分工程</w:t>
      </w:r>
    </w:p>
    <w:bookmarkEnd w:id="1360"/>
    <w:p w14:paraId="6D3C1DAA">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承包人向发包人移交工程的期限：</w:t>
      </w:r>
      <w:r>
        <w:rPr>
          <w:rFonts w:hint="eastAsia" w:ascii="宋体" w:hAnsi="宋体" w:cs="宋体"/>
          <w:color w:val="auto"/>
          <w:sz w:val="21"/>
          <w:szCs w:val="21"/>
          <w:highlight w:val="none"/>
          <w:u w:val="single"/>
        </w:rPr>
        <w:t xml:space="preserve">  竣工验收后7天内   </w:t>
      </w:r>
      <w:r>
        <w:rPr>
          <w:rFonts w:hint="eastAsia" w:ascii="宋体" w:hAnsi="宋体" w:cs="宋体"/>
          <w:color w:val="auto"/>
          <w:sz w:val="21"/>
          <w:szCs w:val="21"/>
          <w:highlight w:val="none"/>
        </w:rPr>
        <w:t>。</w:t>
      </w:r>
    </w:p>
    <w:p w14:paraId="364AE2F7">
      <w:pPr>
        <w:spacing w:line="48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发包人未按本合同约定接收全部或部分工程的，违约金的计算方法为：</w:t>
      </w:r>
      <w:r>
        <w:rPr>
          <w:rFonts w:hint="eastAsia" w:ascii="宋体" w:hAnsi="宋体" w:cs="宋体"/>
          <w:color w:val="auto"/>
          <w:sz w:val="21"/>
          <w:szCs w:val="21"/>
          <w:highlight w:val="none"/>
          <w:u w:val="single"/>
        </w:rPr>
        <w:t xml:space="preserve"> 按延期工程造价万分之二，最高限额为延期工程造价2%　 </w:t>
      </w:r>
      <w:r>
        <w:rPr>
          <w:rFonts w:hint="eastAsia" w:ascii="宋体" w:hAnsi="宋体" w:cs="宋体"/>
          <w:color w:val="auto"/>
          <w:sz w:val="21"/>
          <w:szCs w:val="21"/>
          <w:highlight w:val="none"/>
        </w:rPr>
        <w:t>。</w:t>
      </w:r>
    </w:p>
    <w:bookmarkEnd w:id="1361"/>
    <w:p w14:paraId="71F20042">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承包人未按时移交工程的，违约金的计算方法为：</w:t>
      </w:r>
      <w:r>
        <w:rPr>
          <w:rFonts w:hint="eastAsia" w:ascii="宋体" w:hAnsi="宋体" w:cs="宋体"/>
          <w:color w:val="auto"/>
          <w:sz w:val="21"/>
          <w:szCs w:val="21"/>
          <w:highlight w:val="none"/>
          <w:u w:val="single"/>
        </w:rPr>
        <w:t xml:space="preserve">按延期工程造价万分之四，最高限额为延期工程造价2%   </w:t>
      </w:r>
      <w:r>
        <w:rPr>
          <w:rFonts w:hint="eastAsia" w:ascii="宋体" w:hAnsi="宋体" w:cs="宋体"/>
          <w:color w:val="auto"/>
          <w:sz w:val="21"/>
          <w:szCs w:val="21"/>
          <w:highlight w:val="none"/>
        </w:rPr>
        <w:t>。</w:t>
      </w:r>
    </w:p>
    <w:bookmarkEnd w:id="1362"/>
    <w:p w14:paraId="6C00DEB5">
      <w:pPr>
        <w:keepNext/>
        <w:keepLines/>
        <w:spacing w:line="480" w:lineRule="exact"/>
        <w:ind w:firstLine="0" w:firstLineChars="0"/>
        <w:outlineLvl w:val="0"/>
        <w:rPr>
          <w:rFonts w:ascii="宋体" w:hAnsi="宋体" w:cs="宋体"/>
          <w:b/>
          <w:bCs/>
          <w:color w:val="auto"/>
          <w:kern w:val="44"/>
          <w:sz w:val="21"/>
          <w:szCs w:val="21"/>
          <w:highlight w:val="none"/>
        </w:rPr>
      </w:pPr>
      <w:bookmarkStart w:id="1364" w:name="_Toc417904342"/>
      <w:bookmarkStart w:id="1365" w:name="_Toc478389253"/>
      <w:r>
        <w:rPr>
          <w:rFonts w:hint="eastAsia" w:ascii="宋体" w:hAnsi="宋体" w:cs="宋体"/>
          <w:b/>
          <w:bCs/>
          <w:color w:val="auto"/>
          <w:kern w:val="44"/>
          <w:sz w:val="21"/>
          <w:szCs w:val="21"/>
          <w:highlight w:val="none"/>
        </w:rPr>
        <w:t>13.6 竣工退场</w:t>
      </w:r>
      <w:bookmarkEnd w:id="1364"/>
      <w:bookmarkEnd w:id="1365"/>
    </w:p>
    <w:p w14:paraId="786CB3F8">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13.6.1 竣工退场</w:t>
      </w:r>
    </w:p>
    <w:p w14:paraId="7D4138C9">
      <w:pPr>
        <w:spacing w:line="48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承包人完成竣工退场的期限：</w:t>
      </w:r>
      <w:r>
        <w:rPr>
          <w:rFonts w:hint="eastAsia" w:ascii="宋体" w:hAnsi="宋体" w:cs="宋体"/>
          <w:color w:val="auto"/>
          <w:sz w:val="21"/>
          <w:szCs w:val="21"/>
          <w:highlight w:val="none"/>
        </w:rPr>
        <w:t>承包人按照通用合同条款规定撤离施工场地（现场）时，监理人和承包人应当办理永久工程和施工场地移交手续，移交手续以书面方式出具，并分别经过发包人、监理人和承包人的签认。</w:t>
      </w:r>
    </w:p>
    <w:p w14:paraId="4A2C756C">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缺陷责任期满时，承包人可以继续在施工场地保留的人员和施工设备以及最终撤离的期限：</w:t>
      </w:r>
      <w:r>
        <w:rPr>
          <w:rFonts w:hint="eastAsia" w:ascii="宋体" w:hAnsi="宋体" w:cs="宋体"/>
          <w:color w:val="auto"/>
          <w:sz w:val="21"/>
          <w:szCs w:val="21"/>
          <w:highlight w:val="none"/>
          <w:u w:val="single"/>
        </w:rPr>
        <w:t xml:space="preserve">同通用条款 </w:t>
      </w:r>
      <w:r>
        <w:rPr>
          <w:rFonts w:hint="eastAsia" w:ascii="宋体" w:hAnsi="宋体" w:cs="宋体"/>
          <w:color w:val="auto"/>
          <w:sz w:val="21"/>
          <w:szCs w:val="21"/>
          <w:highlight w:val="none"/>
        </w:rPr>
        <w:t>。</w:t>
      </w:r>
    </w:p>
    <w:p w14:paraId="26A19A8F">
      <w:pPr>
        <w:keepNext/>
        <w:keepLines/>
        <w:spacing w:line="480" w:lineRule="exact"/>
        <w:ind w:firstLine="0" w:firstLineChars="0"/>
        <w:outlineLvl w:val="0"/>
        <w:rPr>
          <w:rFonts w:ascii="宋体" w:hAnsi="宋体" w:cs="宋体"/>
          <w:b/>
          <w:bCs/>
          <w:color w:val="auto"/>
          <w:kern w:val="44"/>
          <w:sz w:val="21"/>
          <w:szCs w:val="21"/>
          <w:highlight w:val="none"/>
        </w:rPr>
      </w:pPr>
      <w:bookmarkStart w:id="1366" w:name="_Toc351203646"/>
      <w:bookmarkStart w:id="1367" w:name="_Toc478389254"/>
      <w:bookmarkStart w:id="1368" w:name="_Toc417904343"/>
      <w:r>
        <w:rPr>
          <w:rFonts w:hint="eastAsia" w:ascii="宋体" w:hAnsi="宋体" w:cs="宋体"/>
          <w:b/>
          <w:bCs/>
          <w:color w:val="auto"/>
          <w:kern w:val="44"/>
          <w:sz w:val="21"/>
          <w:szCs w:val="21"/>
          <w:highlight w:val="none"/>
        </w:rPr>
        <w:t>14. 竣工结算</w:t>
      </w:r>
      <w:bookmarkEnd w:id="1366"/>
      <w:bookmarkEnd w:id="1367"/>
      <w:bookmarkEnd w:id="1368"/>
    </w:p>
    <w:p w14:paraId="20B33020">
      <w:pPr>
        <w:keepNext/>
        <w:keepLines/>
        <w:spacing w:line="480" w:lineRule="exact"/>
        <w:ind w:firstLine="0" w:firstLineChars="0"/>
        <w:outlineLvl w:val="0"/>
        <w:rPr>
          <w:rFonts w:ascii="宋体" w:hAnsi="宋体" w:cs="宋体"/>
          <w:b/>
          <w:bCs/>
          <w:color w:val="auto"/>
          <w:kern w:val="44"/>
          <w:sz w:val="21"/>
          <w:szCs w:val="21"/>
          <w:highlight w:val="none"/>
        </w:rPr>
      </w:pPr>
      <w:bookmarkStart w:id="1369" w:name="_Toc478389255"/>
      <w:bookmarkStart w:id="1370" w:name="_Toc417904344"/>
      <w:r>
        <w:rPr>
          <w:rFonts w:hint="eastAsia" w:ascii="宋体" w:hAnsi="宋体" w:cs="宋体"/>
          <w:b/>
          <w:bCs/>
          <w:color w:val="auto"/>
          <w:kern w:val="44"/>
          <w:sz w:val="21"/>
          <w:szCs w:val="21"/>
          <w:highlight w:val="none"/>
        </w:rPr>
        <w:t>14.1 竣工结算申请</w:t>
      </w:r>
      <w:bookmarkEnd w:id="1369"/>
      <w:bookmarkEnd w:id="1370"/>
    </w:p>
    <w:p w14:paraId="1549FCBE">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承包人提交竣工结算申请单的期限：</w:t>
      </w:r>
      <w:r>
        <w:rPr>
          <w:rFonts w:hint="eastAsia" w:ascii="宋体" w:hAnsi="宋体" w:cs="宋体"/>
          <w:color w:val="auto"/>
          <w:sz w:val="21"/>
          <w:szCs w:val="21"/>
          <w:highlight w:val="none"/>
          <w:u w:val="single"/>
        </w:rPr>
        <w:t xml:space="preserve">  28天内 </w:t>
      </w:r>
      <w:r>
        <w:rPr>
          <w:rFonts w:hint="eastAsia" w:ascii="宋体" w:hAnsi="宋体" w:cs="宋体"/>
          <w:color w:val="auto"/>
          <w:sz w:val="21"/>
          <w:szCs w:val="21"/>
          <w:highlight w:val="none"/>
        </w:rPr>
        <w:t>。</w:t>
      </w:r>
    </w:p>
    <w:p w14:paraId="5271B294">
      <w:pPr>
        <w:spacing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竣工结算申请单应包括的内容：</w:t>
      </w:r>
      <w:r>
        <w:rPr>
          <w:rFonts w:hint="eastAsia" w:ascii="宋体" w:hAnsi="宋体" w:cs="宋体"/>
          <w:color w:val="auto"/>
          <w:sz w:val="21"/>
          <w:szCs w:val="21"/>
          <w:highlight w:val="none"/>
          <w:u w:val="single"/>
        </w:rPr>
        <w:t xml:space="preserve">    已竣工完成的工程量  </w:t>
      </w:r>
      <w:r>
        <w:rPr>
          <w:rFonts w:hint="eastAsia" w:ascii="宋体" w:hAnsi="宋体" w:cs="宋体"/>
          <w:color w:val="auto"/>
          <w:sz w:val="21"/>
          <w:szCs w:val="21"/>
          <w:highlight w:val="none"/>
        </w:rPr>
        <w:t>。</w:t>
      </w:r>
    </w:p>
    <w:p w14:paraId="6EDCC263">
      <w:pPr>
        <w:keepNext/>
        <w:keepLines/>
        <w:spacing w:line="420" w:lineRule="exact"/>
        <w:ind w:firstLine="0" w:firstLineChars="0"/>
        <w:outlineLvl w:val="0"/>
        <w:rPr>
          <w:rFonts w:ascii="宋体" w:hAnsi="宋体" w:cs="宋体"/>
          <w:b/>
          <w:bCs/>
          <w:color w:val="auto"/>
          <w:kern w:val="44"/>
          <w:sz w:val="21"/>
          <w:szCs w:val="21"/>
          <w:highlight w:val="none"/>
        </w:rPr>
      </w:pPr>
      <w:bookmarkStart w:id="1371" w:name="_Toc478389256"/>
      <w:bookmarkStart w:id="1372" w:name="_Toc417904345"/>
      <w:r>
        <w:rPr>
          <w:rFonts w:hint="eastAsia" w:ascii="宋体" w:hAnsi="宋体" w:cs="宋体"/>
          <w:b/>
          <w:bCs/>
          <w:color w:val="auto"/>
          <w:kern w:val="44"/>
          <w:sz w:val="21"/>
          <w:szCs w:val="21"/>
          <w:highlight w:val="none"/>
        </w:rPr>
        <w:t>14.2 竣工结算审核</w:t>
      </w:r>
      <w:bookmarkEnd w:id="1371"/>
      <w:bookmarkEnd w:id="1372"/>
    </w:p>
    <w:p w14:paraId="261A3C03">
      <w:pPr>
        <w:spacing w:line="39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（1）本工程最终竣工结算需报审计部门审定，承包人所编制的工程竣工资料经发包人审核后，送到审计部门之日起，承包人所遗漏的与工程造价有关的资料不再作为结算审核依据，按自动放弃处理。</w:t>
      </w:r>
    </w:p>
    <w:p w14:paraId="577D163B">
      <w:pPr>
        <w:spacing w:line="39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（2）如承包人报送的工程结算总价过高，造成该结算审减率超过6%以上的，则超出6%以上部分的审核费由承包人承担，费用由发包人从承包人工程结算款中扣除。审减率=（送审造价-审定造价）/送审造价*100%。</w:t>
      </w:r>
    </w:p>
    <w:p w14:paraId="74CAB8C9">
      <w:pPr>
        <w:spacing w:line="39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（3）发包人竣工结算报告审查时间</w:t>
      </w:r>
    </w:p>
    <w:tbl>
      <w:tblPr>
        <w:tblStyle w:val="48"/>
        <w:tblW w:w="0" w:type="auto"/>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2835"/>
        <w:gridCol w:w="5245"/>
      </w:tblGrid>
      <w:tr w14:paraId="5A23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201FF1AE">
            <w:pPr>
              <w:spacing w:line="390" w:lineRule="exact"/>
              <w:ind w:right="-120" w:rightChars="-50" w:firstLine="0" w:firstLineChars="0"/>
              <w:rPr>
                <w:rFonts w:ascii="宋体" w:hAnsi="宋体" w:cs="宋体"/>
                <w:bCs/>
                <w:color w:val="auto"/>
                <w:sz w:val="21"/>
                <w:szCs w:val="21"/>
                <w:highlight w:val="none"/>
              </w:rPr>
            </w:pPr>
          </w:p>
        </w:tc>
        <w:tc>
          <w:tcPr>
            <w:tcW w:w="2835" w:type="dxa"/>
            <w:tcBorders>
              <w:top w:val="single" w:color="auto" w:sz="4" w:space="0"/>
              <w:left w:val="single" w:color="auto" w:sz="4" w:space="0"/>
              <w:bottom w:val="single" w:color="auto" w:sz="4" w:space="0"/>
              <w:right w:val="single" w:color="auto" w:sz="4" w:space="0"/>
            </w:tcBorders>
          </w:tcPr>
          <w:p w14:paraId="04876107">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工程竣工结算报告金额</w:t>
            </w:r>
          </w:p>
        </w:tc>
        <w:tc>
          <w:tcPr>
            <w:tcW w:w="5245" w:type="dxa"/>
            <w:tcBorders>
              <w:top w:val="single" w:color="auto" w:sz="4" w:space="0"/>
              <w:left w:val="single" w:color="auto" w:sz="4" w:space="0"/>
              <w:bottom w:val="single" w:color="auto" w:sz="4" w:space="0"/>
              <w:right w:val="single" w:color="auto" w:sz="4" w:space="0"/>
            </w:tcBorders>
          </w:tcPr>
          <w:p w14:paraId="58A20197">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发包人审查时间</w:t>
            </w:r>
          </w:p>
        </w:tc>
      </w:tr>
      <w:tr w14:paraId="5FE6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2B532222">
            <w:pPr>
              <w:spacing w:line="390" w:lineRule="exact"/>
              <w:ind w:right="-120"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w:t>
            </w:r>
          </w:p>
        </w:tc>
        <w:tc>
          <w:tcPr>
            <w:tcW w:w="2835" w:type="dxa"/>
            <w:tcBorders>
              <w:top w:val="single" w:color="auto" w:sz="4" w:space="0"/>
              <w:left w:val="single" w:color="auto" w:sz="4" w:space="0"/>
              <w:bottom w:val="single" w:color="auto" w:sz="4" w:space="0"/>
              <w:right w:val="single" w:color="auto" w:sz="4" w:space="0"/>
            </w:tcBorders>
          </w:tcPr>
          <w:p w14:paraId="2F513111">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500万元以下</w:t>
            </w:r>
          </w:p>
        </w:tc>
        <w:tc>
          <w:tcPr>
            <w:tcW w:w="5245" w:type="dxa"/>
            <w:tcBorders>
              <w:top w:val="single" w:color="auto" w:sz="4" w:space="0"/>
              <w:left w:val="single" w:color="auto" w:sz="4" w:space="0"/>
              <w:bottom w:val="single" w:color="auto" w:sz="4" w:space="0"/>
              <w:right w:val="single" w:color="auto" w:sz="4" w:space="0"/>
            </w:tcBorders>
          </w:tcPr>
          <w:p w14:paraId="58D4344A">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从接到竣工结算报告和完整的竣工结算资料之日起20天</w:t>
            </w:r>
          </w:p>
        </w:tc>
      </w:tr>
      <w:tr w14:paraId="6EC8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34C39728">
            <w:pPr>
              <w:spacing w:line="390" w:lineRule="exact"/>
              <w:ind w:right="-120"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w:t>
            </w:r>
          </w:p>
        </w:tc>
        <w:tc>
          <w:tcPr>
            <w:tcW w:w="2835" w:type="dxa"/>
            <w:tcBorders>
              <w:top w:val="single" w:color="auto" w:sz="4" w:space="0"/>
              <w:left w:val="single" w:color="auto" w:sz="4" w:space="0"/>
              <w:bottom w:val="single" w:color="auto" w:sz="4" w:space="0"/>
              <w:right w:val="single" w:color="auto" w:sz="4" w:space="0"/>
            </w:tcBorders>
          </w:tcPr>
          <w:p w14:paraId="4E8AAE20">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500万元-2000万元</w:t>
            </w:r>
          </w:p>
        </w:tc>
        <w:tc>
          <w:tcPr>
            <w:tcW w:w="5245" w:type="dxa"/>
            <w:tcBorders>
              <w:top w:val="single" w:color="auto" w:sz="4" w:space="0"/>
              <w:left w:val="single" w:color="auto" w:sz="4" w:space="0"/>
              <w:bottom w:val="single" w:color="auto" w:sz="4" w:space="0"/>
              <w:right w:val="single" w:color="auto" w:sz="4" w:space="0"/>
            </w:tcBorders>
          </w:tcPr>
          <w:p w14:paraId="3946DE3D">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从接到竣工结算报告和完整的竣工结算资料之日起30天</w:t>
            </w:r>
          </w:p>
        </w:tc>
      </w:tr>
      <w:tr w14:paraId="2257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1F740644">
            <w:pPr>
              <w:spacing w:line="390" w:lineRule="exact"/>
              <w:ind w:right="-120"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w:t>
            </w:r>
          </w:p>
        </w:tc>
        <w:tc>
          <w:tcPr>
            <w:tcW w:w="2835" w:type="dxa"/>
            <w:tcBorders>
              <w:top w:val="single" w:color="auto" w:sz="4" w:space="0"/>
              <w:left w:val="single" w:color="auto" w:sz="4" w:space="0"/>
              <w:bottom w:val="single" w:color="auto" w:sz="4" w:space="0"/>
              <w:right w:val="single" w:color="auto" w:sz="4" w:space="0"/>
            </w:tcBorders>
          </w:tcPr>
          <w:p w14:paraId="41211494">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2000万元-5000万元</w:t>
            </w:r>
          </w:p>
        </w:tc>
        <w:tc>
          <w:tcPr>
            <w:tcW w:w="5245" w:type="dxa"/>
            <w:tcBorders>
              <w:top w:val="single" w:color="auto" w:sz="4" w:space="0"/>
              <w:left w:val="single" w:color="auto" w:sz="4" w:space="0"/>
              <w:bottom w:val="single" w:color="auto" w:sz="4" w:space="0"/>
              <w:right w:val="single" w:color="auto" w:sz="4" w:space="0"/>
            </w:tcBorders>
          </w:tcPr>
          <w:p w14:paraId="2D1F3C3F">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从接到竣工结算报告和完整的竣工结算资料之日起45天</w:t>
            </w:r>
          </w:p>
        </w:tc>
      </w:tr>
      <w:tr w14:paraId="6354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tcBorders>
              <w:top w:val="single" w:color="auto" w:sz="4" w:space="0"/>
              <w:left w:val="single" w:color="auto" w:sz="4" w:space="0"/>
              <w:bottom w:val="single" w:color="auto" w:sz="4" w:space="0"/>
              <w:right w:val="single" w:color="auto" w:sz="4" w:space="0"/>
            </w:tcBorders>
          </w:tcPr>
          <w:p w14:paraId="7F7A8CFC">
            <w:pPr>
              <w:spacing w:line="390" w:lineRule="exact"/>
              <w:ind w:right="-120" w:rightChars="-5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w:t>
            </w:r>
          </w:p>
        </w:tc>
        <w:tc>
          <w:tcPr>
            <w:tcW w:w="2835" w:type="dxa"/>
            <w:tcBorders>
              <w:top w:val="single" w:color="auto" w:sz="4" w:space="0"/>
              <w:left w:val="single" w:color="auto" w:sz="4" w:space="0"/>
              <w:bottom w:val="single" w:color="auto" w:sz="4" w:space="0"/>
              <w:right w:val="single" w:color="auto" w:sz="4" w:space="0"/>
            </w:tcBorders>
          </w:tcPr>
          <w:p w14:paraId="1B7F9410">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5000万元以上</w:t>
            </w:r>
          </w:p>
        </w:tc>
        <w:tc>
          <w:tcPr>
            <w:tcW w:w="5245" w:type="dxa"/>
            <w:tcBorders>
              <w:top w:val="single" w:color="auto" w:sz="4" w:space="0"/>
              <w:left w:val="single" w:color="auto" w:sz="4" w:space="0"/>
              <w:bottom w:val="single" w:color="auto" w:sz="4" w:space="0"/>
              <w:right w:val="single" w:color="auto" w:sz="4" w:space="0"/>
            </w:tcBorders>
          </w:tcPr>
          <w:p w14:paraId="085FEEAD">
            <w:pPr>
              <w:spacing w:line="390" w:lineRule="exact"/>
              <w:ind w:right="-120" w:rightChars="-50" w:firstLine="0" w:firstLineChars="0"/>
              <w:jc w:val="center"/>
              <w:rPr>
                <w:rFonts w:ascii="宋体" w:hAnsi="宋体" w:cs="宋体"/>
                <w:bCs/>
                <w:color w:val="auto"/>
                <w:sz w:val="21"/>
                <w:szCs w:val="21"/>
                <w:highlight w:val="none"/>
              </w:rPr>
            </w:pPr>
            <w:r>
              <w:rPr>
                <w:rFonts w:hint="eastAsia" w:ascii="宋体" w:hAnsi="宋体" w:cs="宋体"/>
                <w:bCs/>
                <w:color w:val="auto"/>
                <w:sz w:val="21"/>
                <w:szCs w:val="21"/>
                <w:highlight w:val="none"/>
              </w:rPr>
              <w:t>从接到竣工结算报告和完整的竣工结算资料之日起60天</w:t>
            </w:r>
          </w:p>
        </w:tc>
      </w:tr>
    </w:tbl>
    <w:p w14:paraId="2B7EE49C">
      <w:pPr>
        <w:spacing w:line="420" w:lineRule="exact"/>
        <w:ind w:firstLine="420"/>
        <w:rPr>
          <w:rFonts w:ascii="宋体" w:hAnsi="宋体" w:cs="宋体"/>
          <w:bCs/>
          <w:color w:val="auto"/>
          <w:kern w:val="0"/>
          <w:sz w:val="21"/>
          <w:szCs w:val="21"/>
          <w:highlight w:val="none"/>
        </w:rPr>
      </w:pPr>
      <w:r>
        <w:rPr>
          <w:rFonts w:hint="eastAsia" w:ascii="宋体" w:hAnsi="宋体" w:cs="宋体"/>
          <w:bCs/>
          <w:color w:val="auto"/>
          <w:sz w:val="21"/>
          <w:szCs w:val="21"/>
          <w:highlight w:val="none"/>
        </w:rPr>
        <w:t>因承包人提供的结算资料不完整而需要补充或承包人不按时对账耽误时间时，审查时间应相应顺延；</w:t>
      </w:r>
    </w:p>
    <w:p w14:paraId="3E150D1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发包人审批竣工付款申请单的期限：</w:t>
      </w:r>
      <w:r>
        <w:rPr>
          <w:rFonts w:hint="eastAsia" w:ascii="宋体" w:hAnsi="宋体" w:cs="宋体"/>
          <w:color w:val="auto"/>
          <w:sz w:val="21"/>
          <w:szCs w:val="21"/>
          <w:highlight w:val="none"/>
          <w:u w:val="single"/>
        </w:rPr>
        <w:t xml:space="preserve">      承包人提出书面申请14天内   </w:t>
      </w:r>
      <w:r>
        <w:rPr>
          <w:rFonts w:hint="eastAsia" w:ascii="宋体" w:hAnsi="宋体" w:cs="宋体"/>
          <w:color w:val="auto"/>
          <w:sz w:val="21"/>
          <w:szCs w:val="21"/>
          <w:highlight w:val="none"/>
        </w:rPr>
        <w:t>。</w:t>
      </w:r>
    </w:p>
    <w:p w14:paraId="48A3EBB8">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发包人完成竣工付款的期限：</w:t>
      </w:r>
      <w:r>
        <w:rPr>
          <w:rFonts w:hint="eastAsia" w:ascii="宋体" w:hAnsi="宋体" w:cs="宋体"/>
          <w:color w:val="auto"/>
          <w:sz w:val="21"/>
          <w:szCs w:val="21"/>
          <w:highlight w:val="none"/>
          <w:u w:val="single"/>
        </w:rPr>
        <w:t xml:space="preserve">          承包人提出书面申请14天内　    </w:t>
      </w:r>
      <w:r>
        <w:rPr>
          <w:rFonts w:hint="eastAsia" w:ascii="宋体" w:hAnsi="宋体" w:cs="宋体"/>
          <w:color w:val="auto"/>
          <w:sz w:val="21"/>
          <w:szCs w:val="21"/>
          <w:highlight w:val="none"/>
        </w:rPr>
        <w:t>。</w:t>
      </w:r>
    </w:p>
    <w:p w14:paraId="5396CCC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关于竣工付款证书异议部分复核的方式和程序：</w:t>
      </w:r>
      <w:r>
        <w:rPr>
          <w:rFonts w:hint="eastAsia" w:ascii="宋体" w:hAnsi="宋体" w:cs="宋体"/>
          <w:color w:val="auto"/>
          <w:sz w:val="21"/>
          <w:szCs w:val="21"/>
          <w:highlight w:val="none"/>
          <w:u w:val="single"/>
          <w:lang w:val="en-US" w:eastAsia="zh-CN"/>
        </w:rPr>
        <w:t xml:space="preserve">      /     </w:t>
      </w:r>
      <w:r>
        <w:rPr>
          <w:rFonts w:hint="eastAsia" w:ascii="宋体" w:hAnsi="宋体" w:cs="宋体"/>
          <w:color w:val="auto"/>
          <w:sz w:val="21"/>
          <w:szCs w:val="21"/>
          <w:highlight w:val="none"/>
        </w:rPr>
        <w:t>。</w:t>
      </w:r>
    </w:p>
    <w:p w14:paraId="5B3BE84E">
      <w:pPr>
        <w:keepNext/>
        <w:keepLines/>
        <w:spacing w:line="420" w:lineRule="exact"/>
        <w:ind w:firstLine="0" w:firstLineChars="0"/>
        <w:outlineLvl w:val="0"/>
        <w:rPr>
          <w:rFonts w:ascii="宋体" w:hAnsi="宋体" w:cs="宋体"/>
          <w:b/>
          <w:bCs/>
          <w:color w:val="auto"/>
          <w:kern w:val="44"/>
          <w:sz w:val="21"/>
          <w:szCs w:val="21"/>
          <w:highlight w:val="none"/>
        </w:rPr>
      </w:pPr>
      <w:bookmarkStart w:id="1373" w:name="_Toc417904346"/>
      <w:bookmarkStart w:id="1374" w:name="_Toc478389257"/>
      <w:r>
        <w:rPr>
          <w:rFonts w:hint="eastAsia" w:ascii="宋体" w:hAnsi="宋体" w:cs="宋体"/>
          <w:b/>
          <w:bCs/>
          <w:color w:val="auto"/>
          <w:kern w:val="44"/>
          <w:sz w:val="21"/>
          <w:szCs w:val="21"/>
          <w:highlight w:val="none"/>
        </w:rPr>
        <w:t>14.4 最终结清</w:t>
      </w:r>
      <w:bookmarkEnd w:id="1373"/>
      <w:bookmarkEnd w:id="1374"/>
    </w:p>
    <w:p w14:paraId="244BE0A3">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14.4.1 最终结清申请单</w:t>
      </w:r>
    </w:p>
    <w:p w14:paraId="0DF5A110">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承包人提交最终结清申请单的份数：</w:t>
      </w:r>
      <w:r>
        <w:rPr>
          <w:rFonts w:hint="eastAsia" w:ascii="宋体" w:hAnsi="宋体" w:cs="宋体"/>
          <w:color w:val="auto"/>
          <w:sz w:val="21"/>
          <w:szCs w:val="21"/>
          <w:highlight w:val="none"/>
          <w:u w:val="single"/>
        </w:rPr>
        <w:t xml:space="preserve">  四份   </w:t>
      </w:r>
      <w:r>
        <w:rPr>
          <w:rFonts w:hint="eastAsia" w:ascii="宋体" w:hAnsi="宋体" w:cs="宋体"/>
          <w:color w:val="auto"/>
          <w:sz w:val="21"/>
          <w:szCs w:val="21"/>
          <w:highlight w:val="none"/>
        </w:rPr>
        <w:t>。</w:t>
      </w:r>
    </w:p>
    <w:p w14:paraId="2330A01B">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承包人提交最终结算申请单的期限：</w:t>
      </w:r>
      <w:r>
        <w:rPr>
          <w:rFonts w:hint="eastAsia" w:ascii="宋体" w:hAnsi="宋体" w:cs="宋体"/>
          <w:color w:val="auto"/>
          <w:sz w:val="21"/>
          <w:szCs w:val="21"/>
          <w:highlight w:val="none"/>
          <w:u w:val="single"/>
        </w:rPr>
        <w:t xml:space="preserve">   从接到竣工结算报告14天内    。 </w:t>
      </w:r>
    </w:p>
    <w:p w14:paraId="1B7AF59E">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14.4.2 最终结清证书和支付</w:t>
      </w:r>
    </w:p>
    <w:p w14:paraId="572D5EA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（1）发包人完成最终结清申请单的审批并颁发最终结清证书的期限：</w:t>
      </w:r>
      <w:r>
        <w:rPr>
          <w:rFonts w:hint="eastAsia" w:ascii="宋体" w:hAnsi="宋体" w:cs="宋体"/>
          <w:color w:val="auto"/>
          <w:sz w:val="21"/>
          <w:szCs w:val="21"/>
          <w:highlight w:val="none"/>
          <w:u w:val="single"/>
        </w:rPr>
        <w:t xml:space="preserve">承包人提出书面申请14天内  </w:t>
      </w:r>
      <w:r>
        <w:rPr>
          <w:rFonts w:hint="eastAsia" w:ascii="宋体" w:hAnsi="宋体" w:cs="宋体"/>
          <w:color w:val="auto"/>
          <w:sz w:val="21"/>
          <w:szCs w:val="21"/>
          <w:highlight w:val="none"/>
        </w:rPr>
        <w:t>。</w:t>
      </w:r>
    </w:p>
    <w:p w14:paraId="0295059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（2）发包人完成支付的期限：</w:t>
      </w:r>
      <w:r>
        <w:rPr>
          <w:rFonts w:hint="eastAsia" w:ascii="宋体" w:hAnsi="宋体" w:cs="宋体"/>
          <w:color w:val="auto"/>
          <w:sz w:val="21"/>
          <w:szCs w:val="21"/>
          <w:highlight w:val="none"/>
          <w:u w:val="single"/>
        </w:rPr>
        <w:t xml:space="preserve">  承包人提出书面申请14天内    </w:t>
      </w:r>
      <w:r>
        <w:rPr>
          <w:rFonts w:hint="eastAsia" w:ascii="宋体" w:hAnsi="宋体" w:cs="宋体"/>
          <w:color w:val="auto"/>
          <w:sz w:val="21"/>
          <w:szCs w:val="21"/>
          <w:highlight w:val="none"/>
        </w:rPr>
        <w:t>。</w:t>
      </w:r>
    </w:p>
    <w:bookmarkEnd w:id="1351"/>
    <w:bookmarkEnd w:id="1352"/>
    <w:bookmarkEnd w:id="1353"/>
    <w:bookmarkEnd w:id="1354"/>
    <w:bookmarkEnd w:id="1355"/>
    <w:bookmarkEnd w:id="1356"/>
    <w:bookmarkEnd w:id="1357"/>
    <w:bookmarkEnd w:id="1363"/>
    <w:p w14:paraId="2A04FC74">
      <w:pPr>
        <w:keepNext/>
        <w:keepLines/>
        <w:spacing w:line="420" w:lineRule="exact"/>
        <w:ind w:firstLine="0" w:firstLineChars="0"/>
        <w:outlineLvl w:val="0"/>
        <w:rPr>
          <w:rFonts w:ascii="宋体" w:hAnsi="宋体" w:cs="宋体"/>
          <w:b/>
          <w:bCs/>
          <w:color w:val="auto"/>
          <w:kern w:val="44"/>
          <w:sz w:val="21"/>
          <w:szCs w:val="21"/>
          <w:highlight w:val="none"/>
        </w:rPr>
      </w:pPr>
      <w:bookmarkStart w:id="1375" w:name="_Toc417904347"/>
      <w:bookmarkStart w:id="1376" w:name="_Toc478389258"/>
      <w:bookmarkStart w:id="1377" w:name="_Toc351203647"/>
      <w:bookmarkStart w:id="1378" w:name="_Toc267251483"/>
      <w:bookmarkStart w:id="1379" w:name="_Toc267251482"/>
      <w:bookmarkStart w:id="1380" w:name="_Toc267251484"/>
      <w:bookmarkStart w:id="1381" w:name="_Toc267251485"/>
      <w:bookmarkStart w:id="1382" w:name="_Toc267251486"/>
      <w:bookmarkStart w:id="1383" w:name="_Toc267251489"/>
      <w:bookmarkStart w:id="1384" w:name="_Toc267251490"/>
      <w:bookmarkStart w:id="1385" w:name="_Toc267251488"/>
      <w:bookmarkStart w:id="1386" w:name="_Toc267251495"/>
      <w:bookmarkStart w:id="1387" w:name="_Toc267251497"/>
      <w:bookmarkStart w:id="1388" w:name="_Toc267251498"/>
      <w:bookmarkStart w:id="1389" w:name="_Toc267251503"/>
      <w:bookmarkStart w:id="1390" w:name="_Toc267251502"/>
      <w:bookmarkStart w:id="1391" w:name="_Toc267251492"/>
      <w:bookmarkStart w:id="1392" w:name="_Toc267251493"/>
      <w:bookmarkStart w:id="1393" w:name="_Toc267251501"/>
      <w:bookmarkStart w:id="1394" w:name="_Toc267251499"/>
      <w:bookmarkStart w:id="1395" w:name="_Toc267251496"/>
      <w:bookmarkStart w:id="1396" w:name="_Toc267251491"/>
      <w:bookmarkStart w:id="1397" w:name="_Toc267251494"/>
      <w:bookmarkStart w:id="1398" w:name="_Toc267251504"/>
      <w:bookmarkStart w:id="1399" w:name="_Toc267251506"/>
      <w:bookmarkStart w:id="1400" w:name="_Toc267251507"/>
      <w:bookmarkStart w:id="1401" w:name="_Toc267251508"/>
      <w:bookmarkStart w:id="1402" w:name="_Toc267251510"/>
      <w:bookmarkStart w:id="1403" w:name="_Toc267251514"/>
      <w:bookmarkStart w:id="1404" w:name="_Toc267251513"/>
      <w:bookmarkStart w:id="1405" w:name="_Toc267251511"/>
      <w:bookmarkStart w:id="1406" w:name="_Toc267251509"/>
      <w:bookmarkStart w:id="1407" w:name="_Toc267251515"/>
      <w:r>
        <w:rPr>
          <w:rFonts w:hint="eastAsia" w:ascii="宋体" w:hAnsi="宋体" w:cs="宋体"/>
          <w:b/>
          <w:bCs/>
          <w:color w:val="auto"/>
          <w:kern w:val="44"/>
          <w:sz w:val="21"/>
          <w:szCs w:val="21"/>
          <w:highlight w:val="none"/>
        </w:rPr>
        <w:t>15. 缺陷责任期与保修</w:t>
      </w:r>
      <w:bookmarkEnd w:id="1375"/>
      <w:bookmarkEnd w:id="1376"/>
      <w:bookmarkEnd w:id="1377"/>
    </w:p>
    <w:p w14:paraId="1C55AC43">
      <w:pPr>
        <w:keepNext/>
        <w:keepLines/>
        <w:spacing w:line="420" w:lineRule="exact"/>
        <w:ind w:firstLine="0" w:firstLineChars="0"/>
        <w:outlineLvl w:val="0"/>
        <w:rPr>
          <w:rFonts w:ascii="宋体" w:hAnsi="宋体" w:cs="宋体"/>
          <w:b/>
          <w:bCs/>
          <w:color w:val="auto"/>
          <w:kern w:val="44"/>
          <w:sz w:val="21"/>
          <w:szCs w:val="21"/>
          <w:highlight w:val="none"/>
        </w:rPr>
      </w:pPr>
      <w:bookmarkStart w:id="1408" w:name="_Toc478389259"/>
      <w:bookmarkStart w:id="1409" w:name="_Toc417904348"/>
      <w:r>
        <w:rPr>
          <w:rFonts w:hint="eastAsia" w:ascii="宋体" w:hAnsi="宋体" w:cs="宋体"/>
          <w:b/>
          <w:bCs/>
          <w:color w:val="auto"/>
          <w:kern w:val="44"/>
          <w:sz w:val="21"/>
          <w:szCs w:val="21"/>
          <w:highlight w:val="none"/>
        </w:rPr>
        <w:t>15.2缺陷责任期</w:t>
      </w:r>
      <w:bookmarkEnd w:id="1378"/>
      <w:bookmarkEnd w:id="1408"/>
      <w:bookmarkEnd w:id="1409"/>
    </w:p>
    <w:p w14:paraId="1DBE40B6">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缺陷责任期的具体期限：</w:t>
      </w:r>
      <w:r>
        <w:rPr>
          <w:rFonts w:ascii="宋体" w:hAnsi="宋体" w:cs="宋体"/>
          <w:color w:val="auto"/>
          <w:sz w:val="21"/>
          <w:szCs w:val="21"/>
          <w:highlight w:val="none"/>
          <w:u w:val="single"/>
        </w:rPr>
        <w:t>2</w:t>
      </w:r>
      <w:r>
        <w:rPr>
          <w:rFonts w:hint="eastAsia" w:ascii="宋体" w:hAnsi="宋体" w:cs="宋体"/>
          <w:color w:val="auto"/>
          <w:sz w:val="21"/>
          <w:szCs w:val="21"/>
          <w:highlight w:val="none"/>
          <w:u w:val="single"/>
        </w:rPr>
        <w:t>年</w:t>
      </w:r>
    </w:p>
    <w:p w14:paraId="26C54CB4">
      <w:pPr>
        <w:keepNext/>
        <w:keepLines/>
        <w:spacing w:line="420" w:lineRule="exact"/>
        <w:ind w:firstLine="0" w:firstLineChars="0"/>
        <w:outlineLvl w:val="0"/>
        <w:rPr>
          <w:rFonts w:ascii="宋体" w:hAnsi="宋体" w:cs="宋体"/>
          <w:b/>
          <w:bCs/>
          <w:color w:val="auto"/>
          <w:kern w:val="44"/>
          <w:sz w:val="21"/>
          <w:szCs w:val="21"/>
          <w:highlight w:val="none"/>
        </w:rPr>
      </w:pPr>
      <w:bookmarkStart w:id="1410" w:name="_Toc417904349"/>
      <w:bookmarkStart w:id="1411" w:name="_Toc478389260"/>
      <w:r>
        <w:rPr>
          <w:rFonts w:hint="eastAsia" w:ascii="宋体" w:hAnsi="宋体" w:cs="宋体"/>
          <w:b/>
          <w:bCs/>
          <w:color w:val="auto"/>
          <w:kern w:val="44"/>
          <w:sz w:val="21"/>
          <w:szCs w:val="21"/>
          <w:highlight w:val="none"/>
        </w:rPr>
        <w:t>15.3 质量保证金</w:t>
      </w:r>
      <w:bookmarkEnd w:id="1410"/>
      <w:bookmarkEnd w:id="1411"/>
    </w:p>
    <w:p w14:paraId="7A1C4CE9">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关于是否扣留质量保证金的约定：</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否</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2ABF775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15.3.1 承包人提供质量保证金的方式</w:t>
      </w:r>
    </w:p>
    <w:p w14:paraId="0E51FF47">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质量保证金采用以下第</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cs="宋体"/>
          <w:color w:val="auto"/>
          <w:sz w:val="21"/>
          <w:szCs w:val="21"/>
          <w:highlight w:val="none"/>
        </w:rPr>
        <w:t>种方式：</w:t>
      </w:r>
    </w:p>
    <w:p w14:paraId="7ABB02E2">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（1）质量保证金保函，保证金额为：</w:t>
      </w:r>
      <w:r>
        <w:rPr>
          <w:rFonts w:hint="eastAsia" w:ascii="宋体" w:hAnsi="宋体" w:cs="宋体"/>
          <w:bCs/>
          <w:color w:val="auto"/>
          <w:sz w:val="21"/>
          <w:szCs w:val="21"/>
          <w:highlight w:val="none"/>
          <w:u w:val="single"/>
        </w:rPr>
        <w:t>/</w:t>
      </w:r>
      <w:r>
        <w:rPr>
          <w:rFonts w:hint="eastAsia" w:ascii="宋体" w:hAnsi="宋体" w:cs="宋体"/>
          <w:color w:val="auto"/>
          <w:sz w:val="21"/>
          <w:szCs w:val="21"/>
          <w:highlight w:val="none"/>
        </w:rPr>
        <w:t xml:space="preserve">； </w:t>
      </w:r>
    </w:p>
    <w:p w14:paraId="736A8BDD">
      <w:pPr>
        <w:spacing w:line="42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（2）预留</w:t>
      </w:r>
      <w:r>
        <w:rPr>
          <w:rFonts w:hint="eastAsia" w:ascii="宋体" w:hAnsi="宋体" w:cs="宋体"/>
          <w:b w:val="0"/>
          <w:bCs/>
          <w:color w:val="auto"/>
          <w:sz w:val="21"/>
          <w:szCs w:val="21"/>
          <w:highlight w:val="none"/>
          <w:lang w:eastAsia="zh-CN"/>
        </w:rPr>
        <w:t>结算价</w:t>
      </w:r>
      <w:r>
        <w:rPr>
          <w:rFonts w:hint="eastAsia" w:ascii="宋体" w:hAnsi="宋体" w:cs="宋体"/>
          <w:b w:val="0"/>
          <w:bCs/>
          <w:color w:val="auto"/>
          <w:sz w:val="21"/>
          <w:szCs w:val="21"/>
          <w:highlight w:val="none"/>
        </w:rPr>
        <w:t>的3%作为</w:t>
      </w:r>
      <w:r>
        <w:rPr>
          <w:rFonts w:hint="eastAsia" w:ascii="宋体" w:hAnsi="宋体" w:cs="宋体"/>
          <w:b w:val="0"/>
          <w:bCs/>
          <w:color w:val="auto"/>
          <w:sz w:val="21"/>
          <w:szCs w:val="21"/>
          <w:highlight w:val="none"/>
          <w:lang w:eastAsia="zh-CN"/>
        </w:rPr>
        <w:t>质量保证金</w:t>
      </w:r>
      <w:r>
        <w:rPr>
          <w:rFonts w:hint="eastAsia" w:ascii="宋体" w:hAnsi="宋体" w:cs="宋体"/>
          <w:b w:val="0"/>
          <w:bCs/>
          <w:color w:val="auto"/>
          <w:sz w:val="21"/>
          <w:szCs w:val="21"/>
          <w:highlight w:val="none"/>
        </w:rPr>
        <w:t>待</w:t>
      </w:r>
      <w:r>
        <w:rPr>
          <w:rFonts w:hint="eastAsia" w:ascii="宋体" w:hAnsi="宋体" w:cs="宋体"/>
          <w:b w:val="0"/>
          <w:bCs/>
          <w:color w:val="auto"/>
          <w:sz w:val="21"/>
          <w:szCs w:val="21"/>
          <w:highlight w:val="none"/>
          <w:lang w:eastAsia="zh-CN"/>
        </w:rPr>
        <w:t>缺陷责任期</w:t>
      </w:r>
      <w:r>
        <w:rPr>
          <w:rFonts w:hint="eastAsia" w:ascii="宋体" w:hAnsi="宋体" w:cs="宋体"/>
          <w:b w:val="0"/>
          <w:bCs/>
          <w:color w:val="auto"/>
          <w:sz w:val="21"/>
          <w:szCs w:val="21"/>
          <w:highlight w:val="none"/>
        </w:rPr>
        <w:t>满后一次性支付</w:t>
      </w:r>
      <w:r>
        <w:rPr>
          <w:rFonts w:hint="eastAsia" w:ascii="宋体" w:hAnsi="宋体" w:cs="宋体"/>
          <w:b w:val="0"/>
          <w:bCs/>
          <w:color w:val="auto"/>
          <w:sz w:val="21"/>
          <w:szCs w:val="21"/>
          <w:highlight w:val="none"/>
          <w:lang w:eastAsia="zh-CN"/>
        </w:rPr>
        <w:t>（无息）</w:t>
      </w:r>
      <w:r>
        <w:rPr>
          <w:rFonts w:hint="eastAsia" w:ascii="宋体" w:hAnsi="宋体" w:cs="宋体"/>
          <w:color w:val="auto"/>
          <w:sz w:val="21"/>
          <w:szCs w:val="21"/>
          <w:highlight w:val="none"/>
        </w:rPr>
        <w:t>；</w:t>
      </w:r>
    </w:p>
    <w:p w14:paraId="59848F8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（3）其他方式:</w:t>
      </w:r>
      <w:r>
        <w:rPr>
          <w:rFonts w:hint="eastAsia" w:ascii="宋体" w:hAnsi="宋体" w:cs="宋体"/>
          <w:bCs/>
          <w:color w:val="auto"/>
          <w:sz w:val="21"/>
          <w:szCs w:val="21"/>
          <w:highlight w:val="none"/>
          <w:u w:val="single"/>
        </w:rPr>
        <w:t>/</w:t>
      </w:r>
      <w:r>
        <w:rPr>
          <w:rFonts w:hint="eastAsia" w:ascii="宋体" w:hAnsi="宋体" w:cs="宋体"/>
          <w:color w:val="auto"/>
          <w:sz w:val="21"/>
          <w:szCs w:val="21"/>
          <w:highlight w:val="none"/>
        </w:rPr>
        <w:t>。</w:t>
      </w:r>
    </w:p>
    <w:p w14:paraId="4D83EE3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15.3.2 质量保证金的扣留 </w:t>
      </w:r>
    </w:p>
    <w:p w14:paraId="59566D3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质量保证金的扣留采取以下第</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cs="宋体"/>
          <w:color w:val="auto"/>
          <w:sz w:val="21"/>
          <w:szCs w:val="21"/>
          <w:highlight w:val="none"/>
        </w:rPr>
        <w:t>种方式：</w:t>
      </w:r>
    </w:p>
    <w:p w14:paraId="63A91B3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（1）在支付工程进度款时逐次扣留，在此情形下，质量保证金的计算基数不包括预付款的支付、扣回以及价格调整的金额；</w:t>
      </w:r>
    </w:p>
    <w:p w14:paraId="6986025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（2）工程竣工结算时一次性扣留质量保证金；</w:t>
      </w:r>
    </w:p>
    <w:p w14:paraId="5513C87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（3）其他扣留方式</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72FF9FA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关于质量保证金的补充约定：</w:t>
      </w:r>
    </w:p>
    <w:p w14:paraId="539BC81E">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u w:val="single"/>
          <w:lang w:val="en-US" w:eastAsia="zh-CN"/>
        </w:rPr>
        <w:t>/</w:t>
      </w:r>
      <w:r>
        <w:rPr>
          <w:rFonts w:hint="eastAsia" w:ascii="宋体" w:hAnsi="宋体" w:cs="宋体"/>
          <w:color w:val="auto"/>
          <w:sz w:val="21"/>
          <w:szCs w:val="21"/>
          <w:highlight w:val="none"/>
          <w:u w:val="single"/>
        </w:rPr>
        <w:t>。</w:t>
      </w:r>
    </w:p>
    <w:bookmarkEnd w:id="1379"/>
    <w:bookmarkEnd w:id="1380"/>
    <w:p w14:paraId="1A58FEA4">
      <w:pPr>
        <w:keepNext/>
        <w:keepLines/>
        <w:spacing w:line="400" w:lineRule="exact"/>
        <w:ind w:firstLine="0" w:firstLineChars="0"/>
        <w:outlineLvl w:val="0"/>
        <w:rPr>
          <w:rFonts w:ascii="宋体" w:hAnsi="宋体" w:cs="宋体"/>
          <w:b/>
          <w:bCs/>
          <w:color w:val="auto"/>
          <w:kern w:val="44"/>
          <w:sz w:val="21"/>
          <w:szCs w:val="21"/>
          <w:highlight w:val="none"/>
        </w:rPr>
      </w:pPr>
      <w:bookmarkStart w:id="1412" w:name="_Toc417904350"/>
      <w:bookmarkStart w:id="1413" w:name="_Toc478389261"/>
      <w:r>
        <w:rPr>
          <w:rFonts w:hint="eastAsia" w:ascii="宋体" w:hAnsi="宋体" w:cs="宋体"/>
          <w:b/>
          <w:bCs/>
          <w:color w:val="auto"/>
          <w:kern w:val="44"/>
          <w:sz w:val="21"/>
          <w:szCs w:val="21"/>
          <w:highlight w:val="none"/>
        </w:rPr>
        <w:t>15.4保修</w:t>
      </w:r>
      <w:bookmarkEnd w:id="1412"/>
      <w:bookmarkEnd w:id="1413"/>
    </w:p>
    <w:bookmarkEnd w:id="1381"/>
    <w:p w14:paraId="632DA7F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15.4.1 保修责任</w:t>
      </w:r>
    </w:p>
    <w:p w14:paraId="69911554">
      <w:pPr>
        <w:spacing w:line="400" w:lineRule="exact"/>
        <w:ind w:firstLine="420"/>
        <w:rPr>
          <w:rFonts w:hint="eastAsia" w:ascii="宋体" w:hAnsi="宋体" w:eastAsia="宋体" w:cs="宋体"/>
          <w:color w:val="auto"/>
          <w:sz w:val="21"/>
          <w:szCs w:val="21"/>
          <w:highlight w:val="none"/>
          <w:u w:val="single"/>
          <w:lang w:eastAsia="zh-CN"/>
        </w:rPr>
      </w:pPr>
      <w:r>
        <w:rPr>
          <w:rFonts w:hint="eastAsia" w:ascii="宋体" w:hAnsi="宋体" w:cs="宋体"/>
          <w:color w:val="auto"/>
          <w:sz w:val="21"/>
          <w:szCs w:val="21"/>
          <w:highlight w:val="none"/>
        </w:rPr>
        <w:t>工程保修期为：</w:t>
      </w:r>
      <w:r>
        <w:rPr>
          <w:rFonts w:hint="eastAsia" w:ascii="宋体" w:hAnsi="宋体" w:cs="宋体"/>
          <w:color w:val="auto"/>
          <w:sz w:val="21"/>
          <w:szCs w:val="21"/>
          <w:highlight w:val="none"/>
          <w:u w:val="single"/>
        </w:rPr>
        <w:t>工程质量保修期不得少于</w:t>
      </w:r>
      <w:r>
        <w:rPr>
          <w:rFonts w:hint="eastAsia" w:ascii="宋体" w:hAnsi="宋体" w:cs="宋体"/>
          <w:color w:val="auto"/>
          <w:sz w:val="21"/>
          <w:szCs w:val="21"/>
          <w:highlight w:val="none"/>
          <w:u w:val="single"/>
          <w:lang w:val="en-US" w:eastAsia="zh-CN"/>
        </w:rPr>
        <w:t>3年</w:t>
      </w:r>
      <w:r>
        <w:rPr>
          <w:rFonts w:hint="eastAsia" w:ascii="宋体" w:hAnsi="宋体" w:eastAsia="宋体" w:cs="宋体"/>
          <w:color w:val="auto"/>
          <w:sz w:val="21"/>
          <w:szCs w:val="21"/>
          <w:highlight w:val="none"/>
          <w:u w:val="single"/>
          <w:lang w:val="en-US" w:eastAsia="zh-CN"/>
        </w:rPr>
        <w:t>。</w:t>
      </w:r>
    </w:p>
    <w:p w14:paraId="7DEC219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15.4.3 修复通知</w:t>
      </w:r>
    </w:p>
    <w:p w14:paraId="66D265A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承包人收到保修通知并到达工程现场的合理时间：</w:t>
      </w:r>
      <w:r>
        <w:rPr>
          <w:rFonts w:hint="eastAsia" w:ascii="宋体" w:hAnsi="宋体" w:cs="宋体"/>
          <w:color w:val="auto"/>
          <w:sz w:val="21"/>
          <w:szCs w:val="21"/>
          <w:highlight w:val="none"/>
          <w:u w:val="single"/>
        </w:rPr>
        <w:t>1、属于保修范围、内容的项目，承包人应当在接到保修通知之日起7天内派人保修。承包人不在约定期限内派人保修的，发包人可以委托他人修理。2、发生紧急抢修事故的，承包人在接到事故通知后，应当立即到达事故现场抢修。3、对于涉及结构安全的质量问题，应当按照《建设工程质量管理条例》的规定，立即向当地建设行政主管部门报告，采取安全防范措施；由原设计单位或者具有相应资质等级的设计单位提出保修方案</w:t>
      </w:r>
      <w:r>
        <w:rPr>
          <w:rFonts w:hint="eastAsia" w:ascii="宋体" w:hAnsi="宋体" w:cs="宋体"/>
          <w:color w:val="auto"/>
          <w:sz w:val="21"/>
          <w:szCs w:val="21"/>
          <w:highlight w:val="none"/>
          <w:u w:val="single"/>
          <w:lang w:eastAsia="zh-CN"/>
        </w:rPr>
        <w:t>，由</w:t>
      </w:r>
      <w:r>
        <w:rPr>
          <w:rFonts w:hint="eastAsia" w:ascii="宋体" w:hAnsi="宋体" w:cs="宋体"/>
          <w:color w:val="auto"/>
          <w:sz w:val="21"/>
          <w:szCs w:val="21"/>
          <w:highlight w:val="none"/>
          <w:u w:val="single"/>
        </w:rPr>
        <w:t>承包人实施保修。4、质量保修完成后，由发包人组织验收。5、保修费用由造成质量缺陷的责任方承担。</w:t>
      </w:r>
    </w:p>
    <w:bookmarkEnd w:id="1382"/>
    <w:bookmarkEnd w:id="1383"/>
    <w:bookmarkEnd w:id="1384"/>
    <w:bookmarkEnd w:id="1385"/>
    <w:p w14:paraId="30931EAC">
      <w:pPr>
        <w:keepNext/>
        <w:keepLines/>
        <w:spacing w:line="400" w:lineRule="exact"/>
        <w:ind w:firstLine="0" w:firstLineChars="0"/>
        <w:outlineLvl w:val="0"/>
        <w:rPr>
          <w:rFonts w:ascii="宋体" w:hAnsi="宋体" w:cs="宋体"/>
          <w:b/>
          <w:bCs/>
          <w:color w:val="auto"/>
          <w:kern w:val="44"/>
          <w:sz w:val="21"/>
          <w:szCs w:val="21"/>
          <w:highlight w:val="none"/>
        </w:rPr>
      </w:pPr>
      <w:bookmarkStart w:id="1414" w:name="_Toc351203648"/>
      <w:bookmarkStart w:id="1415" w:name="_Toc417904351"/>
      <w:bookmarkStart w:id="1416" w:name="_Toc478389262"/>
      <w:bookmarkStart w:id="1417" w:name="_Toc280868717"/>
      <w:bookmarkStart w:id="1418" w:name="_Toc280868718"/>
      <w:r>
        <w:rPr>
          <w:rFonts w:hint="eastAsia" w:ascii="宋体" w:hAnsi="宋体" w:cs="宋体"/>
          <w:b/>
          <w:bCs/>
          <w:color w:val="auto"/>
          <w:kern w:val="44"/>
          <w:sz w:val="21"/>
          <w:szCs w:val="21"/>
          <w:highlight w:val="none"/>
        </w:rPr>
        <w:t>16. 违约</w:t>
      </w:r>
      <w:bookmarkEnd w:id="1414"/>
      <w:bookmarkEnd w:id="1415"/>
      <w:bookmarkEnd w:id="1416"/>
    </w:p>
    <w:p w14:paraId="170C8640">
      <w:pPr>
        <w:keepNext/>
        <w:keepLines/>
        <w:spacing w:line="400" w:lineRule="exact"/>
        <w:ind w:firstLine="0" w:firstLineChars="0"/>
        <w:outlineLvl w:val="0"/>
        <w:rPr>
          <w:rFonts w:ascii="宋体" w:hAnsi="宋体" w:cs="宋体"/>
          <w:b/>
          <w:bCs/>
          <w:color w:val="auto"/>
          <w:kern w:val="44"/>
          <w:sz w:val="21"/>
          <w:szCs w:val="21"/>
          <w:highlight w:val="none"/>
        </w:rPr>
      </w:pPr>
      <w:bookmarkStart w:id="1419" w:name="_Toc417904352"/>
      <w:bookmarkStart w:id="1420" w:name="_Toc478389263"/>
      <w:r>
        <w:rPr>
          <w:rFonts w:hint="eastAsia" w:ascii="宋体" w:hAnsi="宋体" w:cs="宋体"/>
          <w:b/>
          <w:bCs/>
          <w:color w:val="auto"/>
          <w:kern w:val="44"/>
          <w:sz w:val="21"/>
          <w:szCs w:val="21"/>
          <w:highlight w:val="none"/>
        </w:rPr>
        <w:t>16.1 发包人违约</w:t>
      </w:r>
      <w:bookmarkEnd w:id="1419"/>
      <w:bookmarkEnd w:id="1420"/>
    </w:p>
    <w:p w14:paraId="56870FF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16.1.1发包人违约的情形</w:t>
      </w:r>
    </w:p>
    <w:p w14:paraId="167BE12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发包人违约的其他情形：</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29796305">
      <w:pPr>
        <w:spacing w:line="400" w:lineRule="exact"/>
        <w:ind w:firstLine="420"/>
        <w:outlineLvl w:val="0"/>
        <w:rPr>
          <w:rFonts w:ascii="宋体" w:hAnsi="宋体" w:cs="宋体"/>
          <w:color w:val="auto"/>
          <w:sz w:val="21"/>
          <w:szCs w:val="21"/>
          <w:highlight w:val="none"/>
        </w:rPr>
      </w:pPr>
      <w:bookmarkStart w:id="1421" w:name="_Toc406419422"/>
      <w:bookmarkStart w:id="1422" w:name="_Toc478389264"/>
      <w:bookmarkStart w:id="1423" w:name="_Toc406522298"/>
      <w:bookmarkStart w:id="1424" w:name="_Toc417904353"/>
      <w:r>
        <w:rPr>
          <w:rFonts w:hint="eastAsia" w:ascii="宋体" w:hAnsi="宋体" w:cs="宋体"/>
          <w:color w:val="auto"/>
          <w:sz w:val="21"/>
          <w:szCs w:val="21"/>
          <w:highlight w:val="none"/>
        </w:rPr>
        <w:t>16.1.2 发包人违约的责任</w:t>
      </w:r>
      <w:bookmarkEnd w:id="1421"/>
      <w:bookmarkEnd w:id="1422"/>
      <w:bookmarkEnd w:id="1423"/>
      <w:bookmarkEnd w:id="1424"/>
    </w:p>
    <w:p w14:paraId="30D8861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发包人违约责任的承担方式和计算方法：</w:t>
      </w:r>
    </w:p>
    <w:p w14:paraId="7D9D00EF">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（1）因发包人原因未能在计划开工日期前7天内下达开工通知的违约责任：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0B39D63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（2）因发包人原因未能按合同约定支付合同价款的违约责任：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44DB224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（3）发包人违反第10.1款〔变更的范围〕第（2）项约定，自行实施被取消的工作或转由他人实施的违约责任：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25BF60D4">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39F266B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（5）因发包人违反合同约定造成暂停施工的违约责任：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235BD2E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（6）发包人无正当理由没有在约定期限内发出复工指示，导致承包人无法复工的违约责任：</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14B5A50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（7）其他：</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1788EC9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16.1.3 因发包人违约解除合同</w:t>
      </w:r>
    </w:p>
    <w:p w14:paraId="7AE917AC">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承包人按16.1.1项〔发包人违约的情形〕约定暂停施工满180天后发包人仍不纠正其违约行为并致使合同目的不能实现的，承包人有权解除合同。</w:t>
      </w:r>
    </w:p>
    <w:p w14:paraId="5B3E11E0">
      <w:pPr>
        <w:keepNext/>
        <w:keepLines/>
        <w:spacing w:line="400" w:lineRule="exact"/>
        <w:ind w:firstLine="0" w:firstLineChars="0"/>
        <w:outlineLvl w:val="0"/>
        <w:rPr>
          <w:rFonts w:ascii="宋体" w:hAnsi="宋体" w:cs="宋体"/>
          <w:b/>
          <w:bCs/>
          <w:color w:val="auto"/>
          <w:kern w:val="44"/>
          <w:sz w:val="21"/>
          <w:szCs w:val="21"/>
          <w:highlight w:val="none"/>
        </w:rPr>
      </w:pPr>
      <w:bookmarkStart w:id="1425" w:name="_Toc417904354"/>
      <w:bookmarkStart w:id="1426" w:name="_Toc478389265"/>
      <w:r>
        <w:rPr>
          <w:rFonts w:hint="eastAsia" w:ascii="宋体" w:hAnsi="宋体" w:cs="宋体"/>
          <w:b/>
          <w:bCs/>
          <w:color w:val="auto"/>
          <w:kern w:val="44"/>
          <w:sz w:val="21"/>
          <w:szCs w:val="21"/>
          <w:highlight w:val="none"/>
        </w:rPr>
        <w:t>16.2 承包人违约</w:t>
      </w:r>
      <w:bookmarkEnd w:id="1425"/>
      <w:bookmarkEnd w:id="1426"/>
    </w:p>
    <w:p w14:paraId="7740A9E5">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16.2.1 承包人违约的情形</w:t>
      </w:r>
    </w:p>
    <w:p w14:paraId="06C2A92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承包人违约的其他情形：</w:t>
      </w:r>
      <w:r>
        <w:rPr>
          <w:rFonts w:hint="eastAsia" w:ascii="宋体" w:hAnsi="宋体" w:cs="宋体"/>
          <w:color w:val="auto"/>
          <w:sz w:val="21"/>
          <w:szCs w:val="21"/>
          <w:highlight w:val="none"/>
          <w:u w:val="single"/>
        </w:rPr>
        <w:t>工期</w:t>
      </w:r>
      <w:r>
        <w:rPr>
          <w:rFonts w:hint="eastAsia" w:ascii="宋体" w:hAnsi="宋体" w:cs="宋体"/>
          <w:color w:val="auto"/>
          <w:sz w:val="21"/>
          <w:szCs w:val="21"/>
          <w:highlight w:val="none"/>
        </w:rPr>
        <w:t>。</w:t>
      </w:r>
    </w:p>
    <w:p w14:paraId="74DF496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16.2.2承包人违约的责任</w:t>
      </w:r>
    </w:p>
    <w:p w14:paraId="350FDC45">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承包人违约责任的承担方式和计算方法：</w:t>
      </w:r>
      <w:r>
        <w:rPr>
          <w:rFonts w:hint="eastAsia" w:ascii="宋体" w:hAnsi="宋体" w:cs="宋体"/>
          <w:color w:val="auto"/>
          <w:sz w:val="21"/>
          <w:szCs w:val="21"/>
          <w:highlight w:val="none"/>
          <w:u w:val="single"/>
        </w:rPr>
        <w:t>承包人原因造成工期延误按每天万分之四罚款，限额为合同价的2%</w:t>
      </w:r>
      <w:r>
        <w:rPr>
          <w:rFonts w:hint="eastAsia" w:ascii="宋体" w:hAnsi="宋体" w:cs="宋体"/>
          <w:color w:val="auto"/>
          <w:sz w:val="21"/>
          <w:szCs w:val="21"/>
          <w:highlight w:val="none"/>
        </w:rPr>
        <w:t>。</w:t>
      </w:r>
    </w:p>
    <w:p w14:paraId="3C82139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16.2.3 因承包人违约解除合同</w:t>
      </w:r>
    </w:p>
    <w:p w14:paraId="653751F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关于承包人违约解除合同的特别约定：</w:t>
      </w:r>
      <w:r>
        <w:rPr>
          <w:rFonts w:hint="eastAsia" w:ascii="宋体" w:hAnsi="宋体" w:cs="宋体"/>
          <w:color w:val="auto"/>
          <w:sz w:val="21"/>
          <w:szCs w:val="21"/>
          <w:highlight w:val="none"/>
          <w:u w:val="single"/>
        </w:rPr>
        <w:t>承包人原因造成停工或延期累计30天以上</w:t>
      </w:r>
      <w:r>
        <w:rPr>
          <w:rFonts w:hint="eastAsia" w:ascii="宋体" w:hAnsi="宋体" w:cs="宋体"/>
          <w:color w:val="auto"/>
          <w:sz w:val="21"/>
          <w:szCs w:val="21"/>
          <w:highlight w:val="none"/>
        </w:rPr>
        <w:t>。</w:t>
      </w:r>
    </w:p>
    <w:p w14:paraId="16513C9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sz w:val="21"/>
          <w:szCs w:val="21"/>
          <w:highlight w:val="none"/>
          <w:u w:val="single"/>
        </w:rPr>
        <w:t>承包人承担</w:t>
      </w:r>
      <w:r>
        <w:rPr>
          <w:rFonts w:hint="eastAsia" w:ascii="宋体" w:hAnsi="宋体" w:cs="宋体"/>
          <w:color w:val="auto"/>
          <w:sz w:val="21"/>
          <w:szCs w:val="21"/>
          <w:highlight w:val="none"/>
        </w:rPr>
        <w:t>。　</w:t>
      </w:r>
    </w:p>
    <w:p w14:paraId="458E32FD">
      <w:pPr>
        <w:keepNext/>
        <w:keepLines/>
        <w:spacing w:line="400" w:lineRule="exact"/>
        <w:ind w:firstLine="0" w:firstLineChars="0"/>
        <w:outlineLvl w:val="0"/>
        <w:rPr>
          <w:rFonts w:ascii="宋体" w:hAnsi="宋体" w:cs="宋体"/>
          <w:b/>
          <w:bCs/>
          <w:color w:val="auto"/>
          <w:kern w:val="44"/>
          <w:sz w:val="21"/>
          <w:szCs w:val="21"/>
          <w:highlight w:val="none"/>
        </w:rPr>
      </w:pPr>
      <w:bookmarkStart w:id="1427" w:name="_Toc351203649"/>
      <w:bookmarkStart w:id="1428" w:name="_Toc478389266"/>
      <w:bookmarkStart w:id="1429" w:name="_Toc417904355"/>
      <w:r>
        <w:rPr>
          <w:rFonts w:hint="eastAsia" w:ascii="宋体" w:hAnsi="宋体" w:cs="宋体"/>
          <w:b/>
          <w:bCs/>
          <w:color w:val="auto"/>
          <w:kern w:val="44"/>
          <w:sz w:val="21"/>
          <w:szCs w:val="21"/>
          <w:highlight w:val="none"/>
        </w:rPr>
        <w:t>17. 不可抗力</w:t>
      </w:r>
      <w:bookmarkEnd w:id="1417"/>
      <w:bookmarkEnd w:id="1427"/>
      <w:bookmarkEnd w:id="1428"/>
      <w:bookmarkEnd w:id="1429"/>
    </w:p>
    <w:p w14:paraId="7B46EE58">
      <w:pPr>
        <w:keepNext/>
        <w:keepLines/>
        <w:spacing w:line="400" w:lineRule="exact"/>
        <w:ind w:firstLine="0" w:firstLineChars="0"/>
        <w:outlineLvl w:val="0"/>
        <w:rPr>
          <w:rFonts w:ascii="宋体" w:hAnsi="宋体" w:cs="宋体"/>
          <w:b/>
          <w:bCs/>
          <w:color w:val="auto"/>
          <w:kern w:val="44"/>
          <w:sz w:val="21"/>
          <w:szCs w:val="21"/>
          <w:highlight w:val="none"/>
        </w:rPr>
      </w:pPr>
      <w:bookmarkStart w:id="1430" w:name="_Toc417904356"/>
      <w:bookmarkStart w:id="1431" w:name="_Toc478389267"/>
      <w:r>
        <w:rPr>
          <w:rFonts w:hint="eastAsia" w:ascii="宋体" w:hAnsi="宋体" w:cs="宋体"/>
          <w:b/>
          <w:bCs/>
          <w:color w:val="auto"/>
          <w:kern w:val="44"/>
          <w:sz w:val="21"/>
          <w:szCs w:val="21"/>
          <w:highlight w:val="none"/>
        </w:rPr>
        <w:t>17.1 不可抗力的确认</w:t>
      </w:r>
      <w:bookmarkEnd w:id="1430"/>
      <w:bookmarkEnd w:id="1431"/>
    </w:p>
    <w:p w14:paraId="6B32AF63">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 xml:space="preserve">除通用合同条款约定的不可抗力事件之外，视为不可抗力的其他情形： </w:t>
      </w:r>
      <w:r>
        <w:rPr>
          <w:rFonts w:hint="eastAsia" w:ascii="宋体" w:hAnsi="宋体" w:cs="宋体"/>
          <w:color w:val="auto"/>
          <w:sz w:val="21"/>
          <w:szCs w:val="21"/>
          <w:highlight w:val="none"/>
          <w:u w:val="single"/>
        </w:rPr>
        <w:t>无</w:t>
      </w:r>
      <w:r>
        <w:rPr>
          <w:rFonts w:hint="eastAsia" w:ascii="宋体" w:hAnsi="宋体" w:cs="宋体"/>
          <w:color w:val="auto"/>
          <w:sz w:val="21"/>
          <w:szCs w:val="21"/>
          <w:highlight w:val="none"/>
        </w:rPr>
        <w:t>。</w:t>
      </w:r>
    </w:p>
    <w:p w14:paraId="127F47E7">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17.4 因不可抗力解除合同</w:t>
      </w:r>
    </w:p>
    <w:p w14:paraId="37F621C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合同解除后，发包人应在商定或确定发包人应支付款项后</w:t>
      </w:r>
      <w:r>
        <w:rPr>
          <w:rFonts w:hint="eastAsia" w:ascii="宋体" w:hAnsi="宋体" w:cs="宋体"/>
          <w:color w:val="auto"/>
          <w:sz w:val="21"/>
          <w:szCs w:val="21"/>
          <w:highlight w:val="none"/>
          <w:u w:val="single"/>
        </w:rPr>
        <w:t xml:space="preserve">承包人提出书面申请14  </w:t>
      </w:r>
      <w:r>
        <w:rPr>
          <w:rFonts w:hint="eastAsia" w:ascii="宋体" w:hAnsi="宋体" w:cs="宋体"/>
          <w:color w:val="auto"/>
          <w:sz w:val="21"/>
          <w:szCs w:val="21"/>
          <w:highlight w:val="none"/>
        </w:rPr>
        <w:t>天内完成款项的支付。</w:t>
      </w:r>
    </w:p>
    <w:p w14:paraId="787B170C">
      <w:pPr>
        <w:keepNext/>
        <w:keepLines/>
        <w:spacing w:line="400" w:lineRule="exact"/>
        <w:ind w:firstLine="0" w:firstLineChars="0"/>
        <w:outlineLvl w:val="0"/>
        <w:rPr>
          <w:rFonts w:ascii="宋体" w:hAnsi="宋体" w:cs="宋体"/>
          <w:b/>
          <w:bCs/>
          <w:color w:val="auto"/>
          <w:kern w:val="44"/>
          <w:sz w:val="21"/>
          <w:szCs w:val="21"/>
          <w:highlight w:val="none"/>
        </w:rPr>
      </w:pPr>
      <w:bookmarkStart w:id="1432" w:name="_Toc351203650"/>
      <w:bookmarkStart w:id="1433" w:name="_Toc478389268"/>
      <w:bookmarkStart w:id="1434" w:name="_Toc417904357"/>
      <w:r>
        <w:rPr>
          <w:rFonts w:hint="eastAsia" w:ascii="宋体" w:hAnsi="宋体" w:cs="宋体"/>
          <w:b/>
          <w:bCs/>
          <w:color w:val="auto"/>
          <w:kern w:val="44"/>
          <w:sz w:val="21"/>
          <w:szCs w:val="21"/>
          <w:highlight w:val="none"/>
        </w:rPr>
        <w:t>18. 保险</w:t>
      </w:r>
      <w:bookmarkEnd w:id="1432"/>
      <w:bookmarkEnd w:id="1433"/>
      <w:bookmarkEnd w:id="1434"/>
    </w:p>
    <w:bookmarkEnd w:id="1418"/>
    <w:p w14:paraId="2530314E">
      <w:pPr>
        <w:keepNext/>
        <w:keepLines/>
        <w:spacing w:line="400" w:lineRule="exact"/>
        <w:ind w:firstLine="0" w:firstLineChars="0"/>
        <w:outlineLvl w:val="0"/>
        <w:rPr>
          <w:rFonts w:ascii="宋体" w:hAnsi="宋体" w:cs="宋体"/>
          <w:b/>
          <w:bCs/>
          <w:color w:val="auto"/>
          <w:kern w:val="44"/>
          <w:sz w:val="21"/>
          <w:szCs w:val="21"/>
          <w:highlight w:val="none"/>
        </w:rPr>
      </w:pPr>
      <w:bookmarkStart w:id="1435" w:name="_Toc417904358"/>
      <w:bookmarkStart w:id="1436" w:name="_Toc478389269"/>
      <w:r>
        <w:rPr>
          <w:rFonts w:hint="eastAsia" w:ascii="宋体" w:hAnsi="宋体" w:cs="宋体"/>
          <w:b/>
          <w:bCs/>
          <w:color w:val="auto"/>
          <w:kern w:val="44"/>
          <w:sz w:val="21"/>
          <w:szCs w:val="21"/>
          <w:highlight w:val="none"/>
        </w:rPr>
        <w:t>18.1 工程保险</w:t>
      </w:r>
      <w:bookmarkEnd w:id="1435"/>
      <w:bookmarkEnd w:id="1436"/>
    </w:p>
    <w:p w14:paraId="44E0403F">
      <w:pPr>
        <w:spacing w:line="400" w:lineRule="exact"/>
        <w:ind w:firstLine="420"/>
        <w:rPr>
          <w:rFonts w:ascii="宋体" w:hAnsi="宋体" w:cs="宋体"/>
          <w:color w:val="auto"/>
          <w:sz w:val="21"/>
          <w:szCs w:val="21"/>
          <w:highlight w:val="none"/>
        </w:rPr>
      </w:pPr>
      <w:bookmarkStart w:id="1437" w:name="_Toc478389270"/>
      <w:bookmarkStart w:id="1438" w:name="_Toc417904359"/>
      <w:r>
        <w:rPr>
          <w:rFonts w:hint="eastAsia" w:ascii="宋体" w:hAnsi="宋体" w:cs="宋体"/>
          <w:color w:val="auto"/>
          <w:sz w:val="21"/>
          <w:szCs w:val="21"/>
          <w:highlight w:val="none"/>
        </w:rPr>
        <w:t>关于工程保险的特别约定：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A0D9297">
      <w:pPr>
        <w:keepNext/>
        <w:keepLines/>
        <w:spacing w:line="400" w:lineRule="exact"/>
        <w:ind w:firstLine="0" w:firstLineChars="0"/>
        <w:outlineLvl w:val="0"/>
        <w:rPr>
          <w:rFonts w:ascii="宋体" w:hAnsi="宋体" w:cs="宋体"/>
          <w:b/>
          <w:bCs/>
          <w:color w:val="auto"/>
          <w:kern w:val="44"/>
          <w:sz w:val="21"/>
          <w:szCs w:val="21"/>
          <w:highlight w:val="none"/>
        </w:rPr>
      </w:pPr>
      <w:r>
        <w:rPr>
          <w:rFonts w:hint="eastAsia" w:ascii="宋体" w:hAnsi="宋体" w:cs="宋体"/>
          <w:b/>
          <w:bCs/>
          <w:color w:val="auto"/>
          <w:kern w:val="44"/>
          <w:sz w:val="21"/>
          <w:szCs w:val="21"/>
          <w:highlight w:val="none"/>
        </w:rPr>
        <w:t>18.3 其他保险</w:t>
      </w:r>
    </w:p>
    <w:p w14:paraId="25BDA5A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关于其他保险的约定：</w:t>
      </w:r>
      <w:r>
        <w:rPr>
          <w:rFonts w:hint="eastAsia" w:ascii="宋体" w:hAnsi="宋体" w:cs="宋体"/>
          <w:color w:val="auto"/>
          <w:sz w:val="21"/>
          <w:szCs w:val="21"/>
          <w:highlight w:val="none"/>
          <w:u w:val="single"/>
        </w:rPr>
        <w:t xml:space="preserve">       按国家有关规定                </w:t>
      </w:r>
      <w:r>
        <w:rPr>
          <w:rFonts w:hint="eastAsia" w:ascii="宋体" w:hAnsi="宋体" w:cs="宋体"/>
          <w:color w:val="auto"/>
          <w:sz w:val="21"/>
          <w:szCs w:val="21"/>
          <w:highlight w:val="none"/>
        </w:rPr>
        <w:t>。</w:t>
      </w:r>
    </w:p>
    <w:p w14:paraId="7789396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承包人是否应为其施工设备等办理财产保险：</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437"/>
    <w:bookmarkEnd w:id="1438"/>
    <w:p w14:paraId="666D2685">
      <w:pPr>
        <w:keepNext/>
        <w:keepLines/>
        <w:spacing w:line="400" w:lineRule="exact"/>
        <w:ind w:firstLine="0" w:firstLineChars="0"/>
        <w:outlineLvl w:val="0"/>
        <w:rPr>
          <w:rFonts w:ascii="宋体" w:hAnsi="宋体" w:cs="宋体"/>
          <w:b/>
          <w:bCs/>
          <w:color w:val="auto"/>
          <w:kern w:val="44"/>
          <w:sz w:val="21"/>
          <w:szCs w:val="21"/>
          <w:highlight w:val="none"/>
        </w:rPr>
      </w:pPr>
      <w:bookmarkStart w:id="1439" w:name="_Toc417904360"/>
      <w:bookmarkStart w:id="1440" w:name="_Toc478389271"/>
      <w:r>
        <w:rPr>
          <w:rFonts w:hint="eastAsia" w:ascii="宋体" w:hAnsi="宋体" w:cs="宋体"/>
          <w:b/>
          <w:bCs/>
          <w:color w:val="auto"/>
          <w:kern w:val="44"/>
          <w:sz w:val="21"/>
          <w:szCs w:val="21"/>
          <w:highlight w:val="none"/>
        </w:rPr>
        <w:t>18.7 通知义务</w:t>
      </w:r>
      <w:bookmarkEnd w:id="1439"/>
      <w:bookmarkEnd w:id="1440"/>
    </w:p>
    <w:p w14:paraId="046BBC5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关于变更保险合同时的通知义务的约定：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bookmarkEnd w:id="1386"/>
    <w:bookmarkEnd w:id="1387"/>
    <w:bookmarkEnd w:id="1388"/>
    <w:bookmarkEnd w:id="1389"/>
    <w:bookmarkEnd w:id="1390"/>
    <w:bookmarkEnd w:id="1391"/>
    <w:bookmarkEnd w:id="1392"/>
    <w:bookmarkEnd w:id="1393"/>
    <w:bookmarkEnd w:id="1394"/>
    <w:bookmarkEnd w:id="1395"/>
    <w:bookmarkEnd w:id="1396"/>
    <w:bookmarkEnd w:id="1397"/>
    <w:p w14:paraId="34264C3F">
      <w:pPr>
        <w:keepNext/>
        <w:keepLines/>
        <w:spacing w:line="400" w:lineRule="exact"/>
        <w:ind w:firstLine="0" w:firstLineChars="0"/>
        <w:outlineLvl w:val="0"/>
        <w:rPr>
          <w:rFonts w:ascii="宋体" w:hAnsi="宋体" w:cs="宋体"/>
          <w:b/>
          <w:bCs/>
          <w:color w:val="auto"/>
          <w:kern w:val="44"/>
          <w:sz w:val="21"/>
          <w:szCs w:val="21"/>
          <w:highlight w:val="none"/>
        </w:rPr>
      </w:pPr>
      <w:bookmarkStart w:id="1441" w:name="_Toc417904361"/>
      <w:bookmarkStart w:id="1442" w:name="_Toc351203651"/>
      <w:bookmarkStart w:id="1443" w:name="_Toc478389272"/>
      <w:r>
        <w:rPr>
          <w:rFonts w:hint="eastAsia" w:ascii="宋体" w:hAnsi="宋体" w:cs="宋体"/>
          <w:b/>
          <w:bCs/>
          <w:color w:val="auto"/>
          <w:kern w:val="44"/>
          <w:sz w:val="21"/>
          <w:szCs w:val="21"/>
          <w:highlight w:val="none"/>
        </w:rPr>
        <w:t>20. 争议解决</w:t>
      </w:r>
      <w:bookmarkEnd w:id="1441"/>
      <w:bookmarkEnd w:id="1442"/>
      <w:bookmarkEnd w:id="1443"/>
    </w:p>
    <w:bookmarkEnd w:id="1398"/>
    <w:bookmarkEnd w:id="1399"/>
    <w:p w14:paraId="3C47EE85">
      <w:pPr>
        <w:keepNext/>
        <w:keepLines/>
        <w:spacing w:line="400" w:lineRule="exact"/>
        <w:ind w:firstLine="0" w:firstLineChars="0"/>
        <w:outlineLvl w:val="0"/>
        <w:rPr>
          <w:rFonts w:ascii="宋体" w:hAnsi="宋体" w:cs="宋体"/>
          <w:b/>
          <w:bCs/>
          <w:color w:val="auto"/>
          <w:kern w:val="44"/>
          <w:sz w:val="21"/>
          <w:szCs w:val="21"/>
          <w:highlight w:val="none"/>
        </w:rPr>
      </w:pPr>
      <w:bookmarkStart w:id="1444" w:name="_Toc417904362"/>
      <w:bookmarkStart w:id="1445" w:name="_Toc478389273"/>
      <w:r>
        <w:rPr>
          <w:rFonts w:hint="eastAsia" w:ascii="宋体" w:hAnsi="宋体" w:cs="宋体"/>
          <w:b/>
          <w:bCs/>
          <w:color w:val="auto"/>
          <w:kern w:val="44"/>
          <w:sz w:val="21"/>
          <w:szCs w:val="21"/>
          <w:highlight w:val="none"/>
        </w:rPr>
        <w:t>20.3 争</w:t>
      </w:r>
      <w:bookmarkEnd w:id="1400"/>
      <w:r>
        <w:rPr>
          <w:rFonts w:hint="eastAsia" w:ascii="宋体" w:hAnsi="宋体" w:cs="宋体"/>
          <w:b/>
          <w:bCs/>
          <w:color w:val="auto"/>
          <w:kern w:val="44"/>
          <w:sz w:val="21"/>
          <w:szCs w:val="21"/>
          <w:highlight w:val="none"/>
        </w:rPr>
        <w:t>议评审</w:t>
      </w:r>
      <w:bookmarkEnd w:id="1444"/>
      <w:bookmarkEnd w:id="1445"/>
    </w:p>
    <w:p w14:paraId="2E9631C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合同当事人是否同意将工程争议提交争议评审小组决定：</w:t>
      </w:r>
      <w:r>
        <w:rPr>
          <w:rFonts w:hint="eastAsia" w:ascii="宋体" w:hAnsi="宋体" w:cs="宋体"/>
          <w:color w:val="auto"/>
          <w:sz w:val="21"/>
          <w:szCs w:val="21"/>
          <w:highlight w:val="none"/>
          <w:u w:val="single"/>
        </w:rPr>
        <w:t xml:space="preserve">  　否   </w:t>
      </w:r>
      <w:r>
        <w:rPr>
          <w:rFonts w:hint="eastAsia" w:ascii="宋体" w:hAnsi="宋体" w:cs="宋体"/>
          <w:color w:val="auto"/>
          <w:sz w:val="21"/>
          <w:szCs w:val="21"/>
          <w:highlight w:val="none"/>
        </w:rPr>
        <w:t xml:space="preserve">。  </w:t>
      </w:r>
    </w:p>
    <w:p w14:paraId="53010B8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20.3.1 争议评审小组的确定</w:t>
      </w:r>
    </w:p>
    <w:p w14:paraId="6A24A252">
      <w:pPr>
        <w:spacing w:line="400" w:lineRule="exact"/>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争议评审小组成员的确定：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A7400E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选定争议评审员的期限：</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6F54557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争议评审小组成员的报酬承担方式：</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115FC07A">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其他事项的约定：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2167C0B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20.3.2 争议评审小组的决定</w:t>
      </w:r>
    </w:p>
    <w:p w14:paraId="245A0A3F">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合同当事人关于本项的约定：</w:t>
      </w:r>
      <w:r>
        <w:rPr>
          <w:rFonts w:hint="eastAsia" w:ascii="宋体" w:hAnsi="宋体" w:cs="宋体"/>
          <w:color w:val="auto"/>
          <w:sz w:val="21"/>
          <w:szCs w:val="21"/>
          <w:highlight w:val="none"/>
          <w:u w:val="single"/>
        </w:rPr>
        <w:t xml:space="preserve">   无       </w:t>
      </w:r>
      <w:r>
        <w:rPr>
          <w:rFonts w:hint="eastAsia" w:ascii="宋体" w:hAnsi="宋体" w:cs="宋体"/>
          <w:color w:val="auto"/>
          <w:sz w:val="21"/>
          <w:szCs w:val="21"/>
          <w:highlight w:val="none"/>
        </w:rPr>
        <w:t>。</w:t>
      </w:r>
    </w:p>
    <w:p w14:paraId="2D47E8D5">
      <w:pPr>
        <w:keepNext/>
        <w:keepLines/>
        <w:spacing w:line="400" w:lineRule="exact"/>
        <w:ind w:firstLine="0" w:firstLineChars="0"/>
        <w:outlineLvl w:val="0"/>
        <w:rPr>
          <w:rFonts w:ascii="宋体" w:hAnsi="宋体" w:cs="宋体"/>
          <w:b/>
          <w:bCs/>
          <w:color w:val="auto"/>
          <w:kern w:val="44"/>
          <w:sz w:val="21"/>
          <w:szCs w:val="21"/>
          <w:highlight w:val="none"/>
        </w:rPr>
      </w:pPr>
      <w:bookmarkStart w:id="1446" w:name="_Toc478389274"/>
      <w:bookmarkStart w:id="1447" w:name="_Toc417904363"/>
      <w:r>
        <w:rPr>
          <w:rFonts w:hint="eastAsia" w:ascii="宋体" w:hAnsi="宋体" w:cs="宋体"/>
          <w:b/>
          <w:bCs/>
          <w:color w:val="auto"/>
          <w:kern w:val="44"/>
          <w:sz w:val="21"/>
          <w:szCs w:val="21"/>
          <w:highlight w:val="none"/>
        </w:rPr>
        <w:t>20.4仲裁或诉讼</w:t>
      </w:r>
      <w:bookmarkEnd w:id="1401"/>
      <w:bookmarkEnd w:id="1446"/>
      <w:bookmarkEnd w:id="1447"/>
    </w:p>
    <w:p w14:paraId="3ABBF3F8">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因合同及合同有关事项发生的争议，按下列第</w:t>
      </w:r>
      <w:r>
        <w:rPr>
          <w:rFonts w:hint="eastAsia" w:ascii="宋体" w:hAnsi="宋体" w:cs="宋体"/>
          <w:color w:val="auto"/>
          <w:sz w:val="21"/>
          <w:szCs w:val="21"/>
          <w:highlight w:val="none"/>
          <w:u w:val="single"/>
        </w:rPr>
        <w:t xml:space="preserve">  （2） </w:t>
      </w:r>
      <w:r>
        <w:rPr>
          <w:rFonts w:hint="eastAsia" w:ascii="宋体" w:hAnsi="宋体" w:cs="宋体"/>
          <w:color w:val="auto"/>
          <w:sz w:val="21"/>
          <w:szCs w:val="21"/>
          <w:highlight w:val="none"/>
        </w:rPr>
        <w:t>种方式解决：</w:t>
      </w:r>
    </w:p>
    <w:bookmarkEnd w:id="1402"/>
    <w:bookmarkEnd w:id="1403"/>
    <w:bookmarkEnd w:id="1404"/>
    <w:bookmarkEnd w:id="1405"/>
    <w:bookmarkEnd w:id="1406"/>
    <w:bookmarkEnd w:id="1407"/>
    <w:p w14:paraId="578B3A9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（1）提请</w:t>
      </w:r>
      <w:r>
        <w:rPr>
          <w:rFonts w:hint="eastAsia" w:ascii="宋体" w:hAnsi="宋体" w:cs="宋体"/>
          <w:color w:val="auto"/>
          <w:sz w:val="21"/>
          <w:szCs w:val="21"/>
          <w:highlight w:val="none"/>
          <w:u w:val="single"/>
        </w:rPr>
        <w:t xml:space="preserve"> 桂林  </w:t>
      </w:r>
      <w:r>
        <w:rPr>
          <w:rFonts w:hint="eastAsia" w:ascii="宋体" w:hAnsi="宋体" w:cs="宋体"/>
          <w:color w:val="auto"/>
          <w:sz w:val="21"/>
          <w:szCs w:val="21"/>
          <w:highlight w:val="none"/>
        </w:rPr>
        <w:t>仲裁委员会按照该会仲裁规则进行仲裁，仲裁裁决是终局的，对合同双方均有约束力。</w:t>
      </w:r>
    </w:p>
    <w:p w14:paraId="1353E0B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（2）向</w:t>
      </w:r>
      <w:r>
        <w:rPr>
          <w:rFonts w:hint="eastAsia" w:ascii="宋体" w:hAnsi="宋体" w:cs="宋体"/>
          <w:color w:val="auto"/>
          <w:sz w:val="21"/>
          <w:szCs w:val="21"/>
          <w:highlight w:val="none"/>
          <w:lang w:eastAsia="zh-CN"/>
        </w:rPr>
        <w:t>发包人</w:t>
      </w:r>
      <w:r>
        <w:rPr>
          <w:rFonts w:hint="eastAsia" w:ascii="宋体" w:hAnsi="宋体" w:cs="宋体"/>
          <w:color w:val="auto"/>
          <w:sz w:val="21"/>
          <w:szCs w:val="21"/>
          <w:highlight w:val="none"/>
        </w:rPr>
        <w:t>所在地的人民法院提起诉讼。</w:t>
      </w:r>
    </w:p>
    <w:p w14:paraId="13DFA95D">
      <w:pPr>
        <w:snapToGrid w:val="0"/>
        <w:spacing w:line="320" w:lineRule="exact"/>
        <w:ind w:firstLine="420"/>
        <w:rPr>
          <w:rFonts w:ascii="宋体" w:hAnsi="宋体" w:cs="宋体"/>
          <w:color w:val="auto"/>
          <w:sz w:val="21"/>
          <w:highlight w:val="none"/>
        </w:rPr>
      </w:pPr>
    </w:p>
    <w:p w14:paraId="06711E12">
      <w:pPr>
        <w:widowControl/>
        <w:ind w:firstLine="480"/>
        <w:jc w:val="left"/>
        <w:rPr>
          <w:rFonts w:ascii="宋体" w:hAnsi="宋体" w:cs="宋体"/>
          <w:color w:val="auto"/>
          <w:szCs w:val="21"/>
          <w:highlight w:val="none"/>
        </w:rPr>
        <w:sectPr>
          <w:pgSz w:w="11907" w:h="16840"/>
          <w:pgMar w:top="1440" w:right="1440" w:bottom="1440" w:left="1797" w:header="851" w:footer="851" w:gutter="0"/>
          <w:cols w:space="720" w:num="1"/>
        </w:sectPr>
      </w:pPr>
    </w:p>
    <w:p w14:paraId="3C9B3E61">
      <w:pPr>
        <w:spacing w:line="300" w:lineRule="exact"/>
        <w:ind w:firstLine="482"/>
        <w:jc w:val="left"/>
        <w:rPr>
          <w:rFonts w:ascii="宋体" w:hAnsi="宋体" w:cs="宋体"/>
          <w:b/>
          <w:color w:val="auto"/>
          <w:sz w:val="21"/>
          <w:szCs w:val="21"/>
          <w:highlight w:val="none"/>
        </w:rPr>
      </w:pPr>
      <w:r>
        <w:rPr>
          <w:rFonts w:hint="eastAsia" w:ascii="宋体" w:hAnsi="宋体" w:cs="宋体"/>
          <w:b/>
          <w:color w:val="auto"/>
          <w:szCs w:val="21"/>
          <w:highlight w:val="none"/>
        </w:rPr>
        <w:t>附件</w:t>
      </w:r>
    </w:p>
    <w:p w14:paraId="2AB4DEAA">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协议书附件：</w:t>
      </w:r>
    </w:p>
    <w:p w14:paraId="77CEE7E9">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附件1：承包人承揽工程项目一览表</w:t>
      </w:r>
    </w:p>
    <w:p w14:paraId="57A3D2C6">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专用合同条款附件：</w:t>
      </w:r>
    </w:p>
    <w:p w14:paraId="42D9DCF5">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附件2：发包人供应材料设备一览表</w:t>
      </w:r>
    </w:p>
    <w:p w14:paraId="3AFE737A">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附件3：工程质量保修书</w:t>
      </w:r>
    </w:p>
    <w:p w14:paraId="4EA0EC4E">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附件4：主要建设工程文件目录</w:t>
      </w:r>
    </w:p>
    <w:p w14:paraId="0E965623">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附件5：承包人用于本工程施工的机械设备表</w:t>
      </w:r>
    </w:p>
    <w:p w14:paraId="38734279">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附件6：承包人主要施工管理人员表</w:t>
      </w:r>
    </w:p>
    <w:p w14:paraId="38C9F9EB">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附件7：分包人主要施工管理人员表</w:t>
      </w:r>
    </w:p>
    <w:p w14:paraId="37857DAB">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附件8：履约担保格式</w:t>
      </w:r>
    </w:p>
    <w:p w14:paraId="1732E609">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附件9：预付款担保格式</w:t>
      </w:r>
    </w:p>
    <w:p w14:paraId="16AFA3BD">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附件10：支付担保格式</w:t>
      </w:r>
    </w:p>
    <w:p w14:paraId="6B29538A">
      <w:pPr>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附件11：暂估价一览表 </w:t>
      </w:r>
    </w:p>
    <w:p w14:paraId="2B76B2B8">
      <w:pPr>
        <w:widowControl/>
        <w:ind w:firstLine="480"/>
        <w:jc w:val="left"/>
        <w:rPr>
          <w:rFonts w:ascii="宋体" w:hAnsi="宋体" w:cs="宋体"/>
          <w:color w:val="auto"/>
          <w:szCs w:val="21"/>
          <w:highlight w:val="none"/>
        </w:rPr>
        <w:sectPr>
          <w:pgSz w:w="11906" w:h="16838"/>
          <w:pgMar w:top="1134" w:right="1416" w:bottom="1418" w:left="1276" w:header="851" w:footer="992" w:gutter="0"/>
          <w:cols w:space="720" w:num="1"/>
          <w:docGrid w:type="lines" w:linePitch="312" w:charSpace="0"/>
        </w:sectPr>
      </w:pPr>
    </w:p>
    <w:p w14:paraId="03B311BE">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附件1：</w:t>
      </w:r>
    </w:p>
    <w:p w14:paraId="07BC51C9">
      <w:pPr>
        <w:spacing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承包人承揽工程项目一览表</w:t>
      </w:r>
    </w:p>
    <w:tbl>
      <w:tblPr>
        <w:tblStyle w:val="48"/>
        <w:tblW w:w="14595"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19"/>
        <w:gridCol w:w="1700"/>
        <w:gridCol w:w="1416"/>
        <w:gridCol w:w="2409"/>
        <w:gridCol w:w="850"/>
        <w:gridCol w:w="1559"/>
        <w:gridCol w:w="2125"/>
        <w:gridCol w:w="1416"/>
        <w:gridCol w:w="851"/>
        <w:gridCol w:w="850"/>
      </w:tblGrid>
      <w:tr w14:paraId="7F9F6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4" w:space="0"/>
              <w:left w:val="single" w:color="auto" w:sz="4" w:space="0"/>
              <w:bottom w:val="single" w:color="auto" w:sz="4" w:space="0"/>
              <w:right w:val="single" w:color="auto" w:sz="4" w:space="0"/>
            </w:tcBorders>
            <w:vAlign w:val="center"/>
          </w:tcPr>
          <w:p w14:paraId="5E9A427E">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单位工程名称</w:t>
            </w:r>
          </w:p>
        </w:tc>
        <w:tc>
          <w:tcPr>
            <w:tcW w:w="1701" w:type="dxa"/>
            <w:tcBorders>
              <w:top w:val="single" w:color="auto" w:sz="4" w:space="0"/>
              <w:left w:val="single" w:color="auto" w:sz="4" w:space="0"/>
              <w:bottom w:val="single" w:color="auto" w:sz="4" w:space="0"/>
              <w:right w:val="single" w:color="auto" w:sz="4" w:space="0"/>
            </w:tcBorders>
            <w:vAlign w:val="center"/>
          </w:tcPr>
          <w:p w14:paraId="5EF5B7A2">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建设规模</w:t>
            </w:r>
          </w:p>
        </w:tc>
        <w:tc>
          <w:tcPr>
            <w:tcW w:w="1417" w:type="dxa"/>
            <w:tcBorders>
              <w:top w:val="single" w:color="auto" w:sz="4" w:space="0"/>
              <w:left w:val="single" w:color="auto" w:sz="4" w:space="0"/>
              <w:bottom w:val="single" w:color="auto" w:sz="4" w:space="0"/>
              <w:right w:val="single" w:color="auto" w:sz="4" w:space="0"/>
            </w:tcBorders>
            <w:vAlign w:val="center"/>
          </w:tcPr>
          <w:p w14:paraId="1392B638">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建筑面积</w:t>
            </w:r>
            <w:r>
              <w:rPr>
                <w:rFonts w:hint="eastAsia" w:ascii="宋体" w:hAnsi="宋体" w:cs="宋体"/>
                <w:color w:val="auto"/>
                <w:szCs w:val="21"/>
                <w:highlight w:val="none"/>
                <w:lang w:eastAsia="zh-CN"/>
              </w:rPr>
              <w:t>（</w:t>
            </w:r>
            <w:r>
              <w:rPr>
                <w:rFonts w:hint="eastAsia" w:ascii="宋体" w:hAnsi="宋体" w:cs="宋体"/>
                <w:color w:val="auto"/>
                <w:szCs w:val="21"/>
                <w:highlight w:val="none"/>
              </w:rPr>
              <w:t>平方米</w:t>
            </w:r>
            <w:r>
              <w:rPr>
                <w:rFonts w:hint="eastAsia" w:ascii="宋体" w:hAnsi="宋体" w:cs="宋体"/>
                <w:color w:val="auto"/>
                <w:szCs w:val="21"/>
                <w:highlight w:val="none"/>
                <w:lang w:eastAsia="zh-CN"/>
              </w:rPr>
              <w:t>）</w:t>
            </w:r>
          </w:p>
        </w:tc>
        <w:tc>
          <w:tcPr>
            <w:tcW w:w="2410" w:type="dxa"/>
            <w:tcBorders>
              <w:top w:val="single" w:color="auto" w:sz="4" w:space="0"/>
              <w:left w:val="single" w:color="auto" w:sz="4" w:space="0"/>
              <w:bottom w:val="single" w:color="auto" w:sz="4" w:space="0"/>
              <w:right w:val="single" w:color="auto" w:sz="4" w:space="0"/>
            </w:tcBorders>
            <w:vAlign w:val="center"/>
          </w:tcPr>
          <w:p w14:paraId="7E653930">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结构形式</w:t>
            </w:r>
          </w:p>
        </w:tc>
        <w:tc>
          <w:tcPr>
            <w:tcW w:w="850" w:type="dxa"/>
            <w:tcBorders>
              <w:top w:val="single" w:color="auto" w:sz="4" w:space="0"/>
              <w:left w:val="single" w:color="auto" w:sz="4" w:space="0"/>
              <w:bottom w:val="single" w:color="auto" w:sz="4" w:space="0"/>
              <w:right w:val="single" w:color="auto" w:sz="4" w:space="0"/>
            </w:tcBorders>
            <w:vAlign w:val="center"/>
          </w:tcPr>
          <w:p w14:paraId="0C4FE525">
            <w:pPr>
              <w:spacing w:line="440" w:lineRule="exact"/>
              <w:ind w:left="0" w:leftChars="0" w:firstLine="0" w:firstLineChars="0"/>
              <w:jc w:val="center"/>
              <w:rPr>
                <w:rFonts w:ascii="宋体" w:hAnsi="宋体" w:cs="宋体"/>
                <w:color w:val="auto"/>
                <w:sz w:val="21"/>
                <w:szCs w:val="21"/>
                <w:highlight w:val="none"/>
              </w:rPr>
            </w:pPr>
            <w:r>
              <w:rPr>
                <w:rFonts w:hint="eastAsia" w:ascii="宋体" w:hAnsi="宋体" w:cs="宋体"/>
                <w:color w:val="auto"/>
                <w:szCs w:val="21"/>
                <w:highlight w:val="none"/>
              </w:rPr>
              <w:t>层数</w:t>
            </w:r>
          </w:p>
        </w:tc>
        <w:tc>
          <w:tcPr>
            <w:tcW w:w="1560" w:type="dxa"/>
            <w:tcBorders>
              <w:top w:val="single" w:color="auto" w:sz="4" w:space="0"/>
              <w:left w:val="single" w:color="auto" w:sz="4" w:space="0"/>
              <w:bottom w:val="single" w:color="auto" w:sz="4" w:space="0"/>
              <w:right w:val="single" w:color="auto" w:sz="4" w:space="0"/>
            </w:tcBorders>
            <w:vAlign w:val="center"/>
          </w:tcPr>
          <w:p w14:paraId="701675E9">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生产能力</w:t>
            </w:r>
          </w:p>
        </w:tc>
        <w:tc>
          <w:tcPr>
            <w:tcW w:w="2126" w:type="dxa"/>
            <w:tcBorders>
              <w:top w:val="single" w:color="auto" w:sz="4" w:space="0"/>
              <w:left w:val="single" w:color="auto" w:sz="4" w:space="0"/>
              <w:bottom w:val="single" w:color="auto" w:sz="4" w:space="0"/>
              <w:right w:val="single" w:color="auto" w:sz="4" w:space="0"/>
            </w:tcBorders>
            <w:vAlign w:val="center"/>
          </w:tcPr>
          <w:p w14:paraId="28B651B3">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设备安装内容</w:t>
            </w:r>
          </w:p>
        </w:tc>
        <w:tc>
          <w:tcPr>
            <w:tcW w:w="1417" w:type="dxa"/>
            <w:tcBorders>
              <w:top w:val="single" w:color="auto" w:sz="4" w:space="0"/>
              <w:left w:val="single" w:color="auto" w:sz="4" w:space="0"/>
              <w:bottom w:val="single" w:color="auto" w:sz="4" w:space="0"/>
              <w:right w:val="single" w:color="auto" w:sz="4" w:space="0"/>
            </w:tcBorders>
            <w:vAlign w:val="center"/>
          </w:tcPr>
          <w:p w14:paraId="756902C9">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合同价格（元）</w:t>
            </w:r>
          </w:p>
        </w:tc>
        <w:tc>
          <w:tcPr>
            <w:tcW w:w="851" w:type="dxa"/>
            <w:tcBorders>
              <w:top w:val="single" w:color="auto" w:sz="4" w:space="0"/>
              <w:left w:val="single" w:color="auto" w:sz="4" w:space="0"/>
              <w:bottom w:val="single" w:color="auto" w:sz="4" w:space="0"/>
              <w:right w:val="single" w:color="auto" w:sz="4" w:space="0"/>
            </w:tcBorders>
            <w:vAlign w:val="center"/>
          </w:tcPr>
          <w:p w14:paraId="589CD327">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开工日期</w:t>
            </w:r>
          </w:p>
        </w:tc>
        <w:tc>
          <w:tcPr>
            <w:tcW w:w="850" w:type="dxa"/>
            <w:tcBorders>
              <w:top w:val="single" w:color="auto" w:sz="4" w:space="0"/>
              <w:left w:val="single" w:color="auto" w:sz="4" w:space="0"/>
              <w:bottom w:val="single" w:color="auto" w:sz="4" w:space="0"/>
              <w:right w:val="single" w:color="auto" w:sz="4" w:space="0"/>
            </w:tcBorders>
            <w:vAlign w:val="center"/>
          </w:tcPr>
          <w:p w14:paraId="135D5C02">
            <w:pPr>
              <w:spacing w:line="440" w:lineRule="exact"/>
              <w:ind w:firstLine="480"/>
              <w:jc w:val="center"/>
              <w:rPr>
                <w:rFonts w:ascii="宋体" w:hAnsi="宋体" w:cs="宋体"/>
                <w:color w:val="auto"/>
                <w:sz w:val="21"/>
                <w:szCs w:val="21"/>
                <w:highlight w:val="none"/>
              </w:rPr>
            </w:pPr>
            <w:r>
              <w:rPr>
                <w:rFonts w:hint="eastAsia" w:ascii="宋体" w:hAnsi="宋体" w:cs="宋体"/>
                <w:color w:val="auto"/>
                <w:szCs w:val="21"/>
                <w:highlight w:val="none"/>
              </w:rPr>
              <w:t>竣工日期</w:t>
            </w:r>
          </w:p>
        </w:tc>
      </w:tr>
      <w:tr w14:paraId="39CD0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4" w:space="0"/>
              <w:left w:val="single" w:color="auto" w:sz="12" w:space="0"/>
              <w:bottom w:val="single" w:color="auto" w:sz="6" w:space="0"/>
              <w:right w:val="single" w:color="auto" w:sz="6" w:space="0"/>
            </w:tcBorders>
            <w:vAlign w:val="center"/>
          </w:tcPr>
          <w:p w14:paraId="22547513">
            <w:pPr>
              <w:spacing w:line="440" w:lineRule="exact"/>
              <w:ind w:firstLine="420"/>
              <w:rPr>
                <w:rFonts w:ascii="宋体" w:hAnsi="宋体" w:cs="宋体"/>
                <w:color w:val="auto"/>
                <w:sz w:val="21"/>
                <w:szCs w:val="21"/>
                <w:highlight w:val="none"/>
              </w:rPr>
            </w:pPr>
          </w:p>
        </w:tc>
        <w:tc>
          <w:tcPr>
            <w:tcW w:w="1701" w:type="dxa"/>
            <w:tcBorders>
              <w:top w:val="single" w:color="auto" w:sz="4" w:space="0"/>
              <w:left w:val="single" w:color="auto" w:sz="6" w:space="0"/>
              <w:bottom w:val="single" w:color="auto" w:sz="6" w:space="0"/>
              <w:right w:val="single" w:color="auto" w:sz="6" w:space="0"/>
            </w:tcBorders>
            <w:vAlign w:val="center"/>
          </w:tcPr>
          <w:p w14:paraId="1D1C10D4">
            <w:pPr>
              <w:spacing w:line="440" w:lineRule="exact"/>
              <w:ind w:firstLine="420"/>
              <w:rPr>
                <w:rFonts w:ascii="宋体" w:hAnsi="宋体" w:cs="宋体"/>
                <w:color w:val="auto"/>
                <w:sz w:val="21"/>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14:paraId="58BE4DF6">
            <w:pPr>
              <w:spacing w:line="440" w:lineRule="exact"/>
              <w:ind w:firstLine="420"/>
              <w:rPr>
                <w:rFonts w:ascii="宋体" w:hAnsi="宋体" w:cs="宋体"/>
                <w:color w:val="auto"/>
                <w:sz w:val="21"/>
                <w:szCs w:val="21"/>
                <w:highlight w:val="none"/>
              </w:rPr>
            </w:pPr>
          </w:p>
        </w:tc>
        <w:tc>
          <w:tcPr>
            <w:tcW w:w="2410" w:type="dxa"/>
            <w:tcBorders>
              <w:top w:val="single" w:color="auto" w:sz="4" w:space="0"/>
              <w:left w:val="single" w:color="auto" w:sz="6" w:space="0"/>
              <w:bottom w:val="single" w:color="auto" w:sz="6" w:space="0"/>
              <w:right w:val="single" w:color="auto" w:sz="6" w:space="0"/>
            </w:tcBorders>
            <w:vAlign w:val="center"/>
          </w:tcPr>
          <w:p w14:paraId="17C1B202">
            <w:pPr>
              <w:spacing w:line="440" w:lineRule="exact"/>
              <w:ind w:firstLine="420"/>
              <w:rPr>
                <w:rFonts w:ascii="宋体" w:hAnsi="宋体" w:cs="宋体"/>
                <w:color w:val="auto"/>
                <w:sz w:val="21"/>
                <w:szCs w:val="21"/>
                <w:highlight w:val="none"/>
              </w:rPr>
            </w:pPr>
          </w:p>
        </w:tc>
        <w:tc>
          <w:tcPr>
            <w:tcW w:w="850" w:type="dxa"/>
            <w:tcBorders>
              <w:top w:val="single" w:color="auto" w:sz="4" w:space="0"/>
              <w:left w:val="single" w:color="auto" w:sz="6" w:space="0"/>
              <w:bottom w:val="single" w:color="auto" w:sz="6" w:space="0"/>
              <w:right w:val="single" w:color="auto" w:sz="6" w:space="0"/>
            </w:tcBorders>
            <w:vAlign w:val="center"/>
          </w:tcPr>
          <w:p w14:paraId="7CD6AFD2">
            <w:pPr>
              <w:spacing w:line="440" w:lineRule="exact"/>
              <w:ind w:firstLine="420"/>
              <w:rPr>
                <w:rFonts w:ascii="宋体" w:hAnsi="宋体" w:cs="宋体"/>
                <w:color w:val="auto"/>
                <w:sz w:val="21"/>
                <w:szCs w:val="21"/>
                <w:highlight w:val="none"/>
              </w:rPr>
            </w:pPr>
          </w:p>
        </w:tc>
        <w:tc>
          <w:tcPr>
            <w:tcW w:w="1560" w:type="dxa"/>
            <w:tcBorders>
              <w:top w:val="single" w:color="auto" w:sz="4" w:space="0"/>
              <w:left w:val="single" w:color="auto" w:sz="6" w:space="0"/>
              <w:bottom w:val="single" w:color="auto" w:sz="6" w:space="0"/>
              <w:right w:val="single" w:color="auto" w:sz="6" w:space="0"/>
            </w:tcBorders>
            <w:vAlign w:val="center"/>
          </w:tcPr>
          <w:p w14:paraId="5323F4DD">
            <w:pPr>
              <w:spacing w:line="440" w:lineRule="exact"/>
              <w:ind w:firstLine="420"/>
              <w:rPr>
                <w:rFonts w:ascii="宋体" w:hAnsi="宋体" w:cs="宋体"/>
                <w:color w:val="auto"/>
                <w:sz w:val="21"/>
                <w:szCs w:val="21"/>
                <w:highlight w:val="none"/>
              </w:rPr>
            </w:pPr>
          </w:p>
        </w:tc>
        <w:tc>
          <w:tcPr>
            <w:tcW w:w="2126" w:type="dxa"/>
            <w:tcBorders>
              <w:top w:val="single" w:color="auto" w:sz="4" w:space="0"/>
              <w:left w:val="single" w:color="auto" w:sz="6" w:space="0"/>
              <w:bottom w:val="single" w:color="auto" w:sz="6" w:space="0"/>
              <w:right w:val="single" w:color="auto" w:sz="6" w:space="0"/>
            </w:tcBorders>
            <w:vAlign w:val="center"/>
          </w:tcPr>
          <w:p w14:paraId="25759994">
            <w:pPr>
              <w:spacing w:line="440" w:lineRule="exact"/>
              <w:ind w:firstLine="420"/>
              <w:rPr>
                <w:rFonts w:ascii="宋体" w:hAnsi="宋体" w:cs="宋体"/>
                <w:color w:val="auto"/>
                <w:sz w:val="21"/>
                <w:szCs w:val="21"/>
                <w:highlight w:val="none"/>
              </w:rPr>
            </w:pPr>
          </w:p>
        </w:tc>
        <w:tc>
          <w:tcPr>
            <w:tcW w:w="1417" w:type="dxa"/>
            <w:tcBorders>
              <w:top w:val="single" w:color="auto" w:sz="4" w:space="0"/>
              <w:left w:val="single" w:color="auto" w:sz="6" w:space="0"/>
              <w:bottom w:val="single" w:color="auto" w:sz="6" w:space="0"/>
              <w:right w:val="single" w:color="auto" w:sz="6" w:space="0"/>
            </w:tcBorders>
            <w:vAlign w:val="center"/>
          </w:tcPr>
          <w:p w14:paraId="2B918DB2">
            <w:pPr>
              <w:spacing w:line="440" w:lineRule="exact"/>
              <w:ind w:firstLine="420"/>
              <w:rPr>
                <w:rFonts w:ascii="宋体" w:hAnsi="宋体" w:cs="宋体"/>
                <w:color w:val="auto"/>
                <w:sz w:val="21"/>
                <w:szCs w:val="21"/>
                <w:highlight w:val="none"/>
              </w:rPr>
            </w:pPr>
          </w:p>
        </w:tc>
        <w:tc>
          <w:tcPr>
            <w:tcW w:w="851" w:type="dxa"/>
            <w:tcBorders>
              <w:top w:val="single" w:color="auto" w:sz="4" w:space="0"/>
              <w:left w:val="single" w:color="auto" w:sz="6" w:space="0"/>
              <w:bottom w:val="single" w:color="auto" w:sz="6" w:space="0"/>
              <w:right w:val="single" w:color="auto" w:sz="6" w:space="0"/>
            </w:tcBorders>
            <w:vAlign w:val="center"/>
          </w:tcPr>
          <w:p w14:paraId="09F5B1B8">
            <w:pPr>
              <w:spacing w:line="440" w:lineRule="exact"/>
              <w:ind w:firstLine="420"/>
              <w:rPr>
                <w:rFonts w:ascii="宋体" w:hAnsi="宋体" w:cs="宋体"/>
                <w:color w:val="auto"/>
                <w:sz w:val="21"/>
                <w:szCs w:val="21"/>
                <w:highlight w:val="none"/>
              </w:rPr>
            </w:pPr>
          </w:p>
        </w:tc>
        <w:tc>
          <w:tcPr>
            <w:tcW w:w="850" w:type="dxa"/>
            <w:tcBorders>
              <w:top w:val="single" w:color="auto" w:sz="4" w:space="0"/>
              <w:left w:val="single" w:color="auto" w:sz="6" w:space="0"/>
              <w:bottom w:val="single" w:color="auto" w:sz="6" w:space="0"/>
              <w:right w:val="single" w:color="auto" w:sz="12" w:space="0"/>
            </w:tcBorders>
            <w:vAlign w:val="center"/>
          </w:tcPr>
          <w:p w14:paraId="31AFA155">
            <w:pPr>
              <w:spacing w:line="440" w:lineRule="exact"/>
              <w:ind w:firstLine="420"/>
              <w:rPr>
                <w:rFonts w:ascii="宋体" w:hAnsi="宋体" w:cs="宋体"/>
                <w:color w:val="auto"/>
                <w:sz w:val="21"/>
                <w:szCs w:val="21"/>
                <w:highlight w:val="none"/>
              </w:rPr>
            </w:pPr>
          </w:p>
        </w:tc>
      </w:tr>
      <w:tr w14:paraId="0D53E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0A101BD0">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2707C21F">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6FAEE4A5">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23866F6D">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776D6835">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3B43C1A0">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3167E115">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7932A0D1">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265068FD">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75D87D83">
            <w:pPr>
              <w:spacing w:line="440" w:lineRule="exact"/>
              <w:ind w:firstLine="420"/>
              <w:rPr>
                <w:rFonts w:ascii="宋体" w:hAnsi="宋体" w:cs="宋体"/>
                <w:color w:val="auto"/>
                <w:sz w:val="21"/>
                <w:szCs w:val="21"/>
                <w:highlight w:val="none"/>
              </w:rPr>
            </w:pPr>
          </w:p>
        </w:tc>
      </w:tr>
      <w:tr w14:paraId="02A5E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6" w:space="0"/>
              <w:right w:val="single" w:color="auto" w:sz="6" w:space="0"/>
            </w:tcBorders>
            <w:vAlign w:val="center"/>
          </w:tcPr>
          <w:p w14:paraId="68046F65">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0D326FD4">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62F8CE56">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14:paraId="7E10AD87">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0DE10A6">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14:paraId="42318CD7">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14:paraId="01F4FA76">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2E3938FD">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644C1D9F">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57195A31">
            <w:pPr>
              <w:spacing w:line="440" w:lineRule="exact"/>
              <w:ind w:firstLine="420"/>
              <w:rPr>
                <w:rFonts w:ascii="宋体" w:hAnsi="宋体" w:cs="宋体"/>
                <w:color w:val="auto"/>
                <w:sz w:val="21"/>
                <w:szCs w:val="21"/>
                <w:highlight w:val="none"/>
              </w:rPr>
            </w:pPr>
          </w:p>
        </w:tc>
      </w:tr>
      <w:tr w14:paraId="0348D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317C97DB">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13DA6CED">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3D918BB3">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13A9366F">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5D9A0315">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787536C2">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43C2B387">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F6E100C">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5C6A5335">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7606F097">
            <w:pPr>
              <w:spacing w:line="440" w:lineRule="exact"/>
              <w:ind w:firstLine="420"/>
              <w:rPr>
                <w:rFonts w:ascii="宋体" w:hAnsi="宋体" w:cs="宋体"/>
                <w:color w:val="auto"/>
                <w:sz w:val="21"/>
                <w:szCs w:val="21"/>
                <w:highlight w:val="none"/>
              </w:rPr>
            </w:pPr>
          </w:p>
        </w:tc>
      </w:tr>
      <w:tr w14:paraId="5EB12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6" w:space="0"/>
              <w:right w:val="single" w:color="auto" w:sz="6" w:space="0"/>
            </w:tcBorders>
            <w:vAlign w:val="center"/>
          </w:tcPr>
          <w:p w14:paraId="1C6C140F">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794A31C1">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2E63B3B3">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14:paraId="41F193CC">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BBFD4AB">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14:paraId="394EA2FA">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14:paraId="18CF183B">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5BE146E1">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6C690F76">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5830706">
            <w:pPr>
              <w:spacing w:line="440" w:lineRule="exact"/>
              <w:ind w:firstLine="420"/>
              <w:rPr>
                <w:rFonts w:ascii="宋体" w:hAnsi="宋体" w:cs="宋体"/>
                <w:color w:val="auto"/>
                <w:sz w:val="21"/>
                <w:szCs w:val="21"/>
                <w:highlight w:val="none"/>
              </w:rPr>
            </w:pPr>
          </w:p>
        </w:tc>
      </w:tr>
      <w:tr w14:paraId="5042A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4E1A0438">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5720B089">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C214998">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44110D2F">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5D338A0E">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1D442DF4">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5BA3AE93">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316D1B70">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41C26FF4">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5B4DBC6E">
            <w:pPr>
              <w:spacing w:line="440" w:lineRule="exact"/>
              <w:ind w:firstLine="420"/>
              <w:rPr>
                <w:rFonts w:ascii="宋体" w:hAnsi="宋体" w:cs="宋体"/>
                <w:color w:val="auto"/>
                <w:sz w:val="21"/>
                <w:szCs w:val="21"/>
                <w:highlight w:val="none"/>
              </w:rPr>
            </w:pPr>
          </w:p>
        </w:tc>
      </w:tr>
      <w:tr w14:paraId="74FD40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28AD56FB">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1CEEA42B">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0A1CB5F4">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0A7D0B30">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7A22F717">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2A6E3893">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617D25C2">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91E72D3">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4027B8FB">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4EF05517">
            <w:pPr>
              <w:spacing w:line="440" w:lineRule="exact"/>
              <w:ind w:firstLine="420"/>
              <w:rPr>
                <w:rFonts w:ascii="宋体" w:hAnsi="宋体" w:cs="宋体"/>
                <w:color w:val="auto"/>
                <w:sz w:val="21"/>
                <w:szCs w:val="21"/>
                <w:highlight w:val="none"/>
              </w:rPr>
            </w:pPr>
          </w:p>
        </w:tc>
      </w:tr>
      <w:tr w14:paraId="6447B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6" w:space="0"/>
              <w:right w:val="single" w:color="auto" w:sz="6" w:space="0"/>
            </w:tcBorders>
            <w:vAlign w:val="center"/>
          </w:tcPr>
          <w:p w14:paraId="329B87BB">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6" w:space="0"/>
              <w:right w:val="single" w:color="auto" w:sz="6" w:space="0"/>
            </w:tcBorders>
            <w:vAlign w:val="center"/>
          </w:tcPr>
          <w:p w14:paraId="13B2D74B">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4EFA213A">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14:paraId="6CD984C3">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FC70CBF">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14:paraId="4240E868">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14:paraId="4F20C2B6">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36DA8D4B">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796B5387">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257067B8">
            <w:pPr>
              <w:spacing w:line="440" w:lineRule="exact"/>
              <w:ind w:firstLine="420"/>
              <w:rPr>
                <w:rFonts w:ascii="宋体" w:hAnsi="宋体" w:cs="宋体"/>
                <w:color w:val="auto"/>
                <w:sz w:val="21"/>
                <w:szCs w:val="21"/>
                <w:highlight w:val="none"/>
              </w:rPr>
            </w:pPr>
          </w:p>
        </w:tc>
      </w:tr>
      <w:tr w14:paraId="18226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nil"/>
              <w:left w:val="single" w:color="auto" w:sz="12" w:space="0"/>
              <w:bottom w:val="single" w:color="auto" w:sz="6" w:space="0"/>
              <w:right w:val="single" w:color="auto" w:sz="6" w:space="0"/>
            </w:tcBorders>
            <w:vAlign w:val="center"/>
          </w:tcPr>
          <w:p w14:paraId="2DAF655C">
            <w:pPr>
              <w:spacing w:line="440" w:lineRule="exact"/>
              <w:ind w:firstLine="420"/>
              <w:rPr>
                <w:rFonts w:ascii="宋体" w:hAnsi="宋体" w:cs="宋体"/>
                <w:color w:val="auto"/>
                <w:sz w:val="21"/>
                <w:szCs w:val="21"/>
                <w:highlight w:val="none"/>
              </w:rPr>
            </w:pPr>
          </w:p>
        </w:tc>
        <w:tc>
          <w:tcPr>
            <w:tcW w:w="1701" w:type="dxa"/>
            <w:tcBorders>
              <w:top w:val="nil"/>
              <w:left w:val="single" w:color="auto" w:sz="6" w:space="0"/>
              <w:bottom w:val="single" w:color="auto" w:sz="6" w:space="0"/>
              <w:right w:val="single" w:color="auto" w:sz="6" w:space="0"/>
            </w:tcBorders>
            <w:vAlign w:val="center"/>
          </w:tcPr>
          <w:p w14:paraId="3CD03DA2">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1BD94712">
            <w:pPr>
              <w:spacing w:line="440" w:lineRule="exact"/>
              <w:ind w:firstLine="420"/>
              <w:rPr>
                <w:rFonts w:ascii="宋体" w:hAnsi="宋体" w:cs="宋体"/>
                <w:color w:val="auto"/>
                <w:sz w:val="21"/>
                <w:szCs w:val="21"/>
                <w:highlight w:val="none"/>
              </w:rPr>
            </w:pPr>
          </w:p>
        </w:tc>
        <w:tc>
          <w:tcPr>
            <w:tcW w:w="2410" w:type="dxa"/>
            <w:tcBorders>
              <w:top w:val="nil"/>
              <w:left w:val="single" w:color="auto" w:sz="6" w:space="0"/>
              <w:bottom w:val="single" w:color="auto" w:sz="6" w:space="0"/>
              <w:right w:val="single" w:color="auto" w:sz="6" w:space="0"/>
            </w:tcBorders>
            <w:vAlign w:val="center"/>
          </w:tcPr>
          <w:p w14:paraId="7988417F">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6" w:space="0"/>
            </w:tcBorders>
            <w:vAlign w:val="center"/>
          </w:tcPr>
          <w:p w14:paraId="7B459BAC">
            <w:pPr>
              <w:spacing w:line="440" w:lineRule="exact"/>
              <w:ind w:firstLine="420"/>
              <w:rPr>
                <w:rFonts w:ascii="宋体" w:hAnsi="宋体" w:cs="宋体"/>
                <w:color w:val="auto"/>
                <w:sz w:val="21"/>
                <w:szCs w:val="21"/>
                <w:highlight w:val="none"/>
              </w:rPr>
            </w:pPr>
          </w:p>
        </w:tc>
        <w:tc>
          <w:tcPr>
            <w:tcW w:w="1560" w:type="dxa"/>
            <w:tcBorders>
              <w:top w:val="nil"/>
              <w:left w:val="single" w:color="auto" w:sz="6" w:space="0"/>
              <w:bottom w:val="single" w:color="auto" w:sz="6" w:space="0"/>
              <w:right w:val="single" w:color="auto" w:sz="6" w:space="0"/>
            </w:tcBorders>
            <w:vAlign w:val="center"/>
          </w:tcPr>
          <w:p w14:paraId="3871FD1C">
            <w:pPr>
              <w:spacing w:line="440" w:lineRule="exact"/>
              <w:ind w:firstLine="420"/>
              <w:rPr>
                <w:rFonts w:ascii="宋体" w:hAnsi="宋体" w:cs="宋体"/>
                <w:color w:val="auto"/>
                <w:sz w:val="21"/>
                <w:szCs w:val="21"/>
                <w:highlight w:val="none"/>
              </w:rPr>
            </w:pPr>
          </w:p>
        </w:tc>
        <w:tc>
          <w:tcPr>
            <w:tcW w:w="2126" w:type="dxa"/>
            <w:tcBorders>
              <w:top w:val="nil"/>
              <w:left w:val="single" w:color="auto" w:sz="6" w:space="0"/>
              <w:bottom w:val="single" w:color="auto" w:sz="6" w:space="0"/>
              <w:right w:val="single" w:color="auto" w:sz="6" w:space="0"/>
            </w:tcBorders>
            <w:vAlign w:val="center"/>
          </w:tcPr>
          <w:p w14:paraId="0807FD1B">
            <w:pPr>
              <w:spacing w:line="440" w:lineRule="exact"/>
              <w:ind w:firstLine="420"/>
              <w:rPr>
                <w:rFonts w:ascii="宋体" w:hAnsi="宋体" w:cs="宋体"/>
                <w:color w:val="auto"/>
                <w:sz w:val="21"/>
                <w:szCs w:val="21"/>
                <w:highlight w:val="none"/>
              </w:rPr>
            </w:pPr>
          </w:p>
        </w:tc>
        <w:tc>
          <w:tcPr>
            <w:tcW w:w="1417" w:type="dxa"/>
            <w:tcBorders>
              <w:top w:val="nil"/>
              <w:left w:val="single" w:color="auto" w:sz="6" w:space="0"/>
              <w:bottom w:val="single" w:color="auto" w:sz="6" w:space="0"/>
              <w:right w:val="single" w:color="auto" w:sz="6" w:space="0"/>
            </w:tcBorders>
            <w:vAlign w:val="center"/>
          </w:tcPr>
          <w:p w14:paraId="3585B7CC">
            <w:pPr>
              <w:spacing w:line="440" w:lineRule="exact"/>
              <w:ind w:firstLine="420"/>
              <w:rPr>
                <w:rFonts w:ascii="宋体" w:hAnsi="宋体" w:cs="宋体"/>
                <w:color w:val="auto"/>
                <w:sz w:val="21"/>
                <w:szCs w:val="21"/>
                <w:highlight w:val="none"/>
              </w:rPr>
            </w:pPr>
          </w:p>
        </w:tc>
        <w:tc>
          <w:tcPr>
            <w:tcW w:w="851" w:type="dxa"/>
            <w:tcBorders>
              <w:top w:val="nil"/>
              <w:left w:val="single" w:color="auto" w:sz="6" w:space="0"/>
              <w:bottom w:val="single" w:color="auto" w:sz="6" w:space="0"/>
              <w:right w:val="single" w:color="auto" w:sz="6" w:space="0"/>
            </w:tcBorders>
            <w:vAlign w:val="center"/>
          </w:tcPr>
          <w:p w14:paraId="65E8CF6B">
            <w:pPr>
              <w:spacing w:line="440" w:lineRule="exact"/>
              <w:ind w:firstLine="420"/>
              <w:rPr>
                <w:rFonts w:ascii="宋体" w:hAnsi="宋体" w:cs="宋体"/>
                <w:color w:val="auto"/>
                <w:sz w:val="21"/>
                <w:szCs w:val="21"/>
                <w:highlight w:val="none"/>
              </w:rPr>
            </w:pPr>
          </w:p>
        </w:tc>
        <w:tc>
          <w:tcPr>
            <w:tcW w:w="850" w:type="dxa"/>
            <w:tcBorders>
              <w:top w:val="nil"/>
              <w:left w:val="single" w:color="auto" w:sz="6" w:space="0"/>
              <w:bottom w:val="single" w:color="auto" w:sz="6" w:space="0"/>
              <w:right w:val="single" w:color="auto" w:sz="12" w:space="0"/>
            </w:tcBorders>
            <w:vAlign w:val="center"/>
          </w:tcPr>
          <w:p w14:paraId="2F6A328F">
            <w:pPr>
              <w:spacing w:line="440" w:lineRule="exact"/>
              <w:ind w:firstLine="420"/>
              <w:rPr>
                <w:rFonts w:ascii="宋体" w:hAnsi="宋体" w:cs="宋体"/>
                <w:color w:val="auto"/>
                <w:sz w:val="21"/>
                <w:szCs w:val="21"/>
                <w:highlight w:val="none"/>
              </w:rPr>
            </w:pPr>
          </w:p>
        </w:tc>
      </w:tr>
      <w:tr w14:paraId="5D6C4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419" w:type="dxa"/>
            <w:tcBorders>
              <w:top w:val="single" w:color="auto" w:sz="6" w:space="0"/>
              <w:left w:val="single" w:color="auto" w:sz="12" w:space="0"/>
              <w:bottom w:val="single" w:color="auto" w:sz="12" w:space="0"/>
              <w:right w:val="single" w:color="auto" w:sz="6" w:space="0"/>
            </w:tcBorders>
            <w:vAlign w:val="center"/>
          </w:tcPr>
          <w:p w14:paraId="7AD636AD">
            <w:pPr>
              <w:spacing w:line="440" w:lineRule="exact"/>
              <w:ind w:firstLine="420"/>
              <w:rPr>
                <w:rFonts w:ascii="宋体" w:hAnsi="宋体" w:cs="宋体"/>
                <w:color w:val="auto"/>
                <w:sz w:val="21"/>
                <w:szCs w:val="21"/>
                <w:highlight w:val="none"/>
              </w:rPr>
            </w:pPr>
          </w:p>
        </w:tc>
        <w:tc>
          <w:tcPr>
            <w:tcW w:w="1701" w:type="dxa"/>
            <w:tcBorders>
              <w:top w:val="single" w:color="auto" w:sz="6" w:space="0"/>
              <w:left w:val="single" w:color="auto" w:sz="6" w:space="0"/>
              <w:bottom w:val="single" w:color="auto" w:sz="12" w:space="0"/>
              <w:right w:val="single" w:color="auto" w:sz="6" w:space="0"/>
            </w:tcBorders>
            <w:vAlign w:val="center"/>
          </w:tcPr>
          <w:p w14:paraId="06FC7639">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12" w:space="0"/>
              <w:right w:val="single" w:color="auto" w:sz="6" w:space="0"/>
            </w:tcBorders>
            <w:vAlign w:val="center"/>
          </w:tcPr>
          <w:p w14:paraId="1E50276D">
            <w:pPr>
              <w:spacing w:line="440" w:lineRule="exact"/>
              <w:ind w:firstLine="420"/>
              <w:rPr>
                <w:rFonts w:ascii="宋体" w:hAnsi="宋体" w:cs="宋体"/>
                <w:color w:val="auto"/>
                <w:sz w:val="21"/>
                <w:szCs w:val="21"/>
                <w:highlight w:val="none"/>
              </w:rPr>
            </w:pPr>
          </w:p>
        </w:tc>
        <w:tc>
          <w:tcPr>
            <w:tcW w:w="2410" w:type="dxa"/>
            <w:tcBorders>
              <w:top w:val="single" w:color="auto" w:sz="6" w:space="0"/>
              <w:left w:val="single" w:color="auto" w:sz="6" w:space="0"/>
              <w:bottom w:val="single" w:color="auto" w:sz="12" w:space="0"/>
              <w:right w:val="single" w:color="auto" w:sz="6" w:space="0"/>
            </w:tcBorders>
            <w:vAlign w:val="center"/>
          </w:tcPr>
          <w:p w14:paraId="0405355A">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6" w:space="0"/>
            </w:tcBorders>
            <w:vAlign w:val="center"/>
          </w:tcPr>
          <w:p w14:paraId="56DC6C60">
            <w:pPr>
              <w:spacing w:line="440" w:lineRule="exact"/>
              <w:ind w:firstLine="420"/>
              <w:rPr>
                <w:rFonts w:ascii="宋体" w:hAnsi="宋体" w:cs="宋体"/>
                <w:color w:val="auto"/>
                <w:sz w:val="21"/>
                <w:szCs w:val="21"/>
                <w:highlight w:val="none"/>
              </w:rPr>
            </w:pPr>
          </w:p>
        </w:tc>
        <w:tc>
          <w:tcPr>
            <w:tcW w:w="1560" w:type="dxa"/>
            <w:tcBorders>
              <w:top w:val="single" w:color="auto" w:sz="6" w:space="0"/>
              <w:left w:val="single" w:color="auto" w:sz="6" w:space="0"/>
              <w:bottom w:val="single" w:color="auto" w:sz="12" w:space="0"/>
              <w:right w:val="single" w:color="auto" w:sz="6" w:space="0"/>
            </w:tcBorders>
            <w:vAlign w:val="center"/>
          </w:tcPr>
          <w:p w14:paraId="61367EEE">
            <w:pPr>
              <w:spacing w:line="440" w:lineRule="exact"/>
              <w:ind w:firstLine="420"/>
              <w:rPr>
                <w:rFonts w:ascii="宋体" w:hAnsi="宋体" w:cs="宋体"/>
                <w:color w:val="auto"/>
                <w:sz w:val="21"/>
                <w:szCs w:val="21"/>
                <w:highlight w:val="none"/>
              </w:rPr>
            </w:pPr>
          </w:p>
        </w:tc>
        <w:tc>
          <w:tcPr>
            <w:tcW w:w="2126" w:type="dxa"/>
            <w:tcBorders>
              <w:top w:val="single" w:color="auto" w:sz="6" w:space="0"/>
              <w:left w:val="single" w:color="auto" w:sz="6" w:space="0"/>
              <w:bottom w:val="single" w:color="auto" w:sz="12" w:space="0"/>
              <w:right w:val="single" w:color="auto" w:sz="6" w:space="0"/>
            </w:tcBorders>
            <w:vAlign w:val="center"/>
          </w:tcPr>
          <w:p w14:paraId="02B06B6C">
            <w:pPr>
              <w:spacing w:line="440" w:lineRule="exact"/>
              <w:ind w:firstLine="420"/>
              <w:rPr>
                <w:rFonts w:ascii="宋体" w:hAnsi="宋体" w:cs="宋体"/>
                <w:color w:val="auto"/>
                <w:sz w:val="21"/>
                <w:szCs w:val="21"/>
                <w:highlight w:val="none"/>
              </w:rPr>
            </w:pPr>
          </w:p>
        </w:tc>
        <w:tc>
          <w:tcPr>
            <w:tcW w:w="1417" w:type="dxa"/>
            <w:tcBorders>
              <w:top w:val="single" w:color="auto" w:sz="6" w:space="0"/>
              <w:left w:val="single" w:color="auto" w:sz="6" w:space="0"/>
              <w:bottom w:val="single" w:color="auto" w:sz="12" w:space="0"/>
              <w:right w:val="single" w:color="auto" w:sz="6" w:space="0"/>
            </w:tcBorders>
            <w:vAlign w:val="center"/>
          </w:tcPr>
          <w:p w14:paraId="4515C47C">
            <w:pPr>
              <w:spacing w:line="440" w:lineRule="exact"/>
              <w:ind w:firstLine="420"/>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12" w:space="0"/>
              <w:right w:val="single" w:color="auto" w:sz="6" w:space="0"/>
            </w:tcBorders>
            <w:vAlign w:val="center"/>
          </w:tcPr>
          <w:p w14:paraId="6F1F9001">
            <w:pPr>
              <w:spacing w:line="440" w:lineRule="exact"/>
              <w:ind w:firstLine="420"/>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12" w:space="0"/>
            </w:tcBorders>
            <w:vAlign w:val="center"/>
          </w:tcPr>
          <w:p w14:paraId="28E467BB">
            <w:pPr>
              <w:spacing w:line="440" w:lineRule="exact"/>
              <w:ind w:firstLine="420"/>
              <w:rPr>
                <w:rFonts w:ascii="宋体" w:hAnsi="宋体" w:cs="宋体"/>
                <w:color w:val="auto"/>
                <w:sz w:val="21"/>
                <w:szCs w:val="21"/>
                <w:highlight w:val="none"/>
              </w:rPr>
            </w:pPr>
          </w:p>
        </w:tc>
      </w:tr>
    </w:tbl>
    <w:p w14:paraId="1D7AAB3E">
      <w:pPr>
        <w:widowControl/>
        <w:ind w:firstLine="482"/>
        <w:jc w:val="left"/>
        <w:rPr>
          <w:rFonts w:ascii="宋体" w:hAnsi="宋体" w:cs="宋体"/>
          <w:b/>
          <w:color w:val="auto"/>
          <w:szCs w:val="21"/>
          <w:highlight w:val="none"/>
        </w:rPr>
        <w:sectPr>
          <w:pgSz w:w="16838" w:h="11906" w:orient="landscape"/>
          <w:pgMar w:top="1554" w:right="1418" w:bottom="1531" w:left="1418" w:header="851" w:footer="992" w:gutter="0"/>
          <w:cols w:space="720" w:num="1"/>
          <w:docGrid w:type="linesAndChars" w:linePitch="312" w:charSpace="0"/>
        </w:sectPr>
      </w:pPr>
    </w:p>
    <w:p w14:paraId="0608362E">
      <w:pPr>
        <w:spacing w:line="440" w:lineRule="exact"/>
        <w:ind w:firstLine="480"/>
        <w:rPr>
          <w:rFonts w:ascii="宋体" w:hAnsi="宋体" w:cs="宋体"/>
          <w:color w:val="auto"/>
          <w:sz w:val="21"/>
          <w:szCs w:val="21"/>
          <w:highlight w:val="none"/>
        </w:rPr>
      </w:pPr>
      <w:r>
        <w:rPr>
          <w:rFonts w:hint="eastAsia" w:ascii="宋体" w:hAnsi="宋体" w:cs="宋体"/>
          <w:color w:val="auto"/>
          <w:szCs w:val="21"/>
          <w:highlight w:val="none"/>
        </w:rPr>
        <w:t>附</w:t>
      </w:r>
      <w:bookmarkStart w:id="1448" w:name="_Toc296944564"/>
      <w:bookmarkStart w:id="1449" w:name="_Toc296891053"/>
      <w:bookmarkStart w:id="1450" w:name="_Toc296347224"/>
      <w:bookmarkStart w:id="1451" w:name="_Toc267261692"/>
      <w:bookmarkStart w:id="1452" w:name="_Toc296891265"/>
      <w:bookmarkStart w:id="1453" w:name="_Toc296346726"/>
      <w:bookmarkStart w:id="1454" w:name="_Toc296503225"/>
      <w:r>
        <w:rPr>
          <w:rFonts w:hint="eastAsia" w:ascii="宋体" w:hAnsi="宋体" w:cs="宋体"/>
          <w:color w:val="auto"/>
          <w:szCs w:val="21"/>
          <w:highlight w:val="none"/>
        </w:rPr>
        <w:t>件2：</w:t>
      </w:r>
    </w:p>
    <w:bookmarkEnd w:id="1448"/>
    <w:bookmarkEnd w:id="1449"/>
    <w:bookmarkEnd w:id="1450"/>
    <w:bookmarkEnd w:id="1451"/>
    <w:bookmarkEnd w:id="1452"/>
    <w:bookmarkEnd w:id="1453"/>
    <w:bookmarkEnd w:id="1454"/>
    <w:p w14:paraId="04132F39">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发包人供应材料设备一览表</w:t>
      </w:r>
    </w:p>
    <w:tbl>
      <w:tblPr>
        <w:tblStyle w:val="48"/>
        <w:tblW w:w="99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5"/>
        <w:gridCol w:w="1047"/>
        <w:gridCol w:w="1274"/>
        <w:gridCol w:w="993"/>
        <w:gridCol w:w="850"/>
        <w:gridCol w:w="851"/>
        <w:gridCol w:w="992"/>
        <w:gridCol w:w="1134"/>
        <w:gridCol w:w="1134"/>
        <w:gridCol w:w="850"/>
      </w:tblGrid>
      <w:tr w14:paraId="22274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12" w:hRule="atLeast"/>
          <w:jc w:val="center"/>
        </w:trPr>
        <w:tc>
          <w:tcPr>
            <w:tcW w:w="776" w:type="dxa"/>
            <w:tcBorders>
              <w:top w:val="single" w:color="auto" w:sz="12" w:space="0"/>
              <w:left w:val="single" w:color="auto" w:sz="12" w:space="0"/>
              <w:bottom w:val="double" w:color="auto" w:sz="6" w:space="0"/>
              <w:right w:val="single" w:color="auto" w:sz="6" w:space="0"/>
            </w:tcBorders>
            <w:vAlign w:val="center"/>
          </w:tcPr>
          <w:p w14:paraId="6F074D22">
            <w:pPr>
              <w:ind w:firstLine="0" w:firstLineChars="0"/>
              <w:jc w:val="center"/>
              <w:rPr>
                <w:color w:val="auto"/>
                <w:sz w:val="21"/>
                <w:szCs w:val="24"/>
                <w:highlight w:val="none"/>
              </w:rPr>
            </w:pPr>
            <w:r>
              <w:rPr>
                <w:rFonts w:hint="eastAsia"/>
                <w:color w:val="auto"/>
                <w:highlight w:val="none"/>
              </w:rPr>
              <w:t>序号</w:t>
            </w:r>
          </w:p>
        </w:tc>
        <w:tc>
          <w:tcPr>
            <w:tcW w:w="1048" w:type="dxa"/>
            <w:tcBorders>
              <w:top w:val="single" w:color="auto" w:sz="12" w:space="0"/>
              <w:left w:val="single" w:color="auto" w:sz="6" w:space="0"/>
              <w:bottom w:val="double" w:color="auto" w:sz="6" w:space="0"/>
              <w:right w:val="single" w:color="auto" w:sz="6" w:space="0"/>
            </w:tcBorders>
            <w:vAlign w:val="center"/>
          </w:tcPr>
          <w:p w14:paraId="062710BC">
            <w:pPr>
              <w:ind w:firstLine="0" w:firstLineChars="0"/>
              <w:jc w:val="center"/>
              <w:rPr>
                <w:color w:val="auto"/>
                <w:highlight w:val="none"/>
              </w:rPr>
            </w:pPr>
            <w:r>
              <w:rPr>
                <w:rFonts w:hint="eastAsia"/>
                <w:color w:val="auto"/>
                <w:highlight w:val="none"/>
              </w:rPr>
              <w:t>材料、</w:t>
            </w:r>
          </w:p>
          <w:p w14:paraId="23B9A7AF">
            <w:pPr>
              <w:ind w:firstLine="0" w:firstLineChars="0"/>
              <w:jc w:val="center"/>
              <w:rPr>
                <w:color w:val="auto"/>
                <w:highlight w:val="none"/>
              </w:rPr>
            </w:pPr>
            <w:r>
              <w:rPr>
                <w:rFonts w:hint="eastAsia"/>
                <w:color w:val="auto"/>
                <w:highlight w:val="none"/>
              </w:rPr>
              <w:t>设备品种</w:t>
            </w:r>
          </w:p>
        </w:tc>
        <w:tc>
          <w:tcPr>
            <w:tcW w:w="1275" w:type="dxa"/>
            <w:tcBorders>
              <w:top w:val="single" w:color="auto" w:sz="12" w:space="0"/>
              <w:left w:val="single" w:color="auto" w:sz="6" w:space="0"/>
              <w:bottom w:val="double" w:color="auto" w:sz="6" w:space="0"/>
              <w:right w:val="single" w:color="auto" w:sz="6" w:space="0"/>
            </w:tcBorders>
            <w:vAlign w:val="center"/>
          </w:tcPr>
          <w:p w14:paraId="24629E92">
            <w:pPr>
              <w:ind w:firstLine="0" w:firstLineChars="0"/>
              <w:jc w:val="center"/>
              <w:rPr>
                <w:color w:val="auto"/>
                <w:highlight w:val="none"/>
              </w:rPr>
            </w:pPr>
            <w:r>
              <w:rPr>
                <w:rFonts w:hint="eastAsia"/>
                <w:color w:val="auto"/>
                <w:highlight w:val="none"/>
              </w:rPr>
              <w:t>规格型号</w:t>
            </w:r>
          </w:p>
        </w:tc>
        <w:tc>
          <w:tcPr>
            <w:tcW w:w="993" w:type="dxa"/>
            <w:tcBorders>
              <w:top w:val="single" w:color="auto" w:sz="12" w:space="0"/>
              <w:left w:val="single" w:color="auto" w:sz="6" w:space="0"/>
              <w:bottom w:val="double" w:color="auto" w:sz="6" w:space="0"/>
              <w:right w:val="single" w:color="auto" w:sz="6" w:space="0"/>
            </w:tcBorders>
            <w:vAlign w:val="center"/>
          </w:tcPr>
          <w:p w14:paraId="766A1124">
            <w:pPr>
              <w:ind w:firstLine="0" w:firstLineChars="0"/>
              <w:jc w:val="center"/>
              <w:rPr>
                <w:color w:val="auto"/>
                <w:highlight w:val="none"/>
              </w:rPr>
            </w:pPr>
            <w:r>
              <w:rPr>
                <w:rFonts w:hint="eastAsia"/>
                <w:color w:val="auto"/>
                <w:highlight w:val="none"/>
              </w:rPr>
              <w:t>单位</w:t>
            </w:r>
          </w:p>
        </w:tc>
        <w:tc>
          <w:tcPr>
            <w:tcW w:w="850" w:type="dxa"/>
            <w:tcBorders>
              <w:top w:val="single" w:color="auto" w:sz="12" w:space="0"/>
              <w:left w:val="single" w:color="auto" w:sz="6" w:space="0"/>
              <w:bottom w:val="double" w:color="auto" w:sz="6" w:space="0"/>
              <w:right w:val="single" w:color="auto" w:sz="6" w:space="0"/>
            </w:tcBorders>
            <w:vAlign w:val="center"/>
          </w:tcPr>
          <w:p w14:paraId="5E208491">
            <w:pPr>
              <w:ind w:firstLine="0" w:firstLineChars="0"/>
              <w:jc w:val="center"/>
              <w:rPr>
                <w:color w:val="auto"/>
                <w:highlight w:val="none"/>
              </w:rPr>
            </w:pPr>
            <w:r>
              <w:rPr>
                <w:rFonts w:hint="eastAsia"/>
                <w:color w:val="auto"/>
                <w:highlight w:val="none"/>
              </w:rPr>
              <w:t>数量</w:t>
            </w:r>
          </w:p>
        </w:tc>
        <w:tc>
          <w:tcPr>
            <w:tcW w:w="851" w:type="dxa"/>
            <w:tcBorders>
              <w:top w:val="single" w:color="auto" w:sz="12" w:space="0"/>
              <w:left w:val="single" w:color="auto" w:sz="6" w:space="0"/>
              <w:bottom w:val="double" w:color="auto" w:sz="6" w:space="0"/>
              <w:right w:val="single" w:color="auto" w:sz="6" w:space="0"/>
            </w:tcBorders>
            <w:vAlign w:val="center"/>
          </w:tcPr>
          <w:p w14:paraId="208A9D7F">
            <w:pPr>
              <w:ind w:firstLine="0" w:firstLineChars="0"/>
              <w:jc w:val="center"/>
              <w:rPr>
                <w:color w:val="auto"/>
                <w:highlight w:val="none"/>
              </w:rPr>
            </w:pPr>
            <w:r>
              <w:rPr>
                <w:rFonts w:hint="eastAsia"/>
                <w:color w:val="auto"/>
                <w:highlight w:val="none"/>
              </w:rPr>
              <w:t>单价（元）</w:t>
            </w:r>
          </w:p>
        </w:tc>
        <w:tc>
          <w:tcPr>
            <w:tcW w:w="992" w:type="dxa"/>
            <w:tcBorders>
              <w:top w:val="single" w:color="auto" w:sz="12" w:space="0"/>
              <w:left w:val="single" w:color="auto" w:sz="6" w:space="0"/>
              <w:bottom w:val="double" w:color="auto" w:sz="6" w:space="0"/>
              <w:right w:val="single" w:color="auto" w:sz="6" w:space="0"/>
            </w:tcBorders>
            <w:vAlign w:val="center"/>
          </w:tcPr>
          <w:p w14:paraId="00C8DD6B">
            <w:pPr>
              <w:ind w:firstLine="0" w:firstLineChars="0"/>
              <w:jc w:val="center"/>
              <w:rPr>
                <w:color w:val="auto"/>
                <w:highlight w:val="none"/>
              </w:rPr>
            </w:pPr>
            <w:r>
              <w:rPr>
                <w:rFonts w:hint="eastAsia"/>
                <w:color w:val="auto"/>
                <w:highlight w:val="none"/>
              </w:rPr>
              <w:t>质量</w:t>
            </w:r>
          </w:p>
          <w:p w14:paraId="34E301E7">
            <w:pPr>
              <w:ind w:firstLine="0" w:firstLineChars="0"/>
              <w:jc w:val="center"/>
              <w:rPr>
                <w:color w:val="auto"/>
                <w:highlight w:val="none"/>
              </w:rPr>
            </w:pPr>
            <w:r>
              <w:rPr>
                <w:rFonts w:hint="eastAsia"/>
                <w:color w:val="auto"/>
                <w:highlight w:val="none"/>
              </w:rPr>
              <w:t>等级</w:t>
            </w:r>
          </w:p>
        </w:tc>
        <w:tc>
          <w:tcPr>
            <w:tcW w:w="1134" w:type="dxa"/>
            <w:tcBorders>
              <w:top w:val="single" w:color="auto" w:sz="12" w:space="0"/>
              <w:left w:val="single" w:color="auto" w:sz="6" w:space="0"/>
              <w:bottom w:val="double" w:color="auto" w:sz="6" w:space="0"/>
              <w:right w:val="single" w:color="auto" w:sz="6" w:space="0"/>
            </w:tcBorders>
            <w:vAlign w:val="center"/>
          </w:tcPr>
          <w:p w14:paraId="03CCBEF5">
            <w:pPr>
              <w:ind w:firstLine="0" w:firstLineChars="0"/>
              <w:jc w:val="center"/>
              <w:rPr>
                <w:color w:val="auto"/>
                <w:highlight w:val="none"/>
              </w:rPr>
            </w:pPr>
            <w:r>
              <w:rPr>
                <w:rFonts w:hint="eastAsia"/>
                <w:color w:val="auto"/>
                <w:highlight w:val="none"/>
              </w:rPr>
              <w:t>供应</w:t>
            </w:r>
          </w:p>
          <w:p w14:paraId="60C67948">
            <w:pPr>
              <w:ind w:firstLine="0" w:firstLineChars="0"/>
              <w:jc w:val="center"/>
              <w:rPr>
                <w:color w:val="auto"/>
                <w:highlight w:val="none"/>
              </w:rPr>
            </w:pPr>
            <w:r>
              <w:rPr>
                <w:rFonts w:hint="eastAsia"/>
                <w:color w:val="auto"/>
                <w:highlight w:val="none"/>
              </w:rPr>
              <w:t>时间</w:t>
            </w:r>
          </w:p>
        </w:tc>
        <w:tc>
          <w:tcPr>
            <w:tcW w:w="1134" w:type="dxa"/>
            <w:tcBorders>
              <w:top w:val="single" w:color="auto" w:sz="12" w:space="0"/>
              <w:left w:val="single" w:color="auto" w:sz="6" w:space="0"/>
              <w:bottom w:val="double" w:color="auto" w:sz="6" w:space="0"/>
              <w:right w:val="single" w:color="auto" w:sz="6" w:space="0"/>
            </w:tcBorders>
            <w:vAlign w:val="center"/>
          </w:tcPr>
          <w:p w14:paraId="3927B129">
            <w:pPr>
              <w:ind w:firstLine="0" w:firstLineChars="0"/>
              <w:jc w:val="center"/>
              <w:rPr>
                <w:color w:val="auto"/>
                <w:highlight w:val="none"/>
              </w:rPr>
            </w:pPr>
            <w:r>
              <w:rPr>
                <w:rFonts w:hint="eastAsia"/>
                <w:color w:val="auto"/>
                <w:highlight w:val="none"/>
              </w:rPr>
              <w:t>送达</w:t>
            </w:r>
          </w:p>
          <w:p w14:paraId="42C44690">
            <w:pPr>
              <w:ind w:firstLine="0" w:firstLineChars="0"/>
              <w:jc w:val="center"/>
              <w:rPr>
                <w:color w:val="auto"/>
                <w:highlight w:val="none"/>
              </w:rPr>
            </w:pPr>
            <w:r>
              <w:rPr>
                <w:rFonts w:hint="eastAsia"/>
                <w:color w:val="auto"/>
                <w:highlight w:val="none"/>
              </w:rPr>
              <w:t>地点</w:t>
            </w:r>
          </w:p>
        </w:tc>
        <w:tc>
          <w:tcPr>
            <w:tcW w:w="850" w:type="dxa"/>
            <w:tcBorders>
              <w:top w:val="single" w:color="auto" w:sz="12" w:space="0"/>
              <w:left w:val="single" w:color="auto" w:sz="6" w:space="0"/>
              <w:bottom w:val="double" w:color="auto" w:sz="6" w:space="0"/>
              <w:right w:val="single" w:color="auto" w:sz="12" w:space="0"/>
            </w:tcBorders>
            <w:vAlign w:val="center"/>
          </w:tcPr>
          <w:p w14:paraId="7ED3E5E4">
            <w:pPr>
              <w:ind w:firstLine="0" w:firstLineChars="0"/>
              <w:jc w:val="center"/>
              <w:rPr>
                <w:color w:val="auto"/>
                <w:highlight w:val="none"/>
              </w:rPr>
            </w:pPr>
            <w:r>
              <w:rPr>
                <w:rFonts w:hint="eastAsia"/>
                <w:color w:val="auto"/>
                <w:highlight w:val="none"/>
              </w:rPr>
              <w:t>备注</w:t>
            </w:r>
          </w:p>
        </w:tc>
      </w:tr>
      <w:tr w14:paraId="3519F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double" w:color="auto" w:sz="6" w:space="0"/>
              <w:left w:val="single" w:color="auto" w:sz="12" w:space="0"/>
              <w:bottom w:val="single" w:color="auto" w:sz="6" w:space="0"/>
              <w:right w:val="single" w:color="auto" w:sz="6" w:space="0"/>
            </w:tcBorders>
            <w:vAlign w:val="center"/>
          </w:tcPr>
          <w:p w14:paraId="578FF8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double" w:color="auto" w:sz="6" w:space="0"/>
              <w:left w:val="single" w:color="auto" w:sz="6" w:space="0"/>
              <w:bottom w:val="single" w:color="auto" w:sz="6" w:space="0"/>
              <w:right w:val="single" w:color="auto" w:sz="6" w:space="0"/>
            </w:tcBorders>
            <w:vAlign w:val="center"/>
          </w:tcPr>
          <w:p w14:paraId="4934BA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double" w:color="auto" w:sz="6" w:space="0"/>
              <w:left w:val="single" w:color="auto" w:sz="6" w:space="0"/>
              <w:bottom w:val="single" w:color="auto" w:sz="6" w:space="0"/>
              <w:right w:val="single" w:color="auto" w:sz="6" w:space="0"/>
            </w:tcBorders>
            <w:vAlign w:val="center"/>
          </w:tcPr>
          <w:p w14:paraId="06EC19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double" w:color="auto" w:sz="6" w:space="0"/>
              <w:left w:val="single" w:color="auto" w:sz="6" w:space="0"/>
              <w:bottom w:val="single" w:color="auto" w:sz="6" w:space="0"/>
              <w:right w:val="single" w:color="auto" w:sz="6" w:space="0"/>
            </w:tcBorders>
            <w:vAlign w:val="center"/>
          </w:tcPr>
          <w:p w14:paraId="2A9B62F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double" w:color="auto" w:sz="6" w:space="0"/>
              <w:left w:val="single" w:color="auto" w:sz="6" w:space="0"/>
              <w:bottom w:val="single" w:color="auto" w:sz="6" w:space="0"/>
              <w:right w:val="single" w:color="auto" w:sz="6" w:space="0"/>
            </w:tcBorders>
            <w:vAlign w:val="center"/>
          </w:tcPr>
          <w:p w14:paraId="262FCC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vAlign w:val="center"/>
          </w:tcPr>
          <w:p w14:paraId="12B7159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double" w:color="auto" w:sz="6" w:space="0"/>
              <w:left w:val="single" w:color="auto" w:sz="6" w:space="0"/>
              <w:bottom w:val="single" w:color="auto" w:sz="6" w:space="0"/>
              <w:right w:val="single" w:color="auto" w:sz="6" w:space="0"/>
            </w:tcBorders>
            <w:vAlign w:val="center"/>
          </w:tcPr>
          <w:p w14:paraId="14C4D2A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double" w:color="auto" w:sz="6" w:space="0"/>
              <w:left w:val="single" w:color="auto" w:sz="6" w:space="0"/>
              <w:bottom w:val="single" w:color="auto" w:sz="6" w:space="0"/>
              <w:right w:val="single" w:color="auto" w:sz="6" w:space="0"/>
            </w:tcBorders>
            <w:vAlign w:val="center"/>
          </w:tcPr>
          <w:p w14:paraId="5DD2D18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double" w:color="auto" w:sz="6" w:space="0"/>
              <w:left w:val="single" w:color="auto" w:sz="6" w:space="0"/>
              <w:bottom w:val="single" w:color="auto" w:sz="6" w:space="0"/>
              <w:right w:val="single" w:color="auto" w:sz="6" w:space="0"/>
            </w:tcBorders>
            <w:vAlign w:val="center"/>
          </w:tcPr>
          <w:p w14:paraId="7BBCCEA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double" w:color="auto" w:sz="6" w:space="0"/>
              <w:left w:val="single" w:color="auto" w:sz="6" w:space="0"/>
              <w:bottom w:val="single" w:color="auto" w:sz="6" w:space="0"/>
              <w:right w:val="single" w:color="auto" w:sz="12" w:space="0"/>
            </w:tcBorders>
            <w:vAlign w:val="center"/>
          </w:tcPr>
          <w:p w14:paraId="154FE53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A9A0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nil"/>
              <w:left w:val="single" w:color="auto" w:sz="12" w:space="0"/>
              <w:bottom w:val="single" w:color="auto" w:sz="6" w:space="0"/>
              <w:right w:val="single" w:color="auto" w:sz="6" w:space="0"/>
            </w:tcBorders>
            <w:vAlign w:val="center"/>
          </w:tcPr>
          <w:p w14:paraId="3FBC4A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nil"/>
              <w:left w:val="single" w:color="auto" w:sz="6" w:space="0"/>
              <w:bottom w:val="single" w:color="auto" w:sz="6" w:space="0"/>
              <w:right w:val="single" w:color="auto" w:sz="6" w:space="0"/>
            </w:tcBorders>
            <w:vAlign w:val="center"/>
          </w:tcPr>
          <w:p w14:paraId="3572299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nil"/>
              <w:left w:val="single" w:color="auto" w:sz="6" w:space="0"/>
              <w:bottom w:val="single" w:color="auto" w:sz="6" w:space="0"/>
              <w:right w:val="single" w:color="auto" w:sz="6" w:space="0"/>
            </w:tcBorders>
            <w:vAlign w:val="center"/>
          </w:tcPr>
          <w:p w14:paraId="77B287A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nil"/>
              <w:left w:val="single" w:color="auto" w:sz="6" w:space="0"/>
              <w:bottom w:val="single" w:color="auto" w:sz="6" w:space="0"/>
              <w:right w:val="single" w:color="auto" w:sz="6" w:space="0"/>
            </w:tcBorders>
            <w:vAlign w:val="center"/>
          </w:tcPr>
          <w:p w14:paraId="170A1C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nil"/>
              <w:left w:val="single" w:color="auto" w:sz="6" w:space="0"/>
              <w:bottom w:val="single" w:color="auto" w:sz="6" w:space="0"/>
              <w:right w:val="single" w:color="auto" w:sz="6" w:space="0"/>
            </w:tcBorders>
            <w:vAlign w:val="center"/>
          </w:tcPr>
          <w:p w14:paraId="79F0916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vAlign w:val="center"/>
          </w:tcPr>
          <w:p w14:paraId="1D08060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nil"/>
              <w:left w:val="single" w:color="auto" w:sz="6" w:space="0"/>
              <w:bottom w:val="single" w:color="auto" w:sz="6" w:space="0"/>
              <w:right w:val="single" w:color="auto" w:sz="6" w:space="0"/>
            </w:tcBorders>
            <w:vAlign w:val="center"/>
          </w:tcPr>
          <w:p w14:paraId="57DBDEB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28FCA1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7EDABE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nil"/>
              <w:left w:val="single" w:color="auto" w:sz="6" w:space="0"/>
              <w:bottom w:val="single" w:color="auto" w:sz="6" w:space="0"/>
              <w:right w:val="single" w:color="auto" w:sz="12" w:space="0"/>
            </w:tcBorders>
            <w:vAlign w:val="center"/>
          </w:tcPr>
          <w:p w14:paraId="28BBE05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C6A51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11ABAA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01C1373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6C70728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30E58E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71A4AB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554634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016978C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64B87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A8E4A4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1FC465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00F9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25D6D8F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3E4ED8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71DED1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0C0ECD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2EDD8A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0417000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0168065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EC851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5FD04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46AB98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0637A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321AD1C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49EDBC2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40589C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2275130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0066E34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062B0E4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3CCFF66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12C237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5589A3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132012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7143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135FD23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5E10BE5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436387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5C483B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5A281F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503EA5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0E6D81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A1C34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71739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610C11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57AF9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4D9C22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79E677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19845C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05F06C4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737741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412902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5D494E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04C2C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552C00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329E7F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90520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59BE5BB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76D1C5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689ABA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12F088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30ADA61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10C9B5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2554D1F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20893A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E16399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15AC960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192F4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74C37046">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08B72F0F">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76950F37">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F7596BC">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D24778C">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2B0B1A1D">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63F5A5DF">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1E945F5">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D2DC21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6F7AB587">
            <w:pPr>
              <w:ind w:firstLine="420"/>
              <w:jc w:val="center"/>
              <w:rPr>
                <w:rFonts w:ascii="宋体" w:hAnsi="宋体" w:cs="宋体"/>
                <w:color w:val="auto"/>
                <w:sz w:val="21"/>
                <w:szCs w:val="21"/>
                <w:highlight w:val="none"/>
              </w:rPr>
            </w:pPr>
          </w:p>
        </w:tc>
      </w:tr>
      <w:tr w14:paraId="6DAF3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0DB8DC1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48" w:type="dxa"/>
            <w:tcBorders>
              <w:top w:val="single" w:color="auto" w:sz="6" w:space="0"/>
              <w:left w:val="single" w:color="auto" w:sz="6" w:space="0"/>
              <w:bottom w:val="single" w:color="auto" w:sz="6" w:space="0"/>
              <w:right w:val="single" w:color="auto" w:sz="6" w:space="0"/>
            </w:tcBorders>
            <w:vAlign w:val="center"/>
          </w:tcPr>
          <w:p w14:paraId="07DFF89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5" w:type="dxa"/>
            <w:tcBorders>
              <w:top w:val="single" w:color="auto" w:sz="6" w:space="0"/>
              <w:left w:val="single" w:color="auto" w:sz="6" w:space="0"/>
              <w:bottom w:val="single" w:color="auto" w:sz="6" w:space="0"/>
              <w:right w:val="single" w:color="auto" w:sz="6" w:space="0"/>
            </w:tcBorders>
            <w:vAlign w:val="center"/>
          </w:tcPr>
          <w:p w14:paraId="365035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3" w:type="dxa"/>
            <w:tcBorders>
              <w:top w:val="single" w:color="auto" w:sz="6" w:space="0"/>
              <w:left w:val="single" w:color="auto" w:sz="6" w:space="0"/>
              <w:bottom w:val="single" w:color="auto" w:sz="6" w:space="0"/>
              <w:right w:val="single" w:color="auto" w:sz="6" w:space="0"/>
            </w:tcBorders>
            <w:vAlign w:val="center"/>
          </w:tcPr>
          <w:p w14:paraId="3E2668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6295686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vAlign w:val="center"/>
          </w:tcPr>
          <w:p w14:paraId="18D40D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92" w:type="dxa"/>
            <w:tcBorders>
              <w:top w:val="single" w:color="auto" w:sz="6" w:space="0"/>
              <w:left w:val="single" w:color="auto" w:sz="6" w:space="0"/>
              <w:bottom w:val="single" w:color="auto" w:sz="6" w:space="0"/>
              <w:right w:val="single" w:color="auto" w:sz="6" w:space="0"/>
            </w:tcBorders>
            <w:vAlign w:val="center"/>
          </w:tcPr>
          <w:p w14:paraId="1A0CCFB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889E1F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CAFBBC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12" w:space="0"/>
            </w:tcBorders>
            <w:vAlign w:val="center"/>
          </w:tcPr>
          <w:p w14:paraId="5CC4319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997E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759E0905">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4ACCEA7E">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324CD058">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7E1A16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35F8BECF">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22BCEA5C">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4477991F">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B3A21F7">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035C331">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698E0D0F">
            <w:pPr>
              <w:ind w:firstLine="420"/>
              <w:jc w:val="center"/>
              <w:rPr>
                <w:rFonts w:ascii="宋体" w:hAnsi="宋体" w:cs="宋体"/>
                <w:color w:val="auto"/>
                <w:sz w:val="21"/>
                <w:szCs w:val="21"/>
                <w:highlight w:val="none"/>
              </w:rPr>
            </w:pPr>
          </w:p>
        </w:tc>
      </w:tr>
      <w:tr w14:paraId="1163B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2350D131">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6E7602C4">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4054FB5C">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173BD077">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CB9291D">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166B2D1B">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28AE2A1E">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C929B6A">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5F60F52B">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25AA4D49">
            <w:pPr>
              <w:ind w:firstLine="420"/>
              <w:jc w:val="center"/>
              <w:rPr>
                <w:rFonts w:ascii="宋体" w:hAnsi="宋体" w:cs="宋体"/>
                <w:color w:val="auto"/>
                <w:sz w:val="21"/>
                <w:szCs w:val="21"/>
                <w:highlight w:val="none"/>
              </w:rPr>
            </w:pPr>
          </w:p>
        </w:tc>
      </w:tr>
      <w:tr w14:paraId="44F3B2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3A0E4052">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4FC65C22">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07C97619">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56C44637">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42C6A178">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592D4B3D">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39AC4A69">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1AF8386">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5557C4D">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B8E80E6">
            <w:pPr>
              <w:ind w:firstLine="420"/>
              <w:jc w:val="center"/>
              <w:rPr>
                <w:rFonts w:ascii="宋体" w:hAnsi="宋体" w:cs="宋体"/>
                <w:color w:val="auto"/>
                <w:sz w:val="21"/>
                <w:szCs w:val="21"/>
                <w:highlight w:val="none"/>
              </w:rPr>
            </w:pPr>
          </w:p>
        </w:tc>
      </w:tr>
      <w:tr w14:paraId="1578C8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541D3642">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7FB758E4">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37DA17A4">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4C9CF5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0D22F6A6">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115CF5D4">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364F9058">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5616101">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23D31F75">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756A98E7">
            <w:pPr>
              <w:ind w:firstLine="420"/>
              <w:jc w:val="center"/>
              <w:rPr>
                <w:rFonts w:ascii="宋体" w:hAnsi="宋体" w:cs="宋体"/>
                <w:color w:val="auto"/>
                <w:sz w:val="21"/>
                <w:szCs w:val="21"/>
                <w:highlight w:val="none"/>
              </w:rPr>
            </w:pPr>
          </w:p>
        </w:tc>
      </w:tr>
      <w:tr w14:paraId="695D8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55A1AD1E">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367B34A9">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2FA00C4A">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2A044502">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00D81434">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7C8BC463">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18F9FE55">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499EC557">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B0578DD">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4BFAA375">
            <w:pPr>
              <w:ind w:firstLine="420"/>
              <w:jc w:val="center"/>
              <w:rPr>
                <w:rFonts w:ascii="宋体" w:hAnsi="宋体" w:cs="宋体"/>
                <w:color w:val="auto"/>
                <w:sz w:val="21"/>
                <w:szCs w:val="21"/>
                <w:highlight w:val="none"/>
              </w:rPr>
            </w:pPr>
          </w:p>
        </w:tc>
      </w:tr>
      <w:tr w14:paraId="5E356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44D0EDA9">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1E3A4A6F">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3D46363A">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499B27DC">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60550620">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38D8E659">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7409AD4F">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24AACC1">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75D24818">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1F24B4B6">
            <w:pPr>
              <w:ind w:firstLine="420"/>
              <w:jc w:val="center"/>
              <w:rPr>
                <w:rFonts w:ascii="宋体" w:hAnsi="宋体" w:cs="宋体"/>
                <w:color w:val="auto"/>
                <w:sz w:val="21"/>
                <w:szCs w:val="21"/>
                <w:highlight w:val="none"/>
              </w:rPr>
            </w:pPr>
          </w:p>
        </w:tc>
      </w:tr>
      <w:tr w14:paraId="473B3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6" w:space="0"/>
              <w:right w:val="single" w:color="auto" w:sz="6" w:space="0"/>
            </w:tcBorders>
            <w:vAlign w:val="center"/>
          </w:tcPr>
          <w:p w14:paraId="415CD5FE">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6" w:space="0"/>
              <w:right w:val="single" w:color="auto" w:sz="6" w:space="0"/>
            </w:tcBorders>
            <w:vAlign w:val="center"/>
          </w:tcPr>
          <w:p w14:paraId="218A4F29">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6" w:space="0"/>
              <w:right w:val="single" w:color="auto" w:sz="6" w:space="0"/>
            </w:tcBorders>
            <w:vAlign w:val="center"/>
          </w:tcPr>
          <w:p w14:paraId="520BA239">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6" w:space="0"/>
              <w:right w:val="single" w:color="auto" w:sz="6" w:space="0"/>
            </w:tcBorders>
            <w:vAlign w:val="center"/>
          </w:tcPr>
          <w:p w14:paraId="235B45BE">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14:paraId="7F8F461D">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14:paraId="3681BA4D">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14:paraId="29D4E7E0">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67D05649">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6" w:space="0"/>
              <w:right w:val="single" w:color="auto" w:sz="6" w:space="0"/>
            </w:tcBorders>
            <w:vAlign w:val="center"/>
          </w:tcPr>
          <w:p w14:paraId="3E8B2D86">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14:paraId="7C5E42F2">
            <w:pPr>
              <w:ind w:firstLine="420"/>
              <w:jc w:val="center"/>
              <w:rPr>
                <w:rFonts w:ascii="宋体" w:hAnsi="宋体" w:cs="宋体"/>
                <w:color w:val="auto"/>
                <w:sz w:val="21"/>
                <w:szCs w:val="21"/>
                <w:highlight w:val="none"/>
              </w:rPr>
            </w:pPr>
          </w:p>
        </w:tc>
      </w:tr>
      <w:tr w14:paraId="5F043A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76" w:type="dxa"/>
            <w:tcBorders>
              <w:top w:val="single" w:color="auto" w:sz="6" w:space="0"/>
              <w:left w:val="single" w:color="auto" w:sz="12" w:space="0"/>
              <w:bottom w:val="single" w:color="auto" w:sz="12" w:space="0"/>
              <w:right w:val="single" w:color="auto" w:sz="6" w:space="0"/>
            </w:tcBorders>
            <w:vAlign w:val="center"/>
          </w:tcPr>
          <w:p w14:paraId="451BAA0B">
            <w:pPr>
              <w:ind w:firstLine="420"/>
              <w:jc w:val="center"/>
              <w:rPr>
                <w:rFonts w:ascii="宋体" w:hAnsi="宋体" w:cs="宋体"/>
                <w:color w:val="auto"/>
                <w:sz w:val="21"/>
                <w:szCs w:val="21"/>
                <w:highlight w:val="none"/>
              </w:rPr>
            </w:pPr>
          </w:p>
        </w:tc>
        <w:tc>
          <w:tcPr>
            <w:tcW w:w="1048" w:type="dxa"/>
            <w:tcBorders>
              <w:top w:val="single" w:color="auto" w:sz="6" w:space="0"/>
              <w:left w:val="single" w:color="auto" w:sz="6" w:space="0"/>
              <w:bottom w:val="single" w:color="auto" w:sz="12" w:space="0"/>
              <w:right w:val="single" w:color="auto" w:sz="6" w:space="0"/>
            </w:tcBorders>
            <w:vAlign w:val="center"/>
          </w:tcPr>
          <w:p w14:paraId="51574CB3">
            <w:pPr>
              <w:ind w:firstLine="420"/>
              <w:jc w:val="center"/>
              <w:rPr>
                <w:rFonts w:ascii="宋体" w:hAnsi="宋体" w:cs="宋体"/>
                <w:color w:val="auto"/>
                <w:sz w:val="21"/>
                <w:szCs w:val="21"/>
                <w:highlight w:val="none"/>
              </w:rPr>
            </w:pPr>
          </w:p>
        </w:tc>
        <w:tc>
          <w:tcPr>
            <w:tcW w:w="1275" w:type="dxa"/>
            <w:tcBorders>
              <w:top w:val="single" w:color="auto" w:sz="6" w:space="0"/>
              <w:left w:val="single" w:color="auto" w:sz="6" w:space="0"/>
              <w:bottom w:val="single" w:color="auto" w:sz="12" w:space="0"/>
              <w:right w:val="single" w:color="auto" w:sz="6" w:space="0"/>
            </w:tcBorders>
            <w:vAlign w:val="center"/>
          </w:tcPr>
          <w:p w14:paraId="1D264DAA">
            <w:pPr>
              <w:ind w:firstLine="420"/>
              <w:jc w:val="center"/>
              <w:rPr>
                <w:rFonts w:ascii="宋体" w:hAnsi="宋体" w:cs="宋体"/>
                <w:color w:val="auto"/>
                <w:sz w:val="21"/>
                <w:szCs w:val="21"/>
                <w:highlight w:val="none"/>
              </w:rPr>
            </w:pPr>
          </w:p>
        </w:tc>
        <w:tc>
          <w:tcPr>
            <w:tcW w:w="993" w:type="dxa"/>
            <w:tcBorders>
              <w:top w:val="single" w:color="auto" w:sz="6" w:space="0"/>
              <w:left w:val="single" w:color="auto" w:sz="6" w:space="0"/>
              <w:bottom w:val="single" w:color="auto" w:sz="12" w:space="0"/>
              <w:right w:val="single" w:color="auto" w:sz="6" w:space="0"/>
            </w:tcBorders>
            <w:vAlign w:val="center"/>
          </w:tcPr>
          <w:p w14:paraId="617E360B">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6" w:space="0"/>
            </w:tcBorders>
            <w:vAlign w:val="center"/>
          </w:tcPr>
          <w:p w14:paraId="41EC222E">
            <w:pPr>
              <w:ind w:firstLine="420"/>
              <w:jc w:val="center"/>
              <w:rPr>
                <w:rFonts w:ascii="宋体" w:hAnsi="宋体" w:cs="宋体"/>
                <w:color w:val="auto"/>
                <w:sz w:val="21"/>
                <w:szCs w:val="21"/>
                <w:highlight w:val="none"/>
              </w:rPr>
            </w:pPr>
          </w:p>
        </w:tc>
        <w:tc>
          <w:tcPr>
            <w:tcW w:w="851" w:type="dxa"/>
            <w:tcBorders>
              <w:top w:val="single" w:color="auto" w:sz="6" w:space="0"/>
              <w:left w:val="single" w:color="auto" w:sz="6" w:space="0"/>
              <w:bottom w:val="single" w:color="auto" w:sz="12" w:space="0"/>
              <w:right w:val="single" w:color="auto" w:sz="6" w:space="0"/>
            </w:tcBorders>
            <w:vAlign w:val="center"/>
          </w:tcPr>
          <w:p w14:paraId="1AE824EA">
            <w:pPr>
              <w:ind w:firstLine="420"/>
              <w:jc w:val="center"/>
              <w:rPr>
                <w:rFonts w:ascii="宋体" w:hAnsi="宋体" w:cs="宋体"/>
                <w:color w:val="auto"/>
                <w:sz w:val="21"/>
                <w:szCs w:val="21"/>
                <w:highlight w:val="none"/>
              </w:rPr>
            </w:pPr>
          </w:p>
        </w:tc>
        <w:tc>
          <w:tcPr>
            <w:tcW w:w="992" w:type="dxa"/>
            <w:tcBorders>
              <w:top w:val="single" w:color="auto" w:sz="6" w:space="0"/>
              <w:left w:val="single" w:color="auto" w:sz="6" w:space="0"/>
              <w:bottom w:val="single" w:color="auto" w:sz="12" w:space="0"/>
              <w:right w:val="single" w:color="auto" w:sz="6" w:space="0"/>
            </w:tcBorders>
            <w:vAlign w:val="center"/>
          </w:tcPr>
          <w:p w14:paraId="56DCF58E">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12" w:space="0"/>
              <w:right w:val="single" w:color="auto" w:sz="6" w:space="0"/>
            </w:tcBorders>
            <w:vAlign w:val="center"/>
          </w:tcPr>
          <w:p w14:paraId="75C52C8A">
            <w:pPr>
              <w:ind w:firstLine="420"/>
              <w:jc w:val="center"/>
              <w:rPr>
                <w:rFonts w:ascii="宋体" w:hAnsi="宋体" w:cs="宋体"/>
                <w:color w:val="auto"/>
                <w:sz w:val="21"/>
                <w:szCs w:val="21"/>
                <w:highlight w:val="none"/>
              </w:rPr>
            </w:pPr>
          </w:p>
        </w:tc>
        <w:tc>
          <w:tcPr>
            <w:tcW w:w="1134" w:type="dxa"/>
            <w:tcBorders>
              <w:top w:val="single" w:color="auto" w:sz="6" w:space="0"/>
              <w:left w:val="single" w:color="auto" w:sz="6" w:space="0"/>
              <w:bottom w:val="single" w:color="auto" w:sz="12" w:space="0"/>
              <w:right w:val="single" w:color="auto" w:sz="6" w:space="0"/>
            </w:tcBorders>
            <w:vAlign w:val="center"/>
          </w:tcPr>
          <w:p w14:paraId="284A8FD0">
            <w:pPr>
              <w:ind w:firstLine="420"/>
              <w:jc w:val="center"/>
              <w:rPr>
                <w:rFonts w:ascii="宋体" w:hAnsi="宋体" w:cs="宋体"/>
                <w:color w:val="auto"/>
                <w:sz w:val="21"/>
                <w:szCs w:val="21"/>
                <w:highlight w:val="none"/>
              </w:rPr>
            </w:pPr>
          </w:p>
        </w:tc>
        <w:tc>
          <w:tcPr>
            <w:tcW w:w="850" w:type="dxa"/>
            <w:tcBorders>
              <w:top w:val="single" w:color="auto" w:sz="6" w:space="0"/>
              <w:left w:val="single" w:color="auto" w:sz="6" w:space="0"/>
              <w:bottom w:val="single" w:color="auto" w:sz="12" w:space="0"/>
              <w:right w:val="single" w:color="auto" w:sz="12" w:space="0"/>
            </w:tcBorders>
            <w:vAlign w:val="center"/>
          </w:tcPr>
          <w:p w14:paraId="4F7BE4C5">
            <w:pPr>
              <w:ind w:firstLine="420"/>
              <w:jc w:val="center"/>
              <w:rPr>
                <w:rFonts w:ascii="宋体" w:hAnsi="宋体" w:cs="宋体"/>
                <w:color w:val="auto"/>
                <w:sz w:val="21"/>
                <w:szCs w:val="21"/>
                <w:highlight w:val="none"/>
              </w:rPr>
            </w:pPr>
          </w:p>
        </w:tc>
      </w:tr>
    </w:tbl>
    <w:p w14:paraId="3914A5A4">
      <w:pPr>
        <w:pStyle w:val="23"/>
        <w:rPr>
          <w:color w:val="auto"/>
          <w:highlight w:val="none"/>
        </w:rPr>
      </w:pPr>
      <w:r>
        <w:rPr>
          <w:color w:val="auto"/>
          <w:highlight w:val="none"/>
        </w:rPr>
        <w:br w:type="page"/>
      </w:r>
    </w:p>
    <w:p w14:paraId="40574164">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w:t>
      </w:r>
      <w:bookmarkStart w:id="1455" w:name="_Toc267261693"/>
      <w:bookmarkStart w:id="1456" w:name="_Toc296347225"/>
      <w:bookmarkStart w:id="1457" w:name="_Toc296503226"/>
      <w:bookmarkStart w:id="1458" w:name="_Toc296346727"/>
      <w:bookmarkStart w:id="1459" w:name="_Toc296891266"/>
      <w:bookmarkStart w:id="1460" w:name="_Toc296891054"/>
      <w:bookmarkStart w:id="1461" w:name="_Toc296944565"/>
      <w:r>
        <w:rPr>
          <w:rFonts w:hint="eastAsia" w:ascii="宋体" w:hAnsi="宋体" w:cs="宋体"/>
          <w:color w:val="auto"/>
          <w:szCs w:val="21"/>
          <w:highlight w:val="none"/>
        </w:rPr>
        <w:t>件3：</w:t>
      </w:r>
      <w:bookmarkEnd w:id="1455"/>
      <w:bookmarkEnd w:id="1456"/>
      <w:bookmarkEnd w:id="1457"/>
      <w:bookmarkEnd w:id="1458"/>
      <w:bookmarkEnd w:id="1459"/>
      <w:bookmarkEnd w:id="1460"/>
      <w:bookmarkEnd w:id="1461"/>
      <w:r>
        <w:rPr>
          <w:rFonts w:hint="eastAsia" w:ascii="宋体" w:hAnsi="宋体" w:cs="宋体"/>
          <w:color w:val="auto"/>
          <w:szCs w:val="21"/>
          <w:highlight w:val="none"/>
        </w:rPr>
        <w:t xml:space="preserve">    </w:t>
      </w:r>
    </w:p>
    <w:p w14:paraId="6E74787C">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工程质量保修书</w:t>
      </w:r>
    </w:p>
    <w:p w14:paraId="053F211D">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61E616F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30B31B5">
      <w:pPr>
        <w:spacing w:line="400" w:lineRule="exact"/>
        <w:ind w:firstLine="480"/>
        <w:rPr>
          <w:rFonts w:ascii="宋体" w:hAnsi="宋体" w:cs="宋体"/>
          <w:color w:val="auto"/>
          <w:szCs w:val="21"/>
          <w:highlight w:val="none"/>
        </w:rPr>
      </w:pPr>
    </w:p>
    <w:p w14:paraId="6F7EC6E4">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发包人和承包人根据《中华人民共和国建筑法》和《建设工程质量管理条例》，经协商一致就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（工程全称）签订工程质量保修书。</w:t>
      </w:r>
    </w:p>
    <w:p w14:paraId="6DA1065F">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一、工程质量保修范围和内容</w:t>
      </w:r>
    </w:p>
    <w:p w14:paraId="557E59EE">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承包人在质量保修期内，按照有关法律规定和合同约定，承担工程质量保修责任。</w:t>
      </w:r>
    </w:p>
    <w:p w14:paraId="6B4CDD32">
      <w:pPr>
        <w:spacing w:line="400" w:lineRule="exact"/>
        <w:ind w:firstLine="480"/>
        <w:rPr>
          <w:rFonts w:hint="eastAsia" w:ascii="宋体" w:hAnsi="宋体" w:cs="宋体"/>
          <w:color w:val="auto"/>
          <w:szCs w:val="21"/>
          <w:highlight w:val="none"/>
        </w:rPr>
      </w:pPr>
      <w:r>
        <w:rPr>
          <w:rFonts w:hint="eastAsia" w:ascii="宋体" w:hAnsi="宋体" w:cs="宋体"/>
          <w:color w:val="auto"/>
          <w:szCs w:val="21"/>
          <w:highlight w:val="none"/>
        </w:rPr>
        <w:t>质量保修范围包括桂林市第十三中学校园操场改造及校园硅PU篮球场项目中所涉及的相关工程</w:t>
      </w:r>
      <w:r>
        <w:rPr>
          <w:rFonts w:hint="eastAsia" w:ascii="宋体" w:hAnsi="宋体" w:cs="宋体"/>
          <w:color w:val="auto"/>
          <w:szCs w:val="21"/>
          <w:highlight w:val="none"/>
          <w:lang w:eastAsia="zh-CN"/>
        </w:rPr>
        <w:t>，</w:t>
      </w:r>
      <w:r>
        <w:rPr>
          <w:rFonts w:hint="eastAsia" w:ascii="宋体" w:hAnsi="宋体" w:cs="宋体"/>
          <w:color w:val="auto"/>
          <w:szCs w:val="21"/>
          <w:highlight w:val="none"/>
        </w:rPr>
        <w:t>包括</w:t>
      </w:r>
      <w:r>
        <w:rPr>
          <w:rFonts w:hint="eastAsia" w:ascii="宋体" w:hAnsi="宋体" w:cs="宋体"/>
          <w:color w:val="auto"/>
          <w:szCs w:val="21"/>
          <w:highlight w:val="none"/>
          <w:lang w:eastAsia="zh-CN"/>
        </w:rPr>
        <w:t>但不限于桂林市第十三中学校园操场改造中原混合型塑胶跑道拆除、13mm混合型塑胶跑道敷设、80mm沥青铺装、排水沟、主席台砌筑等项目；桂林市第十三中学校园硅PU篮球场</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原硅PU拆除、8mm硅PU敷设、80mm沥青铺装等项目</w:t>
      </w:r>
      <w:r>
        <w:rPr>
          <w:rFonts w:hint="eastAsia" w:ascii="宋体" w:hAnsi="宋体" w:cs="宋体"/>
          <w:color w:val="auto"/>
          <w:szCs w:val="21"/>
          <w:highlight w:val="none"/>
        </w:rPr>
        <w:t>内容。具体保修的内容，双方约定如下：</w:t>
      </w:r>
    </w:p>
    <w:p w14:paraId="7ECEA9EB">
      <w:pPr>
        <w:autoSpaceDE w:val="0"/>
        <w:autoSpaceDN w:val="0"/>
        <w:adjustRightInd w:val="0"/>
        <w:spacing w:line="400" w:lineRule="exact"/>
        <w:ind w:left="-85" w:firstLine="482"/>
        <w:rPr>
          <w:rFonts w:ascii="宋体" w:hAnsi="宋体" w:cs="宋体"/>
          <w:b/>
          <w:color w:val="auto"/>
          <w:szCs w:val="24"/>
          <w:highlight w:val="none"/>
          <w:u w:val="single"/>
        </w:rPr>
      </w:pPr>
      <w:r>
        <w:rPr>
          <w:rFonts w:hint="eastAsia" w:ascii="宋体" w:hAnsi="宋体" w:cs="宋体"/>
          <w:color w:val="auto"/>
          <w:szCs w:val="21"/>
          <w:highlight w:val="none"/>
          <w:u w:val="single"/>
          <w:lang w:eastAsia="zh-CN"/>
        </w:rPr>
        <w:t>承包</w:t>
      </w:r>
      <w:r>
        <w:rPr>
          <w:rFonts w:hint="eastAsia" w:ascii="宋体" w:hAnsi="宋体" w:cs="宋体"/>
          <w:color w:val="auto"/>
          <w:szCs w:val="21"/>
          <w:highlight w:val="none"/>
          <w:u w:val="single"/>
        </w:rPr>
        <w:t>人在质量保修期内，按照有关法律规定和合同约定，承担工程质量保修责任</w:t>
      </w:r>
      <w:r>
        <w:rPr>
          <w:rFonts w:hint="eastAsia" w:ascii="宋体" w:hAnsi="宋体" w:cs="宋体"/>
          <w:color w:val="auto"/>
          <w:szCs w:val="21"/>
          <w:highlight w:val="none"/>
        </w:rPr>
        <w:t>。</w:t>
      </w:r>
    </w:p>
    <w:p w14:paraId="595985CB">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二、质量保修期</w:t>
      </w:r>
    </w:p>
    <w:p w14:paraId="5A6EAC76">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根据《</w:t>
      </w:r>
      <w:bookmarkStart w:id="1462" w:name="OLE_LINK1"/>
      <w:r>
        <w:rPr>
          <w:rFonts w:hint="eastAsia" w:ascii="宋体" w:hAnsi="宋体" w:cs="宋体"/>
          <w:color w:val="auto"/>
          <w:szCs w:val="21"/>
          <w:highlight w:val="none"/>
        </w:rPr>
        <w:t>建设工程质量管理条例</w:t>
      </w:r>
      <w:bookmarkEnd w:id="1462"/>
      <w:r>
        <w:rPr>
          <w:rFonts w:hint="eastAsia" w:ascii="宋体" w:hAnsi="宋体" w:cs="宋体"/>
          <w:color w:val="auto"/>
          <w:szCs w:val="21"/>
          <w:highlight w:val="none"/>
        </w:rPr>
        <w:t>》及有关规定，工程的质量保修期如下：</w:t>
      </w:r>
    </w:p>
    <w:p w14:paraId="62DB2466">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地基基础工程和主体结构工程为设计文件规定的该工程合理使用年限；</w:t>
      </w:r>
    </w:p>
    <w:p w14:paraId="0C104EB9">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屋面防水工程、有防水要求的卫生间、房间和外墙面的防渗漏为</w:t>
      </w:r>
      <w:r>
        <w:rPr>
          <w:rFonts w:hint="eastAsia" w:ascii="宋体" w:hAnsi="宋体" w:cs="宋体"/>
          <w:color w:val="auto"/>
          <w:szCs w:val="21"/>
          <w:highlight w:val="none"/>
          <w:u w:val="single"/>
        </w:rPr>
        <w:t xml:space="preserve">   五   </w:t>
      </w:r>
      <w:r>
        <w:rPr>
          <w:rFonts w:hint="eastAsia" w:ascii="宋体" w:hAnsi="宋体" w:cs="宋体"/>
          <w:color w:val="auto"/>
          <w:szCs w:val="21"/>
          <w:highlight w:val="none"/>
        </w:rPr>
        <w:t>年；</w:t>
      </w:r>
    </w:p>
    <w:p w14:paraId="68A8D7BC">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装修工程为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年；</w:t>
      </w:r>
    </w:p>
    <w:p w14:paraId="306940E8">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4.</w:t>
      </w:r>
      <w:r>
        <w:rPr>
          <w:rFonts w:hint="eastAsia" w:ascii="宋体" w:hAnsi="宋体" w:cs="宋体"/>
          <w:color w:val="auto"/>
          <w:szCs w:val="21"/>
          <w:highlight w:val="none"/>
        </w:rPr>
        <w:t>电气管线、给排水管道、设备安装工程为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年；</w:t>
      </w:r>
    </w:p>
    <w:p w14:paraId="50EBD68D">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5.</w:t>
      </w:r>
      <w:r>
        <w:rPr>
          <w:rFonts w:hint="eastAsia" w:ascii="宋体" w:hAnsi="宋体" w:cs="宋体"/>
          <w:color w:val="auto"/>
          <w:szCs w:val="21"/>
          <w:highlight w:val="none"/>
        </w:rPr>
        <w:t>供热与供冷系统为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个采暖期、供冷期；</w:t>
      </w:r>
    </w:p>
    <w:p w14:paraId="0292CA00">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6.</w:t>
      </w:r>
      <w:r>
        <w:rPr>
          <w:rFonts w:hint="eastAsia" w:ascii="宋体" w:hAnsi="宋体" w:cs="宋体"/>
          <w:color w:val="auto"/>
          <w:szCs w:val="21"/>
          <w:highlight w:val="none"/>
        </w:rPr>
        <w:t>住宅小区内的给排水设施、道路等配套工程为</w:t>
      </w:r>
      <w:r>
        <w:rPr>
          <w:rFonts w:hint="eastAsia" w:ascii="宋体" w:hAnsi="宋体" w:cs="宋体"/>
          <w:color w:val="auto"/>
          <w:szCs w:val="21"/>
          <w:highlight w:val="none"/>
          <w:u w:val="single"/>
        </w:rPr>
        <w:t xml:space="preserve">    两   </w:t>
      </w:r>
      <w:r>
        <w:rPr>
          <w:rFonts w:hint="eastAsia" w:ascii="宋体" w:hAnsi="宋体" w:cs="宋体"/>
          <w:color w:val="auto"/>
          <w:szCs w:val="21"/>
          <w:highlight w:val="none"/>
        </w:rPr>
        <w:t>年；</w:t>
      </w:r>
    </w:p>
    <w:p w14:paraId="545C0F41">
      <w:pPr>
        <w:spacing w:line="400" w:lineRule="exact"/>
        <w:ind w:firstLine="439" w:firstLineChars="183"/>
        <w:rPr>
          <w:rFonts w:ascii="宋体" w:hAnsi="宋体" w:cs="宋体"/>
          <w:color w:val="auto"/>
          <w:szCs w:val="21"/>
          <w:highlight w:val="none"/>
        </w:rPr>
      </w:pPr>
      <w:r>
        <w:rPr>
          <w:rFonts w:hint="eastAsia" w:ascii="宋体" w:hAnsi="宋体" w:cs="宋体"/>
          <w:color w:val="auto"/>
          <w:szCs w:val="21"/>
          <w:highlight w:val="none"/>
          <w:lang w:eastAsia="zh-CN"/>
        </w:rPr>
        <w:t>7.</w:t>
      </w:r>
      <w:r>
        <w:rPr>
          <w:rFonts w:hint="eastAsia" w:ascii="宋体" w:hAnsi="宋体" w:cs="宋体"/>
          <w:color w:val="auto"/>
          <w:szCs w:val="21"/>
          <w:highlight w:val="none"/>
        </w:rPr>
        <w:t>其他项目保修期限约定如下：</w:t>
      </w:r>
      <w:r>
        <w:rPr>
          <w:rFonts w:hint="eastAsia" w:ascii="宋体" w:hAnsi="宋体" w:cs="宋体"/>
          <w:color w:val="auto"/>
          <w:szCs w:val="21"/>
          <w:highlight w:val="none"/>
          <w:u w:val="single"/>
          <w:lang w:eastAsia="zh-CN"/>
        </w:rPr>
        <w:t>本工程</w:t>
      </w:r>
      <w:r>
        <w:rPr>
          <w:rFonts w:hint="eastAsia" w:ascii="宋体" w:hAnsi="宋体" w:cs="宋体"/>
          <w:color w:val="auto"/>
          <w:szCs w:val="21"/>
          <w:highlight w:val="none"/>
          <w:u w:val="single"/>
        </w:rPr>
        <w:t>质量保修期不得少于</w:t>
      </w:r>
      <w:r>
        <w:rPr>
          <w:rFonts w:hint="eastAsia" w:ascii="宋体" w:hAnsi="宋体" w:cs="宋体"/>
          <w:color w:val="auto"/>
          <w:szCs w:val="21"/>
          <w:highlight w:val="none"/>
          <w:u w:val="single"/>
          <w:lang w:val="en-US" w:eastAsia="zh-CN"/>
        </w:rPr>
        <w:t>3年</w:t>
      </w:r>
      <w:r>
        <w:rPr>
          <w:rFonts w:hint="eastAsia" w:ascii="宋体" w:hAnsi="宋体" w:cs="宋体"/>
          <w:color w:val="auto"/>
          <w:szCs w:val="21"/>
          <w:highlight w:val="none"/>
        </w:rPr>
        <w:t>。</w:t>
      </w:r>
    </w:p>
    <w:p w14:paraId="6AC225BA">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　质量保修期自工程竣工验收合格之日起计算。</w:t>
      </w:r>
    </w:p>
    <w:p w14:paraId="352E3DBE">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三、缺陷责任期</w:t>
      </w:r>
    </w:p>
    <w:p w14:paraId="4A036E73">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工程缺陷责任期为</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24</w:t>
      </w:r>
      <w:r>
        <w:rPr>
          <w:rFonts w:hint="eastAsia" w:ascii="宋体" w:hAnsi="宋体" w:cs="宋体"/>
          <w:color w:val="auto"/>
          <w:szCs w:val="21"/>
          <w:highlight w:val="none"/>
        </w:rPr>
        <w:t>个月，缺陷责任期自工程竣工验收合格之日起计算。单位工程先于全部工程进行验收，单位工程缺陷责任期自单位工程验收合格之日起算。</w:t>
      </w:r>
    </w:p>
    <w:p w14:paraId="00B1161C">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缺陷责任期终止后，发包人应退还剩余的质量保证金。</w:t>
      </w:r>
    </w:p>
    <w:p w14:paraId="24A9EBF7">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 xml:space="preserve"> 四、质量保修责任</w:t>
      </w:r>
    </w:p>
    <w:p w14:paraId="25CE3AA0">
      <w:pPr>
        <w:spacing w:line="400" w:lineRule="exact"/>
        <w:ind w:left="120" w:leftChars="50" w:firstLine="491" w:firstLineChars="205"/>
        <w:rPr>
          <w:rFonts w:ascii="宋体" w:hAnsi="宋体" w:cs="宋体"/>
          <w:color w:val="auto"/>
          <w:szCs w:val="21"/>
          <w:highlight w:val="none"/>
        </w:rPr>
      </w:pPr>
      <w:r>
        <w:rPr>
          <w:rFonts w:hint="eastAsia" w:ascii="宋体" w:hAnsi="宋体" w:cs="宋体"/>
          <w:color w:val="auto"/>
          <w:szCs w:val="21"/>
          <w:highlight w:val="none"/>
          <w:lang w:eastAsia="zh-CN"/>
        </w:rPr>
        <w:t>1.</w:t>
      </w:r>
      <w:r>
        <w:rPr>
          <w:rFonts w:hint="eastAsia" w:ascii="宋体" w:hAnsi="宋体" w:cs="宋体"/>
          <w:color w:val="auto"/>
          <w:szCs w:val="21"/>
          <w:highlight w:val="none"/>
        </w:rPr>
        <w:t>属于保修范围、内容的项目，承包人应当在接到保修通知之日起7天内派人保修。承包人不在约定期限内派人保修的，发包人可以委托他人修理。</w:t>
      </w:r>
    </w:p>
    <w:p w14:paraId="73ABCD92">
      <w:pPr>
        <w:spacing w:line="400" w:lineRule="exact"/>
        <w:ind w:left="120" w:leftChars="50" w:firstLine="491" w:firstLineChars="205"/>
        <w:rPr>
          <w:rFonts w:ascii="宋体" w:hAnsi="宋体" w:cs="宋体"/>
          <w:color w:val="auto"/>
          <w:szCs w:val="21"/>
          <w:highlight w:val="none"/>
        </w:rPr>
      </w:pPr>
      <w:r>
        <w:rPr>
          <w:rFonts w:hint="eastAsia" w:ascii="宋体" w:hAnsi="宋体" w:cs="宋体"/>
          <w:color w:val="auto"/>
          <w:szCs w:val="21"/>
          <w:highlight w:val="none"/>
          <w:lang w:eastAsia="zh-CN"/>
        </w:rPr>
        <w:t>2.</w:t>
      </w:r>
      <w:r>
        <w:rPr>
          <w:rFonts w:hint="eastAsia" w:ascii="宋体" w:hAnsi="宋体" w:cs="宋体"/>
          <w:color w:val="auto"/>
          <w:szCs w:val="21"/>
          <w:highlight w:val="none"/>
        </w:rPr>
        <w:t>发生紧急事故需抢修的，承包人在接到事故通知后，应当立即到达事故现场抢修。</w:t>
      </w:r>
    </w:p>
    <w:p w14:paraId="20FA6080">
      <w:pPr>
        <w:spacing w:line="400" w:lineRule="exact"/>
        <w:ind w:left="120" w:leftChars="50" w:firstLine="491" w:firstLineChars="205"/>
        <w:rPr>
          <w:rFonts w:ascii="宋体" w:hAnsi="宋体" w:cs="宋体"/>
          <w:color w:val="auto"/>
          <w:szCs w:val="21"/>
          <w:highlight w:val="none"/>
        </w:rPr>
      </w:pPr>
      <w:r>
        <w:rPr>
          <w:rFonts w:hint="eastAsia" w:ascii="宋体" w:hAnsi="宋体" w:cs="宋体"/>
          <w:color w:val="auto"/>
          <w:szCs w:val="21"/>
          <w:highlight w:val="none"/>
          <w:lang w:eastAsia="zh-CN"/>
        </w:rPr>
        <w:t>3.</w:t>
      </w:r>
      <w:r>
        <w:rPr>
          <w:rFonts w:hint="eastAsia" w:ascii="宋体" w:hAnsi="宋体" w:cs="宋体"/>
          <w:color w:val="auto"/>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054D382">
      <w:pPr>
        <w:spacing w:line="400" w:lineRule="exact"/>
        <w:ind w:left="480" w:leftChars="200" w:firstLine="120" w:firstLineChars="50"/>
        <w:rPr>
          <w:rFonts w:ascii="宋体" w:hAnsi="宋体" w:cs="宋体"/>
          <w:color w:val="auto"/>
          <w:szCs w:val="21"/>
          <w:highlight w:val="none"/>
        </w:rPr>
      </w:pPr>
      <w:r>
        <w:rPr>
          <w:rFonts w:hint="eastAsia" w:ascii="宋体" w:hAnsi="宋体" w:cs="宋体"/>
          <w:color w:val="auto"/>
          <w:szCs w:val="21"/>
          <w:highlight w:val="none"/>
          <w:lang w:eastAsia="zh-CN"/>
        </w:rPr>
        <w:t>4.</w:t>
      </w:r>
      <w:r>
        <w:rPr>
          <w:rFonts w:hint="eastAsia" w:ascii="宋体" w:hAnsi="宋体" w:cs="宋体"/>
          <w:color w:val="auto"/>
          <w:szCs w:val="21"/>
          <w:highlight w:val="none"/>
        </w:rPr>
        <w:t>质量保修完成后，由发包人组织验收。</w:t>
      </w:r>
    </w:p>
    <w:p w14:paraId="1143073C">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五、保修费用</w:t>
      </w:r>
    </w:p>
    <w:p w14:paraId="53793694">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6C2FA4EE">
      <w:pPr>
        <w:spacing w:line="400" w:lineRule="exact"/>
        <w:ind w:firstLine="482"/>
        <w:jc w:val="left"/>
        <w:rPr>
          <w:rFonts w:ascii="宋体" w:hAnsi="宋体" w:cs="宋体"/>
          <w:color w:val="auto"/>
          <w:szCs w:val="21"/>
          <w:highlight w:val="none"/>
          <w:u w:val="single"/>
        </w:rPr>
      </w:pPr>
      <w:r>
        <w:rPr>
          <w:rFonts w:hint="eastAsia" w:ascii="宋体" w:hAnsi="宋体" w:cs="宋体"/>
          <w:b/>
          <w:color w:val="auto"/>
          <w:szCs w:val="21"/>
          <w:highlight w:val="none"/>
        </w:rPr>
        <w:t>六</w:t>
      </w:r>
      <w:r>
        <w:rPr>
          <w:rFonts w:hint="eastAsia" w:ascii="宋体" w:hAnsi="宋体" w:cs="宋体"/>
          <w:color w:val="auto"/>
          <w:szCs w:val="21"/>
          <w:highlight w:val="none"/>
        </w:rPr>
        <w:t>、双方约定的其他工程质量保修事项</w:t>
      </w:r>
      <w:r>
        <w:rPr>
          <w:rFonts w:hint="eastAsia" w:ascii="宋体" w:hAnsi="宋体" w:cs="宋体"/>
          <w:color w:val="auto"/>
          <w:szCs w:val="21"/>
          <w:highlight w:val="none"/>
          <w:lang w:eastAsia="zh-CN"/>
        </w:rPr>
        <w:t>：</w:t>
      </w:r>
      <w:r>
        <w:rPr>
          <w:rFonts w:hint="eastAsia" w:ascii="宋体" w:hAnsi="宋体" w:cs="宋体"/>
          <w:color w:val="auto"/>
          <w:szCs w:val="21"/>
          <w:highlight w:val="none"/>
          <w:u w:val="single"/>
          <w:lang w:val="en-US" w:eastAsia="zh-CN"/>
        </w:rPr>
        <w:t>本项目不收取质量保证金，但并不能免除承包人按照合同约定应承担的质量保修责任和应履行的质量保修义务</w:t>
      </w:r>
      <w:r>
        <w:rPr>
          <w:rFonts w:hint="eastAsia" w:ascii="宋体" w:hAnsi="宋体" w:cs="宋体"/>
          <w:color w:val="auto"/>
          <w:szCs w:val="21"/>
          <w:highlight w:val="none"/>
          <w:u w:val="single"/>
        </w:rPr>
        <w:t>。</w:t>
      </w:r>
    </w:p>
    <w:p w14:paraId="7AD71E24">
      <w:pPr>
        <w:spacing w:line="40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29AC49A2">
      <w:pPr>
        <w:ind w:firstLine="480"/>
        <w:rPr>
          <w:rFonts w:ascii="宋体" w:hAnsi="宋体" w:cs="宋体"/>
          <w:color w:val="auto"/>
          <w:szCs w:val="21"/>
          <w:highlight w:val="none"/>
        </w:rPr>
      </w:pPr>
    </w:p>
    <w:p w14:paraId="51919DBF">
      <w:pPr>
        <w:ind w:firstLine="480"/>
        <w:rPr>
          <w:rFonts w:ascii="宋体" w:hAnsi="宋体" w:cs="宋体"/>
          <w:color w:val="auto"/>
          <w:szCs w:val="21"/>
          <w:highlight w:val="none"/>
        </w:rPr>
      </w:pPr>
      <w:r>
        <w:rPr>
          <w:rFonts w:hint="eastAsia" w:ascii="宋体" w:hAnsi="宋体" w:cs="宋体"/>
          <w:color w:val="auto"/>
          <w:szCs w:val="21"/>
          <w:highlight w:val="none"/>
        </w:rPr>
        <w:t>发包人</w:t>
      </w:r>
      <w:r>
        <w:rPr>
          <w:rFonts w:hint="eastAsia" w:ascii="宋体" w:hAnsi="宋体" w:cs="宋体"/>
          <w:color w:val="auto"/>
          <w:szCs w:val="21"/>
          <w:highlight w:val="none"/>
          <w:lang w:eastAsia="zh-CN"/>
        </w:rPr>
        <w:t>（</w:t>
      </w:r>
      <w:r>
        <w:rPr>
          <w:rFonts w:hint="eastAsia" w:ascii="宋体" w:hAnsi="宋体" w:cs="宋体"/>
          <w:color w:val="auto"/>
          <w:szCs w:val="21"/>
          <w:highlight w:val="none"/>
        </w:rPr>
        <w:t>公章</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承包人</w:t>
      </w:r>
      <w:r>
        <w:rPr>
          <w:rFonts w:hint="eastAsia" w:ascii="宋体" w:hAnsi="宋体" w:cs="宋体"/>
          <w:color w:val="auto"/>
          <w:szCs w:val="21"/>
          <w:highlight w:val="none"/>
          <w:lang w:eastAsia="zh-CN"/>
        </w:rPr>
        <w:t>（</w:t>
      </w:r>
      <w:r>
        <w:rPr>
          <w:rFonts w:hint="eastAsia" w:ascii="宋体" w:hAnsi="宋体" w:cs="宋体"/>
          <w:color w:val="auto"/>
          <w:szCs w:val="21"/>
          <w:highlight w:val="none"/>
        </w:rPr>
        <w:t>公章</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A5D96AE">
      <w:pPr>
        <w:ind w:firstLine="48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36A796F">
      <w:pPr>
        <w:ind w:firstLine="480"/>
        <w:rPr>
          <w:rFonts w:ascii="宋体" w:hAnsi="宋体" w:cs="宋体"/>
          <w:color w:val="auto"/>
          <w:szCs w:val="21"/>
          <w:highlight w:val="none"/>
          <w:u w:val="single"/>
        </w:rPr>
      </w:pPr>
      <w:r>
        <w:rPr>
          <w:rFonts w:hint="eastAsia" w:ascii="宋体" w:hAnsi="宋体" w:cs="宋体"/>
          <w:color w:val="auto"/>
          <w:szCs w:val="21"/>
          <w:highlight w:val="none"/>
        </w:rPr>
        <w:t>法定代表人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法定代表人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p>
    <w:p w14:paraId="36C18A91">
      <w:pPr>
        <w:ind w:firstLine="480"/>
        <w:rPr>
          <w:rFonts w:ascii="宋体" w:hAnsi="宋体" w:cs="宋体"/>
          <w:color w:val="auto"/>
          <w:szCs w:val="21"/>
          <w:highlight w:val="none"/>
        </w:rPr>
      </w:pPr>
      <w:r>
        <w:rPr>
          <w:rFonts w:hint="eastAsia" w:ascii="宋体" w:hAnsi="宋体" w:cs="宋体"/>
          <w:color w:val="auto"/>
          <w:szCs w:val="21"/>
          <w:highlight w:val="none"/>
        </w:rPr>
        <w:t>委托代理人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委托代理人</w:t>
      </w:r>
      <w:r>
        <w:rPr>
          <w:rFonts w:hint="eastAsia" w:ascii="宋体" w:hAnsi="宋体" w:cs="宋体"/>
          <w:color w:val="auto"/>
          <w:szCs w:val="21"/>
          <w:highlight w:val="none"/>
          <w:lang w:eastAsia="zh-CN"/>
        </w:rPr>
        <w:t>（</w:t>
      </w:r>
      <w:r>
        <w:rPr>
          <w:rFonts w:hint="eastAsia" w:ascii="宋体" w:hAnsi="宋体" w:cs="宋体"/>
          <w:color w:val="auto"/>
          <w:szCs w:val="21"/>
          <w:highlight w:val="none"/>
        </w:rPr>
        <w:t>签字</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p>
    <w:p w14:paraId="39ED9E17">
      <w:pPr>
        <w:ind w:firstLine="480"/>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6BD6A1C8">
      <w:pPr>
        <w:ind w:firstLine="480"/>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w:t>
      </w:r>
    </w:p>
    <w:p w14:paraId="24097629">
      <w:pPr>
        <w:ind w:firstLine="480"/>
        <w:rPr>
          <w:rFonts w:ascii="宋体" w:hAnsi="宋体" w:cs="宋体"/>
          <w:color w:val="auto"/>
          <w:szCs w:val="21"/>
          <w:highlight w:val="none"/>
          <w:u w:val="singl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p>
    <w:p w14:paraId="1A06CA27">
      <w:pPr>
        <w:ind w:firstLine="480"/>
        <w:rPr>
          <w:rFonts w:ascii="宋体" w:hAnsi="宋体" w:cs="宋体"/>
          <w:color w:val="auto"/>
          <w:szCs w:val="21"/>
          <w:highlight w:val="none"/>
          <w:u w:val="singl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账  号：</w:t>
      </w:r>
      <w:r>
        <w:rPr>
          <w:rFonts w:hint="eastAsia" w:ascii="宋体" w:hAnsi="宋体" w:cs="宋体"/>
          <w:color w:val="auto"/>
          <w:szCs w:val="21"/>
          <w:highlight w:val="none"/>
          <w:u w:val="single"/>
        </w:rPr>
        <w:t xml:space="preserve">                    </w:t>
      </w:r>
    </w:p>
    <w:p w14:paraId="11860A0B">
      <w:pPr>
        <w:ind w:firstLine="480"/>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b/>
          <w:color w:val="auto"/>
          <w:szCs w:val="21"/>
          <w:highlight w:val="none"/>
        </w:rPr>
        <w:br w:type="page"/>
      </w:r>
      <w:r>
        <w:rPr>
          <w:rFonts w:hint="eastAsia" w:ascii="宋体" w:hAnsi="宋体" w:cs="宋体"/>
          <w:color w:val="auto"/>
          <w:szCs w:val="21"/>
          <w:highlight w:val="none"/>
        </w:rPr>
        <w:t>附件4：</w:t>
      </w:r>
    </w:p>
    <w:p w14:paraId="5E3C1399">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主要建设工程文件目录</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1EADA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left w:val="single" w:color="auto" w:sz="12" w:space="0"/>
              <w:bottom w:val="double" w:color="auto" w:sz="6" w:space="0"/>
              <w:right w:val="single" w:color="auto" w:sz="6" w:space="0"/>
            </w:tcBorders>
            <w:vAlign w:val="center"/>
          </w:tcPr>
          <w:p w14:paraId="41C8B8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文件名称</w:t>
            </w:r>
          </w:p>
        </w:tc>
        <w:tc>
          <w:tcPr>
            <w:tcW w:w="1276" w:type="dxa"/>
            <w:tcBorders>
              <w:top w:val="single" w:color="auto" w:sz="12" w:space="0"/>
              <w:left w:val="single" w:color="auto" w:sz="6" w:space="0"/>
              <w:bottom w:val="double" w:color="auto" w:sz="6" w:space="0"/>
              <w:right w:val="single" w:color="auto" w:sz="6" w:space="0"/>
            </w:tcBorders>
            <w:vAlign w:val="center"/>
          </w:tcPr>
          <w:p w14:paraId="4C6D84A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套数</w:t>
            </w:r>
          </w:p>
        </w:tc>
        <w:tc>
          <w:tcPr>
            <w:tcW w:w="1450" w:type="dxa"/>
            <w:tcBorders>
              <w:top w:val="single" w:color="auto" w:sz="12" w:space="0"/>
              <w:left w:val="single" w:color="auto" w:sz="6" w:space="0"/>
              <w:bottom w:val="double" w:color="auto" w:sz="6" w:space="0"/>
              <w:right w:val="single" w:color="auto" w:sz="6" w:space="0"/>
            </w:tcBorders>
            <w:vAlign w:val="center"/>
          </w:tcPr>
          <w:p w14:paraId="20878E42">
            <w:pPr>
              <w:keepNext/>
              <w:autoSpaceDE w:val="0"/>
              <w:autoSpaceDN w:val="0"/>
              <w:spacing w:line="440" w:lineRule="exact"/>
              <w:ind w:right="63"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费用（元）</w:t>
            </w:r>
          </w:p>
        </w:tc>
        <w:tc>
          <w:tcPr>
            <w:tcW w:w="1243" w:type="dxa"/>
            <w:tcBorders>
              <w:top w:val="single" w:color="auto" w:sz="12" w:space="0"/>
              <w:left w:val="single" w:color="auto" w:sz="6" w:space="0"/>
              <w:bottom w:val="double" w:color="auto" w:sz="6" w:space="0"/>
              <w:right w:val="single" w:color="auto" w:sz="6" w:space="0"/>
            </w:tcBorders>
            <w:vAlign w:val="center"/>
          </w:tcPr>
          <w:p w14:paraId="0B69304E">
            <w:pPr>
              <w:keepNext/>
              <w:autoSpaceDE w:val="0"/>
              <w:autoSpaceDN w:val="0"/>
              <w:spacing w:line="440" w:lineRule="exact"/>
              <w:ind w:right="63"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质量</w:t>
            </w:r>
          </w:p>
        </w:tc>
        <w:tc>
          <w:tcPr>
            <w:tcW w:w="1450" w:type="dxa"/>
            <w:tcBorders>
              <w:top w:val="single" w:color="auto" w:sz="12" w:space="0"/>
              <w:left w:val="single" w:color="auto" w:sz="6" w:space="0"/>
              <w:bottom w:val="double" w:color="auto" w:sz="6" w:space="0"/>
              <w:right w:val="single" w:color="auto" w:sz="6" w:space="0"/>
            </w:tcBorders>
          </w:tcPr>
          <w:p w14:paraId="5D6EC7E6">
            <w:pPr>
              <w:keepNext/>
              <w:autoSpaceDE w:val="0"/>
              <w:autoSpaceDN w:val="0"/>
              <w:spacing w:line="440" w:lineRule="exact"/>
              <w:ind w:right="63" w:firstLineChars="0"/>
              <w:jc w:val="left"/>
              <w:rPr>
                <w:rFonts w:ascii="宋体" w:hAnsi="宋体" w:cs="宋体"/>
                <w:color w:val="auto"/>
                <w:kern w:val="0"/>
                <w:sz w:val="21"/>
                <w:szCs w:val="21"/>
                <w:highlight w:val="none"/>
                <w:lang w:bidi="zh-CN"/>
              </w:rPr>
            </w:pPr>
            <w:r>
              <w:rPr>
                <w:rFonts w:hint="eastAsia" w:ascii="宋体" w:hAnsi="宋体" w:cs="宋体"/>
                <w:color w:val="auto"/>
                <w:kern w:val="0"/>
                <w:sz w:val="21"/>
                <w:szCs w:val="21"/>
                <w:highlight w:val="none"/>
                <w:lang w:bidi="zh-CN"/>
              </w:rPr>
              <w:t>移交时间</w:t>
            </w:r>
          </w:p>
        </w:tc>
        <w:tc>
          <w:tcPr>
            <w:tcW w:w="1667" w:type="dxa"/>
            <w:tcBorders>
              <w:top w:val="single" w:color="auto" w:sz="12" w:space="0"/>
              <w:left w:val="single" w:color="auto" w:sz="6" w:space="0"/>
              <w:bottom w:val="double" w:color="auto" w:sz="6" w:space="0"/>
              <w:right w:val="single" w:color="auto" w:sz="12" w:space="0"/>
            </w:tcBorders>
          </w:tcPr>
          <w:p w14:paraId="7DF798CB">
            <w:pPr>
              <w:keepNext/>
              <w:autoSpaceDE w:val="0"/>
              <w:autoSpaceDN w:val="0"/>
              <w:spacing w:line="440" w:lineRule="exact"/>
              <w:ind w:right="63" w:firstLine="489" w:firstLineChars="233"/>
              <w:jc w:val="left"/>
              <w:rPr>
                <w:rFonts w:ascii="宋体" w:hAnsi="宋体" w:cs="宋体"/>
                <w:color w:val="auto"/>
                <w:kern w:val="0"/>
                <w:sz w:val="21"/>
                <w:szCs w:val="21"/>
                <w:highlight w:val="none"/>
                <w:lang w:bidi="zh-CN"/>
              </w:rPr>
            </w:pPr>
            <w:r>
              <w:rPr>
                <w:rFonts w:hint="eastAsia" w:ascii="宋体" w:hAnsi="宋体" w:cs="宋体"/>
                <w:color w:val="auto"/>
                <w:kern w:val="0"/>
                <w:sz w:val="21"/>
                <w:szCs w:val="21"/>
                <w:highlight w:val="none"/>
                <w:lang w:bidi="zh-CN"/>
              </w:rPr>
              <w:t>责任人</w:t>
            </w:r>
          </w:p>
        </w:tc>
      </w:tr>
      <w:tr w14:paraId="1194C1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left w:val="single" w:color="auto" w:sz="12" w:space="0"/>
              <w:bottom w:val="single" w:color="auto" w:sz="6" w:space="0"/>
              <w:right w:val="single" w:color="auto" w:sz="6" w:space="0"/>
            </w:tcBorders>
            <w:vAlign w:val="center"/>
          </w:tcPr>
          <w:p w14:paraId="06DC0E9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double" w:color="auto" w:sz="6" w:space="0"/>
              <w:left w:val="single" w:color="auto" w:sz="6" w:space="0"/>
              <w:bottom w:val="single" w:color="auto" w:sz="6" w:space="0"/>
              <w:right w:val="single" w:color="auto" w:sz="6" w:space="0"/>
            </w:tcBorders>
            <w:vAlign w:val="center"/>
          </w:tcPr>
          <w:p w14:paraId="4327E7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double" w:color="auto" w:sz="6" w:space="0"/>
              <w:left w:val="single" w:color="auto" w:sz="6" w:space="0"/>
              <w:bottom w:val="single" w:color="auto" w:sz="6" w:space="0"/>
              <w:right w:val="single" w:color="auto" w:sz="6" w:space="0"/>
            </w:tcBorders>
            <w:vAlign w:val="center"/>
          </w:tcPr>
          <w:p w14:paraId="6CEC12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double" w:color="auto" w:sz="6" w:space="0"/>
              <w:left w:val="single" w:color="auto" w:sz="6" w:space="0"/>
              <w:bottom w:val="single" w:color="auto" w:sz="6" w:space="0"/>
              <w:right w:val="single" w:color="auto" w:sz="6" w:space="0"/>
            </w:tcBorders>
            <w:vAlign w:val="center"/>
          </w:tcPr>
          <w:p w14:paraId="3783FF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double" w:color="auto" w:sz="6" w:space="0"/>
              <w:left w:val="single" w:color="auto" w:sz="6" w:space="0"/>
              <w:bottom w:val="single" w:color="auto" w:sz="6" w:space="0"/>
              <w:right w:val="single" w:color="auto" w:sz="6" w:space="0"/>
            </w:tcBorders>
            <w:vAlign w:val="center"/>
          </w:tcPr>
          <w:p w14:paraId="5DEA056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double" w:color="auto" w:sz="6" w:space="0"/>
              <w:left w:val="single" w:color="auto" w:sz="6" w:space="0"/>
              <w:bottom w:val="single" w:color="auto" w:sz="6" w:space="0"/>
              <w:right w:val="single" w:color="auto" w:sz="12" w:space="0"/>
            </w:tcBorders>
            <w:vAlign w:val="center"/>
          </w:tcPr>
          <w:p w14:paraId="75DF46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6D15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left w:val="single" w:color="auto" w:sz="12" w:space="0"/>
              <w:bottom w:val="single" w:color="auto" w:sz="6" w:space="0"/>
              <w:right w:val="single" w:color="auto" w:sz="6" w:space="0"/>
            </w:tcBorders>
            <w:vAlign w:val="center"/>
          </w:tcPr>
          <w:p w14:paraId="12E1AD1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nil"/>
              <w:left w:val="single" w:color="auto" w:sz="6" w:space="0"/>
              <w:bottom w:val="single" w:color="auto" w:sz="6" w:space="0"/>
              <w:right w:val="single" w:color="auto" w:sz="6" w:space="0"/>
            </w:tcBorders>
            <w:vAlign w:val="center"/>
          </w:tcPr>
          <w:p w14:paraId="76BA4A6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nil"/>
              <w:left w:val="single" w:color="auto" w:sz="6" w:space="0"/>
              <w:bottom w:val="single" w:color="auto" w:sz="6" w:space="0"/>
              <w:right w:val="single" w:color="auto" w:sz="6" w:space="0"/>
            </w:tcBorders>
            <w:vAlign w:val="center"/>
          </w:tcPr>
          <w:p w14:paraId="63C6608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nil"/>
              <w:left w:val="single" w:color="auto" w:sz="6" w:space="0"/>
              <w:bottom w:val="single" w:color="auto" w:sz="6" w:space="0"/>
              <w:right w:val="single" w:color="auto" w:sz="6" w:space="0"/>
            </w:tcBorders>
            <w:vAlign w:val="center"/>
          </w:tcPr>
          <w:p w14:paraId="4C733ED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nil"/>
              <w:left w:val="single" w:color="auto" w:sz="6" w:space="0"/>
              <w:bottom w:val="single" w:color="auto" w:sz="6" w:space="0"/>
              <w:right w:val="single" w:color="auto" w:sz="6" w:space="0"/>
            </w:tcBorders>
            <w:vAlign w:val="center"/>
          </w:tcPr>
          <w:p w14:paraId="7C3F9A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nil"/>
              <w:left w:val="single" w:color="auto" w:sz="6" w:space="0"/>
              <w:bottom w:val="single" w:color="auto" w:sz="6" w:space="0"/>
              <w:right w:val="single" w:color="auto" w:sz="12" w:space="0"/>
            </w:tcBorders>
            <w:vAlign w:val="center"/>
          </w:tcPr>
          <w:p w14:paraId="2F0C52C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FB08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27200E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13CB0C1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6F9B8A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3D26AAA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0F6DF7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08B054C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73AF5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6246FD4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586EEFF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32F7F36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6D4089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5FDE8B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779DAE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075ED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2BDCB98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4DC7605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74C6D43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0AC77B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21C76E9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7AE9A54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F569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77236D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252EC8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0ECF210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3B3308C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2FE457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6606D6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9E57B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14:paraId="27202CD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6" w:space="0"/>
              <w:right w:val="single" w:color="auto" w:sz="6" w:space="0"/>
            </w:tcBorders>
            <w:vAlign w:val="center"/>
          </w:tcPr>
          <w:p w14:paraId="1864D90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6FE769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6" w:space="0"/>
              <w:right w:val="single" w:color="auto" w:sz="6" w:space="0"/>
            </w:tcBorders>
            <w:vAlign w:val="center"/>
          </w:tcPr>
          <w:p w14:paraId="1BD623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6" w:space="0"/>
              <w:right w:val="single" w:color="auto" w:sz="6" w:space="0"/>
            </w:tcBorders>
            <w:vAlign w:val="center"/>
          </w:tcPr>
          <w:p w14:paraId="010C624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6" w:space="0"/>
              <w:right w:val="single" w:color="auto" w:sz="12" w:space="0"/>
            </w:tcBorders>
            <w:vAlign w:val="center"/>
          </w:tcPr>
          <w:p w14:paraId="5321FCA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52BB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12" w:space="0"/>
              <w:right w:val="single" w:color="auto" w:sz="6" w:space="0"/>
            </w:tcBorders>
            <w:vAlign w:val="center"/>
          </w:tcPr>
          <w:p w14:paraId="53D273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76" w:type="dxa"/>
            <w:tcBorders>
              <w:top w:val="single" w:color="auto" w:sz="6" w:space="0"/>
              <w:left w:val="single" w:color="auto" w:sz="6" w:space="0"/>
              <w:bottom w:val="single" w:color="auto" w:sz="12" w:space="0"/>
              <w:right w:val="single" w:color="auto" w:sz="6" w:space="0"/>
            </w:tcBorders>
            <w:vAlign w:val="center"/>
          </w:tcPr>
          <w:p w14:paraId="4BA5C02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12" w:space="0"/>
              <w:right w:val="single" w:color="auto" w:sz="6" w:space="0"/>
            </w:tcBorders>
            <w:vAlign w:val="center"/>
          </w:tcPr>
          <w:p w14:paraId="30C8888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243" w:type="dxa"/>
            <w:tcBorders>
              <w:top w:val="single" w:color="auto" w:sz="6" w:space="0"/>
              <w:left w:val="single" w:color="auto" w:sz="6" w:space="0"/>
              <w:bottom w:val="single" w:color="auto" w:sz="12" w:space="0"/>
              <w:right w:val="single" w:color="auto" w:sz="6" w:space="0"/>
            </w:tcBorders>
            <w:vAlign w:val="center"/>
          </w:tcPr>
          <w:p w14:paraId="182A9B6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50" w:type="dxa"/>
            <w:tcBorders>
              <w:top w:val="single" w:color="auto" w:sz="6" w:space="0"/>
              <w:left w:val="single" w:color="auto" w:sz="6" w:space="0"/>
              <w:bottom w:val="single" w:color="auto" w:sz="12" w:space="0"/>
              <w:right w:val="single" w:color="auto" w:sz="6" w:space="0"/>
            </w:tcBorders>
            <w:vAlign w:val="center"/>
          </w:tcPr>
          <w:p w14:paraId="3597A72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667" w:type="dxa"/>
            <w:tcBorders>
              <w:top w:val="single" w:color="auto" w:sz="6" w:space="0"/>
              <w:left w:val="single" w:color="auto" w:sz="6" w:space="0"/>
              <w:bottom w:val="single" w:color="auto" w:sz="12" w:space="0"/>
              <w:right w:val="single" w:color="auto" w:sz="12" w:space="0"/>
            </w:tcBorders>
            <w:vAlign w:val="center"/>
          </w:tcPr>
          <w:p w14:paraId="15F3CD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3A399863">
      <w:pPr>
        <w:spacing w:line="440" w:lineRule="exact"/>
        <w:ind w:firstLine="420"/>
        <w:rPr>
          <w:rFonts w:ascii="宋体" w:hAnsi="宋体" w:cs="宋体"/>
          <w:color w:val="auto"/>
          <w:sz w:val="21"/>
          <w:szCs w:val="21"/>
          <w:highlight w:val="none"/>
        </w:rPr>
      </w:pPr>
    </w:p>
    <w:p w14:paraId="4E97E927">
      <w:pPr>
        <w:pStyle w:val="23"/>
        <w:rPr>
          <w:color w:val="auto"/>
          <w:highlight w:val="none"/>
        </w:rPr>
      </w:pPr>
      <w:r>
        <w:rPr>
          <w:color w:val="auto"/>
          <w:highlight w:val="none"/>
        </w:rPr>
        <w:br w:type="page"/>
      </w:r>
    </w:p>
    <w:p w14:paraId="34D8592E">
      <w:pPr>
        <w:spacing w:line="440" w:lineRule="exact"/>
        <w:ind w:firstLine="420"/>
        <w:rPr>
          <w:rFonts w:ascii="宋体" w:hAnsi="宋体" w:cs="宋体"/>
          <w:color w:val="auto"/>
          <w:sz w:val="21"/>
          <w:szCs w:val="21"/>
          <w:highlight w:val="none"/>
        </w:rPr>
      </w:pPr>
    </w:p>
    <w:p w14:paraId="6AE215A5">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w:t>
      </w:r>
      <w:bookmarkStart w:id="1463" w:name="_Toc267261698"/>
      <w:bookmarkStart w:id="1464" w:name="_Toc296503227"/>
      <w:bookmarkStart w:id="1465" w:name="_Toc296891055"/>
      <w:bookmarkStart w:id="1466" w:name="_Toc296347226"/>
      <w:bookmarkStart w:id="1467" w:name="_Toc296891267"/>
      <w:bookmarkStart w:id="1468" w:name="_Toc296346728"/>
      <w:bookmarkStart w:id="1469" w:name="_Toc296944566"/>
      <w:r>
        <w:rPr>
          <w:rFonts w:hint="eastAsia" w:ascii="宋体" w:hAnsi="宋体" w:cs="宋体"/>
          <w:color w:val="auto"/>
          <w:szCs w:val="21"/>
          <w:highlight w:val="none"/>
        </w:rPr>
        <w:t>件5：</w:t>
      </w:r>
    </w:p>
    <w:bookmarkEnd w:id="1463"/>
    <w:bookmarkEnd w:id="1464"/>
    <w:bookmarkEnd w:id="1465"/>
    <w:bookmarkEnd w:id="1466"/>
    <w:bookmarkEnd w:id="1467"/>
    <w:bookmarkEnd w:id="1468"/>
    <w:bookmarkEnd w:id="1469"/>
    <w:p w14:paraId="7E655645">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承包人用于本工程施工的机械设备表</w:t>
      </w:r>
    </w:p>
    <w:tbl>
      <w:tblPr>
        <w:tblStyle w:val="48"/>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6BCB1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left w:val="single" w:color="auto" w:sz="12" w:space="0"/>
              <w:bottom w:val="double" w:color="auto" w:sz="6" w:space="0"/>
              <w:right w:val="single" w:color="auto" w:sz="6" w:space="0"/>
            </w:tcBorders>
            <w:vAlign w:val="center"/>
          </w:tcPr>
          <w:p w14:paraId="10AB94AC">
            <w:pPr>
              <w:ind w:firstLine="319" w:firstLineChars="133"/>
              <w:rPr>
                <w:color w:val="auto"/>
                <w:sz w:val="21"/>
                <w:szCs w:val="24"/>
                <w:highlight w:val="none"/>
              </w:rPr>
            </w:pPr>
            <w:r>
              <w:rPr>
                <w:rFonts w:hint="eastAsia"/>
                <w:color w:val="auto"/>
                <w:highlight w:val="none"/>
              </w:rPr>
              <w:t>序号</w:t>
            </w:r>
          </w:p>
        </w:tc>
        <w:tc>
          <w:tcPr>
            <w:tcW w:w="1418" w:type="dxa"/>
            <w:tcBorders>
              <w:top w:val="single" w:color="auto" w:sz="12" w:space="0"/>
              <w:left w:val="single" w:color="auto" w:sz="6" w:space="0"/>
              <w:bottom w:val="double" w:color="auto" w:sz="6" w:space="0"/>
              <w:right w:val="single" w:color="auto" w:sz="6" w:space="0"/>
            </w:tcBorders>
            <w:vAlign w:val="center"/>
          </w:tcPr>
          <w:p w14:paraId="21734ADA">
            <w:pPr>
              <w:ind w:firstLine="0" w:firstLineChars="0"/>
              <w:jc w:val="center"/>
              <w:rPr>
                <w:color w:val="auto"/>
                <w:sz w:val="21"/>
                <w:szCs w:val="24"/>
                <w:highlight w:val="none"/>
              </w:rPr>
            </w:pPr>
            <w:r>
              <w:rPr>
                <w:rFonts w:hint="eastAsia"/>
                <w:color w:val="auto"/>
                <w:highlight w:val="none"/>
              </w:rPr>
              <w:t>机械或设备名称</w:t>
            </w:r>
          </w:p>
        </w:tc>
        <w:tc>
          <w:tcPr>
            <w:tcW w:w="850" w:type="dxa"/>
            <w:tcBorders>
              <w:top w:val="single" w:color="auto" w:sz="12" w:space="0"/>
              <w:left w:val="single" w:color="auto" w:sz="6" w:space="0"/>
              <w:bottom w:val="double" w:color="auto" w:sz="6" w:space="0"/>
              <w:right w:val="single" w:color="auto" w:sz="6" w:space="0"/>
            </w:tcBorders>
            <w:vAlign w:val="center"/>
          </w:tcPr>
          <w:p w14:paraId="5F0B41CB">
            <w:pPr>
              <w:ind w:firstLine="0" w:firstLineChars="0"/>
              <w:jc w:val="center"/>
              <w:rPr>
                <w:color w:val="auto"/>
                <w:sz w:val="21"/>
                <w:szCs w:val="24"/>
                <w:highlight w:val="none"/>
              </w:rPr>
            </w:pPr>
            <w:r>
              <w:rPr>
                <w:rFonts w:hint="eastAsia"/>
                <w:color w:val="auto"/>
                <w:highlight w:val="none"/>
              </w:rPr>
              <w:t>规格型号</w:t>
            </w:r>
          </w:p>
        </w:tc>
        <w:tc>
          <w:tcPr>
            <w:tcW w:w="1058" w:type="dxa"/>
            <w:tcBorders>
              <w:top w:val="single" w:color="auto" w:sz="12" w:space="0"/>
              <w:left w:val="single" w:color="auto" w:sz="6" w:space="0"/>
              <w:bottom w:val="double" w:color="auto" w:sz="6" w:space="0"/>
              <w:right w:val="single" w:color="auto" w:sz="6" w:space="0"/>
            </w:tcBorders>
            <w:vAlign w:val="center"/>
          </w:tcPr>
          <w:p w14:paraId="4DE7F637">
            <w:pPr>
              <w:ind w:firstLine="199" w:firstLineChars="83"/>
              <w:rPr>
                <w:color w:val="auto"/>
                <w:sz w:val="21"/>
                <w:szCs w:val="24"/>
                <w:highlight w:val="none"/>
              </w:rPr>
            </w:pPr>
            <w:r>
              <w:rPr>
                <w:rFonts w:hint="eastAsia"/>
                <w:color w:val="auto"/>
                <w:highlight w:val="none"/>
              </w:rPr>
              <w:t>数量</w:t>
            </w:r>
          </w:p>
        </w:tc>
        <w:tc>
          <w:tcPr>
            <w:tcW w:w="880" w:type="dxa"/>
            <w:tcBorders>
              <w:top w:val="single" w:color="auto" w:sz="12" w:space="0"/>
              <w:left w:val="single" w:color="auto" w:sz="6" w:space="0"/>
              <w:bottom w:val="double" w:color="auto" w:sz="6" w:space="0"/>
              <w:right w:val="single" w:color="auto" w:sz="6" w:space="0"/>
            </w:tcBorders>
            <w:vAlign w:val="center"/>
          </w:tcPr>
          <w:p w14:paraId="56DD8448">
            <w:pPr>
              <w:ind w:firstLine="0" w:firstLineChars="0"/>
              <w:jc w:val="center"/>
              <w:rPr>
                <w:color w:val="auto"/>
                <w:sz w:val="21"/>
                <w:szCs w:val="24"/>
                <w:highlight w:val="none"/>
              </w:rPr>
            </w:pPr>
            <w:r>
              <w:rPr>
                <w:rFonts w:hint="eastAsia"/>
                <w:color w:val="auto"/>
                <w:highlight w:val="none"/>
              </w:rPr>
              <w:t>产地</w:t>
            </w:r>
          </w:p>
        </w:tc>
        <w:tc>
          <w:tcPr>
            <w:tcW w:w="1020" w:type="dxa"/>
            <w:tcBorders>
              <w:top w:val="single" w:color="auto" w:sz="12" w:space="0"/>
              <w:left w:val="single" w:color="auto" w:sz="6" w:space="0"/>
              <w:bottom w:val="double" w:color="auto" w:sz="6" w:space="0"/>
              <w:right w:val="single" w:color="auto" w:sz="6" w:space="0"/>
            </w:tcBorders>
            <w:vAlign w:val="center"/>
          </w:tcPr>
          <w:p w14:paraId="0B289201">
            <w:pPr>
              <w:ind w:firstLine="0" w:firstLineChars="0"/>
              <w:jc w:val="center"/>
              <w:rPr>
                <w:color w:val="auto"/>
                <w:sz w:val="21"/>
                <w:szCs w:val="24"/>
                <w:highlight w:val="none"/>
              </w:rPr>
            </w:pPr>
            <w:r>
              <w:rPr>
                <w:rFonts w:hint="eastAsia"/>
                <w:color w:val="auto"/>
                <w:highlight w:val="none"/>
              </w:rPr>
              <w:t>制造年份</w:t>
            </w:r>
          </w:p>
        </w:tc>
        <w:tc>
          <w:tcPr>
            <w:tcW w:w="1480" w:type="dxa"/>
            <w:tcBorders>
              <w:top w:val="single" w:color="auto" w:sz="12" w:space="0"/>
              <w:left w:val="single" w:color="auto" w:sz="6" w:space="0"/>
              <w:bottom w:val="double" w:color="auto" w:sz="6" w:space="0"/>
              <w:right w:val="single" w:color="auto" w:sz="6" w:space="0"/>
            </w:tcBorders>
            <w:vAlign w:val="center"/>
          </w:tcPr>
          <w:p w14:paraId="2E75EDA8">
            <w:pPr>
              <w:ind w:firstLine="0" w:firstLineChars="0"/>
              <w:jc w:val="center"/>
              <w:rPr>
                <w:color w:val="auto"/>
                <w:sz w:val="21"/>
                <w:szCs w:val="24"/>
                <w:highlight w:val="none"/>
              </w:rPr>
            </w:pPr>
            <w:r>
              <w:rPr>
                <w:rFonts w:hint="eastAsia"/>
                <w:color w:val="auto"/>
                <w:highlight w:val="none"/>
              </w:rPr>
              <w:t>额定功率</w:t>
            </w:r>
            <w:r>
              <w:rPr>
                <w:rFonts w:hint="eastAsia"/>
                <w:color w:val="auto"/>
                <w:highlight w:val="none"/>
                <w:lang w:eastAsia="zh-CN"/>
              </w:rPr>
              <w:t>（</w:t>
            </w:r>
            <w:r>
              <w:rPr>
                <w:color w:val="auto"/>
                <w:highlight w:val="none"/>
              </w:rPr>
              <w:t>kW</w:t>
            </w:r>
            <w:r>
              <w:rPr>
                <w:rFonts w:hint="eastAsia"/>
                <w:color w:val="auto"/>
                <w:highlight w:val="none"/>
                <w:lang w:eastAsia="zh-CN"/>
              </w:rPr>
              <w:t>）</w:t>
            </w:r>
          </w:p>
        </w:tc>
        <w:tc>
          <w:tcPr>
            <w:tcW w:w="1020" w:type="dxa"/>
            <w:tcBorders>
              <w:top w:val="single" w:color="auto" w:sz="12" w:space="0"/>
              <w:left w:val="single" w:color="auto" w:sz="6" w:space="0"/>
              <w:bottom w:val="double" w:color="auto" w:sz="6" w:space="0"/>
              <w:right w:val="single" w:color="auto" w:sz="6" w:space="0"/>
            </w:tcBorders>
            <w:vAlign w:val="center"/>
          </w:tcPr>
          <w:p w14:paraId="7D2B0FD5">
            <w:pPr>
              <w:ind w:firstLine="0" w:firstLineChars="0"/>
              <w:jc w:val="center"/>
              <w:rPr>
                <w:color w:val="auto"/>
                <w:sz w:val="21"/>
                <w:szCs w:val="24"/>
                <w:highlight w:val="none"/>
              </w:rPr>
            </w:pPr>
            <w:r>
              <w:rPr>
                <w:rFonts w:hint="eastAsia"/>
                <w:color w:val="auto"/>
                <w:highlight w:val="none"/>
              </w:rPr>
              <w:t>生产能力</w:t>
            </w:r>
          </w:p>
        </w:tc>
        <w:tc>
          <w:tcPr>
            <w:tcW w:w="921" w:type="dxa"/>
            <w:tcBorders>
              <w:top w:val="single" w:color="auto" w:sz="12" w:space="0"/>
              <w:left w:val="single" w:color="auto" w:sz="6" w:space="0"/>
              <w:bottom w:val="double" w:color="auto" w:sz="6" w:space="0"/>
              <w:right w:val="single" w:color="auto" w:sz="12" w:space="0"/>
            </w:tcBorders>
            <w:vAlign w:val="center"/>
          </w:tcPr>
          <w:p w14:paraId="780B5B5B">
            <w:pPr>
              <w:ind w:firstLine="0" w:firstLineChars="0"/>
              <w:jc w:val="center"/>
              <w:rPr>
                <w:color w:val="auto"/>
                <w:sz w:val="21"/>
                <w:szCs w:val="24"/>
                <w:highlight w:val="none"/>
              </w:rPr>
            </w:pPr>
            <w:r>
              <w:rPr>
                <w:rFonts w:hint="eastAsia"/>
                <w:color w:val="auto"/>
                <w:highlight w:val="none"/>
              </w:rPr>
              <w:t>备注</w:t>
            </w:r>
          </w:p>
        </w:tc>
      </w:tr>
      <w:tr w14:paraId="38ADB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left w:val="single" w:color="auto" w:sz="12" w:space="0"/>
              <w:bottom w:val="single" w:color="auto" w:sz="6" w:space="0"/>
              <w:right w:val="single" w:color="auto" w:sz="6" w:space="0"/>
            </w:tcBorders>
            <w:vAlign w:val="center"/>
          </w:tcPr>
          <w:p w14:paraId="6FED07A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vAlign w:val="center"/>
          </w:tcPr>
          <w:p w14:paraId="734AE3A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double" w:color="auto" w:sz="6" w:space="0"/>
              <w:left w:val="single" w:color="auto" w:sz="6" w:space="0"/>
              <w:bottom w:val="single" w:color="auto" w:sz="6" w:space="0"/>
              <w:right w:val="single" w:color="auto" w:sz="6" w:space="0"/>
            </w:tcBorders>
            <w:vAlign w:val="center"/>
          </w:tcPr>
          <w:p w14:paraId="1B0CB68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double" w:color="auto" w:sz="6" w:space="0"/>
              <w:left w:val="single" w:color="auto" w:sz="6" w:space="0"/>
              <w:bottom w:val="single" w:color="auto" w:sz="6" w:space="0"/>
              <w:right w:val="single" w:color="auto" w:sz="6" w:space="0"/>
            </w:tcBorders>
            <w:vAlign w:val="center"/>
          </w:tcPr>
          <w:p w14:paraId="51C2C3F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double" w:color="auto" w:sz="6" w:space="0"/>
              <w:left w:val="single" w:color="auto" w:sz="6" w:space="0"/>
              <w:bottom w:val="single" w:color="auto" w:sz="6" w:space="0"/>
              <w:right w:val="single" w:color="auto" w:sz="6" w:space="0"/>
            </w:tcBorders>
            <w:vAlign w:val="center"/>
          </w:tcPr>
          <w:p w14:paraId="37E5992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double" w:color="auto" w:sz="6" w:space="0"/>
              <w:left w:val="single" w:color="auto" w:sz="6" w:space="0"/>
              <w:bottom w:val="single" w:color="auto" w:sz="6" w:space="0"/>
              <w:right w:val="single" w:color="auto" w:sz="6" w:space="0"/>
            </w:tcBorders>
            <w:vAlign w:val="center"/>
          </w:tcPr>
          <w:p w14:paraId="7E322C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double" w:color="auto" w:sz="6" w:space="0"/>
              <w:left w:val="single" w:color="auto" w:sz="6" w:space="0"/>
              <w:bottom w:val="single" w:color="auto" w:sz="6" w:space="0"/>
              <w:right w:val="single" w:color="auto" w:sz="6" w:space="0"/>
            </w:tcBorders>
            <w:vAlign w:val="center"/>
          </w:tcPr>
          <w:p w14:paraId="65D41DE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double" w:color="auto" w:sz="6" w:space="0"/>
              <w:left w:val="single" w:color="auto" w:sz="6" w:space="0"/>
              <w:bottom w:val="single" w:color="auto" w:sz="6" w:space="0"/>
              <w:right w:val="single" w:color="auto" w:sz="6" w:space="0"/>
            </w:tcBorders>
            <w:vAlign w:val="center"/>
          </w:tcPr>
          <w:p w14:paraId="158CAD1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double" w:color="auto" w:sz="6" w:space="0"/>
              <w:left w:val="single" w:color="auto" w:sz="6" w:space="0"/>
              <w:bottom w:val="single" w:color="auto" w:sz="6" w:space="0"/>
              <w:right w:val="single" w:color="auto" w:sz="12" w:space="0"/>
            </w:tcBorders>
            <w:vAlign w:val="center"/>
          </w:tcPr>
          <w:p w14:paraId="50D93AB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A866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left w:val="single" w:color="auto" w:sz="12" w:space="0"/>
              <w:bottom w:val="single" w:color="auto" w:sz="6" w:space="0"/>
              <w:right w:val="single" w:color="auto" w:sz="6" w:space="0"/>
            </w:tcBorders>
            <w:vAlign w:val="center"/>
          </w:tcPr>
          <w:p w14:paraId="7C0761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vAlign w:val="center"/>
          </w:tcPr>
          <w:p w14:paraId="423DEF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nil"/>
              <w:left w:val="single" w:color="auto" w:sz="6" w:space="0"/>
              <w:bottom w:val="single" w:color="auto" w:sz="6" w:space="0"/>
              <w:right w:val="single" w:color="auto" w:sz="6" w:space="0"/>
            </w:tcBorders>
            <w:vAlign w:val="center"/>
          </w:tcPr>
          <w:p w14:paraId="5D243D7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nil"/>
              <w:left w:val="single" w:color="auto" w:sz="6" w:space="0"/>
              <w:bottom w:val="single" w:color="auto" w:sz="6" w:space="0"/>
              <w:right w:val="single" w:color="auto" w:sz="6" w:space="0"/>
            </w:tcBorders>
            <w:vAlign w:val="center"/>
          </w:tcPr>
          <w:p w14:paraId="5257FE5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nil"/>
              <w:left w:val="single" w:color="auto" w:sz="6" w:space="0"/>
              <w:bottom w:val="single" w:color="auto" w:sz="6" w:space="0"/>
              <w:right w:val="single" w:color="auto" w:sz="6" w:space="0"/>
            </w:tcBorders>
            <w:vAlign w:val="center"/>
          </w:tcPr>
          <w:p w14:paraId="14C4205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nil"/>
              <w:left w:val="single" w:color="auto" w:sz="6" w:space="0"/>
              <w:bottom w:val="single" w:color="auto" w:sz="6" w:space="0"/>
              <w:right w:val="single" w:color="auto" w:sz="6" w:space="0"/>
            </w:tcBorders>
            <w:vAlign w:val="center"/>
          </w:tcPr>
          <w:p w14:paraId="4319D5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nil"/>
              <w:left w:val="single" w:color="auto" w:sz="6" w:space="0"/>
              <w:bottom w:val="single" w:color="auto" w:sz="6" w:space="0"/>
              <w:right w:val="single" w:color="auto" w:sz="6" w:space="0"/>
            </w:tcBorders>
            <w:vAlign w:val="center"/>
          </w:tcPr>
          <w:p w14:paraId="5125D03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nil"/>
              <w:left w:val="single" w:color="auto" w:sz="6" w:space="0"/>
              <w:bottom w:val="single" w:color="auto" w:sz="6" w:space="0"/>
              <w:right w:val="single" w:color="auto" w:sz="6" w:space="0"/>
            </w:tcBorders>
            <w:vAlign w:val="center"/>
          </w:tcPr>
          <w:p w14:paraId="32B1AD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nil"/>
              <w:left w:val="single" w:color="auto" w:sz="6" w:space="0"/>
              <w:bottom w:val="single" w:color="auto" w:sz="6" w:space="0"/>
              <w:right w:val="single" w:color="auto" w:sz="12" w:space="0"/>
            </w:tcBorders>
            <w:vAlign w:val="center"/>
          </w:tcPr>
          <w:p w14:paraId="65578B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9D69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403311E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0242E7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5BC424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6" w:space="0"/>
              <w:right w:val="single" w:color="auto" w:sz="6" w:space="0"/>
            </w:tcBorders>
            <w:vAlign w:val="center"/>
          </w:tcPr>
          <w:p w14:paraId="0EB5575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6" w:space="0"/>
              <w:right w:val="single" w:color="auto" w:sz="6" w:space="0"/>
            </w:tcBorders>
            <w:vAlign w:val="center"/>
          </w:tcPr>
          <w:p w14:paraId="5DE47FD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220A4A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6" w:space="0"/>
              <w:right w:val="single" w:color="auto" w:sz="6" w:space="0"/>
            </w:tcBorders>
            <w:vAlign w:val="center"/>
          </w:tcPr>
          <w:p w14:paraId="7FDDDA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7D0CB7A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6" w:space="0"/>
              <w:right w:val="single" w:color="auto" w:sz="12" w:space="0"/>
            </w:tcBorders>
            <w:vAlign w:val="center"/>
          </w:tcPr>
          <w:p w14:paraId="6BEF63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8EE6B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17ED8E2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0F732A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502919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6" w:space="0"/>
              <w:right w:val="single" w:color="auto" w:sz="6" w:space="0"/>
            </w:tcBorders>
            <w:vAlign w:val="center"/>
          </w:tcPr>
          <w:p w14:paraId="53CD59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6" w:space="0"/>
              <w:right w:val="single" w:color="auto" w:sz="6" w:space="0"/>
            </w:tcBorders>
            <w:vAlign w:val="center"/>
          </w:tcPr>
          <w:p w14:paraId="07FCD3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093CE8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6" w:space="0"/>
              <w:right w:val="single" w:color="auto" w:sz="6" w:space="0"/>
            </w:tcBorders>
            <w:vAlign w:val="center"/>
          </w:tcPr>
          <w:p w14:paraId="00BD550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7A72B3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6" w:space="0"/>
              <w:right w:val="single" w:color="auto" w:sz="12" w:space="0"/>
            </w:tcBorders>
            <w:vAlign w:val="center"/>
          </w:tcPr>
          <w:p w14:paraId="1D4E89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6DCC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14:paraId="1DA120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4976CF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6" w:space="0"/>
              <w:right w:val="single" w:color="auto" w:sz="6" w:space="0"/>
            </w:tcBorders>
            <w:vAlign w:val="center"/>
          </w:tcPr>
          <w:p w14:paraId="6DFA76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6" w:space="0"/>
              <w:right w:val="single" w:color="auto" w:sz="6" w:space="0"/>
            </w:tcBorders>
            <w:vAlign w:val="center"/>
          </w:tcPr>
          <w:p w14:paraId="3C920D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6" w:space="0"/>
              <w:right w:val="single" w:color="auto" w:sz="6" w:space="0"/>
            </w:tcBorders>
            <w:vAlign w:val="center"/>
          </w:tcPr>
          <w:p w14:paraId="4A1DC9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73C970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6" w:space="0"/>
              <w:right w:val="single" w:color="auto" w:sz="6" w:space="0"/>
            </w:tcBorders>
            <w:vAlign w:val="center"/>
          </w:tcPr>
          <w:p w14:paraId="11E50F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6" w:space="0"/>
              <w:right w:val="single" w:color="auto" w:sz="6" w:space="0"/>
            </w:tcBorders>
            <w:vAlign w:val="center"/>
          </w:tcPr>
          <w:p w14:paraId="1B96A5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6" w:space="0"/>
              <w:right w:val="single" w:color="auto" w:sz="12" w:space="0"/>
            </w:tcBorders>
            <w:vAlign w:val="center"/>
          </w:tcPr>
          <w:p w14:paraId="7D5166A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8F72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12" w:space="0"/>
              <w:right w:val="single" w:color="auto" w:sz="6" w:space="0"/>
            </w:tcBorders>
            <w:vAlign w:val="center"/>
          </w:tcPr>
          <w:p w14:paraId="4F068A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12" w:space="0"/>
              <w:right w:val="single" w:color="auto" w:sz="6" w:space="0"/>
            </w:tcBorders>
            <w:vAlign w:val="center"/>
          </w:tcPr>
          <w:p w14:paraId="490158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0" w:type="dxa"/>
            <w:tcBorders>
              <w:top w:val="single" w:color="auto" w:sz="6" w:space="0"/>
              <w:left w:val="single" w:color="auto" w:sz="6" w:space="0"/>
              <w:bottom w:val="single" w:color="auto" w:sz="12" w:space="0"/>
              <w:right w:val="single" w:color="auto" w:sz="6" w:space="0"/>
            </w:tcBorders>
            <w:vAlign w:val="center"/>
          </w:tcPr>
          <w:p w14:paraId="53B28C1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58" w:type="dxa"/>
            <w:tcBorders>
              <w:top w:val="single" w:color="auto" w:sz="6" w:space="0"/>
              <w:left w:val="single" w:color="auto" w:sz="6" w:space="0"/>
              <w:bottom w:val="single" w:color="auto" w:sz="12" w:space="0"/>
              <w:right w:val="single" w:color="auto" w:sz="6" w:space="0"/>
            </w:tcBorders>
            <w:vAlign w:val="center"/>
          </w:tcPr>
          <w:p w14:paraId="03B4C8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80" w:type="dxa"/>
            <w:tcBorders>
              <w:top w:val="single" w:color="auto" w:sz="6" w:space="0"/>
              <w:left w:val="single" w:color="auto" w:sz="6" w:space="0"/>
              <w:bottom w:val="single" w:color="auto" w:sz="12" w:space="0"/>
              <w:right w:val="single" w:color="auto" w:sz="6" w:space="0"/>
            </w:tcBorders>
            <w:vAlign w:val="center"/>
          </w:tcPr>
          <w:p w14:paraId="49889C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12" w:space="0"/>
              <w:right w:val="single" w:color="auto" w:sz="6" w:space="0"/>
            </w:tcBorders>
            <w:vAlign w:val="center"/>
          </w:tcPr>
          <w:p w14:paraId="18E777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80" w:type="dxa"/>
            <w:tcBorders>
              <w:top w:val="single" w:color="auto" w:sz="6" w:space="0"/>
              <w:left w:val="single" w:color="auto" w:sz="6" w:space="0"/>
              <w:bottom w:val="single" w:color="auto" w:sz="12" w:space="0"/>
              <w:right w:val="single" w:color="auto" w:sz="6" w:space="0"/>
            </w:tcBorders>
            <w:vAlign w:val="center"/>
          </w:tcPr>
          <w:p w14:paraId="02D9427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020" w:type="dxa"/>
            <w:tcBorders>
              <w:top w:val="single" w:color="auto" w:sz="6" w:space="0"/>
              <w:left w:val="single" w:color="auto" w:sz="6" w:space="0"/>
              <w:bottom w:val="single" w:color="auto" w:sz="12" w:space="0"/>
              <w:right w:val="single" w:color="auto" w:sz="6" w:space="0"/>
            </w:tcBorders>
            <w:vAlign w:val="center"/>
          </w:tcPr>
          <w:p w14:paraId="63D748C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921" w:type="dxa"/>
            <w:tcBorders>
              <w:top w:val="single" w:color="auto" w:sz="6" w:space="0"/>
              <w:left w:val="single" w:color="auto" w:sz="6" w:space="0"/>
              <w:bottom w:val="single" w:color="auto" w:sz="12" w:space="0"/>
              <w:right w:val="single" w:color="auto" w:sz="12" w:space="0"/>
            </w:tcBorders>
            <w:vAlign w:val="center"/>
          </w:tcPr>
          <w:p w14:paraId="55102F6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6CB37CB1">
      <w:pPr>
        <w:spacing w:line="440" w:lineRule="exact"/>
        <w:ind w:firstLine="420"/>
        <w:rPr>
          <w:rFonts w:ascii="宋体" w:hAnsi="宋体" w:cs="宋体"/>
          <w:color w:val="auto"/>
          <w:sz w:val="21"/>
          <w:szCs w:val="21"/>
          <w:highlight w:val="none"/>
        </w:rPr>
      </w:pPr>
    </w:p>
    <w:p w14:paraId="3CC383AB">
      <w:pPr>
        <w:widowControl/>
        <w:spacing w:line="240" w:lineRule="auto"/>
        <w:ind w:firstLine="0" w:firstLineChars="0"/>
        <w:jc w:val="left"/>
        <w:rPr>
          <w:color w:val="auto"/>
          <w:sz w:val="21"/>
          <w:szCs w:val="24"/>
          <w:highlight w:val="none"/>
        </w:rPr>
      </w:pPr>
      <w:r>
        <w:rPr>
          <w:color w:val="auto"/>
          <w:sz w:val="21"/>
          <w:szCs w:val="24"/>
          <w:highlight w:val="none"/>
        </w:rPr>
        <w:br w:type="page"/>
      </w:r>
    </w:p>
    <w:p w14:paraId="7757CAAD">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附</w:t>
      </w:r>
      <w:bookmarkStart w:id="1470" w:name="_Toc296347227"/>
      <w:bookmarkStart w:id="1471" w:name="_Toc267261699"/>
      <w:bookmarkStart w:id="1472" w:name="_Toc296503228"/>
      <w:bookmarkStart w:id="1473" w:name="_Toc296944567"/>
      <w:bookmarkStart w:id="1474" w:name="_Toc296346729"/>
      <w:bookmarkStart w:id="1475" w:name="_Toc296891056"/>
      <w:bookmarkStart w:id="1476" w:name="_Toc296891268"/>
      <w:r>
        <w:rPr>
          <w:rFonts w:hint="eastAsia" w:ascii="宋体" w:hAnsi="宋体" w:cs="宋体"/>
          <w:color w:val="auto"/>
          <w:szCs w:val="21"/>
          <w:highlight w:val="none"/>
        </w:rPr>
        <w:t>件6：</w:t>
      </w:r>
    </w:p>
    <w:bookmarkEnd w:id="1470"/>
    <w:bookmarkEnd w:id="1471"/>
    <w:bookmarkEnd w:id="1472"/>
    <w:bookmarkEnd w:id="1473"/>
    <w:bookmarkEnd w:id="1474"/>
    <w:bookmarkEnd w:id="1475"/>
    <w:bookmarkEnd w:id="1476"/>
    <w:p w14:paraId="7E0741DC">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承包人主要施工管理人员表</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C9A5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14:paraId="77768E3A">
            <w:pPr>
              <w:ind w:firstLine="480"/>
              <w:jc w:val="center"/>
              <w:rPr>
                <w:color w:val="auto"/>
                <w:sz w:val="21"/>
                <w:szCs w:val="24"/>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418" w:type="dxa"/>
            <w:tcBorders>
              <w:top w:val="single" w:color="auto" w:sz="12" w:space="0"/>
              <w:left w:val="single" w:color="auto" w:sz="6" w:space="0"/>
              <w:bottom w:val="double" w:color="auto" w:sz="6" w:space="0"/>
              <w:right w:val="single" w:color="auto" w:sz="6" w:space="0"/>
            </w:tcBorders>
            <w:vAlign w:val="center"/>
          </w:tcPr>
          <w:p w14:paraId="1A3B4A46">
            <w:pPr>
              <w:ind w:firstLine="480"/>
              <w:jc w:val="center"/>
              <w:rPr>
                <w:color w:val="auto"/>
                <w:sz w:val="21"/>
                <w:szCs w:val="24"/>
                <w:highlight w:val="none"/>
              </w:rPr>
            </w:pPr>
            <w:r>
              <w:rPr>
                <w:rFonts w:hint="eastAsia"/>
                <w:color w:val="auto"/>
                <w:highlight w:val="none"/>
              </w:rPr>
              <w:t>姓名</w:t>
            </w:r>
          </w:p>
        </w:tc>
        <w:tc>
          <w:tcPr>
            <w:tcW w:w="1134" w:type="dxa"/>
            <w:tcBorders>
              <w:top w:val="single" w:color="auto" w:sz="12" w:space="0"/>
              <w:left w:val="single" w:color="auto" w:sz="6" w:space="0"/>
              <w:bottom w:val="double" w:color="auto" w:sz="6" w:space="0"/>
              <w:right w:val="single" w:color="auto" w:sz="6" w:space="0"/>
            </w:tcBorders>
            <w:vAlign w:val="center"/>
          </w:tcPr>
          <w:p w14:paraId="6F9D1500">
            <w:pPr>
              <w:ind w:firstLine="480"/>
              <w:jc w:val="center"/>
              <w:rPr>
                <w:color w:val="auto"/>
                <w:sz w:val="21"/>
                <w:szCs w:val="24"/>
                <w:highlight w:val="none"/>
              </w:rPr>
            </w:pPr>
            <w:r>
              <w:rPr>
                <w:rFonts w:hint="eastAsia"/>
                <w:color w:val="auto"/>
                <w:highlight w:val="none"/>
              </w:rPr>
              <w:t>职务</w:t>
            </w:r>
          </w:p>
        </w:tc>
        <w:tc>
          <w:tcPr>
            <w:tcW w:w="1134" w:type="dxa"/>
            <w:tcBorders>
              <w:top w:val="single" w:color="auto" w:sz="12" w:space="0"/>
              <w:left w:val="single" w:color="auto" w:sz="6" w:space="0"/>
              <w:bottom w:val="double" w:color="auto" w:sz="6" w:space="0"/>
              <w:right w:val="single" w:color="auto" w:sz="6" w:space="0"/>
            </w:tcBorders>
            <w:vAlign w:val="center"/>
          </w:tcPr>
          <w:p w14:paraId="783B9C54">
            <w:pPr>
              <w:ind w:firstLine="480"/>
              <w:jc w:val="center"/>
              <w:rPr>
                <w:color w:val="auto"/>
                <w:sz w:val="21"/>
                <w:szCs w:val="24"/>
                <w:highlight w:val="none"/>
              </w:rPr>
            </w:pPr>
            <w:r>
              <w:rPr>
                <w:rFonts w:hint="eastAsia"/>
                <w:color w:val="auto"/>
                <w:highlight w:val="none"/>
              </w:rPr>
              <w:t>职称</w:t>
            </w:r>
          </w:p>
        </w:tc>
        <w:tc>
          <w:tcPr>
            <w:tcW w:w="4252" w:type="dxa"/>
            <w:tcBorders>
              <w:top w:val="single" w:color="auto" w:sz="12" w:space="0"/>
              <w:left w:val="single" w:color="auto" w:sz="6" w:space="0"/>
              <w:bottom w:val="double" w:color="auto" w:sz="6" w:space="0"/>
              <w:right w:val="single" w:color="auto" w:sz="12" w:space="0"/>
            </w:tcBorders>
            <w:vAlign w:val="center"/>
          </w:tcPr>
          <w:p w14:paraId="21E9421F">
            <w:pPr>
              <w:ind w:firstLine="480"/>
              <w:jc w:val="center"/>
              <w:rPr>
                <w:color w:val="auto"/>
                <w:sz w:val="21"/>
                <w:szCs w:val="24"/>
                <w:highlight w:val="none"/>
              </w:rPr>
            </w:pPr>
            <w:r>
              <w:rPr>
                <w:rFonts w:hint="eastAsia"/>
                <w:color w:val="auto"/>
                <w:highlight w:val="none"/>
              </w:rPr>
              <w:t>主要资历、经验及承担过的项目</w:t>
            </w:r>
          </w:p>
        </w:tc>
      </w:tr>
      <w:tr w14:paraId="2D6731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14:paraId="1953581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一、总部人员</w:t>
            </w:r>
          </w:p>
        </w:tc>
      </w:tr>
      <w:tr w14:paraId="1953F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6AE164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项目主管</w:t>
            </w:r>
          </w:p>
        </w:tc>
        <w:tc>
          <w:tcPr>
            <w:tcW w:w="1418" w:type="dxa"/>
            <w:tcBorders>
              <w:top w:val="nil"/>
              <w:left w:val="single" w:color="auto" w:sz="6" w:space="0"/>
              <w:bottom w:val="single" w:color="auto" w:sz="6" w:space="0"/>
              <w:right w:val="single" w:color="auto" w:sz="6" w:space="0"/>
            </w:tcBorders>
            <w:vAlign w:val="center"/>
          </w:tcPr>
          <w:p w14:paraId="63CC99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3B284D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1443A7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nil"/>
              <w:left w:val="single" w:color="auto" w:sz="6" w:space="0"/>
              <w:bottom w:val="single" w:color="auto" w:sz="6" w:space="0"/>
              <w:right w:val="single" w:color="auto" w:sz="12" w:space="0"/>
            </w:tcBorders>
            <w:vAlign w:val="center"/>
          </w:tcPr>
          <w:p w14:paraId="026FE29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5AFF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nil"/>
              <w:right w:val="single" w:color="auto" w:sz="6" w:space="0"/>
            </w:tcBorders>
            <w:vAlign w:val="center"/>
          </w:tcPr>
          <w:p w14:paraId="45C62C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5E96C8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98FDAB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EC577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8796F4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20AA9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2A962D2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5E4DF0E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F1FA44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BEF551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7A0773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B562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6E049F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4258B5E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0479A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5F214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22F7110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A21B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14:paraId="34555EC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二、现场人员</w:t>
            </w:r>
          </w:p>
        </w:tc>
      </w:tr>
      <w:tr w14:paraId="128EFD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0B11DB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项目经理</w:t>
            </w:r>
          </w:p>
        </w:tc>
        <w:tc>
          <w:tcPr>
            <w:tcW w:w="1418" w:type="dxa"/>
            <w:tcBorders>
              <w:top w:val="single" w:color="auto" w:sz="6" w:space="0"/>
              <w:left w:val="single" w:color="auto" w:sz="6" w:space="0"/>
              <w:bottom w:val="single" w:color="auto" w:sz="6" w:space="0"/>
              <w:right w:val="single" w:color="auto" w:sz="6" w:space="0"/>
            </w:tcBorders>
            <w:vAlign w:val="center"/>
          </w:tcPr>
          <w:p w14:paraId="472C3D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73667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D396CC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2F0FF74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DF21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12B2DBE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项目副经理</w:t>
            </w:r>
          </w:p>
        </w:tc>
        <w:tc>
          <w:tcPr>
            <w:tcW w:w="1418" w:type="dxa"/>
            <w:tcBorders>
              <w:top w:val="single" w:color="auto" w:sz="6" w:space="0"/>
              <w:left w:val="single" w:color="auto" w:sz="6" w:space="0"/>
              <w:bottom w:val="single" w:color="auto" w:sz="6" w:space="0"/>
              <w:right w:val="single" w:color="auto" w:sz="6" w:space="0"/>
            </w:tcBorders>
            <w:vAlign w:val="center"/>
          </w:tcPr>
          <w:p w14:paraId="72AA22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3EA1C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761AB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08EB824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5F3E3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BF6A8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技术负责人</w:t>
            </w:r>
          </w:p>
        </w:tc>
        <w:tc>
          <w:tcPr>
            <w:tcW w:w="1418" w:type="dxa"/>
            <w:tcBorders>
              <w:top w:val="single" w:color="auto" w:sz="6" w:space="0"/>
              <w:left w:val="single" w:color="auto" w:sz="6" w:space="0"/>
              <w:bottom w:val="single" w:color="auto" w:sz="6" w:space="0"/>
              <w:right w:val="single" w:color="auto" w:sz="6" w:space="0"/>
            </w:tcBorders>
            <w:vAlign w:val="center"/>
          </w:tcPr>
          <w:p w14:paraId="20AD28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DF88DD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36595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B2F704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F4B9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386238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造价管理</w:t>
            </w:r>
          </w:p>
        </w:tc>
        <w:tc>
          <w:tcPr>
            <w:tcW w:w="1418" w:type="dxa"/>
            <w:tcBorders>
              <w:top w:val="single" w:color="auto" w:sz="6" w:space="0"/>
              <w:left w:val="single" w:color="auto" w:sz="6" w:space="0"/>
              <w:bottom w:val="single" w:color="auto" w:sz="6" w:space="0"/>
              <w:right w:val="single" w:color="auto" w:sz="6" w:space="0"/>
            </w:tcBorders>
            <w:vAlign w:val="center"/>
          </w:tcPr>
          <w:p w14:paraId="2B0CA2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EB11B4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B7004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6365B1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4D45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216547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质量管理</w:t>
            </w:r>
          </w:p>
        </w:tc>
        <w:tc>
          <w:tcPr>
            <w:tcW w:w="1418" w:type="dxa"/>
            <w:tcBorders>
              <w:top w:val="single" w:color="auto" w:sz="6" w:space="0"/>
              <w:left w:val="single" w:color="auto" w:sz="6" w:space="0"/>
              <w:bottom w:val="single" w:color="auto" w:sz="6" w:space="0"/>
              <w:right w:val="single" w:color="auto" w:sz="6" w:space="0"/>
            </w:tcBorders>
            <w:vAlign w:val="center"/>
          </w:tcPr>
          <w:p w14:paraId="456D0D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3A1ED2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6148F2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0DC54AD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B7F2B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403BF5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材料管理</w:t>
            </w:r>
          </w:p>
        </w:tc>
        <w:tc>
          <w:tcPr>
            <w:tcW w:w="1418" w:type="dxa"/>
            <w:tcBorders>
              <w:top w:val="single" w:color="auto" w:sz="6" w:space="0"/>
              <w:left w:val="single" w:color="auto" w:sz="6" w:space="0"/>
              <w:bottom w:val="single" w:color="auto" w:sz="6" w:space="0"/>
              <w:right w:val="single" w:color="auto" w:sz="6" w:space="0"/>
            </w:tcBorders>
            <w:vAlign w:val="center"/>
          </w:tcPr>
          <w:p w14:paraId="5745555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9E896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AF28F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683DB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CA94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38B0B94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计划管理</w:t>
            </w:r>
          </w:p>
        </w:tc>
        <w:tc>
          <w:tcPr>
            <w:tcW w:w="1418" w:type="dxa"/>
            <w:tcBorders>
              <w:top w:val="single" w:color="auto" w:sz="6" w:space="0"/>
              <w:left w:val="single" w:color="auto" w:sz="6" w:space="0"/>
              <w:bottom w:val="single" w:color="auto" w:sz="6" w:space="0"/>
              <w:right w:val="single" w:color="auto" w:sz="6" w:space="0"/>
            </w:tcBorders>
            <w:vAlign w:val="center"/>
          </w:tcPr>
          <w:p w14:paraId="6EC0AEB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0FC49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992E5E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338ABE0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D68A7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3525C0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安全管理</w:t>
            </w:r>
          </w:p>
        </w:tc>
        <w:tc>
          <w:tcPr>
            <w:tcW w:w="1418" w:type="dxa"/>
            <w:tcBorders>
              <w:top w:val="single" w:color="auto" w:sz="6" w:space="0"/>
              <w:left w:val="single" w:color="auto" w:sz="6" w:space="0"/>
              <w:bottom w:val="single" w:color="auto" w:sz="6" w:space="0"/>
              <w:right w:val="single" w:color="auto" w:sz="6" w:space="0"/>
            </w:tcBorders>
            <w:vAlign w:val="center"/>
          </w:tcPr>
          <w:p w14:paraId="0449110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21FEF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E3D4B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30969F4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9817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left w:val="single" w:color="auto" w:sz="12" w:space="0"/>
              <w:bottom w:val="single" w:color="auto" w:sz="12" w:space="0"/>
              <w:right w:val="single" w:color="auto" w:sz="6" w:space="0"/>
            </w:tcBorders>
            <w:vAlign w:val="center"/>
          </w:tcPr>
          <w:p w14:paraId="52FC40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32387F0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C6D415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66FDF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4CE0DC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9B27C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27AA2A7D">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nil"/>
              <w:right w:val="single" w:color="auto" w:sz="6" w:space="0"/>
            </w:tcBorders>
            <w:vAlign w:val="center"/>
          </w:tcPr>
          <w:p w14:paraId="462CCC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3FAF766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495EA7C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nil"/>
              <w:right w:val="single" w:color="auto" w:sz="12" w:space="0"/>
            </w:tcBorders>
            <w:vAlign w:val="center"/>
          </w:tcPr>
          <w:p w14:paraId="4F56A2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DAA9C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5F52DBA2">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08C0B76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448FDA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F37C6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9CA36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DDCB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75378361">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6DB810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9519C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AFE70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6E20DD7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2A10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185241F0">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26B85EE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A1D2E5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C878D7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74A90C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1E9A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15F82A63">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12" w:space="0"/>
              <w:right w:val="single" w:color="auto" w:sz="6" w:space="0"/>
            </w:tcBorders>
            <w:vAlign w:val="center"/>
          </w:tcPr>
          <w:p w14:paraId="6C7ED7B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5926EA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44FF8B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12" w:space="0"/>
              <w:right w:val="single" w:color="auto" w:sz="12" w:space="0"/>
            </w:tcBorders>
            <w:vAlign w:val="center"/>
          </w:tcPr>
          <w:p w14:paraId="1AA39DC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4C0EC5AE">
      <w:pPr>
        <w:spacing w:line="440" w:lineRule="exact"/>
        <w:ind w:firstLine="480"/>
        <w:rPr>
          <w:rFonts w:ascii="宋体" w:hAnsi="宋体" w:cs="宋体"/>
          <w:color w:val="auto"/>
          <w:sz w:val="21"/>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w:t>
      </w:r>
      <w:bookmarkStart w:id="1477" w:name="_Toc296891269"/>
      <w:bookmarkStart w:id="1478" w:name="_Toc296347228"/>
      <w:bookmarkStart w:id="1479" w:name="_Toc296503229"/>
      <w:bookmarkStart w:id="1480" w:name="_Toc296944568"/>
      <w:bookmarkStart w:id="1481" w:name="_Toc296891057"/>
      <w:bookmarkStart w:id="1482" w:name="_Toc296346730"/>
      <w:r>
        <w:rPr>
          <w:rFonts w:hint="eastAsia" w:ascii="宋体" w:hAnsi="宋体" w:cs="宋体"/>
          <w:color w:val="auto"/>
          <w:szCs w:val="21"/>
          <w:highlight w:val="none"/>
        </w:rPr>
        <w:t>件7：</w:t>
      </w:r>
    </w:p>
    <w:bookmarkEnd w:id="1477"/>
    <w:bookmarkEnd w:id="1478"/>
    <w:bookmarkEnd w:id="1479"/>
    <w:bookmarkEnd w:id="1480"/>
    <w:bookmarkEnd w:id="1481"/>
    <w:bookmarkEnd w:id="1482"/>
    <w:p w14:paraId="6DC27E59">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分包人主要施工管理人员表</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3C947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14:paraId="597609E0">
            <w:pPr>
              <w:ind w:firstLine="480"/>
              <w:jc w:val="center"/>
              <w:rPr>
                <w:color w:val="auto"/>
                <w:sz w:val="21"/>
                <w:szCs w:val="24"/>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1418" w:type="dxa"/>
            <w:tcBorders>
              <w:top w:val="single" w:color="auto" w:sz="12" w:space="0"/>
              <w:left w:val="single" w:color="auto" w:sz="6" w:space="0"/>
              <w:bottom w:val="double" w:color="auto" w:sz="6" w:space="0"/>
              <w:right w:val="single" w:color="auto" w:sz="6" w:space="0"/>
            </w:tcBorders>
            <w:vAlign w:val="center"/>
          </w:tcPr>
          <w:p w14:paraId="2065C5CC">
            <w:pPr>
              <w:ind w:firstLine="480"/>
              <w:jc w:val="center"/>
              <w:rPr>
                <w:color w:val="auto"/>
                <w:sz w:val="21"/>
                <w:szCs w:val="24"/>
                <w:highlight w:val="none"/>
              </w:rPr>
            </w:pPr>
            <w:r>
              <w:rPr>
                <w:rFonts w:hint="eastAsia"/>
                <w:color w:val="auto"/>
                <w:highlight w:val="none"/>
              </w:rPr>
              <w:t>姓名</w:t>
            </w:r>
          </w:p>
        </w:tc>
        <w:tc>
          <w:tcPr>
            <w:tcW w:w="1134" w:type="dxa"/>
            <w:tcBorders>
              <w:top w:val="single" w:color="auto" w:sz="12" w:space="0"/>
              <w:left w:val="single" w:color="auto" w:sz="6" w:space="0"/>
              <w:bottom w:val="double" w:color="auto" w:sz="6" w:space="0"/>
              <w:right w:val="single" w:color="auto" w:sz="6" w:space="0"/>
            </w:tcBorders>
            <w:vAlign w:val="center"/>
          </w:tcPr>
          <w:p w14:paraId="7B61DA67">
            <w:pPr>
              <w:ind w:firstLine="480"/>
              <w:jc w:val="center"/>
              <w:rPr>
                <w:color w:val="auto"/>
                <w:sz w:val="21"/>
                <w:szCs w:val="24"/>
                <w:highlight w:val="none"/>
              </w:rPr>
            </w:pPr>
            <w:r>
              <w:rPr>
                <w:rFonts w:hint="eastAsia"/>
                <w:color w:val="auto"/>
                <w:highlight w:val="none"/>
              </w:rPr>
              <w:t>职务</w:t>
            </w:r>
          </w:p>
        </w:tc>
        <w:tc>
          <w:tcPr>
            <w:tcW w:w="1134" w:type="dxa"/>
            <w:tcBorders>
              <w:top w:val="single" w:color="auto" w:sz="12" w:space="0"/>
              <w:left w:val="single" w:color="auto" w:sz="6" w:space="0"/>
              <w:bottom w:val="double" w:color="auto" w:sz="6" w:space="0"/>
              <w:right w:val="single" w:color="auto" w:sz="6" w:space="0"/>
            </w:tcBorders>
            <w:vAlign w:val="center"/>
          </w:tcPr>
          <w:p w14:paraId="7404A391">
            <w:pPr>
              <w:ind w:firstLine="480"/>
              <w:jc w:val="center"/>
              <w:rPr>
                <w:color w:val="auto"/>
                <w:sz w:val="21"/>
                <w:szCs w:val="24"/>
                <w:highlight w:val="none"/>
              </w:rPr>
            </w:pPr>
            <w:r>
              <w:rPr>
                <w:rFonts w:hint="eastAsia"/>
                <w:color w:val="auto"/>
                <w:highlight w:val="none"/>
              </w:rPr>
              <w:t>职称</w:t>
            </w:r>
          </w:p>
        </w:tc>
        <w:tc>
          <w:tcPr>
            <w:tcW w:w="4252" w:type="dxa"/>
            <w:tcBorders>
              <w:top w:val="single" w:color="auto" w:sz="12" w:space="0"/>
              <w:left w:val="single" w:color="auto" w:sz="6" w:space="0"/>
              <w:bottom w:val="double" w:color="auto" w:sz="6" w:space="0"/>
              <w:right w:val="single" w:color="auto" w:sz="12" w:space="0"/>
            </w:tcBorders>
            <w:vAlign w:val="center"/>
          </w:tcPr>
          <w:p w14:paraId="7103DF25">
            <w:pPr>
              <w:ind w:firstLine="480"/>
              <w:jc w:val="center"/>
              <w:rPr>
                <w:color w:val="auto"/>
                <w:sz w:val="21"/>
                <w:szCs w:val="24"/>
                <w:highlight w:val="none"/>
              </w:rPr>
            </w:pPr>
            <w:r>
              <w:rPr>
                <w:rFonts w:hint="eastAsia"/>
                <w:color w:val="auto"/>
                <w:highlight w:val="none"/>
              </w:rPr>
              <w:t>主要资历、经验及承担过的项目</w:t>
            </w:r>
          </w:p>
        </w:tc>
      </w:tr>
      <w:tr w14:paraId="3E6EB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14:paraId="269F0AD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一、总部人员</w:t>
            </w:r>
          </w:p>
        </w:tc>
      </w:tr>
      <w:tr w14:paraId="79DAE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37FEB63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项目主管</w:t>
            </w:r>
          </w:p>
        </w:tc>
        <w:tc>
          <w:tcPr>
            <w:tcW w:w="1418" w:type="dxa"/>
            <w:tcBorders>
              <w:top w:val="nil"/>
              <w:left w:val="single" w:color="auto" w:sz="6" w:space="0"/>
              <w:bottom w:val="single" w:color="auto" w:sz="6" w:space="0"/>
              <w:right w:val="single" w:color="auto" w:sz="6" w:space="0"/>
            </w:tcBorders>
            <w:vAlign w:val="center"/>
          </w:tcPr>
          <w:p w14:paraId="41A1EF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7C64EA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nil"/>
              <w:left w:val="single" w:color="auto" w:sz="6" w:space="0"/>
              <w:bottom w:val="single" w:color="auto" w:sz="6" w:space="0"/>
              <w:right w:val="single" w:color="auto" w:sz="6" w:space="0"/>
            </w:tcBorders>
            <w:vAlign w:val="center"/>
          </w:tcPr>
          <w:p w14:paraId="469398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nil"/>
              <w:left w:val="single" w:color="auto" w:sz="6" w:space="0"/>
              <w:bottom w:val="single" w:color="auto" w:sz="6" w:space="0"/>
              <w:right w:val="single" w:color="auto" w:sz="12" w:space="0"/>
            </w:tcBorders>
            <w:vAlign w:val="center"/>
          </w:tcPr>
          <w:p w14:paraId="2740BE8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4970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nil"/>
              <w:right w:val="single" w:color="auto" w:sz="6" w:space="0"/>
            </w:tcBorders>
            <w:vAlign w:val="center"/>
          </w:tcPr>
          <w:p w14:paraId="5E85D9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5003A8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755162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640E50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29E79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FD4E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11EF3F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2271441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E4D310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25E556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7FFEA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2084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vAlign w:val="center"/>
          </w:tcPr>
          <w:p w14:paraId="3666D8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vAlign w:val="center"/>
          </w:tcPr>
          <w:p w14:paraId="227E873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B15196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37D2E0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45BD50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846B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14:paraId="3345652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二、现场人员</w:t>
            </w:r>
          </w:p>
        </w:tc>
      </w:tr>
      <w:tr w14:paraId="2AC821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1B466BA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项目经理</w:t>
            </w:r>
          </w:p>
        </w:tc>
        <w:tc>
          <w:tcPr>
            <w:tcW w:w="1418" w:type="dxa"/>
            <w:tcBorders>
              <w:top w:val="single" w:color="auto" w:sz="6" w:space="0"/>
              <w:left w:val="single" w:color="auto" w:sz="6" w:space="0"/>
              <w:bottom w:val="single" w:color="auto" w:sz="6" w:space="0"/>
              <w:right w:val="single" w:color="auto" w:sz="6" w:space="0"/>
            </w:tcBorders>
            <w:vAlign w:val="center"/>
          </w:tcPr>
          <w:p w14:paraId="779D48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80662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800E96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36064D1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E5501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AC69D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项目副经理</w:t>
            </w:r>
          </w:p>
        </w:tc>
        <w:tc>
          <w:tcPr>
            <w:tcW w:w="1418" w:type="dxa"/>
            <w:tcBorders>
              <w:top w:val="single" w:color="auto" w:sz="6" w:space="0"/>
              <w:left w:val="single" w:color="auto" w:sz="6" w:space="0"/>
              <w:bottom w:val="single" w:color="auto" w:sz="6" w:space="0"/>
              <w:right w:val="single" w:color="auto" w:sz="6" w:space="0"/>
            </w:tcBorders>
            <w:vAlign w:val="center"/>
          </w:tcPr>
          <w:p w14:paraId="10A38E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DA7C5D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85ED45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4905608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F57C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4E17DEB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技术负责人</w:t>
            </w:r>
          </w:p>
        </w:tc>
        <w:tc>
          <w:tcPr>
            <w:tcW w:w="1418" w:type="dxa"/>
            <w:tcBorders>
              <w:top w:val="single" w:color="auto" w:sz="6" w:space="0"/>
              <w:left w:val="single" w:color="auto" w:sz="6" w:space="0"/>
              <w:bottom w:val="single" w:color="auto" w:sz="6" w:space="0"/>
              <w:right w:val="single" w:color="auto" w:sz="6" w:space="0"/>
            </w:tcBorders>
            <w:vAlign w:val="center"/>
          </w:tcPr>
          <w:p w14:paraId="04C718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650684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626B43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5DD8C2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65D56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4DB5F5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造价管理</w:t>
            </w:r>
          </w:p>
        </w:tc>
        <w:tc>
          <w:tcPr>
            <w:tcW w:w="1418" w:type="dxa"/>
            <w:tcBorders>
              <w:top w:val="single" w:color="auto" w:sz="6" w:space="0"/>
              <w:left w:val="single" w:color="auto" w:sz="6" w:space="0"/>
              <w:bottom w:val="single" w:color="auto" w:sz="6" w:space="0"/>
              <w:right w:val="single" w:color="auto" w:sz="6" w:space="0"/>
            </w:tcBorders>
            <w:vAlign w:val="center"/>
          </w:tcPr>
          <w:p w14:paraId="7EE487C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038F57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442CD3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06B9F0F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3450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65DB670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质量管理</w:t>
            </w:r>
          </w:p>
        </w:tc>
        <w:tc>
          <w:tcPr>
            <w:tcW w:w="1418" w:type="dxa"/>
            <w:tcBorders>
              <w:top w:val="single" w:color="auto" w:sz="6" w:space="0"/>
              <w:left w:val="single" w:color="auto" w:sz="6" w:space="0"/>
              <w:bottom w:val="single" w:color="auto" w:sz="6" w:space="0"/>
              <w:right w:val="single" w:color="auto" w:sz="6" w:space="0"/>
            </w:tcBorders>
            <w:vAlign w:val="center"/>
          </w:tcPr>
          <w:p w14:paraId="2D0B8D1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F2FC1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61013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41C08F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69DC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98E85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材料管理</w:t>
            </w:r>
          </w:p>
        </w:tc>
        <w:tc>
          <w:tcPr>
            <w:tcW w:w="1418" w:type="dxa"/>
            <w:tcBorders>
              <w:top w:val="single" w:color="auto" w:sz="6" w:space="0"/>
              <w:left w:val="single" w:color="auto" w:sz="6" w:space="0"/>
              <w:bottom w:val="single" w:color="auto" w:sz="6" w:space="0"/>
              <w:right w:val="single" w:color="auto" w:sz="6" w:space="0"/>
            </w:tcBorders>
            <w:vAlign w:val="center"/>
          </w:tcPr>
          <w:p w14:paraId="4BB2062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07A255E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9C6CC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AA993F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0055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5DC5410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计划管理</w:t>
            </w:r>
          </w:p>
        </w:tc>
        <w:tc>
          <w:tcPr>
            <w:tcW w:w="1418" w:type="dxa"/>
            <w:tcBorders>
              <w:top w:val="single" w:color="auto" w:sz="6" w:space="0"/>
              <w:left w:val="single" w:color="auto" w:sz="6" w:space="0"/>
              <w:bottom w:val="single" w:color="auto" w:sz="6" w:space="0"/>
              <w:right w:val="single" w:color="auto" w:sz="6" w:space="0"/>
            </w:tcBorders>
            <w:vAlign w:val="center"/>
          </w:tcPr>
          <w:p w14:paraId="735BF6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9FBCC2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BD4F1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32F7E1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CBDB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14:paraId="67B8A5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安全管理</w:t>
            </w:r>
          </w:p>
        </w:tc>
        <w:tc>
          <w:tcPr>
            <w:tcW w:w="1418" w:type="dxa"/>
            <w:tcBorders>
              <w:top w:val="single" w:color="auto" w:sz="6" w:space="0"/>
              <w:left w:val="single" w:color="auto" w:sz="6" w:space="0"/>
              <w:bottom w:val="single" w:color="auto" w:sz="6" w:space="0"/>
              <w:right w:val="single" w:color="auto" w:sz="6" w:space="0"/>
            </w:tcBorders>
            <w:vAlign w:val="center"/>
          </w:tcPr>
          <w:p w14:paraId="31A8B96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0DCB53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E2136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B39A0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C0145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left w:val="single" w:color="auto" w:sz="12" w:space="0"/>
              <w:bottom w:val="single" w:color="auto" w:sz="12" w:space="0"/>
              <w:right w:val="single" w:color="auto" w:sz="6" w:space="0"/>
            </w:tcBorders>
            <w:vAlign w:val="center"/>
          </w:tcPr>
          <w:p w14:paraId="4483C5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r>
              <w:rPr>
                <w:rFonts w:hint="eastAsia" w:ascii="宋体" w:hAnsi="宋体" w:cs="宋体"/>
                <w:color w:val="auto"/>
                <w:kern w:val="0"/>
                <w:sz w:val="21"/>
                <w:szCs w:val="21"/>
                <w:highlight w:val="none"/>
                <w:lang w:bidi="zh-CN"/>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14:paraId="0E41FA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1423680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2D5B503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23219F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51A0B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37D9E97E">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nil"/>
              <w:right w:val="single" w:color="auto" w:sz="6" w:space="0"/>
            </w:tcBorders>
            <w:vAlign w:val="center"/>
          </w:tcPr>
          <w:p w14:paraId="3DDF47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39CFE3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nil"/>
              <w:right w:val="single" w:color="auto" w:sz="6" w:space="0"/>
            </w:tcBorders>
            <w:vAlign w:val="center"/>
          </w:tcPr>
          <w:p w14:paraId="775CFD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nil"/>
              <w:right w:val="single" w:color="auto" w:sz="12" w:space="0"/>
            </w:tcBorders>
            <w:vAlign w:val="center"/>
          </w:tcPr>
          <w:p w14:paraId="4573C35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79A6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5332ED6A">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63CAD44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73F4A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225FA4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15FF8B9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576D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48FD9599">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4360FBF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7AAF87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3AE0BB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5A77EAC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D9A3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7AF97B59">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14:paraId="4FFE03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ED98D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6" w:space="0"/>
              <w:right w:val="single" w:color="auto" w:sz="6" w:space="0"/>
            </w:tcBorders>
            <w:vAlign w:val="center"/>
          </w:tcPr>
          <w:p w14:paraId="5B26DF6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6" w:space="0"/>
              <w:right w:val="single" w:color="auto" w:sz="12" w:space="0"/>
            </w:tcBorders>
            <w:vAlign w:val="center"/>
          </w:tcPr>
          <w:p w14:paraId="7D54E9C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F48A1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vMerge w:val="continue"/>
            <w:tcBorders>
              <w:top w:val="single" w:color="auto" w:sz="6" w:space="0"/>
              <w:left w:val="single" w:color="auto" w:sz="12" w:space="0"/>
              <w:bottom w:val="single" w:color="auto" w:sz="12" w:space="0"/>
              <w:right w:val="single" w:color="auto" w:sz="6" w:space="0"/>
            </w:tcBorders>
            <w:vAlign w:val="center"/>
          </w:tcPr>
          <w:p w14:paraId="60ECA25C">
            <w:pPr>
              <w:widowControl/>
              <w:ind w:firstLine="420"/>
              <w:jc w:val="left"/>
              <w:rPr>
                <w:rFonts w:ascii="宋体" w:hAnsi="宋体" w:cs="宋体"/>
                <w:color w:val="auto"/>
                <w:sz w:val="21"/>
                <w:szCs w:val="21"/>
                <w:highlight w:val="none"/>
              </w:rPr>
            </w:pPr>
          </w:p>
        </w:tc>
        <w:tc>
          <w:tcPr>
            <w:tcW w:w="1418" w:type="dxa"/>
            <w:tcBorders>
              <w:top w:val="single" w:color="auto" w:sz="6" w:space="0"/>
              <w:left w:val="single" w:color="auto" w:sz="6" w:space="0"/>
              <w:bottom w:val="single" w:color="auto" w:sz="12" w:space="0"/>
              <w:right w:val="single" w:color="auto" w:sz="6" w:space="0"/>
            </w:tcBorders>
            <w:vAlign w:val="center"/>
          </w:tcPr>
          <w:p w14:paraId="711D9E7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1854AB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134" w:type="dxa"/>
            <w:tcBorders>
              <w:top w:val="single" w:color="auto" w:sz="6" w:space="0"/>
              <w:left w:val="single" w:color="auto" w:sz="6" w:space="0"/>
              <w:bottom w:val="single" w:color="auto" w:sz="12" w:space="0"/>
              <w:right w:val="single" w:color="auto" w:sz="6" w:space="0"/>
            </w:tcBorders>
            <w:vAlign w:val="center"/>
          </w:tcPr>
          <w:p w14:paraId="034C9B1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4252" w:type="dxa"/>
            <w:tcBorders>
              <w:top w:val="single" w:color="auto" w:sz="6" w:space="0"/>
              <w:left w:val="single" w:color="auto" w:sz="6" w:space="0"/>
              <w:bottom w:val="single" w:color="auto" w:sz="12" w:space="0"/>
              <w:right w:val="single" w:color="auto" w:sz="12" w:space="0"/>
            </w:tcBorders>
            <w:vAlign w:val="center"/>
          </w:tcPr>
          <w:p w14:paraId="2CE7AF9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30724ECB">
      <w:pPr>
        <w:spacing w:line="440" w:lineRule="exact"/>
        <w:ind w:firstLine="480"/>
        <w:rPr>
          <w:rFonts w:ascii="宋体" w:hAnsi="宋体" w:cs="宋体"/>
          <w:color w:val="auto"/>
          <w:sz w:val="21"/>
          <w:szCs w:val="21"/>
          <w:highlight w:val="none"/>
        </w:rPr>
      </w:pPr>
      <w:r>
        <w:rPr>
          <w:rFonts w:hint="eastAsia" w:ascii="宋体" w:hAnsi="宋体" w:cs="宋体"/>
          <w:color w:val="auto"/>
          <w:szCs w:val="21"/>
          <w:highlight w:val="none"/>
        </w:rPr>
        <w:br w:type="page"/>
      </w:r>
      <w:bookmarkStart w:id="1483" w:name="_Toc267261701"/>
      <w:r>
        <w:rPr>
          <w:rFonts w:hint="eastAsia" w:ascii="宋体" w:hAnsi="宋体" w:cs="宋体"/>
          <w:color w:val="auto"/>
          <w:szCs w:val="21"/>
          <w:highlight w:val="none"/>
        </w:rPr>
        <w:t>附</w:t>
      </w:r>
      <w:bookmarkStart w:id="1484" w:name="_Toc296347230"/>
      <w:bookmarkStart w:id="1485" w:name="_Toc296944570"/>
      <w:bookmarkStart w:id="1486" w:name="_Toc296891271"/>
      <w:bookmarkStart w:id="1487" w:name="_Toc296346732"/>
      <w:bookmarkStart w:id="1488" w:name="_Toc296891059"/>
      <w:bookmarkStart w:id="1489" w:name="_Toc296503231"/>
      <w:r>
        <w:rPr>
          <w:rFonts w:hint="eastAsia" w:ascii="宋体" w:hAnsi="宋体" w:cs="宋体"/>
          <w:color w:val="auto"/>
          <w:szCs w:val="21"/>
          <w:highlight w:val="none"/>
        </w:rPr>
        <w:t>件8：</w:t>
      </w:r>
    </w:p>
    <w:bookmarkEnd w:id="1483"/>
    <w:bookmarkEnd w:id="1484"/>
    <w:bookmarkEnd w:id="1485"/>
    <w:bookmarkEnd w:id="1486"/>
    <w:bookmarkEnd w:id="1487"/>
    <w:bookmarkEnd w:id="1488"/>
    <w:bookmarkEnd w:id="1489"/>
    <w:p w14:paraId="2C4587E1">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履约担保</w:t>
      </w:r>
    </w:p>
    <w:p w14:paraId="027A9D2E">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（发包人名称）：</w:t>
      </w:r>
    </w:p>
    <w:p w14:paraId="34ECAA67">
      <w:pPr>
        <w:spacing w:line="440" w:lineRule="exact"/>
        <w:ind w:firstLine="480"/>
        <w:rPr>
          <w:rFonts w:ascii="宋体" w:hAnsi="宋体" w:cs="宋体"/>
          <w:color w:val="auto"/>
          <w:szCs w:val="21"/>
          <w:highlight w:val="none"/>
        </w:rPr>
      </w:pPr>
    </w:p>
    <w:p w14:paraId="76521034">
      <w:pPr>
        <w:ind w:firstLine="48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w:t>
      </w:r>
    </w:p>
    <w:p w14:paraId="4544831E">
      <w:pPr>
        <w:ind w:firstLine="480"/>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w:t>
      </w:r>
      <w:r>
        <w:rPr>
          <w:rFonts w:hint="eastAsia" w:ascii="宋体" w:hAnsi="宋体" w:cs="宋体"/>
          <w:color w:val="auto"/>
          <w:szCs w:val="21"/>
          <w:highlight w:val="none"/>
          <w:lang w:eastAsia="zh-CN"/>
        </w:rPr>
        <w:t>下简</w:t>
      </w:r>
      <w:r>
        <w:rPr>
          <w:rFonts w:hint="eastAsia" w:ascii="宋体" w:hAnsi="宋体" w:cs="宋体"/>
          <w:color w:val="auto"/>
          <w:szCs w:val="21"/>
          <w:highlight w:val="none"/>
        </w:rPr>
        <w:t>称“承包人”）于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（工程名称）施工及有关事项协商一致共同签订《建设工程施工合同》。我方愿意无条件地、不可撤销地就承包人履行与你方签订的合同</w:t>
      </w:r>
      <w:r>
        <w:rPr>
          <w:rFonts w:hint="eastAsia" w:ascii="宋体" w:hAnsi="宋体" w:cs="宋体"/>
          <w:color w:val="auto"/>
          <w:szCs w:val="21"/>
          <w:highlight w:val="none"/>
          <w:lang w:eastAsia="zh-CN"/>
        </w:rPr>
        <w:t>，并</w:t>
      </w:r>
      <w:r>
        <w:rPr>
          <w:rFonts w:hint="eastAsia" w:ascii="宋体" w:hAnsi="宋体" w:cs="宋体"/>
          <w:color w:val="auto"/>
          <w:szCs w:val="21"/>
          <w:highlight w:val="none"/>
        </w:rPr>
        <w:t xml:space="preserve">向你方提供连带责任担保。 </w:t>
      </w:r>
    </w:p>
    <w:p w14:paraId="7066E2D9">
      <w:pPr>
        <w:ind w:firstLine="48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6198D94">
      <w:pPr>
        <w:ind w:firstLine="480"/>
        <w:rPr>
          <w:rFonts w:ascii="宋体" w:hAnsi="宋体" w:cs="宋体"/>
          <w:color w:val="auto"/>
          <w:szCs w:val="21"/>
          <w:highlight w:val="none"/>
        </w:rPr>
      </w:pPr>
      <w:r>
        <w:rPr>
          <w:rFonts w:hint="eastAsia" w:ascii="宋体" w:hAnsi="宋体" w:cs="宋体"/>
          <w:color w:val="auto"/>
          <w:szCs w:val="21"/>
          <w:highlight w:val="none"/>
        </w:rPr>
        <w:t>2. 担保有效期自你方与承包人签订的合同生效之日起至你方签发或应签发工程接收证书之日止。</w:t>
      </w:r>
    </w:p>
    <w:p w14:paraId="0D592C3A">
      <w:pPr>
        <w:ind w:firstLine="480"/>
        <w:rPr>
          <w:rFonts w:ascii="宋体" w:hAnsi="宋体" w:cs="宋体"/>
          <w:color w:val="auto"/>
          <w:szCs w:val="21"/>
          <w:highlight w:val="none"/>
        </w:rPr>
      </w:pPr>
      <w:r>
        <w:rPr>
          <w:rFonts w:hint="eastAsia" w:ascii="宋体" w:hAnsi="宋体" w:cs="宋体"/>
          <w:color w:val="auto"/>
          <w:szCs w:val="21"/>
          <w:highlight w:val="none"/>
        </w:rPr>
        <w:t>3. 在本担保有效期内，因承包人违反合同约定的义务给你方造成经济损失时，我方在收到你方以书面形式提出的在担保金额内的赔偿要求后，在7天内无条件支付。</w:t>
      </w:r>
    </w:p>
    <w:p w14:paraId="31026F29">
      <w:pPr>
        <w:ind w:firstLine="48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你方和承包人按合同约定变更合同时，我方承担本担保规定的义务不变。</w:t>
      </w:r>
    </w:p>
    <w:p w14:paraId="456F3350">
      <w:pPr>
        <w:ind w:firstLine="480"/>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56105F79">
      <w:pPr>
        <w:ind w:firstLine="480"/>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4D2B95E0">
      <w:pPr>
        <w:ind w:firstLine="480"/>
        <w:rPr>
          <w:rFonts w:ascii="宋体" w:hAnsi="宋体" w:cs="宋体"/>
          <w:color w:val="auto"/>
          <w:szCs w:val="21"/>
          <w:highlight w:val="none"/>
        </w:rPr>
      </w:pPr>
    </w:p>
    <w:p w14:paraId="1C2181F4">
      <w:pPr>
        <w:ind w:firstLine="480"/>
        <w:rPr>
          <w:rFonts w:ascii="宋体" w:hAnsi="宋体" w:cs="宋体"/>
          <w:color w:val="auto"/>
          <w:szCs w:val="21"/>
          <w:highlight w:val="none"/>
        </w:rPr>
      </w:pPr>
      <w:r>
        <w:rPr>
          <w:rFonts w:hint="eastAsia" w:ascii="宋体" w:hAnsi="宋体" w:cs="宋体"/>
          <w:color w:val="auto"/>
          <w:szCs w:val="21"/>
          <w:highlight w:val="none"/>
        </w:rPr>
        <w:t>担 保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4C831D5F">
      <w:pPr>
        <w:ind w:firstLine="48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5D0A9409">
      <w:pPr>
        <w:ind w:firstLine="48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79DE04E4">
      <w:pPr>
        <w:ind w:firstLine="480"/>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556EA70C">
      <w:pPr>
        <w:ind w:firstLine="480"/>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110B59E5">
      <w:pPr>
        <w:ind w:firstLine="480"/>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7B845432">
      <w:pPr>
        <w:ind w:firstLine="480"/>
        <w:jc w:val="left"/>
        <w:rPr>
          <w:rFonts w:ascii="宋体" w:hAnsi="宋体" w:cs="宋体"/>
          <w:color w:val="auto"/>
          <w:szCs w:val="21"/>
          <w:highlight w:val="none"/>
          <w:u w:val="single"/>
        </w:rPr>
      </w:pPr>
    </w:p>
    <w:p w14:paraId="1E9EF03C">
      <w:pPr>
        <w:ind w:left="1519" w:hanging="1519" w:hangingChars="633"/>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7AAE417">
      <w:pPr>
        <w:ind w:firstLine="480"/>
        <w:rPr>
          <w:rFonts w:hint="eastAsia" w:ascii="宋体" w:hAnsi="宋体" w:cs="宋体"/>
          <w:color w:val="auto"/>
          <w:szCs w:val="21"/>
          <w:highlight w:val="none"/>
        </w:rPr>
      </w:pPr>
    </w:p>
    <w:p w14:paraId="52730131">
      <w:pPr>
        <w:ind w:firstLine="480"/>
        <w:rPr>
          <w:rFonts w:ascii="宋体" w:hAnsi="宋体" w:cs="宋体"/>
          <w:color w:val="auto"/>
          <w:szCs w:val="21"/>
          <w:highlight w:val="none"/>
        </w:rPr>
      </w:pPr>
      <w:r>
        <w:rPr>
          <w:rFonts w:hint="eastAsia" w:ascii="宋体" w:hAnsi="宋体" w:cs="宋体"/>
          <w:color w:val="auto"/>
          <w:szCs w:val="21"/>
          <w:highlight w:val="none"/>
        </w:rPr>
        <w:t>附</w:t>
      </w:r>
      <w:bookmarkStart w:id="1490" w:name="_Toc296891272"/>
      <w:bookmarkStart w:id="1491" w:name="_Toc296503232"/>
      <w:bookmarkStart w:id="1492" w:name="_Toc296347231"/>
      <w:bookmarkStart w:id="1493" w:name="_Toc296891060"/>
      <w:bookmarkStart w:id="1494" w:name="_Toc296346733"/>
      <w:bookmarkStart w:id="1495" w:name="_Toc267261702"/>
      <w:bookmarkStart w:id="1496" w:name="_Toc296944571"/>
      <w:r>
        <w:rPr>
          <w:rFonts w:hint="eastAsia" w:ascii="宋体" w:hAnsi="宋体" w:cs="宋体"/>
          <w:color w:val="auto"/>
          <w:szCs w:val="21"/>
          <w:highlight w:val="none"/>
        </w:rPr>
        <w:t>件9 ：</w:t>
      </w:r>
    </w:p>
    <w:bookmarkEnd w:id="1490"/>
    <w:bookmarkEnd w:id="1491"/>
    <w:bookmarkEnd w:id="1492"/>
    <w:bookmarkEnd w:id="1493"/>
    <w:bookmarkEnd w:id="1494"/>
    <w:bookmarkEnd w:id="1495"/>
    <w:bookmarkEnd w:id="1496"/>
    <w:p w14:paraId="21019503">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预付款担保</w:t>
      </w:r>
    </w:p>
    <w:p w14:paraId="54BE5042">
      <w:pPr>
        <w:ind w:firstLine="48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（发包人名称）：</w:t>
      </w:r>
    </w:p>
    <w:p w14:paraId="2419C859">
      <w:pPr>
        <w:ind w:firstLine="480"/>
        <w:rPr>
          <w:rFonts w:ascii="宋体" w:hAnsi="宋体" w:cs="宋体"/>
          <w:color w:val="auto"/>
          <w:szCs w:val="21"/>
          <w:highlight w:val="none"/>
        </w:rPr>
      </w:pPr>
    </w:p>
    <w:p w14:paraId="0C27C60B">
      <w:pPr>
        <w:ind w:firstLine="480"/>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w:t>
      </w:r>
      <w:r>
        <w:rPr>
          <w:rFonts w:hint="eastAsia" w:ascii="宋体" w:hAnsi="宋体" w:cs="宋体"/>
          <w:color w:val="auto"/>
          <w:szCs w:val="21"/>
          <w:highlight w:val="none"/>
          <w:lang w:eastAsia="zh-CN"/>
        </w:rPr>
        <w:t>下简</w:t>
      </w:r>
      <w:r>
        <w:rPr>
          <w:rFonts w:hint="eastAsia" w:ascii="宋体" w:hAnsi="宋体" w:cs="宋体"/>
          <w:color w:val="auto"/>
          <w:szCs w:val="21"/>
          <w:highlight w:val="none"/>
        </w:rPr>
        <w:t>称“承包人”）与</w:t>
      </w:r>
    </w:p>
    <w:p w14:paraId="6CE540F3">
      <w:pPr>
        <w:ind w:firstLine="48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w:t>
      </w:r>
    </w:p>
    <w:p w14:paraId="31F9A9E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51F70377">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4CC73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2. 担保有效期自预付款支付给承包人起生效，至你方签发的进度款支付证书说明已完全扣清止。</w:t>
      </w:r>
    </w:p>
    <w:p w14:paraId="78829045">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3. 在本保函有效期内，因承包人违反合同约定的义务而要求收回预付款时，我方在收到你方的书面通知后，在</w:t>
      </w:r>
      <w:r>
        <w:rPr>
          <w:rFonts w:hint="eastAsia" w:ascii="宋体" w:hAnsi="宋体" w:cs="宋体"/>
          <w:color w:val="auto"/>
          <w:szCs w:val="21"/>
          <w:highlight w:val="none"/>
          <w:lang w:eastAsia="zh-CN"/>
        </w:rPr>
        <w:t>7</w:t>
      </w:r>
      <w:r>
        <w:rPr>
          <w:rFonts w:hint="eastAsia" w:ascii="宋体" w:hAnsi="宋体" w:cs="宋体"/>
          <w:color w:val="auto"/>
          <w:szCs w:val="21"/>
          <w:highlight w:val="none"/>
        </w:rPr>
        <w:t>天内无条件支付。但本保函的担保金额，在任何时候不应超过预付款金额减去你方按合同约定在向承包人签发的进度款支付证书中扣除的金额。</w:t>
      </w:r>
    </w:p>
    <w:p w14:paraId="43E58F5E">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你方和承包人按合同约定变更合同时，我方承担本保函规定的义务不变。</w:t>
      </w:r>
    </w:p>
    <w:p w14:paraId="58B9DCFE">
      <w:pPr>
        <w:spacing w:line="400" w:lineRule="exact"/>
        <w:ind w:firstLine="480"/>
        <w:jc w:val="left"/>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6D5FDFED">
      <w:pPr>
        <w:spacing w:line="400" w:lineRule="exact"/>
        <w:ind w:firstLine="480"/>
        <w:jc w:val="left"/>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121E7745">
      <w:pPr>
        <w:ind w:firstLine="480"/>
        <w:rPr>
          <w:rFonts w:ascii="宋体" w:hAnsi="宋体" w:cs="宋体"/>
          <w:color w:val="auto"/>
          <w:szCs w:val="21"/>
          <w:highlight w:val="none"/>
        </w:rPr>
      </w:pPr>
    </w:p>
    <w:p w14:paraId="35D24265">
      <w:pPr>
        <w:ind w:firstLine="480"/>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5E49FC99">
      <w:pPr>
        <w:ind w:firstLine="48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576C669A">
      <w:pPr>
        <w:ind w:firstLine="48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4A906CC">
      <w:pPr>
        <w:ind w:firstLine="480"/>
        <w:rPr>
          <w:rFonts w:ascii="宋体" w:hAnsi="宋体" w:cs="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1376ACAF">
      <w:pPr>
        <w:ind w:firstLine="480"/>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4ACB70B1">
      <w:pPr>
        <w:ind w:firstLine="480"/>
        <w:rPr>
          <w:rFonts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9AF1C33">
      <w:pPr>
        <w:ind w:firstLine="480"/>
        <w:rPr>
          <w:rFonts w:ascii="宋体" w:hAnsi="宋体" w:cs="宋体"/>
          <w:color w:val="auto"/>
          <w:szCs w:val="21"/>
          <w:highlight w:val="none"/>
        </w:rPr>
      </w:pPr>
      <w:r>
        <w:rPr>
          <w:rFonts w:hint="eastAsia" w:ascii="宋体" w:hAnsi="宋体" w:cs="宋体"/>
          <w:color w:val="auto"/>
          <w:szCs w:val="21"/>
          <w:highlight w:val="none"/>
        </w:rPr>
        <w:t xml:space="preserve"> </w:t>
      </w:r>
    </w:p>
    <w:p w14:paraId="4DD9D1EE">
      <w:pPr>
        <w:ind w:firstLine="480"/>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857659D">
      <w:pPr>
        <w:spacing w:line="440" w:lineRule="exact"/>
        <w:ind w:firstLine="482"/>
        <w:rPr>
          <w:rFonts w:ascii="宋体" w:hAnsi="宋体" w:cs="宋体"/>
          <w:color w:val="auto"/>
          <w:szCs w:val="21"/>
          <w:highlight w:val="none"/>
        </w:rPr>
      </w:pPr>
      <w:r>
        <w:rPr>
          <w:rFonts w:hint="eastAsia" w:ascii="宋体" w:hAnsi="宋体" w:cs="宋体"/>
          <w:color w:val="auto"/>
          <w:szCs w:val="21"/>
          <w:highlight w:val="none"/>
        </w:rPr>
        <w:t>附</w:t>
      </w:r>
      <w:bookmarkStart w:id="1497" w:name="_Toc296503233"/>
      <w:bookmarkStart w:id="1498" w:name="_Toc296944572"/>
      <w:bookmarkStart w:id="1499" w:name="_Toc296891273"/>
      <w:bookmarkStart w:id="1500" w:name="_Toc296891061"/>
      <w:bookmarkStart w:id="1501" w:name="_Toc296346734"/>
      <w:bookmarkStart w:id="1502" w:name="_Toc296347232"/>
      <w:r>
        <w:rPr>
          <w:rFonts w:hint="eastAsia" w:ascii="宋体" w:hAnsi="宋体" w:cs="宋体"/>
          <w:color w:val="auto"/>
          <w:szCs w:val="21"/>
          <w:highlight w:val="none"/>
        </w:rPr>
        <w:t xml:space="preserve">件10:  </w:t>
      </w:r>
    </w:p>
    <w:bookmarkEnd w:id="1497"/>
    <w:bookmarkEnd w:id="1498"/>
    <w:bookmarkEnd w:id="1499"/>
    <w:bookmarkEnd w:id="1500"/>
    <w:bookmarkEnd w:id="1501"/>
    <w:bookmarkEnd w:id="1502"/>
    <w:p w14:paraId="0BE1FCD3">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支付担保</w:t>
      </w:r>
    </w:p>
    <w:p w14:paraId="77ACD462">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w:t>
      </w:r>
    </w:p>
    <w:p w14:paraId="3C5CBA79">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鉴于你方作为承包人已经与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（工程名称）《建设工程施工合同》（以下称“主合同”），应发包人的申请，我方愿就发包人履行主合同约定的工程款支付义务以保证的方式向你方提供如下担保：</w:t>
      </w:r>
    </w:p>
    <w:p w14:paraId="4C6A8BF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一、保证的范围及保证金额</w:t>
      </w:r>
    </w:p>
    <w:p w14:paraId="2E899FE3">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我方的保证范围是主合同约定的工程款。</w:t>
      </w:r>
    </w:p>
    <w:p w14:paraId="70C790AB">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本保函所称主合同约定的工程款是指主合同约定的除工程质量保证金以外的合同价款。</w:t>
      </w:r>
    </w:p>
    <w:p w14:paraId="3305DBB8">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我方保证的金额是主合同约定的工程款的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%，数额最高不超过人民币元（大写：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2CAF56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二、保证的方式及保证期间</w:t>
      </w:r>
    </w:p>
    <w:p w14:paraId="3F34C51C">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我方保证的方式为：连带责任保证。</w:t>
      </w:r>
    </w:p>
    <w:p w14:paraId="667A9D76">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我方保证的期间为：自本合同生效之日起至主合同约定的工程款支付完毕之日后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日内。</w:t>
      </w:r>
    </w:p>
    <w:p w14:paraId="08F7A3FE">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你方与发包人协议变更工程款支付日期的，经我方书面同意后，保证期间按照变更后的支付日期做相应调整。</w:t>
      </w:r>
    </w:p>
    <w:p w14:paraId="1F5AFED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三、承担保证责任的形式</w:t>
      </w:r>
    </w:p>
    <w:p w14:paraId="00F08250">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我方承担保证责任的形式是代为支付。发包人未按主合同约定向你方支付工程款的，由我方在保证金额内代为支付。</w:t>
      </w:r>
    </w:p>
    <w:p w14:paraId="25C3ED9D">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四、代偿的安排</w:t>
      </w:r>
    </w:p>
    <w:p w14:paraId="687F5C80">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你方要求我方承担保证责任的，应向我方发出书面索赔通知及发包人未支付主合同约定工程款的证明材料。索赔通知应写明要求索赔的金额，支付款项应到达的账号。</w:t>
      </w:r>
    </w:p>
    <w:p w14:paraId="790C963E">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72ECB4B8">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我方收到你方的书面索赔通知及相应的证明材料后</w:t>
      </w:r>
      <w:r>
        <w:rPr>
          <w:rFonts w:hint="eastAsia" w:ascii="宋体" w:hAnsi="宋体" w:cs="宋体"/>
          <w:color w:val="auto"/>
          <w:szCs w:val="21"/>
          <w:highlight w:val="none"/>
          <w:lang w:eastAsia="zh-CN"/>
        </w:rPr>
        <w:t>7</w:t>
      </w:r>
      <w:r>
        <w:rPr>
          <w:rFonts w:hint="eastAsia" w:ascii="宋体" w:hAnsi="宋体" w:cs="宋体"/>
          <w:color w:val="auto"/>
          <w:szCs w:val="21"/>
          <w:highlight w:val="none"/>
        </w:rPr>
        <w:t>天内无条件支付。</w:t>
      </w:r>
    </w:p>
    <w:p w14:paraId="7DDDDBC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五、保证责任的解除</w:t>
      </w:r>
    </w:p>
    <w:p w14:paraId="4345082E">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在本保函承诺的保证期间内，你方未书面向我方主张保证责任的，自保证期间届满次日起，我方保证责任解除。</w:t>
      </w:r>
    </w:p>
    <w:p w14:paraId="4A57B10A">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发包人按主合同约定履行了工程款的全部支付义务的，自本保函承诺的保证期间届满次日起，我方保证责任解除。</w:t>
      </w:r>
    </w:p>
    <w:p w14:paraId="212FAECB">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我方按照本保函向你方履行保证责任所支付金额达到本保函保证金额时，自我方向你方支付（支付款项从我方账户划出）之日起，保证责任即解除。</w:t>
      </w:r>
    </w:p>
    <w:p w14:paraId="3D515346">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4. 按照法律法规的规定或出现应解除我方保证责任的其他情形的，我方在本保函项下的保证责任亦解除。</w:t>
      </w:r>
    </w:p>
    <w:p w14:paraId="73F480BD">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5. 我方解除保证责任后，你方应自我方保证责任解除之日起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个工作日内，将本保函原件返还我方。</w:t>
      </w:r>
    </w:p>
    <w:p w14:paraId="05FBCA79">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六、免责条款</w:t>
      </w:r>
    </w:p>
    <w:p w14:paraId="2793488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 因你方违约致使发包人不能履行义务的，我方不承担保证责任。</w:t>
      </w:r>
    </w:p>
    <w:p w14:paraId="5851D182">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 依照法律法规的规定或你方与发包人的另行约定，免除发包人部分或全部义务的，我方亦免除其相应的保证责任。</w:t>
      </w:r>
    </w:p>
    <w:p w14:paraId="55DF5519">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73D076F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4. 因不可抗力造成发包人不能履行义务的，我方不承担保证责任。</w:t>
      </w:r>
    </w:p>
    <w:p w14:paraId="1F720974">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七、争议解决</w:t>
      </w:r>
    </w:p>
    <w:p w14:paraId="74E16182">
      <w:pPr>
        <w:spacing w:after="120" w:line="340" w:lineRule="exact"/>
        <w:ind w:firstLine="480"/>
        <w:rPr>
          <w:rFonts w:ascii="宋体" w:hAnsi="宋体" w:cs="宋体"/>
          <w:color w:val="auto"/>
          <w:szCs w:val="21"/>
          <w:highlight w:val="none"/>
        </w:rPr>
      </w:pPr>
      <w:r>
        <w:rPr>
          <w:rFonts w:hint="eastAsia" w:ascii="宋体" w:hAnsi="宋体" w:cs="宋体"/>
          <w:color w:val="auto"/>
          <w:szCs w:val="21"/>
          <w:highlight w:val="none"/>
        </w:rPr>
        <w:t>因本保函或本保函相关事项发生的纠纷，可由双方协商解决，协商不成的，按下列第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种方式解决：</w:t>
      </w:r>
    </w:p>
    <w:p w14:paraId="0566A52D">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仲裁委员会申请仲裁；</w:t>
      </w:r>
    </w:p>
    <w:p w14:paraId="4DDB6705">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人民法院起诉。</w:t>
      </w:r>
    </w:p>
    <w:p w14:paraId="750C0314">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八、保函的生效</w:t>
      </w:r>
    </w:p>
    <w:p w14:paraId="68DF156B">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本保函自我方法定代表人（或其授权代理人）签字并加盖公章之日起生效。</w:t>
      </w:r>
    </w:p>
    <w:p w14:paraId="51458D26">
      <w:pPr>
        <w:spacing w:line="340" w:lineRule="exact"/>
        <w:ind w:firstLine="480"/>
        <w:jc w:val="left"/>
        <w:rPr>
          <w:rFonts w:ascii="宋体" w:hAnsi="宋体" w:cs="宋体"/>
          <w:color w:val="auto"/>
          <w:szCs w:val="21"/>
          <w:highlight w:val="none"/>
        </w:rPr>
      </w:pPr>
    </w:p>
    <w:p w14:paraId="7444DE7E">
      <w:pPr>
        <w:spacing w:line="340" w:lineRule="exact"/>
        <w:ind w:right="600" w:firstLine="480"/>
        <w:jc w:val="left"/>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（盖章）</w:t>
      </w:r>
    </w:p>
    <w:p w14:paraId="11187300">
      <w:pPr>
        <w:spacing w:line="340" w:lineRule="exact"/>
        <w:ind w:right="1200" w:firstLine="480"/>
        <w:rPr>
          <w:rFonts w:ascii="宋体" w:hAnsi="宋体" w:cs="宋体"/>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720077C7">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16FFF0A7">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73BFE4BF">
      <w:pPr>
        <w:spacing w:line="340" w:lineRule="exact"/>
        <w:ind w:firstLine="480"/>
        <w:jc w:val="left"/>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23B7686D">
      <w:pPr>
        <w:ind w:right="150" w:firstLine="480"/>
        <w:jc w:val="left"/>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E2DECF2">
      <w:pPr>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附件11：</w:t>
      </w:r>
    </w:p>
    <w:p w14:paraId="52E7E777">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11-1：材料暂估价表</w:t>
      </w:r>
    </w:p>
    <w:tbl>
      <w:tblPr>
        <w:tblStyle w:val="4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35AF7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14:paraId="25A79B1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12" w:space="0"/>
              <w:left w:val="single" w:color="auto" w:sz="6" w:space="0"/>
              <w:bottom w:val="double" w:color="auto" w:sz="6" w:space="0"/>
              <w:right w:val="single" w:color="auto" w:sz="6" w:space="0"/>
            </w:tcBorders>
          </w:tcPr>
          <w:p w14:paraId="29F6B4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12" w:space="0"/>
              <w:left w:val="single" w:color="auto" w:sz="6" w:space="0"/>
              <w:bottom w:val="double" w:color="auto" w:sz="6" w:space="0"/>
              <w:right w:val="single" w:color="auto" w:sz="6" w:space="0"/>
            </w:tcBorders>
          </w:tcPr>
          <w:p w14:paraId="7873997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12" w:space="0"/>
              <w:left w:val="single" w:color="auto" w:sz="6" w:space="0"/>
              <w:bottom w:val="double" w:color="auto" w:sz="6" w:space="0"/>
              <w:right w:val="single" w:color="auto" w:sz="6" w:space="0"/>
            </w:tcBorders>
          </w:tcPr>
          <w:p w14:paraId="05D3B0C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12" w:space="0"/>
              <w:left w:val="single" w:color="auto" w:sz="6" w:space="0"/>
              <w:bottom w:val="double" w:color="auto" w:sz="6" w:space="0"/>
              <w:right w:val="single" w:color="auto" w:sz="6" w:space="0"/>
            </w:tcBorders>
          </w:tcPr>
          <w:p w14:paraId="25321C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12" w:space="0"/>
              <w:left w:val="single" w:color="auto" w:sz="6" w:space="0"/>
              <w:bottom w:val="double" w:color="auto" w:sz="6" w:space="0"/>
              <w:right w:val="single" w:color="auto" w:sz="6" w:space="0"/>
            </w:tcBorders>
          </w:tcPr>
          <w:p w14:paraId="0E8438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12" w:space="0"/>
              <w:left w:val="single" w:color="auto" w:sz="6" w:space="0"/>
              <w:bottom w:val="double" w:color="auto" w:sz="6" w:space="0"/>
              <w:right w:val="single" w:color="auto" w:sz="12" w:space="0"/>
            </w:tcBorders>
          </w:tcPr>
          <w:p w14:paraId="016909F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B7B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270A19A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double" w:color="auto" w:sz="6" w:space="0"/>
              <w:left w:val="single" w:color="auto" w:sz="6" w:space="0"/>
              <w:bottom w:val="single" w:color="auto" w:sz="6" w:space="0"/>
              <w:right w:val="single" w:color="auto" w:sz="6" w:space="0"/>
            </w:tcBorders>
          </w:tcPr>
          <w:p w14:paraId="4986FF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tcPr>
          <w:p w14:paraId="5B00BCD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double" w:color="auto" w:sz="6" w:space="0"/>
              <w:left w:val="single" w:color="auto" w:sz="6" w:space="0"/>
              <w:bottom w:val="single" w:color="auto" w:sz="6" w:space="0"/>
              <w:right w:val="single" w:color="auto" w:sz="6" w:space="0"/>
            </w:tcBorders>
          </w:tcPr>
          <w:p w14:paraId="4658E3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double" w:color="auto" w:sz="6" w:space="0"/>
              <w:left w:val="single" w:color="auto" w:sz="6" w:space="0"/>
              <w:bottom w:val="single" w:color="auto" w:sz="6" w:space="0"/>
              <w:right w:val="single" w:color="auto" w:sz="6" w:space="0"/>
            </w:tcBorders>
          </w:tcPr>
          <w:p w14:paraId="5B1CF1E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tcPr>
          <w:p w14:paraId="0079188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double" w:color="auto" w:sz="6" w:space="0"/>
              <w:left w:val="single" w:color="auto" w:sz="6" w:space="0"/>
              <w:bottom w:val="single" w:color="auto" w:sz="6" w:space="0"/>
              <w:right w:val="single" w:color="auto" w:sz="12" w:space="0"/>
            </w:tcBorders>
          </w:tcPr>
          <w:p w14:paraId="40AF360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BBEFF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4EDAA46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nil"/>
              <w:left w:val="single" w:color="auto" w:sz="6" w:space="0"/>
              <w:bottom w:val="single" w:color="auto" w:sz="6" w:space="0"/>
              <w:right w:val="single" w:color="auto" w:sz="6" w:space="0"/>
            </w:tcBorders>
          </w:tcPr>
          <w:p w14:paraId="34E124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tcPr>
          <w:p w14:paraId="3C4A1D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nil"/>
              <w:left w:val="single" w:color="auto" w:sz="6" w:space="0"/>
              <w:bottom w:val="single" w:color="auto" w:sz="6" w:space="0"/>
              <w:right w:val="single" w:color="auto" w:sz="6" w:space="0"/>
            </w:tcBorders>
          </w:tcPr>
          <w:p w14:paraId="024E36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nil"/>
              <w:left w:val="single" w:color="auto" w:sz="6" w:space="0"/>
              <w:bottom w:val="single" w:color="auto" w:sz="6" w:space="0"/>
              <w:right w:val="single" w:color="auto" w:sz="6" w:space="0"/>
            </w:tcBorders>
          </w:tcPr>
          <w:p w14:paraId="0DA07A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tcPr>
          <w:p w14:paraId="608769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nil"/>
              <w:left w:val="single" w:color="auto" w:sz="6" w:space="0"/>
              <w:bottom w:val="single" w:color="auto" w:sz="6" w:space="0"/>
              <w:right w:val="single" w:color="auto" w:sz="12" w:space="0"/>
            </w:tcBorders>
          </w:tcPr>
          <w:p w14:paraId="45F0A38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681BC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95EF8A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B75E12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44A8D4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B19970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0FC4E6E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FDA03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39CCF28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E566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A32EE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EE3AD4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F7AA7D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F85243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1CC29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705393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1567F1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BCF70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356B57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07C35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80B1A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CF5E3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0189C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2B2EFC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499654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4413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01B7C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99159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83517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7C00C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DA4D3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75BFDE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F289DF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5A60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656DAF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C0384E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6E0F197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44FD75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60630C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6891C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5136F6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D3C5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C7714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F4FA61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DA2F8C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02F987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4CF96F8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837E3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33277EE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4C01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DDD2D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92105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2D512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32ABCD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299BE49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C9D563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B0047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FDBF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14:paraId="0940295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12" w:space="0"/>
              <w:right w:val="single" w:color="auto" w:sz="6" w:space="0"/>
            </w:tcBorders>
          </w:tcPr>
          <w:p w14:paraId="7D7F4CE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12" w:space="0"/>
              <w:right w:val="single" w:color="auto" w:sz="6" w:space="0"/>
            </w:tcBorders>
          </w:tcPr>
          <w:p w14:paraId="17B6AA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12" w:space="0"/>
              <w:right w:val="single" w:color="auto" w:sz="6" w:space="0"/>
            </w:tcBorders>
          </w:tcPr>
          <w:p w14:paraId="55B567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12" w:space="0"/>
              <w:right w:val="single" w:color="auto" w:sz="6" w:space="0"/>
            </w:tcBorders>
          </w:tcPr>
          <w:p w14:paraId="2B45DC1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12" w:space="0"/>
              <w:right w:val="single" w:color="auto" w:sz="6" w:space="0"/>
            </w:tcBorders>
          </w:tcPr>
          <w:p w14:paraId="321809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12" w:space="0"/>
              <w:right w:val="single" w:color="auto" w:sz="12" w:space="0"/>
            </w:tcBorders>
          </w:tcPr>
          <w:p w14:paraId="5F41F1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3540929E">
      <w:pPr>
        <w:spacing w:before="120" w:beforeLines="50" w:after="120" w:afterLines="50" w:line="440" w:lineRule="exact"/>
        <w:ind w:firstLine="420"/>
        <w:jc w:val="center"/>
        <w:rPr>
          <w:rFonts w:ascii="宋体" w:hAnsi="宋体" w:cs="宋体"/>
          <w:color w:val="auto"/>
          <w:sz w:val="21"/>
          <w:szCs w:val="21"/>
          <w:highlight w:val="none"/>
        </w:rPr>
      </w:pPr>
    </w:p>
    <w:p w14:paraId="09458F25">
      <w:pPr>
        <w:spacing w:before="120" w:beforeLines="50" w:after="120" w:afterLines="50" w:line="440" w:lineRule="exact"/>
        <w:ind w:firstLine="480"/>
        <w:jc w:val="center"/>
        <w:rPr>
          <w:rFonts w:ascii="宋体" w:hAnsi="宋体" w:cs="宋体"/>
          <w:color w:val="auto"/>
          <w:szCs w:val="21"/>
          <w:highlight w:val="none"/>
        </w:rPr>
      </w:pPr>
    </w:p>
    <w:p w14:paraId="4C912674">
      <w:pPr>
        <w:spacing w:before="120" w:beforeLines="50" w:after="120" w:afterLines="50" w:line="440" w:lineRule="exact"/>
        <w:ind w:firstLine="480"/>
        <w:jc w:val="center"/>
        <w:rPr>
          <w:rFonts w:ascii="宋体" w:hAnsi="宋体" w:cs="宋体"/>
          <w:color w:val="auto"/>
          <w:szCs w:val="21"/>
          <w:highlight w:val="none"/>
        </w:rPr>
      </w:pPr>
    </w:p>
    <w:p w14:paraId="777D09D4">
      <w:pPr>
        <w:spacing w:before="120" w:beforeLines="50" w:after="120" w:afterLines="50" w:line="440" w:lineRule="exact"/>
        <w:ind w:firstLine="480"/>
        <w:jc w:val="center"/>
        <w:rPr>
          <w:rFonts w:ascii="宋体" w:hAnsi="宋体" w:cs="宋体"/>
          <w:color w:val="auto"/>
          <w:szCs w:val="21"/>
          <w:highlight w:val="none"/>
        </w:rPr>
      </w:pPr>
    </w:p>
    <w:p w14:paraId="12EEF41E">
      <w:pPr>
        <w:spacing w:before="120" w:beforeLines="50" w:after="120" w:afterLines="50" w:line="440" w:lineRule="exact"/>
        <w:ind w:firstLine="480"/>
        <w:jc w:val="center"/>
        <w:rPr>
          <w:rFonts w:ascii="宋体" w:hAnsi="宋体" w:cs="宋体"/>
          <w:color w:val="auto"/>
          <w:szCs w:val="21"/>
          <w:highlight w:val="none"/>
        </w:rPr>
      </w:pPr>
    </w:p>
    <w:p w14:paraId="7417DE2A">
      <w:pPr>
        <w:spacing w:before="120" w:beforeLines="50" w:after="120" w:afterLines="50" w:line="440" w:lineRule="exact"/>
        <w:ind w:firstLine="480"/>
        <w:jc w:val="center"/>
        <w:rPr>
          <w:rFonts w:ascii="宋体" w:hAnsi="宋体" w:cs="宋体"/>
          <w:color w:val="auto"/>
          <w:szCs w:val="21"/>
          <w:highlight w:val="none"/>
        </w:rPr>
      </w:pPr>
    </w:p>
    <w:p w14:paraId="52B2E519">
      <w:pPr>
        <w:spacing w:before="120" w:beforeLines="50" w:after="120" w:afterLines="50" w:line="440" w:lineRule="exact"/>
        <w:ind w:firstLine="480"/>
        <w:jc w:val="center"/>
        <w:rPr>
          <w:rFonts w:ascii="宋体" w:hAnsi="宋体" w:cs="宋体"/>
          <w:color w:val="auto"/>
          <w:szCs w:val="21"/>
          <w:highlight w:val="none"/>
        </w:rPr>
      </w:pPr>
    </w:p>
    <w:p w14:paraId="340BC307">
      <w:pPr>
        <w:spacing w:before="120" w:beforeLines="50" w:after="120" w:afterLines="50" w:line="440" w:lineRule="exact"/>
        <w:ind w:firstLine="480"/>
        <w:jc w:val="center"/>
        <w:rPr>
          <w:rFonts w:ascii="宋体" w:hAnsi="宋体" w:cs="宋体"/>
          <w:color w:val="auto"/>
          <w:szCs w:val="21"/>
          <w:highlight w:val="none"/>
        </w:rPr>
      </w:pPr>
    </w:p>
    <w:p w14:paraId="4245C04E">
      <w:pPr>
        <w:spacing w:before="120" w:beforeLines="50" w:after="120" w:afterLines="50" w:line="440" w:lineRule="exact"/>
        <w:ind w:firstLine="480"/>
        <w:jc w:val="center"/>
        <w:rPr>
          <w:rFonts w:ascii="宋体" w:hAnsi="宋体" w:cs="宋体"/>
          <w:color w:val="auto"/>
          <w:szCs w:val="21"/>
          <w:highlight w:val="none"/>
        </w:rPr>
      </w:pPr>
    </w:p>
    <w:p w14:paraId="08EF453C">
      <w:pPr>
        <w:spacing w:before="120" w:beforeLines="50" w:after="120" w:afterLines="50" w:line="440" w:lineRule="exact"/>
        <w:ind w:firstLine="480"/>
        <w:jc w:val="center"/>
        <w:rPr>
          <w:rFonts w:ascii="宋体" w:hAnsi="宋体" w:cs="宋体"/>
          <w:color w:val="auto"/>
          <w:szCs w:val="21"/>
          <w:highlight w:val="none"/>
        </w:rPr>
      </w:pPr>
    </w:p>
    <w:p w14:paraId="5E3FBA8E">
      <w:pPr>
        <w:widowControl/>
        <w:spacing w:line="240" w:lineRule="auto"/>
        <w:ind w:firstLine="0" w:firstLineChars="0"/>
        <w:jc w:val="left"/>
        <w:rPr>
          <w:rFonts w:ascii="宋体" w:hAnsi="宋体" w:cs="宋体"/>
          <w:color w:val="auto"/>
          <w:szCs w:val="21"/>
          <w:highlight w:val="none"/>
        </w:rPr>
      </w:pPr>
      <w:r>
        <w:rPr>
          <w:rFonts w:ascii="宋体" w:hAnsi="宋体" w:cs="宋体"/>
          <w:color w:val="auto"/>
          <w:szCs w:val="21"/>
          <w:highlight w:val="none"/>
        </w:rPr>
        <w:br w:type="page"/>
      </w:r>
    </w:p>
    <w:p w14:paraId="4DE4B66C">
      <w:pPr>
        <w:spacing w:before="120" w:beforeLines="50" w:after="120" w:afterLines="50" w:line="440" w:lineRule="exact"/>
        <w:ind w:firstLine="480"/>
        <w:jc w:val="center"/>
        <w:rPr>
          <w:rFonts w:ascii="宋体" w:hAnsi="宋体" w:cs="宋体"/>
          <w:color w:val="auto"/>
          <w:szCs w:val="21"/>
          <w:highlight w:val="none"/>
        </w:rPr>
      </w:pPr>
    </w:p>
    <w:p w14:paraId="5A372918">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t>11-2：工程设备暂估价表</w:t>
      </w:r>
    </w:p>
    <w:tbl>
      <w:tblPr>
        <w:tblStyle w:val="4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28199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14:paraId="1130721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12" w:space="0"/>
              <w:left w:val="single" w:color="auto" w:sz="6" w:space="0"/>
              <w:bottom w:val="double" w:color="auto" w:sz="6" w:space="0"/>
              <w:right w:val="single" w:color="auto" w:sz="6" w:space="0"/>
            </w:tcBorders>
          </w:tcPr>
          <w:p w14:paraId="0A956C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12" w:space="0"/>
              <w:left w:val="single" w:color="auto" w:sz="6" w:space="0"/>
              <w:bottom w:val="double" w:color="auto" w:sz="6" w:space="0"/>
              <w:right w:val="single" w:color="auto" w:sz="6" w:space="0"/>
            </w:tcBorders>
          </w:tcPr>
          <w:p w14:paraId="217D4C7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12" w:space="0"/>
              <w:left w:val="single" w:color="auto" w:sz="6" w:space="0"/>
              <w:bottom w:val="double" w:color="auto" w:sz="6" w:space="0"/>
              <w:right w:val="single" w:color="auto" w:sz="6" w:space="0"/>
            </w:tcBorders>
          </w:tcPr>
          <w:p w14:paraId="5EEA912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12" w:space="0"/>
              <w:left w:val="single" w:color="auto" w:sz="6" w:space="0"/>
              <w:bottom w:val="double" w:color="auto" w:sz="6" w:space="0"/>
              <w:right w:val="single" w:color="auto" w:sz="6" w:space="0"/>
            </w:tcBorders>
          </w:tcPr>
          <w:p w14:paraId="67D0241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12" w:space="0"/>
              <w:left w:val="single" w:color="auto" w:sz="6" w:space="0"/>
              <w:bottom w:val="double" w:color="auto" w:sz="6" w:space="0"/>
              <w:right w:val="single" w:color="auto" w:sz="6" w:space="0"/>
            </w:tcBorders>
          </w:tcPr>
          <w:p w14:paraId="37048D4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12" w:space="0"/>
              <w:left w:val="single" w:color="auto" w:sz="6" w:space="0"/>
              <w:bottom w:val="double" w:color="auto" w:sz="6" w:space="0"/>
              <w:right w:val="single" w:color="auto" w:sz="12" w:space="0"/>
            </w:tcBorders>
          </w:tcPr>
          <w:p w14:paraId="44AC7B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6377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797F41C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double" w:color="auto" w:sz="6" w:space="0"/>
              <w:left w:val="single" w:color="auto" w:sz="6" w:space="0"/>
              <w:bottom w:val="single" w:color="auto" w:sz="6" w:space="0"/>
              <w:right w:val="single" w:color="auto" w:sz="6" w:space="0"/>
            </w:tcBorders>
          </w:tcPr>
          <w:p w14:paraId="220BBDC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tcPr>
          <w:p w14:paraId="377D05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double" w:color="auto" w:sz="6" w:space="0"/>
              <w:left w:val="single" w:color="auto" w:sz="6" w:space="0"/>
              <w:bottom w:val="single" w:color="auto" w:sz="6" w:space="0"/>
              <w:right w:val="single" w:color="auto" w:sz="6" w:space="0"/>
            </w:tcBorders>
          </w:tcPr>
          <w:p w14:paraId="524F1A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double" w:color="auto" w:sz="6" w:space="0"/>
              <w:left w:val="single" w:color="auto" w:sz="6" w:space="0"/>
              <w:bottom w:val="single" w:color="auto" w:sz="6" w:space="0"/>
              <w:right w:val="single" w:color="auto" w:sz="6" w:space="0"/>
            </w:tcBorders>
          </w:tcPr>
          <w:p w14:paraId="3FB204F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tcPr>
          <w:p w14:paraId="2B7592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double" w:color="auto" w:sz="6" w:space="0"/>
              <w:left w:val="single" w:color="auto" w:sz="6" w:space="0"/>
              <w:bottom w:val="single" w:color="auto" w:sz="6" w:space="0"/>
              <w:right w:val="single" w:color="auto" w:sz="12" w:space="0"/>
            </w:tcBorders>
          </w:tcPr>
          <w:p w14:paraId="58948EC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6F9DC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29C564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nil"/>
              <w:left w:val="single" w:color="auto" w:sz="6" w:space="0"/>
              <w:bottom w:val="single" w:color="auto" w:sz="6" w:space="0"/>
              <w:right w:val="single" w:color="auto" w:sz="6" w:space="0"/>
            </w:tcBorders>
          </w:tcPr>
          <w:p w14:paraId="14AC160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tcPr>
          <w:p w14:paraId="28D5DA7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nil"/>
              <w:left w:val="single" w:color="auto" w:sz="6" w:space="0"/>
              <w:bottom w:val="single" w:color="auto" w:sz="6" w:space="0"/>
              <w:right w:val="single" w:color="auto" w:sz="6" w:space="0"/>
            </w:tcBorders>
          </w:tcPr>
          <w:p w14:paraId="2F2BE65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nil"/>
              <w:left w:val="single" w:color="auto" w:sz="6" w:space="0"/>
              <w:bottom w:val="single" w:color="auto" w:sz="6" w:space="0"/>
              <w:right w:val="single" w:color="auto" w:sz="6" w:space="0"/>
            </w:tcBorders>
          </w:tcPr>
          <w:p w14:paraId="42309E4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tcPr>
          <w:p w14:paraId="5E33E6B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nil"/>
              <w:left w:val="single" w:color="auto" w:sz="6" w:space="0"/>
              <w:bottom w:val="single" w:color="auto" w:sz="6" w:space="0"/>
              <w:right w:val="single" w:color="auto" w:sz="12" w:space="0"/>
            </w:tcBorders>
          </w:tcPr>
          <w:p w14:paraId="082824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5CA50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A7CE16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3E0FD9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96D98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0C8999C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5DD183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DF70DA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9D2F2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BE554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15FD1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407869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FC2303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7C133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29D54D5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7704F6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46F463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E352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7E8300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21887CB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C24C35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9675C3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0D4981E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80824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B6935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C330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798DB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E3342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F8046B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0725DBA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2689B9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224D3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29E04BA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9D01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072352C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12C555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CD2E6C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51EB9FE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763462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688089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BBE2CF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0355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EC4E11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1FC779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D83B65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40F6F82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D9AD43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7CB6E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266E39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35F14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9AC728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7B1FC3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22557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D93A5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433A4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C2C8A8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33CB8FF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593B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18F4E5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1BC5F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729954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F5C7B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A0D7C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25C717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F798F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DF1B2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14:paraId="3FAEDF7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12" w:space="0"/>
              <w:right w:val="single" w:color="auto" w:sz="6" w:space="0"/>
            </w:tcBorders>
          </w:tcPr>
          <w:p w14:paraId="32C050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12" w:space="0"/>
              <w:right w:val="single" w:color="auto" w:sz="6" w:space="0"/>
            </w:tcBorders>
          </w:tcPr>
          <w:p w14:paraId="16DBDC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12" w:space="0"/>
              <w:right w:val="single" w:color="auto" w:sz="6" w:space="0"/>
            </w:tcBorders>
          </w:tcPr>
          <w:p w14:paraId="0BB313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12" w:space="0"/>
              <w:right w:val="single" w:color="auto" w:sz="6" w:space="0"/>
            </w:tcBorders>
          </w:tcPr>
          <w:p w14:paraId="700E129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12" w:space="0"/>
              <w:right w:val="single" w:color="auto" w:sz="6" w:space="0"/>
            </w:tcBorders>
          </w:tcPr>
          <w:p w14:paraId="66EC677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12" w:space="0"/>
              <w:right w:val="single" w:color="auto" w:sz="12" w:space="0"/>
            </w:tcBorders>
          </w:tcPr>
          <w:p w14:paraId="164987F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5C55B836">
      <w:pPr>
        <w:spacing w:line="440" w:lineRule="exact"/>
        <w:ind w:firstLine="420"/>
        <w:rPr>
          <w:rFonts w:ascii="宋体" w:hAnsi="宋体" w:cs="宋体"/>
          <w:color w:val="auto"/>
          <w:sz w:val="21"/>
          <w:szCs w:val="21"/>
          <w:highlight w:val="none"/>
        </w:rPr>
      </w:pPr>
    </w:p>
    <w:p w14:paraId="5F88E28E">
      <w:pPr>
        <w:spacing w:before="120" w:beforeLines="50" w:after="120" w:afterLines="50" w:line="440" w:lineRule="exact"/>
        <w:ind w:firstLine="480"/>
        <w:jc w:val="center"/>
        <w:rPr>
          <w:rFonts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11-3：专业工程暂估价表</w:t>
      </w:r>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0349E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left w:val="single" w:color="auto" w:sz="12" w:space="0"/>
              <w:bottom w:val="double" w:color="auto" w:sz="6" w:space="0"/>
              <w:right w:val="single" w:color="auto" w:sz="6" w:space="0"/>
            </w:tcBorders>
          </w:tcPr>
          <w:p w14:paraId="216853D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12" w:space="0"/>
              <w:left w:val="single" w:color="auto" w:sz="6" w:space="0"/>
              <w:bottom w:val="double" w:color="auto" w:sz="6" w:space="0"/>
              <w:right w:val="single" w:color="auto" w:sz="6" w:space="0"/>
            </w:tcBorders>
          </w:tcPr>
          <w:p w14:paraId="3A65AC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12" w:space="0"/>
              <w:left w:val="single" w:color="auto" w:sz="6" w:space="0"/>
              <w:bottom w:val="double" w:color="auto" w:sz="6" w:space="0"/>
              <w:right w:val="single" w:color="auto" w:sz="6" w:space="0"/>
            </w:tcBorders>
          </w:tcPr>
          <w:p w14:paraId="698886C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12" w:space="0"/>
              <w:left w:val="single" w:color="auto" w:sz="6" w:space="0"/>
              <w:bottom w:val="double" w:color="auto" w:sz="6" w:space="0"/>
              <w:right w:val="single" w:color="auto" w:sz="6" w:space="0"/>
            </w:tcBorders>
          </w:tcPr>
          <w:p w14:paraId="35A8AED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12" w:space="0"/>
              <w:left w:val="single" w:color="auto" w:sz="6" w:space="0"/>
              <w:bottom w:val="double" w:color="auto" w:sz="6" w:space="0"/>
              <w:right w:val="single" w:color="auto" w:sz="6" w:space="0"/>
            </w:tcBorders>
          </w:tcPr>
          <w:p w14:paraId="2347EFF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12" w:space="0"/>
              <w:left w:val="single" w:color="auto" w:sz="6" w:space="0"/>
              <w:bottom w:val="double" w:color="auto" w:sz="6" w:space="0"/>
              <w:right w:val="single" w:color="auto" w:sz="6" w:space="0"/>
            </w:tcBorders>
          </w:tcPr>
          <w:p w14:paraId="19CE386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12" w:space="0"/>
              <w:left w:val="single" w:color="auto" w:sz="6" w:space="0"/>
              <w:bottom w:val="double" w:color="auto" w:sz="6" w:space="0"/>
              <w:right w:val="single" w:color="auto" w:sz="12" w:space="0"/>
            </w:tcBorders>
          </w:tcPr>
          <w:p w14:paraId="1757183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3D76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left w:val="single" w:color="auto" w:sz="12" w:space="0"/>
              <w:bottom w:val="single" w:color="auto" w:sz="6" w:space="0"/>
              <w:right w:val="single" w:color="auto" w:sz="6" w:space="0"/>
            </w:tcBorders>
          </w:tcPr>
          <w:p w14:paraId="44EDBE1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double" w:color="auto" w:sz="6" w:space="0"/>
              <w:left w:val="single" w:color="auto" w:sz="6" w:space="0"/>
              <w:bottom w:val="single" w:color="auto" w:sz="6" w:space="0"/>
              <w:right w:val="single" w:color="auto" w:sz="6" w:space="0"/>
            </w:tcBorders>
          </w:tcPr>
          <w:p w14:paraId="6FA173E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double" w:color="auto" w:sz="6" w:space="0"/>
              <w:left w:val="single" w:color="auto" w:sz="6" w:space="0"/>
              <w:bottom w:val="single" w:color="auto" w:sz="6" w:space="0"/>
              <w:right w:val="single" w:color="auto" w:sz="6" w:space="0"/>
            </w:tcBorders>
          </w:tcPr>
          <w:p w14:paraId="1FE7908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double" w:color="auto" w:sz="6" w:space="0"/>
              <w:left w:val="single" w:color="auto" w:sz="6" w:space="0"/>
              <w:bottom w:val="single" w:color="auto" w:sz="6" w:space="0"/>
              <w:right w:val="single" w:color="auto" w:sz="6" w:space="0"/>
            </w:tcBorders>
          </w:tcPr>
          <w:p w14:paraId="11A136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double" w:color="auto" w:sz="6" w:space="0"/>
              <w:left w:val="single" w:color="auto" w:sz="6" w:space="0"/>
              <w:bottom w:val="single" w:color="auto" w:sz="6" w:space="0"/>
              <w:right w:val="single" w:color="auto" w:sz="6" w:space="0"/>
            </w:tcBorders>
          </w:tcPr>
          <w:p w14:paraId="70C7192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double" w:color="auto" w:sz="6" w:space="0"/>
              <w:left w:val="single" w:color="auto" w:sz="6" w:space="0"/>
              <w:bottom w:val="single" w:color="auto" w:sz="6" w:space="0"/>
              <w:right w:val="single" w:color="auto" w:sz="6" w:space="0"/>
            </w:tcBorders>
          </w:tcPr>
          <w:p w14:paraId="211C71B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double" w:color="auto" w:sz="6" w:space="0"/>
              <w:left w:val="single" w:color="auto" w:sz="6" w:space="0"/>
              <w:bottom w:val="single" w:color="auto" w:sz="6" w:space="0"/>
              <w:right w:val="single" w:color="auto" w:sz="12" w:space="0"/>
            </w:tcBorders>
          </w:tcPr>
          <w:p w14:paraId="5B443C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9685E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left w:val="single" w:color="auto" w:sz="12" w:space="0"/>
              <w:bottom w:val="single" w:color="auto" w:sz="6" w:space="0"/>
              <w:right w:val="single" w:color="auto" w:sz="6" w:space="0"/>
            </w:tcBorders>
          </w:tcPr>
          <w:p w14:paraId="5AE691C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nil"/>
              <w:left w:val="single" w:color="auto" w:sz="6" w:space="0"/>
              <w:bottom w:val="single" w:color="auto" w:sz="6" w:space="0"/>
              <w:right w:val="single" w:color="auto" w:sz="6" w:space="0"/>
            </w:tcBorders>
          </w:tcPr>
          <w:p w14:paraId="5A73839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nil"/>
              <w:left w:val="single" w:color="auto" w:sz="6" w:space="0"/>
              <w:bottom w:val="single" w:color="auto" w:sz="6" w:space="0"/>
              <w:right w:val="single" w:color="auto" w:sz="6" w:space="0"/>
            </w:tcBorders>
          </w:tcPr>
          <w:p w14:paraId="1C8D15B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nil"/>
              <w:left w:val="single" w:color="auto" w:sz="6" w:space="0"/>
              <w:bottom w:val="single" w:color="auto" w:sz="6" w:space="0"/>
              <w:right w:val="single" w:color="auto" w:sz="6" w:space="0"/>
            </w:tcBorders>
          </w:tcPr>
          <w:p w14:paraId="6B862A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nil"/>
              <w:left w:val="single" w:color="auto" w:sz="6" w:space="0"/>
              <w:bottom w:val="single" w:color="auto" w:sz="6" w:space="0"/>
              <w:right w:val="single" w:color="auto" w:sz="6" w:space="0"/>
            </w:tcBorders>
          </w:tcPr>
          <w:p w14:paraId="151C2C3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nil"/>
              <w:left w:val="single" w:color="auto" w:sz="6" w:space="0"/>
              <w:bottom w:val="single" w:color="auto" w:sz="6" w:space="0"/>
              <w:right w:val="single" w:color="auto" w:sz="6" w:space="0"/>
            </w:tcBorders>
          </w:tcPr>
          <w:p w14:paraId="74D9C3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nil"/>
              <w:left w:val="single" w:color="auto" w:sz="6" w:space="0"/>
              <w:bottom w:val="single" w:color="auto" w:sz="6" w:space="0"/>
              <w:right w:val="single" w:color="auto" w:sz="12" w:space="0"/>
            </w:tcBorders>
          </w:tcPr>
          <w:p w14:paraId="6137814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5DDC7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3F20A8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78B255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023CF2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08CEB12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7C6F28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4F80991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37E78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AAA7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5848FE7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357EAD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ED8DD0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40A3FB6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DEFAE0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EF40AB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34B4B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50A8B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07D0D38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150ADD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F295D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30E88C5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45CF59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D478C9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1CE9165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352D5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093B88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6E1BDEE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E430A2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CE84F1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72FA4B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29CEB52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A088D9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1F9F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7822AB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7AD227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811133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21AFDD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008931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2A42492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BFE331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7843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CBFEBC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9C3D70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91CFCD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81B862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42F6C17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F69B6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57D8C3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CDFEA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CC0016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7D02542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5D62916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97078A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AD26C6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5955FF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E8E870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6FC173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552660E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C60B1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6492A3B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89EDEC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31D516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6BE3B9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B01D12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08362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6B862BE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54E9E9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42631A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484C0C7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288622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3CD4D56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4C0C200B">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2F14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215030D2">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C6D9D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4455C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3FFE50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B023B7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4FB15DF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26DA21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2A45F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C87539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0E9D8B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D02BB4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7CD6EB6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C10D39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C92ECC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B915CD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D284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6E9F9A6">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191B30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432E8D2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6BE9656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73E443F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1711087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037EA90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77F67A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7C32B9C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410D6F9E">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3B7FCAF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3099C23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15BC8E1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7DA33D6C">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7A78663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24B04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45CBA8A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11164E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359F800">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D8BBCF1">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64DC321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6E7A22D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5E98BDA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406E68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1AA7F8D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39023CFA">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25EA19B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20EA361D">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542AB0D4">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04CE9AFF">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051CE44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r w14:paraId="147EF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6" w:space="0"/>
              <w:left w:val="single" w:color="auto" w:sz="12" w:space="0"/>
              <w:bottom w:val="single" w:color="auto" w:sz="6" w:space="0"/>
              <w:right w:val="single" w:color="auto" w:sz="6" w:space="0"/>
            </w:tcBorders>
          </w:tcPr>
          <w:p w14:paraId="669CDEB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984" w:type="dxa"/>
            <w:tcBorders>
              <w:top w:val="single" w:color="auto" w:sz="6" w:space="0"/>
              <w:left w:val="single" w:color="auto" w:sz="6" w:space="0"/>
              <w:bottom w:val="single" w:color="auto" w:sz="6" w:space="0"/>
              <w:right w:val="single" w:color="auto" w:sz="6" w:space="0"/>
            </w:tcBorders>
          </w:tcPr>
          <w:p w14:paraId="2B195645">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851" w:type="dxa"/>
            <w:tcBorders>
              <w:top w:val="single" w:color="auto" w:sz="6" w:space="0"/>
              <w:left w:val="single" w:color="auto" w:sz="6" w:space="0"/>
              <w:bottom w:val="single" w:color="auto" w:sz="6" w:space="0"/>
              <w:right w:val="single" w:color="auto" w:sz="6" w:space="0"/>
            </w:tcBorders>
          </w:tcPr>
          <w:p w14:paraId="060F609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774" w:type="dxa"/>
            <w:tcBorders>
              <w:top w:val="single" w:color="auto" w:sz="6" w:space="0"/>
              <w:left w:val="single" w:color="auto" w:sz="6" w:space="0"/>
              <w:bottom w:val="single" w:color="auto" w:sz="6" w:space="0"/>
              <w:right w:val="single" w:color="auto" w:sz="6" w:space="0"/>
            </w:tcBorders>
          </w:tcPr>
          <w:p w14:paraId="16F984A8">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352" w:type="dxa"/>
            <w:tcBorders>
              <w:top w:val="single" w:color="auto" w:sz="6" w:space="0"/>
              <w:left w:val="single" w:color="auto" w:sz="6" w:space="0"/>
              <w:bottom w:val="single" w:color="auto" w:sz="6" w:space="0"/>
              <w:right w:val="single" w:color="auto" w:sz="6" w:space="0"/>
            </w:tcBorders>
          </w:tcPr>
          <w:p w14:paraId="7D62E7E9">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418" w:type="dxa"/>
            <w:tcBorders>
              <w:top w:val="single" w:color="auto" w:sz="6" w:space="0"/>
              <w:left w:val="single" w:color="auto" w:sz="6" w:space="0"/>
              <w:bottom w:val="single" w:color="auto" w:sz="6" w:space="0"/>
              <w:right w:val="single" w:color="auto" w:sz="6" w:space="0"/>
            </w:tcBorders>
          </w:tcPr>
          <w:p w14:paraId="5667CF67">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c>
          <w:tcPr>
            <w:tcW w:w="1701" w:type="dxa"/>
            <w:tcBorders>
              <w:top w:val="single" w:color="auto" w:sz="6" w:space="0"/>
              <w:left w:val="single" w:color="auto" w:sz="6" w:space="0"/>
              <w:bottom w:val="single" w:color="auto" w:sz="6" w:space="0"/>
              <w:right w:val="single" w:color="auto" w:sz="12" w:space="0"/>
            </w:tcBorders>
          </w:tcPr>
          <w:p w14:paraId="678C82B3">
            <w:pPr>
              <w:keepNext/>
              <w:autoSpaceDE w:val="0"/>
              <w:autoSpaceDN w:val="0"/>
              <w:spacing w:line="440" w:lineRule="exact"/>
              <w:ind w:left="420" w:right="63" w:firstLine="0" w:firstLineChars="0"/>
              <w:jc w:val="left"/>
              <w:rPr>
                <w:rFonts w:ascii="宋体" w:hAnsi="宋体" w:cs="宋体"/>
                <w:color w:val="auto"/>
                <w:sz w:val="21"/>
                <w:szCs w:val="21"/>
                <w:highlight w:val="none"/>
                <w:lang w:bidi="zh-CN"/>
              </w:rPr>
            </w:pPr>
          </w:p>
        </w:tc>
      </w:tr>
    </w:tbl>
    <w:p w14:paraId="65C4694A">
      <w:pPr>
        <w:snapToGrid w:val="0"/>
        <w:spacing w:line="360" w:lineRule="exact"/>
        <w:ind w:right="480" w:firstLine="420"/>
        <w:rPr>
          <w:rFonts w:ascii="宋体" w:hAnsi="宋体" w:cs="宋体"/>
          <w:bCs/>
          <w:color w:val="auto"/>
          <w:sz w:val="21"/>
          <w:szCs w:val="21"/>
          <w:highlight w:val="none"/>
        </w:rPr>
      </w:pPr>
    </w:p>
    <w:p w14:paraId="3B082A54">
      <w:pPr>
        <w:snapToGrid w:val="0"/>
        <w:spacing w:line="360" w:lineRule="exact"/>
        <w:ind w:right="480" w:firstLine="480"/>
        <w:rPr>
          <w:rFonts w:ascii="宋体" w:hAnsi="宋体" w:cs="宋体"/>
          <w:bCs/>
          <w:color w:val="auto"/>
          <w:szCs w:val="21"/>
          <w:highlight w:val="none"/>
        </w:rPr>
      </w:pPr>
    </w:p>
    <w:p w14:paraId="434CA850">
      <w:pPr>
        <w:ind w:firstLine="643"/>
        <w:jc w:val="center"/>
        <w:rPr>
          <w:rFonts w:ascii="宋体" w:hAnsi="宋体" w:cs="宋体"/>
          <w:b/>
          <w:bCs/>
          <w:color w:val="auto"/>
          <w:kern w:val="44"/>
          <w:sz w:val="32"/>
          <w:szCs w:val="32"/>
          <w:highlight w:val="none"/>
          <w:lang w:val="zh-CN"/>
        </w:rPr>
      </w:pPr>
    </w:p>
    <w:p w14:paraId="6EE1F00F">
      <w:pPr>
        <w:spacing w:line="380" w:lineRule="exact"/>
        <w:ind w:firstLine="0" w:firstLineChars="0"/>
        <w:jc w:val="left"/>
        <w:rPr>
          <w:rFonts w:ascii="宋体" w:hAnsi="Calibri"/>
          <w:b/>
          <w:bCs/>
          <w:color w:val="auto"/>
          <w:sz w:val="32"/>
          <w:szCs w:val="24"/>
          <w:highlight w:val="none"/>
        </w:rPr>
      </w:pPr>
    </w:p>
    <w:p w14:paraId="6CC357F9">
      <w:pPr>
        <w:spacing w:line="380" w:lineRule="exact"/>
        <w:ind w:firstLine="0" w:firstLineChars="0"/>
        <w:jc w:val="left"/>
        <w:rPr>
          <w:rFonts w:ascii="宋体" w:hAnsi="Calibri"/>
          <w:b/>
          <w:bCs/>
          <w:color w:val="auto"/>
          <w:sz w:val="32"/>
          <w:szCs w:val="24"/>
          <w:highlight w:val="none"/>
        </w:rPr>
      </w:pPr>
    </w:p>
    <w:p w14:paraId="1D12D449">
      <w:pPr>
        <w:spacing w:line="380" w:lineRule="exact"/>
        <w:ind w:firstLine="0" w:firstLineChars="0"/>
        <w:jc w:val="left"/>
        <w:rPr>
          <w:rFonts w:ascii="宋体" w:hAnsi="Calibri"/>
          <w:b/>
          <w:bCs/>
          <w:color w:val="auto"/>
          <w:sz w:val="32"/>
          <w:szCs w:val="24"/>
          <w:highlight w:val="none"/>
        </w:rPr>
      </w:pPr>
    </w:p>
    <w:p w14:paraId="7666AC7D">
      <w:pPr>
        <w:spacing w:line="380" w:lineRule="exact"/>
        <w:ind w:firstLine="0" w:firstLineChars="0"/>
        <w:jc w:val="left"/>
        <w:rPr>
          <w:rFonts w:ascii="宋体" w:hAnsi="Calibri"/>
          <w:b/>
          <w:bCs/>
          <w:color w:val="auto"/>
          <w:sz w:val="32"/>
          <w:szCs w:val="24"/>
          <w:highlight w:val="none"/>
        </w:rPr>
      </w:pPr>
    </w:p>
    <w:p w14:paraId="5BF42B8C">
      <w:pPr>
        <w:spacing w:line="380" w:lineRule="exact"/>
        <w:ind w:firstLine="0" w:firstLineChars="0"/>
        <w:jc w:val="left"/>
        <w:rPr>
          <w:rFonts w:ascii="宋体" w:hAnsi="Calibri"/>
          <w:b/>
          <w:bCs/>
          <w:color w:val="auto"/>
          <w:sz w:val="32"/>
          <w:szCs w:val="24"/>
          <w:highlight w:val="none"/>
        </w:rPr>
      </w:pPr>
    </w:p>
    <w:p w14:paraId="413788AE">
      <w:pPr>
        <w:snapToGrid w:val="0"/>
        <w:spacing w:line="400" w:lineRule="exact"/>
        <w:ind w:firstLine="0" w:firstLineChars="0"/>
        <w:rPr>
          <w:rFonts w:ascii="宋体" w:hAnsi="宋体" w:cs="宋体"/>
          <w:b/>
          <w:bCs/>
          <w:color w:val="auto"/>
          <w:sz w:val="32"/>
          <w:szCs w:val="32"/>
          <w:highlight w:val="none"/>
        </w:rPr>
      </w:pPr>
    </w:p>
    <w:sectPr>
      <w:headerReference r:id="rId19" w:type="first"/>
      <w:footerReference r:id="rId22" w:type="first"/>
      <w:headerReference r:id="rId17" w:type="default"/>
      <w:footerReference r:id="rId20" w:type="default"/>
      <w:headerReference r:id="rId18" w:type="even"/>
      <w:footerReference r:id="rId21" w:type="even"/>
      <w:pgSz w:w="11907" w:h="16840"/>
      <w:pgMar w:top="1440" w:right="1440" w:bottom="1440" w:left="1797" w:header="851" w:footer="85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7440374-FDD5-4AD0-9690-40A58F345C3A}"/>
  </w:font>
  <w:font w:name="Courier New">
    <w:panose1 w:val="02070309020205020404"/>
    <w:charset w:val="01"/>
    <w:family w:val="modern"/>
    <w:pitch w:val="default"/>
    <w:sig w:usb0="E0002AFF" w:usb1="C0007843" w:usb2="00000009" w:usb3="00000000" w:csb0="400001FF" w:csb1="FFFF0000"/>
    <w:embedRegular r:id="rId2" w:fontKey="{BD41002F-1FC1-4F81-ABBD-CFE5E91B56B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0EE9573-6CF4-4453-AC89-A074DC7B9C63}"/>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95FCD1D4-A987-474D-9578-9D74AAF2A1EC}"/>
  </w:font>
  <w:font w:name="MingLiU">
    <w:panose1 w:val="02020509000000000000"/>
    <w:charset w:val="88"/>
    <w:family w:val="modern"/>
    <w:pitch w:val="default"/>
    <w:sig w:usb0="A00002FF" w:usb1="28CFFCFA" w:usb2="00000016" w:usb3="00000000" w:csb0="00100001" w:csb1="00000000"/>
  </w:font>
  <w:font w:name="华文新魏">
    <w:panose1 w:val="02010800040101010101"/>
    <w:charset w:val="86"/>
    <w:family w:val="auto"/>
    <w:pitch w:val="default"/>
    <w:sig w:usb0="00000001" w:usb1="080F0000" w:usb2="00000000" w:usb3="00000000" w:csb0="00040000" w:csb1="00000000"/>
    <w:embedRegular r:id="rId5" w:fontKey="{F84FBEB4-794B-4400-AD30-A622E973A404}"/>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embedRegular r:id="rId6" w:fontKey="{7FF61E93-E638-4C13-BF93-12F093408B8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embedRegular r:id="rId7" w:fontKey="{FA170618-D273-4A7D-AE8F-3543C8CA9D0C}"/>
  </w:font>
  <w:font w:name="文鼎中隶简">
    <w:altName w:val="隶书"/>
    <w:panose1 w:val="00000000000000000000"/>
    <w:charset w:val="86"/>
    <w:family w:val="modern"/>
    <w:pitch w:val="default"/>
    <w:sig w:usb0="00000000" w:usb1="00000000" w:usb2="00000000" w:usb3="00000000" w:csb0="00040001" w:csb1="00000000"/>
    <w:embedRegular r:id="rId8" w:fontKey="{FD516117-4AC1-4AD2-931B-677CB7D8846D}"/>
  </w:font>
  <w:font w:name="隶书">
    <w:panose1 w:val="02010509060101010101"/>
    <w:charset w:val="86"/>
    <w:family w:val="auto"/>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9" w:fontKey="{49995DF8-49AB-4A24-BEF3-A4971ACF2E2C}"/>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0F82F">
    <w:pPr>
      <w:pStyle w:val="31"/>
      <w:ind w:firstLine="360"/>
      <w:jc w:val="center"/>
    </w:pPr>
    <w:r>
      <w:fldChar w:fldCharType="begin"/>
    </w:r>
    <w:r>
      <w:instrText xml:space="preserve"> PAGE   \* MERGEFORMAT </w:instrText>
    </w:r>
    <w:r>
      <w:fldChar w:fldCharType="separate"/>
    </w:r>
    <w:r>
      <w:rPr>
        <w:lang w:val="zh-CN"/>
      </w:rPr>
      <w:t>11</w:t>
    </w:r>
    <w:r>
      <w:rPr>
        <w:lang w:val="zh-CN"/>
      </w:rPr>
      <w:fldChar w:fldCharType="end"/>
    </w:r>
  </w:p>
  <w:p w14:paraId="3F9DF918">
    <w:pPr>
      <w:pStyle w:val="3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73214">
    <w:pPr>
      <w:pStyle w:val="31"/>
      <w:framePr w:wrap="around" w:vAnchor="text" w:hAnchor="margin" w:xAlign="center" w:y="1"/>
      <w:ind w:firstLine="360"/>
      <w:rPr>
        <w:rStyle w:val="52"/>
      </w:rPr>
    </w:pPr>
    <w:r>
      <w:fldChar w:fldCharType="begin"/>
    </w:r>
    <w:r>
      <w:rPr>
        <w:rStyle w:val="52"/>
      </w:rPr>
      <w:instrText xml:space="preserve">PAGE  </w:instrText>
    </w:r>
    <w:r>
      <w:fldChar w:fldCharType="separate"/>
    </w:r>
    <w:r>
      <w:rPr>
        <w:rStyle w:val="52"/>
      </w:rPr>
      <w:t>12</w:t>
    </w:r>
    <w:r>
      <w:fldChar w:fldCharType="end"/>
    </w:r>
  </w:p>
  <w:p w14:paraId="76191370">
    <w:pPr>
      <w:pStyle w:val="3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707EB">
    <w:pPr>
      <w:pStyle w:val="3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0" b="0"/>
              <wp:wrapNone/>
              <wp:docPr id="4" name="文本框 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a:effectLst/>
                    </wps:spPr>
                    <wps:txbx>
                      <w:txbxContent>
                        <w:p w14:paraId="022B8600">
                          <w:pPr>
                            <w:ind w:firstLine="480"/>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5.5pt;width:22.55pt;mso-position-horizontal:center;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IxZx9EAAAADAQAADwAAAAAAAAABACAAAAAiAAAA&#10;ZHJzL2Rvd25yZXYueG1sUEsBAhQAFAAAAAgAh07iQJJSGCHVAQAApQMAAA4AAAAAAAAAAQAgAAAA&#10;IAEAAGRycy9lMm9Eb2MueG1sUEsFBgAAAAAGAAYAWQEAAGcFAAAAAA==&#10;">
              <v:fill on="f" focussize="0,0"/>
              <v:stroke on="f"/>
              <v:imagedata o:title=""/>
              <o:lock v:ext="edit" aspectratio="f"/>
              <v:textbox inset="0mm,0mm,0mm,0mm" style="mso-fit-shape-to-text:t;">
                <w:txbxContent>
                  <w:p w14:paraId="022B8600">
                    <w:pPr>
                      <w:ind w:firstLine="48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5EF27">
    <w:pPr>
      <w:pStyle w:val="31"/>
      <w:framePr w:wrap="around" w:vAnchor="text" w:hAnchor="margin" w:xAlign="center" w:y="1"/>
      <w:ind w:firstLine="360"/>
      <w:rPr>
        <w:rStyle w:val="52"/>
      </w:rPr>
    </w:pPr>
    <w:r>
      <w:fldChar w:fldCharType="begin"/>
    </w:r>
    <w:r>
      <w:rPr>
        <w:rStyle w:val="52"/>
      </w:rPr>
      <w:instrText xml:space="preserve">PAGE  </w:instrText>
    </w:r>
    <w:r>
      <w:fldChar w:fldCharType="separate"/>
    </w:r>
    <w:r>
      <w:rPr>
        <w:rStyle w:val="52"/>
      </w:rPr>
      <w:t>133</w:t>
    </w:r>
    <w:r>
      <w:fldChar w:fldCharType="end"/>
    </w:r>
  </w:p>
  <w:p w14:paraId="522472A6">
    <w:pPr>
      <w:pStyle w:val="31"/>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76981">
    <w:pPr>
      <w:pStyle w:val="31"/>
      <w:framePr w:wrap="around" w:vAnchor="text" w:hAnchor="margin" w:xAlign="center" w:y="1"/>
      <w:ind w:firstLine="360"/>
      <w:rPr>
        <w:rStyle w:val="52"/>
      </w:rPr>
    </w:pPr>
    <w:r>
      <w:fldChar w:fldCharType="begin"/>
    </w:r>
    <w:r>
      <w:rPr>
        <w:rStyle w:val="52"/>
      </w:rPr>
      <w:instrText xml:space="preserve">PAGE  </w:instrText>
    </w:r>
    <w:r>
      <w:fldChar w:fldCharType="separate"/>
    </w:r>
    <w:r>
      <w:rPr>
        <w:rStyle w:val="52"/>
      </w:rPr>
      <w:t>132</w:t>
    </w:r>
    <w:r>
      <w:fldChar w:fldCharType="end"/>
    </w:r>
  </w:p>
  <w:p w14:paraId="21D72BFE">
    <w:pPr>
      <w:pStyle w:val="31"/>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A95ED">
    <w:pPr>
      <w:pStyle w:val="31"/>
      <w:ind w:firstLine="360"/>
      <w:jc w:val="center"/>
    </w:pPr>
    <w:r>
      <w:fldChar w:fldCharType="begin"/>
    </w:r>
    <w:r>
      <w:instrText xml:space="preserve"> PAGE   \* MERGEFORMAT </w:instrText>
    </w:r>
    <w:r>
      <w:fldChar w:fldCharType="separate"/>
    </w:r>
    <w:r>
      <w:rPr>
        <w:lang w:val="zh-CN"/>
      </w:rPr>
      <w:t>1</w:t>
    </w:r>
    <w:r>
      <w:rPr>
        <w:lang w:val="zh-CN"/>
      </w:rPr>
      <w:fldChar w:fldCharType="end"/>
    </w:r>
  </w:p>
  <w:p w14:paraId="5A5687C7">
    <w:pPr>
      <w:pStyle w:val="3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D0582">
    <w:pPr>
      <w:pStyle w:val="31"/>
      <w:ind w:firstLine="360"/>
      <w:jc w:val="center"/>
    </w:pPr>
    <w:r>
      <w:fldChar w:fldCharType="begin"/>
    </w:r>
    <w:r>
      <w:instrText xml:space="preserve"> PAGE   \* MERGEFORMAT </w:instrText>
    </w:r>
    <w:r>
      <w:fldChar w:fldCharType="separate"/>
    </w:r>
    <w:r>
      <w:rPr>
        <w:lang w:val="zh-CN"/>
      </w:rPr>
      <w:t>147</w:t>
    </w:r>
    <w:r>
      <w:rPr>
        <w:lang w:val="zh-CN"/>
      </w:rPr>
      <w:fldChar w:fldCharType="end"/>
    </w:r>
  </w:p>
  <w:p w14:paraId="45591009">
    <w:pPr>
      <w:pStyle w:val="31"/>
      <w:ind w:firstLine="360"/>
    </w:pPr>
  </w:p>
  <w:p w14:paraId="04C911E0">
    <w:pPr>
      <w:ind w:firstLine="480"/>
    </w:pPr>
  </w:p>
  <w:p w14:paraId="30BF615E">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8FFE9">
    <w:pPr>
      <w:pStyle w:val="31"/>
      <w:ind w:firstLine="360"/>
      <w:jc w:val="center"/>
    </w:pPr>
    <w:r>
      <w:fldChar w:fldCharType="begin"/>
    </w:r>
    <w:r>
      <w:instrText xml:space="preserve"> PAGE   \* MERGEFORMAT </w:instrText>
    </w:r>
    <w:r>
      <w:fldChar w:fldCharType="separate"/>
    </w:r>
    <w:r>
      <w:rPr>
        <w:lang w:val="zh-CN"/>
      </w:rPr>
      <w:t>146</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5E27E">
    <w:pPr>
      <w:pStyle w:val="3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122DA">
    <w:pPr>
      <w:pStyle w:val="32"/>
      <w:pBdr>
        <w:bottom w:val="none" w:color="auto" w:sz="0" w:space="0"/>
      </w:pBdr>
      <w:ind w:firstLine="360"/>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898515" cy="4747260"/>
          <wp:effectExtent l="0" t="0" r="6985" b="15240"/>
          <wp:wrapNone/>
          <wp:docPr id="5" name="WordPictureWatermark1814044"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814044"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E52F9">
    <w:pPr>
      <w:ind w:left="480" w:firstLine="0" w:firstLineChars="0"/>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898515" cy="4747260"/>
          <wp:effectExtent l="0" t="0" r="6985" b="15240"/>
          <wp:wrapNone/>
          <wp:docPr id="2" name="WordPictureWatermark1814043"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1814043"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7CA2D">
    <w:pPr>
      <w:ind w:left="480" w:firstLine="0" w:firstLineChars="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898515" cy="4747260"/>
          <wp:effectExtent l="0" t="0" r="6985" b="15240"/>
          <wp:wrapNone/>
          <wp:docPr id="1" name="WordPictureWatermark1814042"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814042"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47BE7">
    <w:pPr>
      <w:pStyle w:val="32"/>
      <w:pBdr>
        <w:bottom w:val="none" w:color="auto" w:sz="0" w:space="0"/>
      </w:pBdr>
      <w:ind w:firstLine="360"/>
    </w:pPr>
    <w: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898515" cy="4747260"/>
          <wp:effectExtent l="0" t="0" r="6985" b="15240"/>
          <wp:wrapNone/>
          <wp:docPr id="8" name="WordPictureWatermark1814047"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1814047"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E9339">
    <w:pPr>
      <w:pStyle w:val="32"/>
      <w:pBdr>
        <w:bottom w:val="none" w:color="auto" w:sz="0" w:space="0"/>
      </w:pBdr>
      <w:ind w:firstLine="360"/>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898515" cy="4747260"/>
          <wp:effectExtent l="0" t="0" r="6985" b="15240"/>
          <wp:wrapNone/>
          <wp:docPr id="7" name="WordPictureWatermark1814046"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814046"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E1E3C">
    <w:pPr>
      <w:pStyle w:val="32"/>
      <w:pBdr>
        <w:bottom w:val="none" w:color="auto" w:sz="0" w:space="0"/>
      </w:pBdr>
      <w:ind w:firstLine="360"/>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898515" cy="4747260"/>
          <wp:effectExtent l="0" t="0" r="6985" b="15240"/>
          <wp:wrapNone/>
          <wp:docPr id="6" name="WordPictureWatermark1814045"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1814045"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7C62E">
    <w:pPr>
      <w:ind w:left="480" w:firstLine="0" w:firstLineChars="0"/>
    </w:pPr>
    <w: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898515" cy="4747260"/>
          <wp:effectExtent l="0" t="0" r="6985" b="15240"/>
          <wp:wrapNone/>
          <wp:docPr id="16" name="WordPictureWatermark1814050"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1814050"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A3669">
    <w:pPr>
      <w:ind w:left="480" w:firstLine="0" w:firstLineChars="0"/>
    </w:pPr>
    <w: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898515" cy="4747260"/>
          <wp:effectExtent l="0" t="0" r="6985" b="15240"/>
          <wp:wrapNone/>
          <wp:docPr id="15" name="WordPictureWatermark1814049"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PictureWatermark1814049"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E317">
    <w:pPr>
      <w:pStyle w:val="32"/>
      <w:ind w:firstLine="360"/>
    </w:pPr>
    <w: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898515" cy="4747260"/>
          <wp:effectExtent l="0" t="0" r="6985" b="15240"/>
          <wp:wrapNone/>
          <wp:docPr id="9" name="WordPictureWatermark1814048"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1814048" descr="7~WSSC5A17YNC}~AT53OVPX"/>
                  <pic:cNvPicPr>
                    <a:picLocks noChangeAspect="1"/>
                  </pic:cNvPicPr>
                </pic:nvPicPr>
                <pic:blipFill>
                  <a:blip r:embed="rId1">
                    <a:lum bright="70001" contrast="-70000"/>
                  </a:blip>
                  <a:stretch>
                    <a:fillRect/>
                  </a:stretch>
                </pic:blipFill>
                <pic:spPr>
                  <a:xfrm>
                    <a:off x="0" y="0"/>
                    <a:ext cx="5898515" cy="47472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F3CDA6"/>
    <w:multiLevelType w:val="singleLevel"/>
    <w:tmpl w:val="DAF3CDA6"/>
    <w:lvl w:ilvl="0" w:tentative="0">
      <w:start w:val="2"/>
      <w:numFmt w:val="decimal"/>
      <w:suff w:val="nothing"/>
      <w:lvlText w:val="（%1）"/>
      <w:lvlJc w:val="left"/>
    </w:lvl>
  </w:abstractNum>
  <w:abstractNum w:abstractNumId="1">
    <w:nsid w:val="05DA267C"/>
    <w:multiLevelType w:val="multilevel"/>
    <w:tmpl w:val="05DA267C"/>
    <w:lvl w:ilvl="0" w:tentative="0">
      <w:start w:val="1"/>
      <w:numFmt w:val="japaneseCounting"/>
      <w:lvlText w:val="第%1章"/>
      <w:lvlJc w:val="left"/>
      <w:pPr>
        <w:tabs>
          <w:tab w:val="left" w:pos="10011"/>
        </w:tabs>
        <w:ind w:left="10011" w:hanging="1080"/>
      </w:pPr>
      <w:rPr>
        <w:rFonts w:hint="default"/>
      </w:rPr>
    </w:lvl>
    <w:lvl w:ilvl="1" w:tentative="0">
      <w:start w:val="1"/>
      <w:numFmt w:val="lowerLetter"/>
      <w:lvlText w:val="%2)"/>
      <w:lvlJc w:val="left"/>
      <w:pPr>
        <w:tabs>
          <w:tab w:val="left" w:pos="9771"/>
        </w:tabs>
        <w:ind w:left="9771" w:hanging="420"/>
      </w:pPr>
    </w:lvl>
    <w:lvl w:ilvl="2" w:tentative="0">
      <w:start w:val="1"/>
      <w:numFmt w:val="lowerRoman"/>
      <w:lvlText w:val="%3."/>
      <w:lvlJc w:val="right"/>
      <w:pPr>
        <w:tabs>
          <w:tab w:val="left" w:pos="10191"/>
        </w:tabs>
        <w:ind w:left="10191" w:hanging="420"/>
      </w:pPr>
    </w:lvl>
    <w:lvl w:ilvl="3" w:tentative="0">
      <w:start w:val="1"/>
      <w:numFmt w:val="decimal"/>
      <w:lvlText w:val="%4."/>
      <w:lvlJc w:val="left"/>
      <w:pPr>
        <w:tabs>
          <w:tab w:val="left" w:pos="10611"/>
        </w:tabs>
        <w:ind w:left="10611" w:hanging="420"/>
      </w:pPr>
    </w:lvl>
    <w:lvl w:ilvl="4" w:tentative="0">
      <w:start w:val="1"/>
      <w:numFmt w:val="lowerLetter"/>
      <w:lvlText w:val="%5)"/>
      <w:lvlJc w:val="left"/>
      <w:pPr>
        <w:tabs>
          <w:tab w:val="left" w:pos="11031"/>
        </w:tabs>
        <w:ind w:left="11031" w:hanging="420"/>
      </w:pPr>
    </w:lvl>
    <w:lvl w:ilvl="5" w:tentative="0">
      <w:start w:val="1"/>
      <w:numFmt w:val="lowerRoman"/>
      <w:lvlText w:val="%6."/>
      <w:lvlJc w:val="right"/>
      <w:pPr>
        <w:tabs>
          <w:tab w:val="left" w:pos="11451"/>
        </w:tabs>
        <w:ind w:left="11451" w:hanging="420"/>
      </w:pPr>
    </w:lvl>
    <w:lvl w:ilvl="6" w:tentative="0">
      <w:start w:val="1"/>
      <w:numFmt w:val="decimal"/>
      <w:lvlText w:val="%7."/>
      <w:lvlJc w:val="left"/>
      <w:pPr>
        <w:tabs>
          <w:tab w:val="left" w:pos="11871"/>
        </w:tabs>
        <w:ind w:left="11871" w:hanging="420"/>
      </w:pPr>
    </w:lvl>
    <w:lvl w:ilvl="7" w:tentative="0">
      <w:start w:val="1"/>
      <w:numFmt w:val="lowerLetter"/>
      <w:lvlText w:val="%8)"/>
      <w:lvlJc w:val="left"/>
      <w:pPr>
        <w:tabs>
          <w:tab w:val="left" w:pos="12291"/>
        </w:tabs>
        <w:ind w:left="12291" w:hanging="420"/>
      </w:pPr>
    </w:lvl>
    <w:lvl w:ilvl="8" w:tentative="0">
      <w:start w:val="1"/>
      <w:numFmt w:val="lowerRoman"/>
      <w:lvlText w:val="%9."/>
      <w:lvlJc w:val="right"/>
      <w:pPr>
        <w:tabs>
          <w:tab w:val="left" w:pos="12711"/>
        </w:tabs>
        <w:ind w:left="12711" w:hanging="420"/>
      </w:pPr>
    </w:lvl>
  </w:abstractNum>
  <w:abstractNum w:abstractNumId="2">
    <w:nsid w:val="24B26C46"/>
    <w:multiLevelType w:val="multilevel"/>
    <w:tmpl w:val="24B26C46"/>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1002" w:hanging="576"/>
      </w:pPr>
      <w:rPr>
        <w:rFonts w:hint="eastAsia"/>
        <w:lang w:val="en-US"/>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864" w:hanging="864"/>
      </w:pPr>
      <w:rPr>
        <w:rFonts w:hint="eastAsia"/>
      </w:rPr>
    </w:lvl>
    <w:lvl w:ilvl="4" w:tentative="0">
      <w:start w:val="1"/>
      <w:numFmt w:val="decimal"/>
      <w:pStyle w:val="7"/>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9"/>
      <w:suff w:val="space"/>
      <w:lvlText w:val="%1.%2.%3.%4.%5.%6.%7"/>
      <w:lvlJc w:val="left"/>
      <w:pPr>
        <w:ind w:left="1296" w:hanging="1296"/>
      </w:pPr>
      <w:rPr>
        <w:rFonts w:hint="eastAsia"/>
      </w:rPr>
    </w:lvl>
    <w:lvl w:ilvl="7" w:tentative="0">
      <w:start w:val="1"/>
      <w:numFmt w:val="decimal"/>
      <w:pStyle w:val="11"/>
      <w:suff w:val="space"/>
      <w:lvlText w:val="%1.%2.%3.%4.%5.%6.%7.%8"/>
      <w:lvlJc w:val="left"/>
      <w:pPr>
        <w:ind w:left="1440" w:hanging="1440"/>
      </w:pPr>
      <w:rPr>
        <w:rFonts w:hint="eastAsia"/>
      </w:rPr>
    </w:lvl>
    <w:lvl w:ilvl="8" w:tentative="0">
      <w:start w:val="1"/>
      <w:numFmt w:val="decimal"/>
      <w:pStyle w:val="12"/>
      <w:suff w:val="space"/>
      <w:lvlText w:val="%1.%2.%3.%4.%5.%6.%7.%8.%9"/>
      <w:lvlJc w:val="left"/>
      <w:pPr>
        <w:ind w:left="1584" w:hanging="1584"/>
      </w:pPr>
      <w:rPr>
        <w:rFonts w:hint="eastAsia"/>
      </w:rPr>
    </w:lvl>
  </w:abstractNum>
  <w:abstractNum w:abstractNumId="3">
    <w:nsid w:val="47F5586D"/>
    <w:multiLevelType w:val="multilevel"/>
    <w:tmpl w:val="47F5586D"/>
    <w:lvl w:ilvl="0" w:tentative="0">
      <w:start w:val="2"/>
      <w:numFmt w:val="japaneseCounting"/>
      <w:lvlText w:val="第%1章"/>
      <w:lvlJc w:val="left"/>
      <w:pPr>
        <w:tabs>
          <w:tab w:val="left" w:pos="1080"/>
        </w:tabs>
        <w:ind w:left="1080" w:hanging="10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8E2D185"/>
    <w:multiLevelType w:val="singleLevel"/>
    <w:tmpl w:val="78E2D185"/>
    <w:lvl w:ilvl="0" w:tentative="0">
      <w:start w:val="7"/>
      <w:numFmt w:val="chineseCounting"/>
      <w:suff w:val="nothing"/>
      <w:lvlText w:val="%1、"/>
      <w:lvlJc w:val="left"/>
      <w:rPr>
        <w:rFonts w:hint="eastAsia"/>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saveSubsetFonts/>
  <w:bordersDoNotSurroundHeader w:val="0"/>
  <w:bordersDoNotSurroundFooter w:val="0"/>
  <w:hideSpellingErrors/>
  <w:documentProtection w:enforcement="0"/>
  <w:defaultTabStop w:val="420"/>
  <w:evenAndOddHeaders w:val="1"/>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MjllNjFhMTFhNTc4NzZmMDM0NjBhMDQ1N2I5NmMifQ=="/>
  </w:docVars>
  <w:rsids>
    <w:rsidRoot w:val="00D0178C"/>
    <w:rsid w:val="00001137"/>
    <w:rsid w:val="000017A7"/>
    <w:rsid w:val="000019AD"/>
    <w:rsid w:val="00001B40"/>
    <w:rsid w:val="00001F7D"/>
    <w:rsid w:val="00003297"/>
    <w:rsid w:val="000036D1"/>
    <w:rsid w:val="0000457E"/>
    <w:rsid w:val="0000516C"/>
    <w:rsid w:val="000054B0"/>
    <w:rsid w:val="00006185"/>
    <w:rsid w:val="00006652"/>
    <w:rsid w:val="00007E20"/>
    <w:rsid w:val="0001030D"/>
    <w:rsid w:val="00010391"/>
    <w:rsid w:val="0001057F"/>
    <w:rsid w:val="00010909"/>
    <w:rsid w:val="00010E4E"/>
    <w:rsid w:val="0001159F"/>
    <w:rsid w:val="00012D7D"/>
    <w:rsid w:val="00012D90"/>
    <w:rsid w:val="00013601"/>
    <w:rsid w:val="00013934"/>
    <w:rsid w:val="00013B96"/>
    <w:rsid w:val="00013D23"/>
    <w:rsid w:val="00013D8A"/>
    <w:rsid w:val="00015D9B"/>
    <w:rsid w:val="00016A50"/>
    <w:rsid w:val="000228F2"/>
    <w:rsid w:val="000259AD"/>
    <w:rsid w:val="00026012"/>
    <w:rsid w:val="000279A4"/>
    <w:rsid w:val="000301BC"/>
    <w:rsid w:val="000310B5"/>
    <w:rsid w:val="00031125"/>
    <w:rsid w:val="0003189C"/>
    <w:rsid w:val="000318A6"/>
    <w:rsid w:val="00032059"/>
    <w:rsid w:val="00032F56"/>
    <w:rsid w:val="000339EF"/>
    <w:rsid w:val="00033E25"/>
    <w:rsid w:val="000341DF"/>
    <w:rsid w:val="000342BC"/>
    <w:rsid w:val="00034AC0"/>
    <w:rsid w:val="00035895"/>
    <w:rsid w:val="00035C45"/>
    <w:rsid w:val="000369A0"/>
    <w:rsid w:val="000402E9"/>
    <w:rsid w:val="00041296"/>
    <w:rsid w:val="00041EFB"/>
    <w:rsid w:val="000421B4"/>
    <w:rsid w:val="00043950"/>
    <w:rsid w:val="00043953"/>
    <w:rsid w:val="000448AE"/>
    <w:rsid w:val="00044C04"/>
    <w:rsid w:val="00045818"/>
    <w:rsid w:val="00045E4C"/>
    <w:rsid w:val="00046A8F"/>
    <w:rsid w:val="000474C6"/>
    <w:rsid w:val="000476EB"/>
    <w:rsid w:val="000506FA"/>
    <w:rsid w:val="000511C3"/>
    <w:rsid w:val="00052368"/>
    <w:rsid w:val="0005263D"/>
    <w:rsid w:val="00052BD2"/>
    <w:rsid w:val="0005449D"/>
    <w:rsid w:val="00055B08"/>
    <w:rsid w:val="000561CD"/>
    <w:rsid w:val="00057AAB"/>
    <w:rsid w:val="000609A0"/>
    <w:rsid w:val="000630B8"/>
    <w:rsid w:val="000634F2"/>
    <w:rsid w:val="00063B0D"/>
    <w:rsid w:val="000647BB"/>
    <w:rsid w:val="00065104"/>
    <w:rsid w:val="0006637A"/>
    <w:rsid w:val="0006660A"/>
    <w:rsid w:val="00066D53"/>
    <w:rsid w:val="00067A57"/>
    <w:rsid w:val="00067AFE"/>
    <w:rsid w:val="00071F3C"/>
    <w:rsid w:val="00073521"/>
    <w:rsid w:val="00073E6A"/>
    <w:rsid w:val="0007440B"/>
    <w:rsid w:val="0007550D"/>
    <w:rsid w:val="000755AA"/>
    <w:rsid w:val="00075C43"/>
    <w:rsid w:val="00076B8D"/>
    <w:rsid w:val="00076CBD"/>
    <w:rsid w:val="00080903"/>
    <w:rsid w:val="0008143C"/>
    <w:rsid w:val="000815A3"/>
    <w:rsid w:val="00082672"/>
    <w:rsid w:val="00084AA8"/>
    <w:rsid w:val="00084FE8"/>
    <w:rsid w:val="0008698B"/>
    <w:rsid w:val="0009012B"/>
    <w:rsid w:val="00090932"/>
    <w:rsid w:val="00091772"/>
    <w:rsid w:val="00091861"/>
    <w:rsid w:val="000924D5"/>
    <w:rsid w:val="000929D5"/>
    <w:rsid w:val="000939AD"/>
    <w:rsid w:val="00094022"/>
    <w:rsid w:val="000944BE"/>
    <w:rsid w:val="0009491C"/>
    <w:rsid w:val="00094A12"/>
    <w:rsid w:val="00096E39"/>
    <w:rsid w:val="00096EB3"/>
    <w:rsid w:val="000970D0"/>
    <w:rsid w:val="000973CE"/>
    <w:rsid w:val="00097707"/>
    <w:rsid w:val="00097E2E"/>
    <w:rsid w:val="000A00E4"/>
    <w:rsid w:val="000A159D"/>
    <w:rsid w:val="000A2427"/>
    <w:rsid w:val="000A3586"/>
    <w:rsid w:val="000A42A5"/>
    <w:rsid w:val="000A42B1"/>
    <w:rsid w:val="000A50BB"/>
    <w:rsid w:val="000A79FC"/>
    <w:rsid w:val="000B1707"/>
    <w:rsid w:val="000B19AD"/>
    <w:rsid w:val="000B21BB"/>
    <w:rsid w:val="000B2D2A"/>
    <w:rsid w:val="000B2E5C"/>
    <w:rsid w:val="000B351D"/>
    <w:rsid w:val="000B3F25"/>
    <w:rsid w:val="000B4308"/>
    <w:rsid w:val="000B4B94"/>
    <w:rsid w:val="000B60E8"/>
    <w:rsid w:val="000B6383"/>
    <w:rsid w:val="000B6491"/>
    <w:rsid w:val="000B6DC2"/>
    <w:rsid w:val="000B6F97"/>
    <w:rsid w:val="000B7479"/>
    <w:rsid w:val="000C016B"/>
    <w:rsid w:val="000C13B3"/>
    <w:rsid w:val="000C1A53"/>
    <w:rsid w:val="000C1A5B"/>
    <w:rsid w:val="000C1C38"/>
    <w:rsid w:val="000C24D0"/>
    <w:rsid w:val="000C2EDB"/>
    <w:rsid w:val="000C3F00"/>
    <w:rsid w:val="000C3FB2"/>
    <w:rsid w:val="000C565F"/>
    <w:rsid w:val="000C6DB8"/>
    <w:rsid w:val="000C7596"/>
    <w:rsid w:val="000D00F7"/>
    <w:rsid w:val="000D013E"/>
    <w:rsid w:val="000D0791"/>
    <w:rsid w:val="000D0F22"/>
    <w:rsid w:val="000D193C"/>
    <w:rsid w:val="000D2533"/>
    <w:rsid w:val="000D6177"/>
    <w:rsid w:val="000D632F"/>
    <w:rsid w:val="000D68C8"/>
    <w:rsid w:val="000D6EF4"/>
    <w:rsid w:val="000E08CE"/>
    <w:rsid w:val="000E15D6"/>
    <w:rsid w:val="000E161F"/>
    <w:rsid w:val="000E2F73"/>
    <w:rsid w:val="000E4A34"/>
    <w:rsid w:val="000E5137"/>
    <w:rsid w:val="000E5348"/>
    <w:rsid w:val="000E5487"/>
    <w:rsid w:val="000E5E42"/>
    <w:rsid w:val="000E6020"/>
    <w:rsid w:val="000E6135"/>
    <w:rsid w:val="000E679F"/>
    <w:rsid w:val="000E6CE0"/>
    <w:rsid w:val="000E793B"/>
    <w:rsid w:val="000F0056"/>
    <w:rsid w:val="000F0064"/>
    <w:rsid w:val="000F0BE9"/>
    <w:rsid w:val="000F14EA"/>
    <w:rsid w:val="000F28ED"/>
    <w:rsid w:val="000F2D24"/>
    <w:rsid w:val="000F3222"/>
    <w:rsid w:val="000F33B0"/>
    <w:rsid w:val="000F40DD"/>
    <w:rsid w:val="000F4FC2"/>
    <w:rsid w:val="000F6DB1"/>
    <w:rsid w:val="000F7051"/>
    <w:rsid w:val="00100537"/>
    <w:rsid w:val="00100E73"/>
    <w:rsid w:val="0010129F"/>
    <w:rsid w:val="00101BD5"/>
    <w:rsid w:val="00102975"/>
    <w:rsid w:val="0010306B"/>
    <w:rsid w:val="00103636"/>
    <w:rsid w:val="00103A01"/>
    <w:rsid w:val="00103B2F"/>
    <w:rsid w:val="001044B6"/>
    <w:rsid w:val="00105207"/>
    <w:rsid w:val="0010562A"/>
    <w:rsid w:val="00105D9F"/>
    <w:rsid w:val="00106308"/>
    <w:rsid w:val="00106520"/>
    <w:rsid w:val="00106880"/>
    <w:rsid w:val="0010744C"/>
    <w:rsid w:val="001102DC"/>
    <w:rsid w:val="0011092F"/>
    <w:rsid w:val="00110984"/>
    <w:rsid w:val="00111288"/>
    <w:rsid w:val="00112621"/>
    <w:rsid w:val="0011355A"/>
    <w:rsid w:val="001143A2"/>
    <w:rsid w:val="00117CE5"/>
    <w:rsid w:val="001201B1"/>
    <w:rsid w:val="00120A8E"/>
    <w:rsid w:val="00120B3F"/>
    <w:rsid w:val="00120C20"/>
    <w:rsid w:val="00120E48"/>
    <w:rsid w:val="001218A7"/>
    <w:rsid w:val="0012216C"/>
    <w:rsid w:val="001234B2"/>
    <w:rsid w:val="00124EC3"/>
    <w:rsid w:val="00125E2E"/>
    <w:rsid w:val="001262F1"/>
    <w:rsid w:val="00126CCD"/>
    <w:rsid w:val="00130A5D"/>
    <w:rsid w:val="00131A89"/>
    <w:rsid w:val="00132830"/>
    <w:rsid w:val="001347FE"/>
    <w:rsid w:val="001361E5"/>
    <w:rsid w:val="00136202"/>
    <w:rsid w:val="00136309"/>
    <w:rsid w:val="0013724D"/>
    <w:rsid w:val="001374FE"/>
    <w:rsid w:val="001400A2"/>
    <w:rsid w:val="00141993"/>
    <w:rsid w:val="00141ED3"/>
    <w:rsid w:val="001420A2"/>
    <w:rsid w:val="00142261"/>
    <w:rsid w:val="0014230B"/>
    <w:rsid w:val="00142F62"/>
    <w:rsid w:val="001434AE"/>
    <w:rsid w:val="0014368A"/>
    <w:rsid w:val="00143845"/>
    <w:rsid w:val="0014399B"/>
    <w:rsid w:val="00143E61"/>
    <w:rsid w:val="00144D3E"/>
    <w:rsid w:val="00146E74"/>
    <w:rsid w:val="0014736A"/>
    <w:rsid w:val="00147C83"/>
    <w:rsid w:val="00150C0A"/>
    <w:rsid w:val="00150F7E"/>
    <w:rsid w:val="001519CD"/>
    <w:rsid w:val="00152688"/>
    <w:rsid w:val="001536B8"/>
    <w:rsid w:val="001538A8"/>
    <w:rsid w:val="0015468E"/>
    <w:rsid w:val="0015508A"/>
    <w:rsid w:val="0015514B"/>
    <w:rsid w:val="0015559E"/>
    <w:rsid w:val="00156E0D"/>
    <w:rsid w:val="00157297"/>
    <w:rsid w:val="001574E6"/>
    <w:rsid w:val="00157A13"/>
    <w:rsid w:val="00161369"/>
    <w:rsid w:val="00162016"/>
    <w:rsid w:val="001633EE"/>
    <w:rsid w:val="001645DB"/>
    <w:rsid w:val="00164F27"/>
    <w:rsid w:val="00165553"/>
    <w:rsid w:val="0016564A"/>
    <w:rsid w:val="00165A12"/>
    <w:rsid w:val="00165B24"/>
    <w:rsid w:val="00166764"/>
    <w:rsid w:val="001670DD"/>
    <w:rsid w:val="00167948"/>
    <w:rsid w:val="00167C0F"/>
    <w:rsid w:val="001733A8"/>
    <w:rsid w:val="001736C6"/>
    <w:rsid w:val="00175B7F"/>
    <w:rsid w:val="00176238"/>
    <w:rsid w:val="001762EF"/>
    <w:rsid w:val="00176873"/>
    <w:rsid w:val="00176FAD"/>
    <w:rsid w:val="00177DF5"/>
    <w:rsid w:val="00177E31"/>
    <w:rsid w:val="001807D1"/>
    <w:rsid w:val="00180E07"/>
    <w:rsid w:val="00181C48"/>
    <w:rsid w:val="001828CD"/>
    <w:rsid w:val="001834AD"/>
    <w:rsid w:val="00183FBD"/>
    <w:rsid w:val="0018406F"/>
    <w:rsid w:val="00184341"/>
    <w:rsid w:val="00186269"/>
    <w:rsid w:val="0018684B"/>
    <w:rsid w:val="00186883"/>
    <w:rsid w:val="00186F64"/>
    <w:rsid w:val="0018738D"/>
    <w:rsid w:val="00187CBF"/>
    <w:rsid w:val="001903F9"/>
    <w:rsid w:val="00191F45"/>
    <w:rsid w:val="00192D60"/>
    <w:rsid w:val="0019309E"/>
    <w:rsid w:val="00195763"/>
    <w:rsid w:val="00195904"/>
    <w:rsid w:val="00195BDE"/>
    <w:rsid w:val="00195D91"/>
    <w:rsid w:val="00196373"/>
    <w:rsid w:val="001964DE"/>
    <w:rsid w:val="001A0594"/>
    <w:rsid w:val="001A0673"/>
    <w:rsid w:val="001A0ADC"/>
    <w:rsid w:val="001A0C89"/>
    <w:rsid w:val="001A1C75"/>
    <w:rsid w:val="001A205F"/>
    <w:rsid w:val="001A2C88"/>
    <w:rsid w:val="001A2E1E"/>
    <w:rsid w:val="001A3A17"/>
    <w:rsid w:val="001A5701"/>
    <w:rsid w:val="001A5922"/>
    <w:rsid w:val="001A6637"/>
    <w:rsid w:val="001A7075"/>
    <w:rsid w:val="001A7268"/>
    <w:rsid w:val="001A73E5"/>
    <w:rsid w:val="001A7D0D"/>
    <w:rsid w:val="001B01F6"/>
    <w:rsid w:val="001B0FA2"/>
    <w:rsid w:val="001B148B"/>
    <w:rsid w:val="001B1F96"/>
    <w:rsid w:val="001B2296"/>
    <w:rsid w:val="001B26AA"/>
    <w:rsid w:val="001B3894"/>
    <w:rsid w:val="001B5057"/>
    <w:rsid w:val="001B5500"/>
    <w:rsid w:val="001B5587"/>
    <w:rsid w:val="001B61EC"/>
    <w:rsid w:val="001B6998"/>
    <w:rsid w:val="001B750B"/>
    <w:rsid w:val="001B7CDC"/>
    <w:rsid w:val="001C0251"/>
    <w:rsid w:val="001C1E01"/>
    <w:rsid w:val="001C2641"/>
    <w:rsid w:val="001C2BEE"/>
    <w:rsid w:val="001C6390"/>
    <w:rsid w:val="001C74D6"/>
    <w:rsid w:val="001C77EE"/>
    <w:rsid w:val="001D054D"/>
    <w:rsid w:val="001D1207"/>
    <w:rsid w:val="001D33FE"/>
    <w:rsid w:val="001D57A1"/>
    <w:rsid w:val="001D6B33"/>
    <w:rsid w:val="001D6FEB"/>
    <w:rsid w:val="001E015F"/>
    <w:rsid w:val="001E0902"/>
    <w:rsid w:val="001E1776"/>
    <w:rsid w:val="001E32A9"/>
    <w:rsid w:val="001E32EA"/>
    <w:rsid w:val="001E3EC3"/>
    <w:rsid w:val="001E537F"/>
    <w:rsid w:val="001E6C39"/>
    <w:rsid w:val="001E6D30"/>
    <w:rsid w:val="001E6E3C"/>
    <w:rsid w:val="001E729B"/>
    <w:rsid w:val="001F0B1F"/>
    <w:rsid w:val="001F1A82"/>
    <w:rsid w:val="001F1A8D"/>
    <w:rsid w:val="001F1FAF"/>
    <w:rsid w:val="001F1FD8"/>
    <w:rsid w:val="001F2108"/>
    <w:rsid w:val="001F3E44"/>
    <w:rsid w:val="001F40BC"/>
    <w:rsid w:val="001F41D6"/>
    <w:rsid w:val="001F5962"/>
    <w:rsid w:val="001F7235"/>
    <w:rsid w:val="001F7F55"/>
    <w:rsid w:val="00200415"/>
    <w:rsid w:val="00200B3B"/>
    <w:rsid w:val="002017FC"/>
    <w:rsid w:val="00202096"/>
    <w:rsid w:val="0020325C"/>
    <w:rsid w:val="00203497"/>
    <w:rsid w:val="00204169"/>
    <w:rsid w:val="002046B8"/>
    <w:rsid w:val="00204961"/>
    <w:rsid w:val="002051FB"/>
    <w:rsid w:val="002056E5"/>
    <w:rsid w:val="00206B6C"/>
    <w:rsid w:val="00206EDE"/>
    <w:rsid w:val="0020731A"/>
    <w:rsid w:val="00211535"/>
    <w:rsid w:val="002123FA"/>
    <w:rsid w:val="0021291F"/>
    <w:rsid w:val="00212B28"/>
    <w:rsid w:val="00213119"/>
    <w:rsid w:val="002135D5"/>
    <w:rsid w:val="0021448D"/>
    <w:rsid w:val="00214D7F"/>
    <w:rsid w:val="00215766"/>
    <w:rsid w:val="0022192D"/>
    <w:rsid w:val="002220E0"/>
    <w:rsid w:val="0022579E"/>
    <w:rsid w:val="0022587C"/>
    <w:rsid w:val="00226918"/>
    <w:rsid w:val="0022729B"/>
    <w:rsid w:val="00227326"/>
    <w:rsid w:val="00227532"/>
    <w:rsid w:val="00227C23"/>
    <w:rsid w:val="002300C9"/>
    <w:rsid w:val="002303EE"/>
    <w:rsid w:val="00230861"/>
    <w:rsid w:val="00231AF9"/>
    <w:rsid w:val="00232FF3"/>
    <w:rsid w:val="002333AE"/>
    <w:rsid w:val="00234189"/>
    <w:rsid w:val="002342D0"/>
    <w:rsid w:val="0023471F"/>
    <w:rsid w:val="00235154"/>
    <w:rsid w:val="00236465"/>
    <w:rsid w:val="0023681F"/>
    <w:rsid w:val="002400B6"/>
    <w:rsid w:val="002432BC"/>
    <w:rsid w:val="00243826"/>
    <w:rsid w:val="00243BE7"/>
    <w:rsid w:val="00243EB3"/>
    <w:rsid w:val="00244792"/>
    <w:rsid w:val="00244AD2"/>
    <w:rsid w:val="00244E16"/>
    <w:rsid w:val="00244FED"/>
    <w:rsid w:val="00245173"/>
    <w:rsid w:val="00245EC5"/>
    <w:rsid w:val="00245FA9"/>
    <w:rsid w:val="002461AE"/>
    <w:rsid w:val="00246A51"/>
    <w:rsid w:val="00250918"/>
    <w:rsid w:val="00251D82"/>
    <w:rsid w:val="0025353D"/>
    <w:rsid w:val="00253584"/>
    <w:rsid w:val="00253B27"/>
    <w:rsid w:val="0025449F"/>
    <w:rsid w:val="00254B9B"/>
    <w:rsid w:val="002564DC"/>
    <w:rsid w:val="00260C7F"/>
    <w:rsid w:val="00260F84"/>
    <w:rsid w:val="002613C2"/>
    <w:rsid w:val="00262544"/>
    <w:rsid w:val="00263545"/>
    <w:rsid w:val="002643A0"/>
    <w:rsid w:val="002644A7"/>
    <w:rsid w:val="00264A2E"/>
    <w:rsid w:val="00264A4E"/>
    <w:rsid w:val="00265207"/>
    <w:rsid w:val="00265707"/>
    <w:rsid w:val="00265D1D"/>
    <w:rsid w:val="00267288"/>
    <w:rsid w:val="002674DA"/>
    <w:rsid w:val="002675D4"/>
    <w:rsid w:val="00267E36"/>
    <w:rsid w:val="0027070E"/>
    <w:rsid w:val="00270D7D"/>
    <w:rsid w:val="00273A3C"/>
    <w:rsid w:val="00273AED"/>
    <w:rsid w:val="00274CCD"/>
    <w:rsid w:val="00275554"/>
    <w:rsid w:val="00276660"/>
    <w:rsid w:val="0027701C"/>
    <w:rsid w:val="0028021E"/>
    <w:rsid w:val="0028067B"/>
    <w:rsid w:val="00280F11"/>
    <w:rsid w:val="002822AE"/>
    <w:rsid w:val="0028245B"/>
    <w:rsid w:val="00282858"/>
    <w:rsid w:val="00282A44"/>
    <w:rsid w:val="00282DDE"/>
    <w:rsid w:val="0028473B"/>
    <w:rsid w:val="002848F9"/>
    <w:rsid w:val="00285085"/>
    <w:rsid w:val="002858F7"/>
    <w:rsid w:val="00285FB3"/>
    <w:rsid w:val="00286500"/>
    <w:rsid w:val="00287DF3"/>
    <w:rsid w:val="00290629"/>
    <w:rsid w:val="002909BD"/>
    <w:rsid w:val="002909EA"/>
    <w:rsid w:val="00292970"/>
    <w:rsid w:val="00293036"/>
    <w:rsid w:val="00294B05"/>
    <w:rsid w:val="00294DFF"/>
    <w:rsid w:val="00295052"/>
    <w:rsid w:val="00296BD6"/>
    <w:rsid w:val="002A0A7E"/>
    <w:rsid w:val="002A0E7A"/>
    <w:rsid w:val="002A2E17"/>
    <w:rsid w:val="002A3728"/>
    <w:rsid w:val="002A3974"/>
    <w:rsid w:val="002A7239"/>
    <w:rsid w:val="002B144A"/>
    <w:rsid w:val="002B2085"/>
    <w:rsid w:val="002B41F0"/>
    <w:rsid w:val="002B543B"/>
    <w:rsid w:val="002B57EC"/>
    <w:rsid w:val="002B6182"/>
    <w:rsid w:val="002B631B"/>
    <w:rsid w:val="002B797D"/>
    <w:rsid w:val="002B79E8"/>
    <w:rsid w:val="002B7E26"/>
    <w:rsid w:val="002C0BB0"/>
    <w:rsid w:val="002C22C5"/>
    <w:rsid w:val="002C3600"/>
    <w:rsid w:val="002C4336"/>
    <w:rsid w:val="002C5BAE"/>
    <w:rsid w:val="002C5FDD"/>
    <w:rsid w:val="002C676E"/>
    <w:rsid w:val="002C6802"/>
    <w:rsid w:val="002C6C26"/>
    <w:rsid w:val="002C6DEC"/>
    <w:rsid w:val="002D23ED"/>
    <w:rsid w:val="002D4680"/>
    <w:rsid w:val="002D6C27"/>
    <w:rsid w:val="002E0200"/>
    <w:rsid w:val="002E075F"/>
    <w:rsid w:val="002E0D44"/>
    <w:rsid w:val="002E0F2D"/>
    <w:rsid w:val="002E0F39"/>
    <w:rsid w:val="002E0F8E"/>
    <w:rsid w:val="002E136C"/>
    <w:rsid w:val="002E1756"/>
    <w:rsid w:val="002E33D2"/>
    <w:rsid w:val="002E3F68"/>
    <w:rsid w:val="002E42ED"/>
    <w:rsid w:val="002E456E"/>
    <w:rsid w:val="002E4674"/>
    <w:rsid w:val="002E4F2F"/>
    <w:rsid w:val="002E60DC"/>
    <w:rsid w:val="002E6272"/>
    <w:rsid w:val="002E6CB2"/>
    <w:rsid w:val="002E6DD9"/>
    <w:rsid w:val="002E7FE4"/>
    <w:rsid w:val="002F00A7"/>
    <w:rsid w:val="002F0EDF"/>
    <w:rsid w:val="002F1B42"/>
    <w:rsid w:val="002F24E1"/>
    <w:rsid w:val="002F278A"/>
    <w:rsid w:val="002F296A"/>
    <w:rsid w:val="002F3128"/>
    <w:rsid w:val="002F3F8E"/>
    <w:rsid w:val="002F4F23"/>
    <w:rsid w:val="002F71C3"/>
    <w:rsid w:val="002F74A9"/>
    <w:rsid w:val="002F7F4C"/>
    <w:rsid w:val="003002A6"/>
    <w:rsid w:val="00300860"/>
    <w:rsid w:val="00300A6B"/>
    <w:rsid w:val="00301A08"/>
    <w:rsid w:val="00301E10"/>
    <w:rsid w:val="00301FEC"/>
    <w:rsid w:val="003021BA"/>
    <w:rsid w:val="00303442"/>
    <w:rsid w:val="00304AEE"/>
    <w:rsid w:val="0030527A"/>
    <w:rsid w:val="00305539"/>
    <w:rsid w:val="00305934"/>
    <w:rsid w:val="00305D83"/>
    <w:rsid w:val="00306801"/>
    <w:rsid w:val="00310701"/>
    <w:rsid w:val="00310781"/>
    <w:rsid w:val="00310E66"/>
    <w:rsid w:val="00312642"/>
    <w:rsid w:val="00312D07"/>
    <w:rsid w:val="003133D2"/>
    <w:rsid w:val="00313BF6"/>
    <w:rsid w:val="003161B3"/>
    <w:rsid w:val="00316B98"/>
    <w:rsid w:val="00317BDA"/>
    <w:rsid w:val="00320A19"/>
    <w:rsid w:val="0032160A"/>
    <w:rsid w:val="003216C9"/>
    <w:rsid w:val="00322106"/>
    <w:rsid w:val="003223ED"/>
    <w:rsid w:val="00324C5E"/>
    <w:rsid w:val="00324DDF"/>
    <w:rsid w:val="00324EEA"/>
    <w:rsid w:val="00324EF6"/>
    <w:rsid w:val="00325591"/>
    <w:rsid w:val="003257D9"/>
    <w:rsid w:val="003264AE"/>
    <w:rsid w:val="0032693E"/>
    <w:rsid w:val="00326D83"/>
    <w:rsid w:val="00327C81"/>
    <w:rsid w:val="003308E6"/>
    <w:rsid w:val="00330C28"/>
    <w:rsid w:val="00331B3D"/>
    <w:rsid w:val="00331C2D"/>
    <w:rsid w:val="00331CF2"/>
    <w:rsid w:val="0033203B"/>
    <w:rsid w:val="00333052"/>
    <w:rsid w:val="003363F7"/>
    <w:rsid w:val="00336AB2"/>
    <w:rsid w:val="00336C56"/>
    <w:rsid w:val="00337661"/>
    <w:rsid w:val="00337A5B"/>
    <w:rsid w:val="00337B53"/>
    <w:rsid w:val="00340B53"/>
    <w:rsid w:val="003413B7"/>
    <w:rsid w:val="0034142E"/>
    <w:rsid w:val="00341A60"/>
    <w:rsid w:val="00342883"/>
    <w:rsid w:val="00342ACA"/>
    <w:rsid w:val="003434A3"/>
    <w:rsid w:val="0034396E"/>
    <w:rsid w:val="00344EFF"/>
    <w:rsid w:val="00345D59"/>
    <w:rsid w:val="003464E3"/>
    <w:rsid w:val="00346EF5"/>
    <w:rsid w:val="00347AD0"/>
    <w:rsid w:val="00350377"/>
    <w:rsid w:val="00350437"/>
    <w:rsid w:val="003513A8"/>
    <w:rsid w:val="00351740"/>
    <w:rsid w:val="00352439"/>
    <w:rsid w:val="003549B3"/>
    <w:rsid w:val="00354EEE"/>
    <w:rsid w:val="00355BCE"/>
    <w:rsid w:val="00357CBE"/>
    <w:rsid w:val="00357F8B"/>
    <w:rsid w:val="0036074B"/>
    <w:rsid w:val="00360D4A"/>
    <w:rsid w:val="003615EA"/>
    <w:rsid w:val="00361CEE"/>
    <w:rsid w:val="003631B6"/>
    <w:rsid w:val="003634A0"/>
    <w:rsid w:val="00363B39"/>
    <w:rsid w:val="00365FC4"/>
    <w:rsid w:val="003675C5"/>
    <w:rsid w:val="003715C7"/>
    <w:rsid w:val="003717C4"/>
    <w:rsid w:val="00373170"/>
    <w:rsid w:val="00373DDB"/>
    <w:rsid w:val="00373F95"/>
    <w:rsid w:val="00374E8F"/>
    <w:rsid w:val="00375E65"/>
    <w:rsid w:val="00376DA8"/>
    <w:rsid w:val="00377884"/>
    <w:rsid w:val="003779E8"/>
    <w:rsid w:val="00380D3B"/>
    <w:rsid w:val="003823F5"/>
    <w:rsid w:val="0038347D"/>
    <w:rsid w:val="00383BA0"/>
    <w:rsid w:val="0038404B"/>
    <w:rsid w:val="0038523E"/>
    <w:rsid w:val="0038587E"/>
    <w:rsid w:val="0038594B"/>
    <w:rsid w:val="00386020"/>
    <w:rsid w:val="00386067"/>
    <w:rsid w:val="00386698"/>
    <w:rsid w:val="00386A8F"/>
    <w:rsid w:val="003870AC"/>
    <w:rsid w:val="003877D8"/>
    <w:rsid w:val="00387EC4"/>
    <w:rsid w:val="00390EED"/>
    <w:rsid w:val="0039121E"/>
    <w:rsid w:val="00391401"/>
    <w:rsid w:val="0039268D"/>
    <w:rsid w:val="003929BC"/>
    <w:rsid w:val="00392B9A"/>
    <w:rsid w:val="00392C55"/>
    <w:rsid w:val="003936FD"/>
    <w:rsid w:val="003948D3"/>
    <w:rsid w:val="003A0880"/>
    <w:rsid w:val="003A0D0C"/>
    <w:rsid w:val="003A1852"/>
    <w:rsid w:val="003A20E7"/>
    <w:rsid w:val="003A221C"/>
    <w:rsid w:val="003A296F"/>
    <w:rsid w:val="003A2B52"/>
    <w:rsid w:val="003A2F1B"/>
    <w:rsid w:val="003A348C"/>
    <w:rsid w:val="003A39B1"/>
    <w:rsid w:val="003A551D"/>
    <w:rsid w:val="003A5EEF"/>
    <w:rsid w:val="003A6429"/>
    <w:rsid w:val="003A6DEE"/>
    <w:rsid w:val="003B0247"/>
    <w:rsid w:val="003B02D0"/>
    <w:rsid w:val="003B085D"/>
    <w:rsid w:val="003B2B65"/>
    <w:rsid w:val="003B3199"/>
    <w:rsid w:val="003B329E"/>
    <w:rsid w:val="003B44D0"/>
    <w:rsid w:val="003B515F"/>
    <w:rsid w:val="003B5A19"/>
    <w:rsid w:val="003B6EAB"/>
    <w:rsid w:val="003C067E"/>
    <w:rsid w:val="003C1E51"/>
    <w:rsid w:val="003C213A"/>
    <w:rsid w:val="003C4201"/>
    <w:rsid w:val="003C4E00"/>
    <w:rsid w:val="003C592F"/>
    <w:rsid w:val="003C5D8C"/>
    <w:rsid w:val="003C675E"/>
    <w:rsid w:val="003C695B"/>
    <w:rsid w:val="003C722E"/>
    <w:rsid w:val="003C761B"/>
    <w:rsid w:val="003D0067"/>
    <w:rsid w:val="003D007D"/>
    <w:rsid w:val="003D06F9"/>
    <w:rsid w:val="003D08A0"/>
    <w:rsid w:val="003D2133"/>
    <w:rsid w:val="003D2617"/>
    <w:rsid w:val="003D2D3D"/>
    <w:rsid w:val="003D3675"/>
    <w:rsid w:val="003D37C2"/>
    <w:rsid w:val="003D51FE"/>
    <w:rsid w:val="003D560E"/>
    <w:rsid w:val="003D6FAF"/>
    <w:rsid w:val="003D787C"/>
    <w:rsid w:val="003E01C9"/>
    <w:rsid w:val="003E0837"/>
    <w:rsid w:val="003E16AA"/>
    <w:rsid w:val="003E212C"/>
    <w:rsid w:val="003E257E"/>
    <w:rsid w:val="003E3378"/>
    <w:rsid w:val="003E4072"/>
    <w:rsid w:val="003E46E3"/>
    <w:rsid w:val="003E4DB5"/>
    <w:rsid w:val="003E5616"/>
    <w:rsid w:val="003E6525"/>
    <w:rsid w:val="003E7D43"/>
    <w:rsid w:val="003F007C"/>
    <w:rsid w:val="003F0688"/>
    <w:rsid w:val="003F06BA"/>
    <w:rsid w:val="003F084B"/>
    <w:rsid w:val="003F0A78"/>
    <w:rsid w:val="003F13C3"/>
    <w:rsid w:val="003F19EA"/>
    <w:rsid w:val="003F1FBC"/>
    <w:rsid w:val="003F2A02"/>
    <w:rsid w:val="003F2BCB"/>
    <w:rsid w:val="003F31FE"/>
    <w:rsid w:val="003F3D5B"/>
    <w:rsid w:val="003F414E"/>
    <w:rsid w:val="003F433D"/>
    <w:rsid w:val="003F4473"/>
    <w:rsid w:val="003F5253"/>
    <w:rsid w:val="003F52C0"/>
    <w:rsid w:val="003F56D6"/>
    <w:rsid w:val="003F6CAF"/>
    <w:rsid w:val="003F6D16"/>
    <w:rsid w:val="003F6FDA"/>
    <w:rsid w:val="003F744D"/>
    <w:rsid w:val="003F7D09"/>
    <w:rsid w:val="00400130"/>
    <w:rsid w:val="00400280"/>
    <w:rsid w:val="00402805"/>
    <w:rsid w:val="004034D4"/>
    <w:rsid w:val="00403919"/>
    <w:rsid w:val="00403975"/>
    <w:rsid w:val="00403C6A"/>
    <w:rsid w:val="00404F12"/>
    <w:rsid w:val="00406333"/>
    <w:rsid w:val="00406415"/>
    <w:rsid w:val="00406BB9"/>
    <w:rsid w:val="00406CC1"/>
    <w:rsid w:val="00410018"/>
    <w:rsid w:val="00410136"/>
    <w:rsid w:val="00410819"/>
    <w:rsid w:val="00411638"/>
    <w:rsid w:val="00411734"/>
    <w:rsid w:val="004125A4"/>
    <w:rsid w:val="004126FB"/>
    <w:rsid w:val="004128CC"/>
    <w:rsid w:val="00412CA2"/>
    <w:rsid w:val="00412EEE"/>
    <w:rsid w:val="00413356"/>
    <w:rsid w:val="004142F6"/>
    <w:rsid w:val="004143FA"/>
    <w:rsid w:val="00414936"/>
    <w:rsid w:val="004149EB"/>
    <w:rsid w:val="00416099"/>
    <w:rsid w:val="00416220"/>
    <w:rsid w:val="00417D32"/>
    <w:rsid w:val="0042163B"/>
    <w:rsid w:val="0042236E"/>
    <w:rsid w:val="00425563"/>
    <w:rsid w:val="00425BC1"/>
    <w:rsid w:val="00425EE1"/>
    <w:rsid w:val="00425F08"/>
    <w:rsid w:val="0042603A"/>
    <w:rsid w:val="004263DD"/>
    <w:rsid w:val="00426C70"/>
    <w:rsid w:val="00430393"/>
    <w:rsid w:val="00430395"/>
    <w:rsid w:val="00430D0C"/>
    <w:rsid w:val="00431222"/>
    <w:rsid w:val="004315FE"/>
    <w:rsid w:val="0043240A"/>
    <w:rsid w:val="00433DF9"/>
    <w:rsid w:val="0043510F"/>
    <w:rsid w:val="00435AE3"/>
    <w:rsid w:val="00436D4E"/>
    <w:rsid w:val="0044063E"/>
    <w:rsid w:val="00440E1F"/>
    <w:rsid w:val="0044136F"/>
    <w:rsid w:val="004423A7"/>
    <w:rsid w:val="00442897"/>
    <w:rsid w:val="0044314B"/>
    <w:rsid w:val="004432A0"/>
    <w:rsid w:val="004432FB"/>
    <w:rsid w:val="00443F3D"/>
    <w:rsid w:val="00444299"/>
    <w:rsid w:val="00445B9B"/>
    <w:rsid w:val="00446265"/>
    <w:rsid w:val="004463A4"/>
    <w:rsid w:val="0044681C"/>
    <w:rsid w:val="00446FB8"/>
    <w:rsid w:val="00447C1D"/>
    <w:rsid w:val="0045091D"/>
    <w:rsid w:val="004509DA"/>
    <w:rsid w:val="0045526B"/>
    <w:rsid w:val="004554F2"/>
    <w:rsid w:val="00456876"/>
    <w:rsid w:val="00456C3E"/>
    <w:rsid w:val="00457D9F"/>
    <w:rsid w:val="00460C84"/>
    <w:rsid w:val="00460EC6"/>
    <w:rsid w:val="00461E9D"/>
    <w:rsid w:val="00463965"/>
    <w:rsid w:val="00463D2D"/>
    <w:rsid w:val="0046472A"/>
    <w:rsid w:val="0046569F"/>
    <w:rsid w:val="00467198"/>
    <w:rsid w:val="004672D4"/>
    <w:rsid w:val="00467859"/>
    <w:rsid w:val="00467CD3"/>
    <w:rsid w:val="004700FC"/>
    <w:rsid w:val="00472C68"/>
    <w:rsid w:val="00473EDD"/>
    <w:rsid w:val="00474008"/>
    <w:rsid w:val="0047424F"/>
    <w:rsid w:val="0047452D"/>
    <w:rsid w:val="004765EE"/>
    <w:rsid w:val="00476D48"/>
    <w:rsid w:val="004838E4"/>
    <w:rsid w:val="00483BC4"/>
    <w:rsid w:val="00484454"/>
    <w:rsid w:val="0048451A"/>
    <w:rsid w:val="004847F0"/>
    <w:rsid w:val="00484AB0"/>
    <w:rsid w:val="004855D1"/>
    <w:rsid w:val="0048595F"/>
    <w:rsid w:val="0048623A"/>
    <w:rsid w:val="00486280"/>
    <w:rsid w:val="004868E5"/>
    <w:rsid w:val="0048791E"/>
    <w:rsid w:val="00490CBD"/>
    <w:rsid w:val="004911C2"/>
    <w:rsid w:val="00491D83"/>
    <w:rsid w:val="004920A4"/>
    <w:rsid w:val="00492875"/>
    <w:rsid w:val="00492B9F"/>
    <w:rsid w:val="004930E7"/>
    <w:rsid w:val="0049342B"/>
    <w:rsid w:val="00493CB7"/>
    <w:rsid w:val="00493CFE"/>
    <w:rsid w:val="0049425E"/>
    <w:rsid w:val="00497097"/>
    <w:rsid w:val="004973EA"/>
    <w:rsid w:val="00497545"/>
    <w:rsid w:val="00497EFC"/>
    <w:rsid w:val="004A062D"/>
    <w:rsid w:val="004A0937"/>
    <w:rsid w:val="004A0F5D"/>
    <w:rsid w:val="004A3125"/>
    <w:rsid w:val="004A3F7D"/>
    <w:rsid w:val="004A4255"/>
    <w:rsid w:val="004A5C54"/>
    <w:rsid w:val="004A632D"/>
    <w:rsid w:val="004A680B"/>
    <w:rsid w:val="004A79B5"/>
    <w:rsid w:val="004B0BFF"/>
    <w:rsid w:val="004B29D2"/>
    <w:rsid w:val="004B2E2F"/>
    <w:rsid w:val="004B2F93"/>
    <w:rsid w:val="004B381B"/>
    <w:rsid w:val="004B3AF3"/>
    <w:rsid w:val="004B4591"/>
    <w:rsid w:val="004B4EAB"/>
    <w:rsid w:val="004B5022"/>
    <w:rsid w:val="004B5294"/>
    <w:rsid w:val="004B55FE"/>
    <w:rsid w:val="004B6DF3"/>
    <w:rsid w:val="004B6F6E"/>
    <w:rsid w:val="004B70B2"/>
    <w:rsid w:val="004B7678"/>
    <w:rsid w:val="004B779A"/>
    <w:rsid w:val="004C106B"/>
    <w:rsid w:val="004C3AE0"/>
    <w:rsid w:val="004C3C1F"/>
    <w:rsid w:val="004C4593"/>
    <w:rsid w:val="004C55CD"/>
    <w:rsid w:val="004C6A31"/>
    <w:rsid w:val="004C76AA"/>
    <w:rsid w:val="004C77BF"/>
    <w:rsid w:val="004D35DA"/>
    <w:rsid w:val="004D4D0D"/>
    <w:rsid w:val="004D513F"/>
    <w:rsid w:val="004D5B50"/>
    <w:rsid w:val="004D69AF"/>
    <w:rsid w:val="004D6D36"/>
    <w:rsid w:val="004D7090"/>
    <w:rsid w:val="004D7A81"/>
    <w:rsid w:val="004D7CA7"/>
    <w:rsid w:val="004E03AA"/>
    <w:rsid w:val="004E0AFE"/>
    <w:rsid w:val="004E0C1A"/>
    <w:rsid w:val="004E0DB7"/>
    <w:rsid w:val="004E1149"/>
    <w:rsid w:val="004E2873"/>
    <w:rsid w:val="004E3157"/>
    <w:rsid w:val="004E3CF9"/>
    <w:rsid w:val="004E453A"/>
    <w:rsid w:val="004E4DBD"/>
    <w:rsid w:val="004E5598"/>
    <w:rsid w:val="004E5CE0"/>
    <w:rsid w:val="004E5D0D"/>
    <w:rsid w:val="004E63B2"/>
    <w:rsid w:val="004E66BC"/>
    <w:rsid w:val="004E67A0"/>
    <w:rsid w:val="004E68CC"/>
    <w:rsid w:val="004E6DB4"/>
    <w:rsid w:val="004E7341"/>
    <w:rsid w:val="004F0363"/>
    <w:rsid w:val="004F09F5"/>
    <w:rsid w:val="004F115F"/>
    <w:rsid w:val="004F1C42"/>
    <w:rsid w:val="004F1E28"/>
    <w:rsid w:val="004F21CA"/>
    <w:rsid w:val="004F2437"/>
    <w:rsid w:val="004F263E"/>
    <w:rsid w:val="004F2F00"/>
    <w:rsid w:val="004F4181"/>
    <w:rsid w:val="004F670F"/>
    <w:rsid w:val="004F7517"/>
    <w:rsid w:val="004F7BD6"/>
    <w:rsid w:val="00500473"/>
    <w:rsid w:val="00500702"/>
    <w:rsid w:val="005012D2"/>
    <w:rsid w:val="0050307E"/>
    <w:rsid w:val="00503EA9"/>
    <w:rsid w:val="0050456B"/>
    <w:rsid w:val="00506B90"/>
    <w:rsid w:val="005074F0"/>
    <w:rsid w:val="00507FAC"/>
    <w:rsid w:val="00510AE2"/>
    <w:rsid w:val="00511E93"/>
    <w:rsid w:val="005144D2"/>
    <w:rsid w:val="0051460F"/>
    <w:rsid w:val="0051466D"/>
    <w:rsid w:val="0051649A"/>
    <w:rsid w:val="0051655D"/>
    <w:rsid w:val="00517362"/>
    <w:rsid w:val="0051762A"/>
    <w:rsid w:val="005176C0"/>
    <w:rsid w:val="005203BB"/>
    <w:rsid w:val="00520FCF"/>
    <w:rsid w:val="0052129F"/>
    <w:rsid w:val="00521385"/>
    <w:rsid w:val="005216DF"/>
    <w:rsid w:val="005218A6"/>
    <w:rsid w:val="00521F4A"/>
    <w:rsid w:val="0052319D"/>
    <w:rsid w:val="005246A9"/>
    <w:rsid w:val="00524875"/>
    <w:rsid w:val="00524C29"/>
    <w:rsid w:val="00525BDC"/>
    <w:rsid w:val="005265F4"/>
    <w:rsid w:val="0052661B"/>
    <w:rsid w:val="0052757C"/>
    <w:rsid w:val="00527944"/>
    <w:rsid w:val="00527CB5"/>
    <w:rsid w:val="00527EEC"/>
    <w:rsid w:val="005302C9"/>
    <w:rsid w:val="0053133B"/>
    <w:rsid w:val="00531AF5"/>
    <w:rsid w:val="0053214C"/>
    <w:rsid w:val="00532DC9"/>
    <w:rsid w:val="00533C6F"/>
    <w:rsid w:val="00534770"/>
    <w:rsid w:val="00534CFB"/>
    <w:rsid w:val="0053603D"/>
    <w:rsid w:val="005363A9"/>
    <w:rsid w:val="00540B5A"/>
    <w:rsid w:val="00541554"/>
    <w:rsid w:val="00541585"/>
    <w:rsid w:val="005420BD"/>
    <w:rsid w:val="00542678"/>
    <w:rsid w:val="00542B01"/>
    <w:rsid w:val="00543DCB"/>
    <w:rsid w:val="00543E0F"/>
    <w:rsid w:val="00544CB9"/>
    <w:rsid w:val="00545037"/>
    <w:rsid w:val="0054510A"/>
    <w:rsid w:val="0054529E"/>
    <w:rsid w:val="00547C0A"/>
    <w:rsid w:val="00551104"/>
    <w:rsid w:val="0055148C"/>
    <w:rsid w:val="005519D7"/>
    <w:rsid w:val="005521BE"/>
    <w:rsid w:val="00552A95"/>
    <w:rsid w:val="00553629"/>
    <w:rsid w:val="00553B3B"/>
    <w:rsid w:val="00553D6B"/>
    <w:rsid w:val="00555E77"/>
    <w:rsid w:val="00556DE2"/>
    <w:rsid w:val="00557589"/>
    <w:rsid w:val="005578C9"/>
    <w:rsid w:val="00560866"/>
    <w:rsid w:val="005618EF"/>
    <w:rsid w:val="00562DB7"/>
    <w:rsid w:val="00564A0C"/>
    <w:rsid w:val="00565603"/>
    <w:rsid w:val="00565883"/>
    <w:rsid w:val="00566059"/>
    <w:rsid w:val="00566C0B"/>
    <w:rsid w:val="0056761B"/>
    <w:rsid w:val="00571532"/>
    <w:rsid w:val="00574042"/>
    <w:rsid w:val="00574119"/>
    <w:rsid w:val="00574AFA"/>
    <w:rsid w:val="00574BDC"/>
    <w:rsid w:val="00574F43"/>
    <w:rsid w:val="00574FAC"/>
    <w:rsid w:val="0057764F"/>
    <w:rsid w:val="00577F0B"/>
    <w:rsid w:val="00577F28"/>
    <w:rsid w:val="00577F2E"/>
    <w:rsid w:val="00580BBE"/>
    <w:rsid w:val="00580C3A"/>
    <w:rsid w:val="00581B1C"/>
    <w:rsid w:val="00581B41"/>
    <w:rsid w:val="00581FC8"/>
    <w:rsid w:val="00582255"/>
    <w:rsid w:val="0058231A"/>
    <w:rsid w:val="005827C8"/>
    <w:rsid w:val="00583414"/>
    <w:rsid w:val="00583FF2"/>
    <w:rsid w:val="00584026"/>
    <w:rsid w:val="00585122"/>
    <w:rsid w:val="0058514E"/>
    <w:rsid w:val="00585226"/>
    <w:rsid w:val="00585F9B"/>
    <w:rsid w:val="00586544"/>
    <w:rsid w:val="005869C4"/>
    <w:rsid w:val="00587C0E"/>
    <w:rsid w:val="00587DF7"/>
    <w:rsid w:val="0059056C"/>
    <w:rsid w:val="00591138"/>
    <w:rsid w:val="00591618"/>
    <w:rsid w:val="00591CE1"/>
    <w:rsid w:val="0059266E"/>
    <w:rsid w:val="00593E2B"/>
    <w:rsid w:val="0059436E"/>
    <w:rsid w:val="005970A8"/>
    <w:rsid w:val="005979C2"/>
    <w:rsid w:val="005A0EF9"/>
    <w:rsid w:val="005A2D81"/>
    <w:rsid w:val="005A2F64"/>
    <w:rsid w:val="005A4576"/>
    <w:rsid w:val="005A4D38"/>
    <w:rsid w:val="005A50D0"/>
    <w:rsid w:val="005A5BF0"/>
    <w:rsid w:val="005A7065"/>
    <w:rsid w:val="005A7506"/>
    <w:rsid w:val="005B022A"/>
    <w:rsid w:val="005B1099"/>
    <w:rsid w:val="005B1366"/>
    <w:rsid w:val="005B1A22"/>
    <w:rsid w:val="005B1F9C"/>
    <w:rsid w:val="005B218A"/>
    <w:rsid w:val="005B2D72"/>
    <w:rsid w:val="005B30A5"/>
    <w:rsid w:val="005B5105"/>
    <w:rsid w:val="005B5661"/>
    <w:rsid w:val="005B5AE0"/>
    <w:rsid w:val="005B5D8D"/>
    <w:rsid w:val="005B5EDF"/>
    <w:rsid w:val="005B704D"/>
    <w:rsid w:val="005B7F9A"/>
    <w:rsid w:val="005C06AD"/>
    <w:rsid w:val="005C089C"/>
    <w:rsid w:val="005C1511"/>
    <w:rsid w:val="005C1E28"/>
    <w:rsid w:val="005C2CAB"/>
    <w:rsid w:val="005C2DFE"/>
    <w:rsid w:val="005C3281"/>
    <w:rsid w:val="005C389C"/>
    <w:rsid w:val="005C3AF0"/>
    <w:rsid w:val="005C46CF"/>
    <w:rsid w:val="005C55E4"/>
    <w:rsid w:val="005C5BEA"/>
    <w:rsid w:val="005C61FD"/>
    <w:rsid w:val="005C7A41"/>
    <w:rsid w:val="005D14E7"/>
    <w:rsid w:val="005D1B19"/>
    <w:rsid w:val="005D1DB3"/>
    <w:rsid w:val="005D342E"/>
    <w:rsid w:val="005D4CBB"/>
    <w:rsid w:val="005D5069"/>
    <w:rsid w:val="005D5247"/>
    <w:rsid w:val="005D59B6"/>
    <w:rsid w:val="005D5B65"/>
    <w:rsid w:val="005D5E9F"/>
    <w:rsid w:val="005D610D"/>
    <w:rsid w:val="005D6319"/>
    <w:rsid w:val="005D65AD"/>
    <w:rsid w:val="005D69B2"/>
    <w:rsid w:val="005E0FE1"/>
    <w:rsid w:val="005E3E3A"/>
    <w:rsid w:val="005E4357"/>
    <w:rsid w:val="005E4AF2"/>
    <w:rsid w:val="005E5F5D"/>
    <w:rsid w:val="005F0714"/>
    <w:rsid w:val="005F0819"/>
    <w:rsid w:val="005F16FA"/>
    <w:rsid w:val="005F1D03"/>
    <w:rsid w:val="005F2DE5"/>
    <w:rsid w:val="005F3CA2"/>
    <w:rsid w:val="005F4EB2"/>
    <w:rsid w:val="005F5858"/>
    <w:rsid w:val="005F5F95"/>
    <w:rsid w:val="005F6964"/>
    <w:rsid w:val="005F7AB7"/>
    <w:rsid w:val="006003E6"/>
    <w:rsid w:val="00600E4C"/>
    <w:rsid w:val="00600F24"/>
    <w:rsid w:val="006017F4"/>
    <w:rsid w:val="00601A19"/>
    <w:rsid w:val="00602061"/>
    <w:rsid w:val="0060254E"/>
    <w:rsid w:val="00602B2C"/>
    <w:rsid w:val="0060359A"/>
    <w:rsid w:val="00603DA8"/>
    <w:rsid w:val="0060460B"/>
    <w:rsid w:val="00604ED6"/>
    <w:rsid w:val="00605851"/>
    <w:rsid w:val="00606127"/>
    <w:rsid w:val="00606A46"/>
    <w:rsid w:val="00611D0E"/>
    <w:rsid w:val="00612567"/>
    <w:rsid w:val="006127E7"/>
    <w:rsid w:val="00612C56"/>
    <w:rsid w:val="00612DCD"/>
    <w:rsid w:val="0061354D"/>
    <w:rsid w:val="00613BA1"/>
    <w:rsid w:val="006140C3"/>
    <w:rsid w:val="0061554F"/>
    <w:rsid w:val="00615FF2"/>
    <w:rsid w:val="00616FE8"/>
    <w:rsid w:val="00617FEF"/>
    <w:rsid w:val="00620620"/>
    <w:rsid w:val="0062158B"/>
    <w:rsid w:val="00621BB5"/>
    <w:rsid w:val="00622211"/>
    <w:rsid w:val="0062269B"/>
    <w:rsid w:val="006239F8"/>
    <w:rsid w:val="006244E3"/>
    <w:rsid w:val="00624B9E"/>
    <w:rsid w:val="00624F65"/>
    <w:rsid w:val="00625E3D"/>
    <w:rsid w:val="006275F7"/>
    <w:rsid w:val="00627F6A"/>
    <w:rsid w:val="00630215"/>
    <w:rsid w:val="00630367"/>
    <w:rsid w:val="006309D5"/>
    <w:rsid w:val="00630C13"/>
    <w:rsid w:val="00630C4D"/>
    <w:rsid w:val="00631114"/>
    <w:rsid w:val="0063170A"/>
    <w:rsid w:val="00631CA5"/>
    <w:rsid w:val="0063305E"/>
    <w:rsid w:val="00636833"/>
    <w:rsid w:val="00636ED8"/>
    <w:rsid w:val="006405F6"/>
    <w:rsid w:val="0064074B"/>
    <w:rsid w:val="0064106D"/>
    <w:rsid w:val="00641C1A"/>
    <w:rsid w:val="00641E45"/>
    <w:rsid w:val="00641E72"/>
    <w:rsid w:val="00641E98"/>
    <w:rsid w:val="00643B69"/>
    <w:rsid w:val="00643F81"/>
    <w:rsid w:val="00644111"/>
    <w:rsid w:val="006446B8"/>
    <w:rsid w:val="00644BF1"/>
    <w:rsid w:val="00644E67"/>
    <w:rsid w:val="00644FC5"/>
    <w:rsid w:val="00645B7E"/>
    <w:rsid w:val="00645EFD"/>
    <w:rsid w:val="0064602F"/>
    <w:rsid w:val="006474A9"/>
    <w:rsid w:val="006502A7"/>
    <w:rsid w:val="00650434"/>
    <w:rsid w:val="00650A0A"/>
    <w:rsid w:val="00651206"/>
    <w:rsid w:val="00651BD4"/>
    <w:rsid w:val="00655400"/>
    <w:rsid w:val="00655A2B"/>
    <w:rsid w:val="00655A86"/>
    <w:rsid w:val="00656643"/>
    <w:rsid w:val="00657457"/>
    <w:rsid w:val="00660705"/>
    <w:rsid w:val="0066321B"/>
    <w:rsid w:val="00663BA0"/>
    <w:rsid w:val="00663E95"/>
    <w:rsid w:val="006647EC"/>
    <w:rsid w:val="00664A72"/>
    <w:rsid w:val="00665B09"/>
    <w:rsid w:val="00667926"/>
    <w:rsid w:val="00670510"/>
    <w:rsid w:val="00670AFA"/>
    <w:rsid w:val="00670CF1"/>
    <w:rsid w:val="00670DC1"/>
    <w:rsid w:val="0067126F"/>
    <w:rsid w:val="00671D13"/>
    <w:rsid w:val="00672A60"/>
    <w:rsid w:val="00672C16"/>
    <w:rsid w:val="00672E87"/>
    <w:rsid w:val="0067442A"/>
    <w:rsid w:val="00675261"/>
    <w:rsid w:val="00676279"/>
    <w:rsid w:val="00676669"/>
    <w:rsid w:val="00676930"/>
    <w:rsid w:val="0067778F"/>
    <w:rsid w:val="00677ABB"/>
    <w:rsid w:val="00677B1E"/>
    <w:rsid w:val="00677FA2"/>
    <w:rsid w:val="006800A9"/>
    <w:rsid w:val="00680C80"/>
    <w:rsid w:val="0068105E"/>
    <w:rsid w:val="00681315"/>
    <w:rsid w:val="00682B77"/>
    <w:rsid w:val="00682E96"/>
    <w:rsid w:val="0068319B"/>
    <w:rsid w:val="0068380B"/>
    <w:rsid w:val="00683918"/>
    <w:rsid w:val="006847EF"/>
    <w:rsid w:val="0068529F"/>
    <w:rsid w:val="00686042"/>
    <w:rsid w:val="006870DD"/>
    <w:rsid w:val="00687F42"/>
    <w:rsid w:val="00690708"/>
    <w:rsid w:val="0069074B"/>
    <w:rsid w:val="00691046"/>
    <w:rsid w:val="006917F7"/>
    <w:rsid w:val="00691CE5"/>
    <w:rsid w:val="00693011"/>
    <w:rsid w:val="00693EF3"/>
    <w:rsid w:val="006946A3"/>
    <w:rsid w:val="00695B61"/>
    <w:rsid w:val="0069657A"/>
    <w:rsid w:val="00696DAC"/>
    <w:rsid w:val="00697438"/>
    <w:rsid w:val="006975DC"/>
    <w:rsid w:val="0069779F"/>
    <w:rsid w:val="006A0487"/>
    <w:rsid w:val="006A1072"/>
    <w:rsid w:val="006A1C48"/>
    <w:rsid w:val="006A1FB1"/>
    <w:rsid w:val="006A3507"/>
    <w:rsid w:val="006A3DBC"/>
    <w:rsid w:val="006A40B2"/>
    <w:rsid w:val="006A4785"/>
    <w:rsid w:val="006A4B48"/>
    <w:rsid w:val="006A52F7"/>
    <w:rsid w:val="006A56B8"/>
    <w:rsid w:val="006A5C05"/>
    <w:rsid w:val="006A5D33"/>
    <w:rsid w:val="006A5F80"/>
    <w:rsid w:val="006A6BAF"/>
    <w:rsid w:val="006A77F7"/>
    <w:rsid w:val="006B0A8C"/>
    <w:rsid w:val="006B469F"/>
    <w:rsid w:val="006B4CD9"/>
    <w:rsid w:val="006B5083"/>
    <w:rsid w:val="006B560A"/>
    <w:rsid w:val="006B5D2F"/>
    <w:rsid w:val="006B6B44"/>
    <w:rsid w:val="006B6F33"/>
    <w:rsid w:val="006B7839"/>
    <w:rsid w:val="006B7EFC"/>
    <w:rsid w:val="006C14B3"/>
    <w:rsid w:val="006C1BB0"/>
    <w:rsid w:val="006C1DAE"/>
    <w:rsid w:val="006C5107"/>
    <w:rsid w:val="006C53A7"/>
    <w:rsid w:val="006C5644"/>
    <w:rsid w:val="006C5D6B"/>
    <w:rsid w:val="006C5F90"/>
    <w:rsid w:val="006C6312"/>
    <w:rsid w:val="006C6948"/>
    <w:rsid w:val="006C6F94"/>
    <w:rsid w:val="006D004A"/>
    <w:rsid w:val="006D1774"/>
    <w:rsid w:val="006D194F"/>
    <w:rsid w:val="006D1AF8"/>
    <w:rsid w:val="006D241F"/>
    <w:rsid w:val="006D2772"/>
    <w:rsid w:val="006D2779"/>
    <w:rsid w:val="006D311F"/>
    <w:rsid w:val="006D34CB"/>
    <w:rsid w:val="006D3DD2"/>
    <w:rsid w:val="006D426B"/>
    <w:rsid w:val="006D4322"/>
    <w:rsid w:val="006D51BD"/>
    <w:rsid w:val="006D679B"/>
    <w:rsid w:val="006D6CAA"/>
    <w:rsid w:val="006D6FEB"/>
    <w:rsid w:val="006D7A25"/>
    <w:rsid w:val="006E1760"/>
    <w:rsid w:val="006E1AC5"/>
    <w:rsid w:val="006E2125"/>
    <w:rsid w:val="006E285F"/>
    <w:rsid w:val="006E387B"/>
    <w:rsid w:val="006E4C91"/>
    <w:rsid w:val="006E549E"/>
    <w:rsid w:val="006E6029"/>
    <w:rsid w:val="006E68C5"/>
    <w:rsid w:val="006E6DDB"/>
    <w:rsid w:val="006E6EDB"/>
    <w:rsid w:val="006E70D4"/>
    <w:rsid w:val="006E726B"/>
    <w:rsid w:val="006E7C11"/>
    <w:rsid w:val="006E7D27"/>
    <w:rsid w:val="006E7F85"/>
    <w:rsid w:val="006F060C"/>
    <w:rsid w:val="006F073A"/>
    <w:rsid w:val="006F0DC7"/>
    <w:rsid w:val="006F106F"/>
    <w:rsid w:val="006F1256"/>
    <w:rsid w:val="006F142E"/>
    <w:rsid w:val="006F1595"/>
    <w:rsid w:val="006F1FA1"/>
    <w:rsid w:val="006F234A"/>
    <w:rsid w:val="006F3045"/>
    <w:rsid w:val="006F3344"/>
    <w:rsid w:val="006F3A42"/>
    <w:rsid w:val="006F5683"/>
    <w:rsid w:val="006F5D77"/>
    <w:rsid w:val="006F689B"/>
    <w:rsid w:val="006F6CED"/>
    <w:rsid w:val="006F6E9A"/>
    <w:rsid w:val="006F7599"/>
    <w:rsid w:val="006F7913"/>
    <w:rsid w:val="007002BD"/>
    <w:rsid w:val="00700E04"/>
    <w:rsid w:val="00702144"/>
    <w:rsid w:val="0070219E"/>
    <w:rsid w:val="0070236C"/>
    <w:rsid w:val="0070242B"/>
    <w:rsid w:val="00702668"/>
    <w:rsid w:val="00703853"/>
    <w:rsid w:val="00703858"/>
    <w:rsid w:val="007041DC"/>
    <w:rsid w:val="007047FF"/>
    <w:rsid w:val="00704A7C"/>
    <w:rsid w:val="00705104"/>
    <w:rsid w:val="00705368"/>
    <w:rsid w:val="0070540B"/>
    <w:rsid w:val="007056B4"/>
    <w:rsid w:val="0070575F"/>
    <w:rsid w:val="0070642E"/>
    <w:rsid w:val="007065D3"/>
    <w:rsid w:val="0070740B"/>
    <w:rsid w:val="0070776B"/>
    <w:rsid w:val="007103B3"/>
    <w:rsid w:val="00710E8F"/>
    <w:rsid w:val="00711C1E"/>
    <w:rsid w:val="007122FE"/>
    <w:rsid w:val="007123A3"/>
    <w:rsid w:val="007125E6"/>
    <w:rsid w:val="00712B3E"/>
    <w:rsid w:val="00712B4B"/>
    <w:rsid w:val="00713056"/>
    <w:rsid w:val="00714234"/>
    <w:rsid w:val="0071505B"/>
    <w:rsid w:val="007154E7"/>
    <w:rsid w:val="00715DDD"/>
    <w:rsid w:val="007203DD"/>
    <w:rsid w:val="0072308F"/>
    <w:rsid w:val="00723FC0"/>
    <w:rsid w:val="00725447"/>
    <w:rsid w:val="0072589E"/>
    <w:rsid w:val="007258E1"/>
    <w:rsid w:val="00725ACA"/>
    <w:rsid w:val="007266A7"/>
    <w:rsid w:val="007269AD"/>
    <w:rsid w:val="007272B5"/>
    <w:rsid w:val="007277D9"/>
    <w:rsid w:val="007305F0"/>
    <w:rsid w:val="007318AC"/>
    <w:rsid w:val="00732EB4"/>
    <w:rsid w:val="00734033"/>
    <w:rsid w:val="0073417E"/>
    <w:rsid w:val="007347E8"/>
    <w:rsid w:val="00734F88"/>
    <w:rsid w:val="007352E1"/>
    <w:rsid w:val="00735555"/>
    <w:rsid w:val="00735798"/>
    <w:rsid w:val="00735B17"/>
    <w:rsid w:val="00736A4C"/>
    <w:rsid w:val="00736BAF"/>
    <w:rsid w:val="00737BE8"/>
    <w:rsid w:val="00737C91"/>
    <w:rsid w:val="00737D37"/>
    <w:rsid w:val="00740B80"/>
    <w:rsid w:val="00741619"/>
    <w:rsid w:val="00742D4E"/>
    <w:rsid w:val="00742F34"/>
    <w:rsid w:val="00743966"/>
    <w:rsid w:val="00743F20"/>
    <w:rsid w:val="007443D1"/>
    <w:rsid w:val="007452E9"/>
    <w:rsid w:val="00745B08"/>
    <w:rsid w:val="007460FC"/>
    <w:rsid w:val="0074633F"/>
    <w:rsid w:val="007469C5"/>
    <w:rsid w:val="00747C9B"/>
    <w:rsid w:val="00750C48"/>
    <w:rsid w:val="007511AC"/>
    <w:rsid w:val="00751549"/>
    <w:rsid w:val="0075188F"/>
    <w:rsid w:val="00751D4C"/>
    <w:rsid w:val="00752777"/>
    <w:rsid w:val="00753056"/>
    <w:rsid w:val="0075383D"/>
    <w:rsid w:val="00753ED2"/>
    <w:rsid w:val="00754776"/>
    <w:rsid w:val="007547B0"/>
    <w:rsid w:val="00754F68"/>
    <w:rsid w:val="0075676D"/>
    <w:rsid w:val="00757AF4"/>
    <w:rsid w:val="00757B0F"/>
    <w:rsid w:val="00757B65"/>
    <w:rsid w:val="0076042F"/>
    <w:rsid w:val="00761208"/>
    <w:rsid w:val="0076147F"/>
    <w:rsid w:val="00762BF5"/>
    <w:rsid w:val="00762F96"/>
    <w:rsid w:val="00763324"/>
    <w:rsid w:val="00763769"/>
    <w:rsid w:val="00765E69"/>
    <w:rsid w:val="00766752"/>
    <w:rsid w:val="00766908"/>
    <w:rsid w:val="00767D8B"/>
    <w:rsid w:val="00767E68"/>
    <w:rsid w:val="0077029F"/>
    <w:rsid w:val="00770D0F"/>
    <w:rsid w:val="0077367F"/>
    <w:rsid w:val="007739E5"/>
    <w:rsid w:val="007744F1"/>
    <w:rsid w:val="007746C0"/>
    <w:rsid w:val="00774A40"/>
    <w:rsid w:val="00774AB6"/>
    <w:rsid w:val="00775030"/>
    <w:rsid w:val="007751EF"/>
    <w:rsid w:val="007772F4"/>
    <w:rsid w:val="00777634"/>
    <w:rsid w:val="00777D2D"/>
    <w:rsid w:val="007801AE"/>
    <w:rsid w:val="00780260"/>
    <w:rsid w:val="00781D95"/>
    <w:rsid w:val="00781FA7"/>
    <w:rsid w:val="007821F1"/>
    <w:rsid w:val="007836EF"/>
    <w:rsid w:val="00783A45"/>
    <w:rsid w:val="00783C91"/>
    <w:rsid w:val="007842AB"/>
    <w:rsid w:val="00784899"/>
    <w:rsid w:val="00784EC0"/>
    <w:rsid w:val="00785D5F"/>
    <w:rsid w:val="00785FD3"/>
    <w:rsid w:val="007865EA"/>
    <w:rsid w:val="00786C5E"/>
    <w:rsid w:val="00786F4D"/>
    <w:rsid w:val="00786FD8"/>
    <w:rsid w:val="00787E5D"/>
    <w:rsid w:val="007911E3"/>
    <w:rsid w:val="00791223"/>
    <w:rsid w:val="007913BD"/>
    <w:rsid w:val="0079192C"/>
    <w:rsid w:val="00792FA5"/>
    <w:rsid w:val="00793514"/>
    <w:rsid w:val="0079356E"/>
    <w:rsid w:val="0079373F"/>
    <w:rsid w:val="0079379A"/>
    <w:rsid w:val="0079437E"/>
    <w:rsid w:val="0079444C"/>
    <w:rsid w:val="00794D42"/>
    <w:rsid w:val="00796A17"/>
    <w:rsid w:val="0079720F"/>
    <w:rsid w:val="00797311"/>
    <w:rsid w:val="00797535"/>
    <w:rsid w:val="00797BC8"/>
    <w:rsid w:val="007A215F"/>
    <w:rsid w:val="007A25ED"/>
    <w:rsid w:val="007A2E65"/>
    <w:rsid w:val="007A3490"/>
    <w:rsid w:val="007A35F7"/>
    <w:rsid w:val="007A37A3"/>
    <w:rsid w:val="007A3BD5"/>
    <w:rsid w:val="007A422D"/>
    <w:rsid w:val="007A4367"/>
    <w:rsid w:val="007A4E96"/>
    <w:rsid w:val="007A54AF"/>
    <w:rsid w:val="007A560A"/>
    <w:rsid w:val="007A5827"/>
    <w:rsid w:val="007A662D"/>
    <w:rsid w:val="007A7337"/>
    <w:rsid w:val="007A767F"/>
    <w:rsid w:val="007A7A84"/>
    <w:rsid w:val="007B03C0"/>
    <w:rsid w:val="007B06D9"/>
    <w:rsid w:val="007B0EE8"/>
    <w:rsid w:val="007B15FE"/>
    <w:rsid w:val="007B1DD6"/>
    <w:rsid w:val="007B21AB"/>
    <w:rsid w:val="007B245F"/>
    <w:rsid w:val="007B30C1"/>
    <w:rsid w:val="007B31D6"/>
    <w:rsid w:val="007B36DF"/>
    <w:rsid w:val="007B56AC"/>
    <w:rsid w:val="007B78BF"/>
    <w:rsid w:val="007B7E37"/>
    <w:rsid w:val="007C0261"/>
    <w:rsid w:val="007C0803"/>
    <w:rsid w:val="007C3061"/>
    <w:rsid w:val="007C37AA"/>
    <w:rsid w:val="007C3B9E"/>
    <w:rsid w:val="007C3EE4"/>
    <w:rsid w:val="007C41DD"/>
    <w:rsid w:val="007C45F2"/>
    <w:rsid w:val="007C48FF"/>
    <w:rsid w:val="007C4A92"/>
    <w:rsid w:val="007C579C"/>
    <w:rsid w:val="007C69A3"/>
    <w:rsid w:val="007C6CAE"/>
    <w:rsid w:val="007C6FB0"/>
    <w:rsid w:val="007D2F12"/>
    <w:rsid w:val="007D36CD"/>
    <w:rsid w:val="007D37B1"/>
    <w:rsid w:val="007D38B9"/>
    <w:rsid w:val="007D49CE"/>
    <w:rsid w:val="007D4BB8"/>
    <w:rsid w:val="007D4BD5"/>
    <w:rsid w:val="007D66A2"/>
    <w:rsid w:val="007D7598"/>
    <w:rsid w:val="007D7DA0"/>
    <w:rsid w:val="007D7FC6"/>
    <w:rsid w:val="007E11FA"/>
    <w:rsid w:val="007E121A"/>
    <w:rsid w:val="007E1C3B"/>
    <w:rsid w:val="007E35B8"/>
    <w:rsid w:val="007E37FC"/>
    <w:rsid w:val="007E43F9"/>
    <w:rsid w:val="007E4663"/>
    <w:rsid w:val="007E4DF4"/>
    <w:rsid w:val="007E5236"/>
    <w:rsid w:val="007E57A9"/>
    <w:rsid w:val="007E5C61"/>
    <w:rsid w:val="007E5DFA"/>
    <w:rsid w:val="007E676A"/>
    <w:rsid w:val="007E7883"/>
    <w:rsid w:val="007F0B3C"/>
    <w:rsid w:val="007F0D6E"/>
    <w:rsid w:val="007F1651"/>
    <w:rsid w:val="007F3F63"/>
    <w:rsid w:val="007F4B9D"/>
    <w:rsid w:val="007F4C7B"/>
    <w:rsid w:val="007F4F3A"/>
    <w:rsid w:val="007F55EA"/>
    <w:rsid w:val="007F741E"/>
    <w:rsid w:val="007F7706"/>
    <w:rsid w:val="0080005F"/>
    <w:rsid w:val="00800630"/>
    <w:rsid w:val="008009AC"/>
    <w:rsid w:val="008018FE"/>
    <w:rsid w:val="00803C48"/>
    <w:rsid w:val="008045AE"/>
    <w:rsid w:val="00804675"/>
    <w:rsid w:val="008048DF"/>
    <w:rsid w:val="00804C9B"/>
    <w:rsid w:val="00804D43"/>
    <w:rsid w:val="00806236"/>
    <w:rsid w:val="00806E0C"/>
    <w:rsid w:val="00810B67"/>
    <w:rsid w:val="00812B97"/>
    <w:rsid w:val="00815632"/>
    <w:rsid w:val="00816872"/>
    <w:rsid w:val="0081698F"/>
    <w:rsid w:val="00817748"/>
    <w:rsid w:val="008200CA"/>
    <w:rsid w:val="0082052A"/>
    <w:rsid w:val="00820579"/>
    <w:rsid w:val="0082109B"/>
    <w:rsid w:val="00821110"/>
    <w:rsid w:val="00821F16"/>
    <w:rsid w:val="008224AD"/>
    <w:rsid w:val="00822F3A"/>
    <w:rsid w:val="008241C2"/>
    <w:rsid w:val="0082429A"/>
    <w:rsid w:val="00824662"/>
    <w:rsid w:val="00824D33"/>
    <w:rsid w:val="00825639"/>
    <w:rsid w:val="00825E30"/>
    <w:rsid w:val="008262BE"/>
    <w:rsid w:val="00827212"/>
    <w:rsid w:val="008278B4"/>
    <w:rsid w:val="00830912"/>
    <w:rsid w:val="00830C44"/>
    <w:rsid w:val="008326F1"/>
    <w:rsid w:val="00832A21"/>
    <w:rsid w:val="008346D1"/>
    <w:rsid w:val="008358F9"/>
    <w:rsid w:val="00835CC8"/>
    <w:rsid w:val="008365D7"/>
    <w:rsid w:val="00836752"/>
    <w:rsid w:val="008367B8"/>
    <w:rsid w:val="008379C4"/>
    <w:rsid w:val="00840802"/>
    <w:rsid w:val="008420D6"/>
    <w:rsid w:val="00842C38"/>
    <w:rsid w:val="008432A5"/>
    <w:rsid w:val="00843569"/>
    <w:rsid w:val="008439D8"/>
    <w:rsid w:val="00844008"/>
    <w:rsid w:val="0084498E"/>
    <w:rsid w:val="00844ED2"/>
    <w:rsid w:val="00846DFD"/>
    <w:rsid w:val="008507D7"/>
    <w:rsid w:val="00850F5F"/>
    <w:rsid w:val="00851089"/>
    <w:rsid w:val="0085138F"/>
    <w:rsid w:val="008516EB"/>
    <w:rsid w:val="00852718"/>
    <w:rsid w:val="00852DEA"/>
    <w:rsid w:val="008538D0"/>
    <w:rsid w:val="0085397B"/>
    <w:rsid w:val="00853A77"/>
    <w:rsid w:val="00853D4C"/>
    <w:rsid w:val="00854286"/>
    <w:rsid w:val="00854349"/>
    <w:rsid w:val="008543D2"/>
    <w:rsid w:val="008547FF"/>
    <w:rsid w:val="00854EEF"/>
    <w:rsid w:val="00854F40"/>
    <w:rsid w:val="00855625"/>
    <w:rsid w:val="008565F6"/>
    <w:rsid w:val="00856706"/>
    <w:rsid w:val="00857011"/>
    <w:rsid w:val="00857E49"/>
    <w:rsid w:val="00860D31"/>
    <w:rsid w:val="008614EA"/>
    <w:rsid w:val="0086327B"/>
    <w:rsid w:val="0086350C"/>
    <w:rsid w:val="008637E0"/>
    <w:rsid w:val="00863DF4"/>
    <w:rsid w:val="008669EC"/>
    <w:rsid w:val="00867CCC"/>
    <w:rsid w:val="008720D9"/>
    <w:rsid w:val="008744EB"/>
    <w:rsid w:val="0087470E"/>
    <w:rsid w:val="00874807"/>
    <w:rsid w:val="008767E8"/>
    <w:rsid w:val="008770AB"/>
    <w:rsid w:val="008805F0"/>
    <w:rsid w:val="00881B78"/>
    <w:rsid w:val="00883129"/>
    <w:rsid w:val="0088339F"/>
    <w:rsid w:val="00883460"/>
    <w:rsid w:val="00883D40"/>
    <w:rsid w:val="00883FCE"/>
    <w:rsid w:val="00884F83"/>
    <w:rsid w:val="00885905"/>
    <w:rsid w:val="00885FDA"/>
    <w:rsid w:val="008868C5"/>
    <w:rsid w:val="00886B6E"/>
    <w:rsid w:val="00886D0E"/>
    <w:rsid w:val="00886EE6"/>
    <w:rsid w:val="00890EE7"/>
    <w:rsid w:val="00893172"/>
    <w:rsid w:val="0089407C"/>
    <w:rsid w:val="0089482F"/>
    <w:rsid w:val="00894BD9"/>
    <w:rsid w:val="00894E4F"/>
    <w:rsid w:val="00894E9E"/>
    <w:rsid w:val="00895A46"/>
    <w:rsid w:val="00895F8C"/>
    <w:rsid w:val="00896224"/>
    <w:rsid w:val="008962BD"/>
    <w:rsid w:val="00896C3C"/>
    <w:rsid w:val="00896C62"/>
    <w:rsid w:val="00897289"/>
    <w:rsid w:val="0089764D"/>
    <w:rsid w:val="00897795"/>
    <w:rsid w:val="008A13CE"/>
    <w:rsid w:val="008A17DD"/>
    <w:rsid w:val="008A26A4"/>
    <w:rsid w:val="008A31FE"/>
    <w:rsid w:val="008A3A0D"/>
    <w:rsid w:val="008A3FB3"/>
    <w:rsid w:val="008A50D9"/>
    <w:rsid w:val="008A5DA8"/>
    <w:rsid w:val="008A7010"/>
    <w:rsid w:val="008A78B8"/>
    <w:rsid w:val="008B01D3"/>
    <w:rsid w:val="008B0B15"/>
    <w:rsid w:val="008B1A44"/>
    <w:rsid w:val="008B2E22"/>
    <w:rsid w:val="008B39F2"/>
    <w:rsid w:val="008B3C89"/>
    <w:rsid w:val="008B588B"/>
    <w:rsid w:val="008B59B3"/>
    <w:rsid w:val="008B6228"/>
    <w:rsid w:val="008B6F30"/>
    <w:rsid w:val="008B73A1"/>
    <w:rsid w:val="008B75B3"/>
    <w:rsid w:val="008B7ACA"/>
    <w:rsid w:val="008C0BEB"/>
    <w:rsid w:val="008C0D60"/>
    <w:rsid w:val="008C0F4C"/>
    <w:rsid w:val="008C1158"/>
    <w:rsid w:val="008C1B35"/>
    <w:rsid w:val="008C2992"/>
    <w:rsid w:val="008C3505"/>
    <w:rsid w:val="008C351E"/>
    <w:rsid w:val="008C420E"/>
    <w:rsid w:val="008C4813"/>
    <w:rsid w:val="008C4E3C"/>
    <w:rsid w:val="008C6137"/>
    <w:rsid w:val="008C62D6"/>
    <w:rsid w:val="008C679F"/>
    <w:rsid w:val="008C74B0"/>
    <w:rsid w:val="008D088E"/>
    <w:rsid w:val="008D097D"/>
    <w:rsid w:val="008D273D"/>
    <w:rsid w:val="008D336D"/>
    <w:rsid w:val="008D4B72"/>
    <w:rsid w:val="008D52B1"/>
    <w:rsid w:val="008D5585"/>
    <w:rsid w:val="008D7A27"/>
    <w:rsid w:val="008D7B1D"/>
    <w:rsid w:val="008E03A0"/>
    <w:rsid w:val="008E0AD2"/>
    <w:rsid w:val="008E11A4"/>
    <w:rsid w:val="008E163A"/>
    <w:rsid w:val="008E2645"/>
    <w:rsid w:val="008E3057"/>
    <w:rsid w:val="008E3189"/>
    <w:rsid w:val="008E3252"/>
    <w:rsid w:val="008E3BB0"/>
    <w:rsid w:val="008E4ED6"/>
    <w:rsid w:val="008E5156"/>
    <w:rsid w:val="008E6518"/>
    <w:rsid w:val="008E654A"/>
    <w:rsid w:val="008E7571"/>
    <w:rsid w:val="008E7715"/>
    <w:rsid w:val="008F1A61"/>
    <w:rsid w:val="008F23C2"/>
    <w:rsid w:val="008F33A0"/>
    <w:rsid w:val="008F410A"/>
    <w:rsid w:val="008F4B7D"/>
    <w:rsid w:val="008F4FAD"/>
    <w:rsid w:val="008F5354"/>
    <w:rsid w:val="008F54CD"/>
    <w:rsid w:val="008F58B7"/>
    <w:rsid w:val="008F6DA7"/>
    <w:rsid w:val="008F7E8C"/>
    <w:rsid w:val="00900A26"/>
    <w:rsid w:val="0090190B"/>
    <w:rsid w:val="00902B00"/>
    <w:rsid w:val="00902F85"/>
    <w:rsid w:val="0090367D"/>
    <w:rsid w:val="00904480"/>
    <w:rsid w:val="0090465D"/>
    <w:rsid w:val="0090478D"/>
    <w:rsid w:val="00904EB1"/>
    <w:rsid w:val="00905187"/>
    <w:rsid w:val="00905548"/>
    <w:rsid w:val="0090568B"/>
    <w:rsid w:val="0090618B"/>
    <w:rsid w:val="009066A2"/>
    <w:rsid w:val="00907151"/>
    <w:rsid w:val="00907DDB"/>
    <w:rsid w:val="009104FF"/>
    <w:rsid w:val="009108F1"/>
    <w:rsid w:val="00911334"/>
    <w:rsid w:val="00911512"/>
    <w:rsid w:val="00911A35"/>
    <w:rsid w:val="00911F32"/>
    <w:rsid w:val="009120C5"/>
    <w:rsid w:val="009127E3"/>
    <w:rsid w:val="00912B1E"/>
    <w:rsid w:val="00912C98"/>
    <w:rsid w:val="00912E04"/>
    <w:rsid w:val="0091384A"/>
    <w:rsid w:val="009161F6"/>
    <w:rsid w:val="0091696B"/>
    <w:rsid w:val="009179EA"/>
    <w:rsid w:val="00920D72"/>
    <w:rsid w:val="009212C4"/>
    <w:rsid w:val="009214DF"/>
    <w:rsid w:val="009223E3"/>
    <w:rsid w:val="0092332A"/>
    <w:rsid w:val="0092358D"/>
    <w:rsid w:val="00923726"/>
    <w:rsid w:val="009237F0"/>
    <w:rsid w:val="00925143"/>
    <w:rsid w:val="00925749"/>
    <w:rsid w:val="00926337"/>
    <w:rsid w:val="00926C46"/>
    <w:rsid w:val="00930EEE"/>
    <w:rsid w:val="0093142A"/>
    <w:rsid w:val="009318FB"/>
    <w:rsid w:val="00934607"/>
    <w:rsid w:val="00934948"/>
    <w:rsid w:val="00935221"/>
    <w:rsid w:val="00936AFE"/>
    <w:rsid w:val="0093700E"/>
    <w:rsid w:val="009374C1"/>
    <w:rsid w:val="00940BBE"/>
    <w:rsid w:val="00940DB6"/>
    <w:rsid w:val="00941E37"/>
    <w:rsid w:val="009435D6"/>
    <w:rsid w:val="009444D6"/>
    <w:rsid w:val="00944D56"/>
    <w:rsid w:val="0094521B"/>
    <w:rsid w:val="0094599D"/>
    <w:rsid w:val="00945AA0"/>
    <w:rsid w:val="00945C51"/>
    <w:rsid w:val="009467CB"/>
    <w:rsid w:val="00946ECC"/>
    <w:rsid w:val="00950729"/>
    <w:rsid w:val="009513C7"/>
    <w:rsid w:val="00951B6D"/>
    <w:rsid w:val="009528D1"/>
    <w:rsid w:val="009543AF"/>
    <w:rsid w:val="00954ED9"/>
    <w:rsid w:val="00955A34"/>
    <w:rsid w:val="00956452"/>
    <w:rsid w:val="0095754A"/>
    <w:rsid w:val="0096032D"/>
    <w:rsid w:val="00961145"/>
    <w:rsid w:val="00962CFD"/>
    <w:rsid w:val="00963B70"/>
    <w:rsid w:val="0096406F"/>
    <w:rsid w:val="009642D8"/>
    <w:rsid w:val="00964609"/>
    <w:rsid w:val="00965BFF"/>
    <w:rsid w:val="00965E86"/>
    <w:rsid w:val="00966A44"/>
    <w:rsid w:val="00967962"/>
    <w:rsid w:val="00970094"/>
    <w:rsid w:val="00971536"/>
    <w:rsid w:val="009718C6"/>
    <w:rsid w:val="009720F6"/>
    <w:rsid w:val="009728E7"/>
    <w:rsid w:val="0097324A"/>
    <w:rsid w:val="00973D3A"/>
    <w:rsid w:val="00974A46"/>
    <w:rsid w:val="009756A4"/>
    <w:rsid w:val="009764DD"/>
    <w:rsid w:val="009766F5"/>
    <w:rsid w:val="009768B3"/>
    <w:rsid w:val="00981B81"/>
    <w:rsid w:val="00982BB1"/>
    <w:rsid w:val="00982BD7"/>
    <w:rsid w:val="00983196"/>
    <w:rsid w:val="00984153"/>
    <w:rsid w:val="00985087"/>
    <w:rsid w:val="00986199"/>
    <w:rsid w:val="00990134"/>
    <w:rsid w:val="00991B93"/>
    <w:rsid w:val="00993006"/>
    <w:rsid w:val="0099341E"/>
    <w:rsid w:val="00993C3D"/>
    <w:rsid w:val="00994972"/>
    <w:rsid w:val="00994BBD"/>
    <w:rsid w:val="00994FE6"/>
    <w:rsid w:val="009954AB"/>
    <w:rsid w:val="009954F9"/>
    <w:rsid w:val="00995925"/>
    <w:rsid w:val="00995957"/>
    <w:rsid w:val="00995EA2"/>
    <w:rsid w:val="00996B2D"/>
    <w:rsid w:val="009A00D6"/>
    <w:rsid w:val="009A016C"/>
    <w:rsid w:val="009A1948"/>
    <w:rsid w:val="009A1ABB"/>
    <w:rsid w:val="009A1C38"/>
    <w:rsid w:val="009A4092"/>
    <w:rsid w:val="009A4469"/>
    <w:rsid w:val="009A48EF"/>
    <w:rsid w:val="009A521C"/>
    <w:rsid w:val="009A6741"/>
    <w:rsid w:val="009A686F"/>
    <w:rsid w:val="009B0213"/>
    <w:rsid w:val="009B13B7"/>
    <w:rsid w:val="009B152A"/>
    <w:rsid w:val="009B2180"/>
    <w:rsid w:val="009B257D"/>
    <w:rsid w:val="009B42DC"/>
    <w:rsid w:val="009B470A"/>
    <w:rsid w:val="009B4F1D"/>
    <w:rsid w:val="009B5811"/>
    <w:rsid w:val="009B63DF"/>
    <w:rsid w:val="009B74F5"/>
    <w:rsid w:val="009C096D"/>
    <w:rsid w:val="009C1A01"/>
    <w:rsid w:val="009C20D2"/>
    <w:rsid w:val="009C2656"/>
    <w:rsid w:val="009C30B9"/>
    <w:rsid w:val="009C506D"/>
    <w:rsid w:val="009C5DAC"/>
    <w:rsid w:val="009C5E7A"/>
    <w:rsid w:val="009C5EDF"/>
    <w:rsid w:val="009C7297"/>
    <w:rsid w:val="009C771E"/>
    <w:rsid w:val="009D0D94"/>
    <w:rsid w:val="009D1190"/>
    <w:rsid w:val="009D1D98"/>
    <w:rsid w:val="009D269C"/>
    <w:rsid w:val="009D326B"/>
    <w:rsid w:val="009D34FA"/>
    <w:rsid w:val="009D3EEE"/>
    <w:rsid w:val="009D50C8"/>
    <w:rsid w:val="009D5592"/>
    <w:rsid w:val="009D58E1"/>
    <w:rsid w:val="009D63CF"/>
    <w:rsid w:val="009D6A56"/>
    <w:rsid w:val="009D7D6D"/>
    <w:rsid w:val="009E06DC"/>
    <w:rsid w:val="009E06E4"/>
    <w:rsid w:val="009E1B2C"/>
    <w:rsid w:val="009E2329"/>
    <w:rsid w:val="009E3B6D"/>
    <w:rsid w:val="009E3CB3"/>
    <w:rsid w:val="009E3D50"/>
    <w:rsid w:val="009E6005"/>
    <w:rsid w:val="009E649B"/>
    <w:rsid w:val="009E6540"/>
    <w:rsid w:val="009E6FB1"/>
    <w:rsid w:val="009E7447"/>
    <w:rsid w:val="009E75A9"/>
    <w:rsid w:val="009F02C8"/>
    <w:rsid w:val="009F169E"/>
    <w:rsid w:val="009F1D2C"/>
    <w:rsid w:val="009F28AD"/>
    <w:rsid w:val="009F2939"/>
    <w:rsid w:val="009F4F03"/>
    <w:rsid w:val="009F5017"/>
    <w:rsid w:val="009F5C2E"/>
    <w:rsid w:val="009F5F28"/>
    <w:rsid w:val="009F7522"/>
    <w:rsid w:val="009F792B"/>
    <w:rsid w:val="00A0062C"/>
    <w:rsid w:val="00A00D54"/>
    <w:rsid w:val="00A017D7"/>
    <w:rsid w:val="00A01937"/>
    <w:rsid w:val="00A01AE7"/>
    <w:rsid w:val="00A01FFB"/>
    <w:rsid w:val="00A02706"/>
    <w:rsid w:val="00A02BDB"/>
    <w:rsid w:val="00A03314"/>
    <w:rsid w:val="00A0359A"/>
    <w:rsid w:val="00A0398F"/>
    <w:rsid w:val="00A03BE9"/>
    <w:rsid w:val="00A04147"/>
    <w:rsid w:val="00A04206"/>
    <w:rsid w:val="00A044D9"/>
    <w:rsid w:val="00A056CF"/>
    <w:rsid w:val="00A07D79"/>
    <w:rsid w:val="00A1011A"/>
    <w:rsid w:val="00A110A5"/>
    <w:rsid w:val="00A11229"/>
    <w:rsid w:val="00A121F1"/>
    <w:rsid w:val="00A12AF9"/>
    <w:rsid w:val="00A13382"/>
    <w:rsid w:val="00A13470"/>
    <w:rsid w:val="00A1353C"/>
    <w:rsid w:val="00A13757"/>
    <w:rsid w:val="00A138B7"/>
    <w:rsid w:val="00A138BD"/>
    <w:rsid w:val="00A138D6"/>
    <w:rsid w:val="00A14434"/>
    <w:rsid w:val="00A16630"/>
    <w:rsid w:val="00A168E1"/>
    <w:rsid w:val="00A16C9B"/>
    <w:rsid w:val="00A21AA9"/>
    <w:rsid w:val="00A21D50"/>
    <w:rsid w:val="00A22910"/>
    <w:rsid w:val="00A252ED"/>
    <w:rsid w:val="00A269A5"/>
    <w:rsid w:val="00A26F1A"/>
    <w:rsid w:val="00A30E20"/>
    <w:rsid w:val="00A31BCC"/>
    <w:rsid w:val="00A3235D"/>
    <w:rsid w:val="00A34D5D"/>
    <w:rsid w:val="00A35545"/>
    <w:rsid w:val="00A358E9"/>
    <w:rsid w:val="00A3695F"/>
    <w:rsid w:val="00A374BD"/>
    <w:rsid w:val="00A3777B"/>
    <w:rsid w:val="00A37C52"/>
    <w:rsid w:val="00A37E7E"/>
    <w:rsid w:val="00A40035"/>
    <w:rsid w:val="00A40360"/>
    <w:rsid w:val="00A40CC1"/>
    <w:rsid w:val="00A41679"/>
    <w:rsid w:val="00A41C10"/>
    <w:rsid w:val="00A429F7"/>
    <w:rsid w:val="00A42BFE"/>
    <w:rsid w:val="00A42FA3"/>
    <w:rsid w:val="00A4382E"/>
    <w:rsid w:val="00A438BC"/>
    <w:rsid w:val="00A43F5E"/>
    <w:rsid w:val="00A461F7"/>
    <w:rsid w:val="00A47A2F"/>
    <w:rsid w:val="00A5044B"/>
    <w:rsid w:val="00A5044F"/>
    <w:rsid w:val="00A50A00"/>
    <w:rsid w:val="00A5226B"/>
    <w:rsid w:val="00A54E58"/>
    <w:rsid w:val="00A55708"/>
    <w:rsid w:val="00A561B9"/>
    <w:rsid w:val="00A56641"/>
    <w:rsid w:val="00A56913"/>
    <w:rsid w:val="00A60059"/>
    <w:rsid w:val="00A6241A"/>
    <w:rsid w:val="00A62899"/>
    <w:rsid w:val="00A629A9"/>
    <w:rsid w:val="00A646CD"/>
    <w:rsid w:val="00A64806"/>
    <w:rsid w:val="00A67FC6"/>
    <w:rsid w:val="00A70ED1"/>
    <w:rsid w:val="00A717ED"/>
    <w:rsid w:val="00A71DC9"/>
    <w:rsid w:val="00A7211C"/>
    <w:rsid w:val="00A74665"/>
    <w:rsid w:val="00A752C0"/>
    <w:rsid w:val="00A76B53"/>
    <w:rsid w:val="00A777F8"/>
    <w:rsid w:val="00A805F4"/>
    <w:rsid w:val="00A80CF3"/>
    <w:rsid w:val="00A819BB"/>
    <w:rsid w:val="00A81A5E"/>
    <w:rsid w:val="00A82D48"/>
    <w:rsid w:val="00A836AF"/>
    <w:rsid w:val="00A838EF"/>
    <w:rsid w:val="00A858C4"/>
    <w:rsid w:val="00A85A40"/>
    <w:rsid w:val="00A85D2B"/>
    <w:rsid w:val="00A860B5"/>
    <w:rsid w:val="00A862D0"/>
    <w:rsid w:val="00A865D4"/>
    <w:rsid w:val="00A87724"/>
    <w:rsid w:val="00A87DF5"/>
    <w:rsid w:val="00A9007B"/>
    <w:rsid w:val="00A903ED"/>
    <w:rsid w:val="00A912F2"/>
    <w:rsid w:val="00A91878"/>
    <w:rsid w:val="00A922BB"/>
    <w:rsid w:val="00A9257C"/>
    <w:rsid w:val="00A9352B"/>
    <w:rsid w:val="00A93576"/>
    <w:rsid w:val="00A937BC"/>
    <w:rsid w:val="00A944CC"/>
    <w:rsid w:val="00A94601"/>
    <w:rsid w:val="00A95460"/>
    <w:rsid w:val="00A95E51"/>
    <w:rsid w:val="00A96327"/>
    <w:rsid w:val="00A977B8"/>
    <w:rsid w:val="00A97A41"/>
    <w:rsid w:val="00AA0109"/>
    <w:rsid w:val="00AA0435"/>
    <w:rsid w:val="00AA0584"/>
    <w:rsid w:val="00AA0A41"/>
    <w:rsid w:val="00AA0B29"/>
    <w:rsid w:val="00AA1D15"/>
    <w:rsid w:val="00AA4663"/>
    <w:rsid w:val="00AA4864"/>
    <w:rsid w:val="00AA4AF9"/>
    <w:rsid w:val="00AA4C8E"/>
    <w:rsid w:val="00AA5175"/>
    <w:rsid w:val="00AA59F3"/>
    <w:rsid w:val="00AA69D7"/>
    <w:rsid w:val="00AA7513"/>
    <w:rsid w:val="00AB09A9"/>
    <w:rsid w:val="00AB0A07"/>
    <w:rsid w:val="00AB253C"/>
    <w:rsid w:val="00AB2C55"/>
    <w:rsid w:val="00AB378B"/>
    <w:rsid w:val="00AB54E2"/>
    <w:rsid w:val="00AB5D8A"/>
    <w:rsid w:val="00AB7C10"/>
    <w:rsid w:val="00AC008F"/>
    <w:rsid w:val="00AC05A1"/>
    <w:rsid w:val="00AC3592"/>
    <w:rsid w:val="00AC3BF1"/>
    <w:rsid w:val="00AC3FD9"/>
    <w:rsid w:val="00AC664F"/>
    <w:rsid w:val="00AC6863"/>
    <w:rsid w:val="00AD05EC"/>
    <w:rsid w:val="00AD0FC1"/>
    <w:rsid w:val="00AD181D"/>
    <w:rsid w:val="00AD27A3"/>
    <w:rsid w:val="00AD298B"/>
    <w:rsid w:val="00AD2B89"/>
    <w:rsid w:val="00AD3FF8"/>
    <w:rsid w:val="00AD423E"/>
    <w:rsid w:val="00AD4969"/>
    <w:rsid w:val="00AD4A3D"/>
    <w:rsid w:val="00AD58A8"/>
    <w:rsid w:val="00AD66D0"/>
    <w:rsid w:val="00AD74EC"/>
    <w:rsid w:val="00AE1563"/>
    <w:rsid w:val="00AE1A9C"/>
    <w:rsid w:val="00AE1FBC"/>
    <w:rsid w:val="00AE2AC1"/>
    <w:rsid w:val="00AE3676"/>
    <w:rsid w:val="00AE38DE"/>
    <w:rsid w:val="00AE395F"/>
    <w:rsid w:val="00AE53FD"/>
    <w:rsid w:val="00AE5A9D"/>
    <w:rsid w:val="00AE5CFB"/>
    <w:rsid w:val="00AE7758"/>
    <w:rsid w:val="00AE7F75"/>
    <w:rsid w:val="00AF08C1"/>
    <w:rsid w:val="00AF0BB2"/>
    <w:rsid w:val="00AF184D"/>
    <w:rsid w:val="00AF19CB"/>
    <w:rsid w:val="00AF335C"/>
    <w:rsid w:val="00AF3EC8"/>
    <w:rsid w:val="00AF4524"/>
    <w:rsid w:val="00AF512A"/>
    <w:rsid w:val="00AF54E3"/>
    <w:rsid w:val="00AF55EB"/>
    <w:rsid w:val="00AF6617"/>
    <w:rsid w:val="00AF6E70"/>
    <w:rsid w:val="00AF6F41"/>
    <w:rsid w:val="00B0087B"/>
    <w:rsid w:val="00B00BC4"/>
    <w:rsid w:val="00B01515"/>
    <w:rsid w:val="00B01A2F"/>
    <w:rsid w:val="00B0294B"/>
    <w:rsid w:val="00B02D77"/>
    <w:rsid w:val="00B03A41"/>
    <w:rsid w:val="00B03EFC"/>
    <w:rsid w:val="00B0440D"/>
    <w:rsid w:val="00B04981"/>
    <w:rsid w:val="00B05269"/>
    <w:rsid w:val="00B054DF"/>
    <w:rsid w:val="00B057C3"/>
    <w:rsid w:val="00B05CCC"/>
    <w:rsid w:val="00B0616E"/>
    <w:rsid w:val="00B06652"/>
    <w:rsid w:val="00B079ED"/>
    <w:rsid w:val="00B10E64"/>
    <w:rsid w:val="00B1177C"/>
    <w:rsid w:val="00B122AF"/>
    <w:rsid w:val="00B136BA"/>
    <w:rsid w:val="00B138CA"/>
    <w:rsid w:val="00B14065"/>
    <w:rsid w:val="00B14892"/>
    <w:rsid w:val="00B14C13"/>
    <w:rsid w:val="00B14D6B"/>
    <w:rsid w:val="00B155CF"/>
    <w:rsid w:val="00B1566D"/>
    <w:rsid w:val="00B15D19"/>
    <w:rsid w:val="00B16115"/>
    <w:rsid w:val="00B165CC"/>
    <w:rsid w:val="00B1700B"/>
    <w:rsid w:val="00B20D00"/>
    <w:rsid w:val="00B21740"/>
    <w:rsid w:val="00B22F7F"/>
    <w:rsid w:val="00B23520"/>
    <w:rsid w:val="00B24791"/>
    <w:rsid w:val="00B250DB"/>
    <w:rsid w:val="00B25EE8"/>
    <w:rsid w:val="00B26CA5"/>
    <w:rsid w:val="00B310F2"/>
    <w:rsid w:val="00B311FE"/>
    <w:rsid w:val="00B3128B"/>
    <w:rsid w:val="00B31672"/>
    <w:rsid w:val="00B32BBA"/>
    <w:rsid w:val="00B32FC9"/>
    <w:rsid w:val="00B33155"/>
    <w:rsid w:val="00B336E3"/>
    <w:rsid w:val="00B3393D"/>
    <w:rsid w:val="00B34718"/>
    <w:rsid w:val="00B3491A"/>
    <w:rsid w:val="00B35795"/>
    <w:rsid w:val="00B35A87"/>
    <w:rsid w:val="00B35AC2"/>
    <w:rsid w:val="00B36B74"/>
    <w:rsid w:val="00B41426"/>
    <w:rsid w:val="00B42027"/>
    <w:rsid w:val="00B4255F"/>
    <w:rsid w:val="00B44A29"/>
    <w:rsid w:val="00B45069"/>
    <w:rsid w:val="00B453B7"/>
    <w:rsid w:val="00B45546"/>
    <w:rsid w:val="00B45570"/>
    <w:rsid w:val="00B455AB"/>
    <w:rsid w:val="00B45E7F"/>
    <w:rsid w:val="00B4618C"/>
    <w:rsid w:val="00B468DA"/>
    <w:rsid w:val="00B46BDC"/>
    <w:rsid w:val="00B47F2D"/>
    <w:rsid w:val="00B51018"/>
    <w:rsid w:val="00B5155D"/>
    <w:rsid w:val="00B51880"/>
    <w:rsid w:val="00B5196E"/>
    <w:rsid w:val="00B51FAF"/>
    <w:rsid w:val="00B527E5"/>
    <w:rsid w:val="00B53DD8"/>
    <w:rsid w:val="00B54051"/>
    <w:rsid w:val="00B5464A"/>
    <w:rsid w:val="00B54781"/>
    <w:rsid w:val="00B54894"/>
    <w:rsid w:val="00B55754"/>
    <w:rsid w:val="00B57C59"/>
    <w:rsid w:val="00B57F70"/>
    <w:rsid w:val="00B60457"/>
    <w:rsid w:val="00B60822"/>
    <w:rsid w:val="00B61601"/>
    <w:rsid w:val="00B62676"/>
    <w:rsid w:val="00B635A3"/>
    <w:rsid w:val="00B63670"/>
    <w:rsid w:val="00B63E33"/>
    <w:rsid w:val="00B6405F"/>
    <w:rsid w:val="00B65376"/>
    <w:rsid w:val="00B6553E"/>
    <w:rsid w:val="00B65EFE"/>
    <w:rsid w:val="00B662E2"/>
    <w:rsid w:val="00B67B3C"/>
    <w:rsid w:val="00B705B6"/>
    <w:rsid w:val="00B70D46"/>
    <w:rsid w:val="00B710D7"/>
    <w:rsid w:val="00B719F8"/>
    <w:rsid w:val="00B71B15"/>
    <w:rsid w:val="00B72487"/>
    <w:rsid w:val="00B72A4F"/>
    <w:rsid w:val="00B736BA"/>
    <w:rsid w:val="00B73D26"/>
    <w:rsid w:val="00B746DD"/>
    <w:rsid w:val="00B748B1"/>
    <w:rsid w:val="00B74A0C"/>
    <w:rsid w:val="00B74D26"/>
    <w:rsid w:val="00B76697"/>
    <w:rsid w:val="00B766CB"/>
    <w:rsid w:val="00B76AA4"/>
    <w:rsid w:val="00B771EE"/>
    <w:rsid w:val="00B773EE"/>
    <w:rsid w:val="00B80D80"/>
    <w:rsid w:val="00B80D88"/>
    <w:rsid w:val="00B80E9D"/>
    <w:rsid w:val="00B81086"/>
    <w:rsid w:val="00B81254"/>
    <w:rsid w:val="00B8138B"/>
    <w:rsid w:val="00B81A82"/>
    <w:rsid w:val="00B823F5"/>
    <w:rsid w:val="00B82E0F"/>
    <w:rsid w:val="00B83353"/>
    <w:rsid w:val="00B833EB"/>
    <w:rsid w:val="00B83489"/>
    <w:rsid w:val="00B83A89"/>
    <w:rsid w:val="00B84C11"/>
    <w:rsid w:val="00B85FEA"/>
    <w:rsid w:val="00B8641E"/>
    <w:rsid w:val="00B86AD2"/>
    <w:rsid w:val="00B86C17"/>
    <w:rsid w:val="00B8792D"/>
    <w:rsid w:val="00B9088F"/>
    <w:rsid w:val="00B90901"/>
    <w:rsid w:val="00B9161B"/>
    <w:rsid w:val="00B91D83"/>
    <w:rsid w:val="00B926B7"/>
    <w:rsid w:val="00B92BA7"/>
    <w:rsid w:val="00B92D6C"/>
    <w:rsid w:val="00B938BB"/>
    <w:rsid w:val="00B94FDA"/>
    <w:rsid w:val="00B950A7"/>
    <w:rsid w:val="00B95326"/>
    <w:rsid w:val="00BA0114"/>
    <w:rsid w:val="00BA0452"/>
    <w:rsid w:val="00BA071C"/>
    <w:rsid w:val="00BA0BB5"/>
    <w:rsid w:val="00BA0C6A"/>
    <w:rsid w:val="00BA2AE8"/>
    <w:rsid w:val="00BA321C"/>
    <w:rsid w:val="00BA38A5"/>
    <w:rsid w:val="00BA3D97"/>
    <w:rsid w:val="00BA3E18"/>
    <w:rsid w:val="00BA4B2E"/>
    <w:rsid w:val="00BA4D03"/>
    <w:rsid w:val="00BA541A"/>
    <w:rsid w:val="00BA59C3"/>
    <w:rsid w:val="00BA644A"/>
    <w:rsid w:val="00BA6832"/>
    <w:rsid w:val="00BB0BBD"/>
    <w:rsid w:val="00BB13E2"/>
    <w:rsid w:val="00BB1B0A"/>
    <w:rsid w:val="00BB1DCB"/>
    <w:rsid w:val="00BB286A"/>
    <w:rsid w:val="00BB2D8D"/>
    <w:rsid w:val="00BB3116"/>
    <w:rsid w:val="00BB5126"/>
    <w:rsid w:val="00BB5194"/>
    <w:rsid w:val="00BB5EDC"/>
    <w:rsid w:val="00BC152C"/>
    <w:rsid w:val="00BC23E2"/>
    <w:rsid w:val="00BC2AFF"/>
    <w:rsid w:val="00BC2DC4"/>
    <w:rsid w:val="00BC3748"/>
    <w:rsid w:val="00BC40A5"/>
    <w:rsid w:val="00BC438C"/>
    <w:rsid w:val="00BC51A6"/>
    <w:rsid w:val="00BC51AB"/>
    <w:rsid w:val="00BC5668"/>
    <w:rsid w:val="00BC57B2"/>
    <w:rsid w:val="00BC5E8D"/>
    <w:rsid w:val="00BC643D"/>
    <w:rsid w:val="00BD0F10"/>
    <w:rsid w:val="00BD21F3"/>
    <w:rsid w:val="00BD29BB"/>
    <w:rsid w:val="00BD34F2"/>
    <w:rsid w:val="00BD391B"/>
    <w:rsid w:val="00BD4993"/>
    <w:rsid w:val="00BD5AAA"/>
    <w:rsid w:val="00BD5C34"/>
    <w:rsid w:val="00BD7351"/>
    <w:rsid w:val="00BD7CC1"/>
    <w:rsid w:val="00BD7D76"/>
    <w:rsid w:val="00BE0953"/>
    <w:rsid w:val="00BE0A75"/>
    <w:rsid w:val="00BE1EE1"/>
    <w:rsid w:val="00BE2387"/>
    <w:rsid w:val="00BE297C"/>
    <w:rsid w:val="00BE2B60"/>
    <w:rsid w:val="00BE2B66"/>
    <w:rsid w:val="00BE307F"/>
    <w:rsid w:val="00BE3CEC"/>
    <w:rsid w:val="00BE531C"/>
    <w:rsid w:val="00BE5B2A"/>
    <w:rsid w:val="00BE6A0F"/>
    <w:rsid w:val="00BE6D44"/>
    <w:rsid w:val="00BE759F"/>
    <w:rsid w:val="00BE766C"/>
    <w:rsid w:val="00BE7BDD"/>
    <w:rsid w:val="00BE7DA4"/>
    <w:rsid w:val="00BE7EC5"/>
    <w:rsid w:val="00BF03CE"/>
    <w:rsid w:val="00BF1145"/>
    <w:rsid w:val="00BF1826"/>
    <w:rsid w:val="00BF1E58"/>
    <w:rsid w:val="00BF2371"/>
    <w:rsid w:val="00BF2F8E"/>
    <w:rsid w:val="00BF354E"/>
    <w:rsid w:val="00BF4DF5"/>
    <w:rsid w:val="00BF5F69"/>
    <w:rsid w:val="00BF6173"/>
    <w:rsid w:val="00BF6341"/>
    <w:rsid w:val="00BF78CD"/>
    <w:rsid w:val="00BF7B2A"/>
    <w:rsid w:val="00C011BF"/>
    <w:rsid w:val="00C01375"/>
    <w:rsid w:val="00C02105"/>
    <w:rsid w:val="00C0240A"/>
    <w:rsid w:val="00C03162"/>
    <w:rsid w:val="00C04225"/>
    <w:rsid w:val="00C043FA"/>
    <w:rsid w:val="00C06D40"/>
    <w:rsid w:val="00C06F3B"/>
    <w:rsid w:val="00C06F97"/>
    <w:rsid w:val="00C11F8C"/>
    <w:rsid w:val="00C133B1"/>
    <w:rsid w:val="00C138BE"/>
    <w:rsid w:val="00C14E73"/>
    <w:rsid w:val="00C16617"/>
    <w:rsid w:val="00C16B15"/>
    <w:rsid w:val="00C16EBD"/>
    <w:rsid w:val="00C1719C"/>
    <w:rsid w:val="00C17D07"/>
    <w:rsid w:val="00C22996"/>
    <w:rsid w:val="00C22DB0"/>
    <w:rsid w:val="00C2317F"/>
    <w:rsid w:val="00C23245"/>
    <w:rsid w:val="00C23BC8"/>
    <w:rsid w:val="00C24F10"/>
    <w:rsid w:val="00C251BD"/>
    <w:rsid w:val="00C25297"/>
    <w:rsid w:val="00C255B3"/>
    <w:rsid w:val="00C25707"/>
    <w:rsid w:val="00C30576"/>
    <w:rsid w:val="00C31DB2"/>
    <w:rsid w:val="00C320AD"/>
    <w:rsid w:val="00C32A31"/>
    <w:rsid w:val="00C33B83"/>
    <w:rsid w:val="00C33FF4"/>
    <w:rsid w:val="00C3640C"/>
    <w:rsid w:val="00C370FA"/>
    <w:rsid w:val="00C424E5"/>
    <w:rsid w:val="00C425E0"/>
    <w:rsid w:val="00C4268B"/>
    <w:rsid w:val="00C42E85"/>
    <w:rsid w:val="00C43023"/>
    <w:rsid w:val="00C43987"/>
    <w:rsid w:val="00C43F5F"/>
    <w:rsid w:val="00C4442B"/>
    <w:rsid w:val="00C44903"/>
    <w:rsid w:val="00C45BA7"/>
    <w:rsid w:val="00C468A1"/>
    <w:rsid w:val="00C47162"/>
    <w:rsid w:val="00C47C27"/>
    <w:rsid w:val="00C47D56"/>
    <w:rsid w:val="00C47E30"/>
    <w:rsid w:val="00C50E18"/>
    <w:rsid w:val="00C51239"/>
    <w:rsid w:val="00C52A20"/>
    <w:rsid w:val="00C53EB8"/>
    <w:rsid w:val="00C54733"/>
    <w:rsid w:val="00C55AF9"/>
    <w:rsid w:val="00C563B1"/>
    <w:rsid w:val="00C5674F"/>
    <w:rsid w:val="00C5727E"/>
    <w:rsid w:val="00C57BD3"/>
    <w:rsid w:val="00C61F18"/>
    <w:rsid w:val="00C62468"/>
    <w:rsid w:val="00C624BF"/>
    <w:rsid w:val="00C626A4"/>
    <w:rsid w:val="00C65BE2"/>
    <w:rsid w:val="00C7083F"/>
    <w:rsid w:val="00C71C73"/>
    <w:rsid w:val="00C71DE0"/>
    <w:rsid w:val="00C7350A"/>
    <w:rsid w:val="00C7494F"/>
    <w:rsid w:val="00C74AC3"/>
    <w:rsid w:val="00C76709"/>
    <w:rsid w:val="00C77332"/>
    <w:rsid w:val="00C77678"/>
    <w:rsid w:val="00C77D32"/>
    <w:rsid w:val="00C8093A"/>
    <w:rsid w:val="00C80F5D"/>
    <w:rsid w:val="00C81118"/>
    <w:rsid w:val="00C82502"/>
    <w:rsid w:val="00C85500"/>
    <w:rsid w:val="00C85B3F"/>
    <w:rsid w:val="00C86C9E"/>
    <w:rsid w:val="00C87C96"/>
    <w:rsid w:val="00C902B7"/>
    <w:rsid w:val="00C908FA"/>
    <w:rsid w:val="00C90BFF"/>
    <w:rsid w:val="00C91068"/>
    <w:rsid w:val="00C91A57"/>
    <w:rsid w:val="00C93D27"/>
    <w:rsid w:val="00C97700"/>
    <w:rsid w:val="00C97AE9"/>
    <w:rsid w:val="00C97F9E"/>
    <w:rsid w:val="00CA0109"/>
    <w:rsid w:val="00CA039E"/>
    <w:rsid w:val="00CA2EE9"/>
    <w:rsid w:val="00CA305E"/>
    <w:rsid w:val="00CA40DA"/>
    <w:rsid w:val="00CA4552"/>
    <w:rsid w:val="00CA469B"/>
    <w:rsid w:val="00CA4F32"/>
    <w:rsid w:val="00CA5FAC"/>
    <w:rsid w:val="00CA67AA"/>
    <w:rsid w:val="00CA6BEA"/>
    <w:rsid w:val="00CA6C98"/>
    <w:rsid w:val="00CA7446"/>
    <w:rsid w:val="00CA7CB6"/>
    <w:rsid w:val="00CB08CF"/>
    <w:rsid w:val="00CB0B8D"/>
    <w:rsid w:val="00CB1053"/>
    <w:rsid w:val="00CB1BEB"/>
    <w:rsid w:val="00CB2AAD"/>
    <w:rsid w:val="00CB3639"/>
    <w:rsid w:val="00CB38BB"/>
    <w:rsid w:val="00CB3980"/>
    <w:rsid w:val="00CB3EAE"/>
    <w:rsid w:val="00CB41FF"/>
    <w:rsid w:val="00CB6B64"/>
    <w:rsid w:val="00CB734B"/>
    <w:rsid w:val="00CB7D08"/>
    <w:rsid w:val="00CC1512"/>
    <w:rsid w:val="00CC177E"/>
    <w:rsid w:val="00CC2BF7"/>
    <w:rsid w:val="00CC3900"/>
    <w:rsid w:val="00CC3ACA"/>
    <w:rsid w:val="00CC419D"/>
    <w:rsid w:val="00CC4D0F"/>
    <w:rsid w:val="00CC5B4F"/>
    <w:rsid w:val="00CC6838"/>
    <w:rsid w:val="00CC710C"/>
    <w:rsid w:val="00CC76F9"/>
    <w:rsid w:val="00CD1C18"/>
    <w:rsid w:val="00CD1C27"/>
    <w:rsid w:val="00CD2335"/>
    <w:rsid w:val="00CD55DC"/>
    <w:rsid w:val="00CE0197"/>
    <w:rsid w:val="00CE0D18"/>
    <w:rsid w:val="00CE15A4"/>
    <w:rsid w:val="00CE15EE"/>
    <w:rsid w:val="00CE193E"/>
    <w:rsid w:val="00CE22C8"/>
    <w:rsid w:val="00CE24D2"/>
    <w:rsid w:val="00CE388E"/>
    <w:rsid w:val="00CE4285"/>
    <w:rsid w:val="00CE4BAB"/>
    <w:rsid w:val="00CE4C2F"/>
    <w:rsid w:val="00CE5775"/>
    <w:rsid w:val="00CE5815"/>
    <w:rsid w:val="00CE5992"/>
    <w:rsid w:val="00CE5CF4"/>
    <w:rsid w:val="00CE5DA9"/>
    <w:rsid w:val="00CE6670"/>
    <w:rsid w:val="00CE6703"/>
    <w:rsid w:val="00CE697D"/>
    <w:rsid w:val="00CF032B"/>
    <w:rsid w:val="00CF0331"/>
    <w:rsid w:val="00CF1F5A"/>
    <w:rsid w:val="00CF2F20"/>
    <w:rsid w:val="00CF391D"/>
    <w:rsid w:val="00CF3946"/>
    <w:rsid w:val="00CF4246"/>
    <w:rsid w:val="00CF5DE5"/>
    <w:rsid w:val="00CF6E10"/>
    <w:rsid w:val="00D00EDE"/>
    <w:rsid w:val="00D0178C"/>
    <w:rsid w:val="00D02438"/>
    <w:rsid w:val="00D03042"/>
    <w:rsid w:val="00D03A15"/>
    <w:rsid w:val="00D04246"/>
    <w:rsid w:val="00D04B0B"/>
    <w:rsid w:val="00D04BAE"/>
    <w:rsid w:val="00D05699"/>
    <w:rsid w:val="00D05915"/>
    <w:rsid w:val="00D06D50"/>
    <w:rsid w:val="00D07054"/>
    <w:rsid w:val="00D11284"/>
    <w:rsid w:val="00D11541"/>
    <w:rsid w:val="00D11B47"/>
    <w:rsid w:val="00D125E0"/>
    <w:rsid w:val="00D160F5"/>
    <w:rsid w:val="00D16992"/>
    <w:rsid w:val="00D16F64"/>
    <w:rsid w:val="00D17DB2"/>
    <w:rsid w:val="00D204D1"/>
    <w:rsid w:val="00D20DA6"/>
    <w:rsid w:val="00D20E73"/>
    <w:rsid w:val="00D21B73"/>
    <w:rsid w:val="00D23896"/>
    <w:rsid w:val="00D25409"/>
    <w:rsid w:val="00D270C5"/>
    <w:rsid w:val="00D27DFC"/>
    <w:rsid w:val="00D32022"/>
    <w:rsid w:val="00D3260A"/>
    <w:rsid w:val="00D3279A"/>
    <w:rsid w:val="00D32B5E"/>
    <w:rsid w:val="00D33750"/>
    <w:rsid w:val="00D33AA6"/>
    <w:rsid w:val="00D349A5"/>
    <w:rsid w:val="00D35DDA"/>
    <w:rsid w:val="00D37779"/>
    <w:rsid w:val="00D40A87"/>
    <w:rsid w:val="00D41AEB"/>
    <w:rsid w:val="00D427AE"/>
    <w:rsid w:val="00D4488E"/>
    <w:rsid w:val="00D45847"/>
    <w:rsid w:val="00D46766"/>
    <w:rsid w:val="00D47878"/>
    <w:rsid w:val="00D5133D"/>
    <w:rsid w:val="00D516C5"/>
    <w:rsid w:val="00D51848"/>
    <w:rsid w:val="00D51C40"/>
    <w:rsid w:val="00D51E42"/>
    <w:rsid w:val="00D52C85"/>
    <w:rsid w:val="00D52FC0"/>
    <w:rsid w:val="00D5306D"/>
    <w:rsid w:val="00D5378A"/>
    <w:rsid w:val="00D5423D"/>
    <w:rsid w:val="00D54492"/>
    <w:rsid w:val="00D54667"/>
    <w:rsid w:val="00D546DE"/>
    <w:rsid w:val="00D54E02"/>
    <w:rsid w:val="00D5527D"/>
    <w:rsid w:val="00D55ACE"/>
    <w:rsid w:val="00D56E32"/>
    <w:rsid w:val="00D57F84"/>
    <w:rsid w:val="00D604C7"/>
    <w:rsid w:val="00D604CC"/>
    <w:rsid w:val="00D60540"/>
    <w:rsid w:val="00D60A92"/>
    <w:rsid w:val="00D61C68"/>
    <w:rsid w:val="00D61F22"/>
    <w:rsid w:val="00D629A6"/>
    <w:rsid w:val="00D63C48"/>
    <w:rsid w:val="00D6406B"/>
    <w:rsid w:val="00D647A6"/>
    <w:rsid w:val="00D64C74"/>
    <w:rsid w:val="00D656F0"/>
    <w:rsid w:val="00D66267"/>
    <w:rsid w:val="00D66C26"/>
    <w:rsid w:val="00D676FC"/>
    <w:rsid w:val="00D67979"/>
    <w:rsid w:val="00D67A4D"/>
    <w:rsid w:val="00D67C4A"/>
    <w:rsid w:val="00D71636"/>
    <w:rsid w:val="00D71A49"/>
    <w:rsid w:val="00D71D83"/>
    <w:rsid w:val="00D71F38"/>
    <w:rsid w:val="00D72435"/>
    <w:rsid w:val="00D72679"/>
    <w:rsid w:val="00D726ED"/>
    <w:rsid w:val="00D763A2"/>
    <w:rsid w:val="00D77797"/>
    <w:rsid w:val="00D8014F"/>
    <w:rsid w:val="00D80DF2"/>
    <w:rsid w:val="00D8156D"/>
    <w:rsid w:val="00D816F4"/>
    <w:rsid w:val="00D817F9"/>
    <w:rsid w:val="00D81E01"/>
    <w:rsid w:val="00D8201F"/>
    <w:rsid w:val="00D820A6"/>
    <w:rsid w:val="00D82922"/>
    <w:rsid w:val="00D84585"/>
    <w:rsid w:val="00D85226"/>
    <w:rsid w:val="00D853F0"/>
    <w:rsid w:val="00D85578"/>
    <w:rsid w:val="00D85786"/>
    <w:rsid w:val="00D85ADB"/>
    <w:rsid w:val="00D863CB"/>
    <w:rsid w:val="00D877DB"/>
    <w:rsid w:val="00D92598"/>
    <w:rsid w:val="00D92AC7"/>
    <w:rsid w:val="00D931E0"/>
    <w:rsid w:val="00D93C6E"/>
    <w:rsid w:val="00D94EAB"/>
    <w:rsid w:val="00D96DC3"/>
    <w:rsid w:val="00D97361"/>
    <w:rsid w:val="00D973C9"/>
    <w:rsid w:val="00DA0AB9"/>
    <w:rsid w:val="00DA0F30"/>
    <w:rsid w:val="00DA11BA"/>
    <w:rsid w:val="00DA13DF"/>
    <w:rsid w:val="00DA2017"/>
    <w:rsid w:val="00DA2E83"/>
    <w:rsid w:val="00DA4ECA"/>
    <w:rsid w:val="00DA52A5"/>
    <w:rsid w:val="00DA5996"/>
    <w:rsid w:val="00DA5FD4"/>
    <w:rsid w:val="00DA63D8"/>
    <w:rsid w:val="00DA67D1"/>
    <w:rsid w:val="00DB0CEB"/>
    <w:rsid w:val="00DB0F0C"/>
    <w:rsid w:val="00DB1002"/>
    <w:rsid w:val="00DB1C33"/>
    <w:rsid w:val="00DB1F67"/>
    <w:rsid w:val="00DB242C"/>
    <w:rsid w:val="00DB28B5"/>
    <w:rsid w:val="00DB2D35"/>
    <w:rsid w:val="00DB2E46"/>
    <w:rsid w:val="00DB3357"/>
    <w:rsid w:val="00DB494A"/>
    <w:rsid w:val="00DB51C3"/>
    <w:rsid w:val="00DB6020"/>
    <w:rsid w:val="00DB67F9"/>
    <w:rsid w:val="00DB6943"/>
    <w:rsid w:val="00DB7139"/>
    <w:rsid w:val="00DB7801"/>
    <w:rsid w:val="00DB7FE0"/>
    <w:rsid w:val="00DC253A"/>
    <w:rsid w:val="00DC2650"/>
    <w:rsid w:val="00DC39B9"/>
    <w:rsid w:val="00DC449F"/>
    <w:rsid w:val="00DC468C"/>
    <w:rsid w:val="00DC59AF"/>
    <w:rsid w:val="00DC629B"/>
    <w:rsid w:val="00DC6592"/>
    <w:rsid w:val="00DC680F"/>
    <w:rsid w:val="00DC6E6D"/>
    <w:rsid w:val="00DC6EC5"/>
    <w:rsid w:val="00DD0378"/>
    <w:rsid w:val="00DD0F42"/>
    <w:rsid w:val="00DD1120"/>
    <w:rsid w:val="00DD14C2"/>
    <w:rsid w:val="00DD29B0"/>
    <w:rsid w:val="00DD342E"/>
    <w:rsid w:val="00DD49FB"/>
    <w:rsid w:val="00DD4E6D"/>
    <w:rsid w:val="00DD5090"/>
    <w:rsid w:val="00DD52A1"/>
    <w:rsid w:val="00DD644B"/>
    <w:rsid w:val="00DD7200"/>
    <w:rsid w:val="00DD7510"/>
    <w:rsid w:val="00DE09F8"/>
    <w:rsid w:val="00DE186B"/>
    <w:rsid w:val="00DE1D13"/>
    <w:rsid w:val="00DE23C1"/>
    <w:rsid w:val="00DE24F9"/>
    <w:rsid w:val="00DE26A0"/>
    <w:rsid w:val="00DE2CCF"/>
    <w:rsid w:val="00DE418A"/>
    <w:rsid w:val="00DE4381"/>
    <w:rsid w:val="00DE478A"/>
    <w:rsid w:val="00DE4955"/>
    <w:rsid w:val="00DE5BDE"/>
    <w:rsid w:val="00DE5F32"/>
    <w:rsid w:val="00DE694F"/>
    <w:rsid w:val="00DE76C0"/>
    <w:rsid w:val="00DE7A56"/>
    <w:rsid w:val="00DF0AE9"/>
    <w:rsid w:val="00DF10F2"/>
    <w:rsid w:val="00DF1D77"/>
    <w:rsid w:val="00DF1F73"/>
    <w:rsid w:val="00DF21DA"/>
    <w:rsid w:val="00DF32E2"/>
    <w:rsid w:val="00DF392D"/>
    <w:rsid w:val="00DF3958"/>
    <w:rsid w:val="00DF3A31"/>
    <w:rsid w:val="00DF5A99"/>
    <w:rsid w:val="00DF5DA1"/>
    <w:rsid w:val="00DF5EC4"/>
    <w:rsid w:val="00DF6675"/>
    <w:rsid w:val="00DF6E57"/>
    <w:rsid w:val="00E011E8"/>
    <w:rsid w:val="00E02787"/>
    <w:rsid w:val="00E03115"/>
    <w:rsid w:val="00E035E8"/>
    <w:rsid w:val="00E0376A"/>
    <w:rsid w:val="00E0449C"/>
    <w:rsid w:val="00E0503B"/>
    <w:rsid w:val="00E05546"/>
    <w:rsid w:val="00E0652C"/>
    <w:rsid w:val="00E07810"/>
    <w:rsid w:val="00E07C95"/>
    <w:rsid w:val="00E10A52"/>
    <w:rsid w:val="00E10CA8"/>
    <w:rsid w:val="00E1126F"/>
    <w:rsid w:val="00E115FB"/>
    <w:rsid w:val="00E13D9B"/>
    <w:rsid w:val="00E143CF"/>
    <w:rsid w:val="00E14523"/>
    <w:rsid w:val="00E14EB8"/>
    <w:rsid w:val="00E1509A"/>
    <w:rsid w:val="00E16751"/>
    <w:rsid w:val="00E1681E"/>
    <w:rsid w:val="00E16ADA"/>
    <w:rsid w:val="00E17556"/>
    <w:rsid w:val="00E17EEA"/>
    <w:rsid w:val="00E17F50"/>
    <w:rsid w:val="00E2173A"/>
    <w:rsid w:val="00E226F4"/>
    <w:rsid w:val="00E2283E"/>
    <w:rsid w:val="00E22B73"/>
    <w:rsid w:val="00E232A0"/>
    <w:rsid w:val="00E2439A"/>
    <w:rsid w:val="00E24633"/>
    <w:rsid w:val="00E24881"/>
    <w:rsid w:val="00E2536D"/>
    <w:rsid w:val="00E25954"/>
    <w:rsid w:val="00E2678E"/>
    <w:rsid w:val="00E27C89"/>
    <w:rsid w:val="00E3088E"/>
    <w:rsid w:val="00E3138C"/>
    <w:rsid w:val="00E330E5"/>
    <w:rsid w:val="00E338D1"/>
    <w:rsid w:val="00E33B67"/>
    <w:rsid w:val="00E343A0"/>
    <w:rsid w:val="00E34AD9"/>
    <w:rsid w:val="00E34E3C"/>
    <w:rsid w:val="00E34F07"/>
    <w:rsid w:val="00E402A4"/>
    <w:rsid w:val="00E4152A"/>
    <w:rsid w:val="00E41888"/>
    <w:rsid w:val="00E4285D"/>
    <w:rsid w:val="00E44760"/>
    <w:rsid w:val="00E44FC2"/>
    <w:rsid w:val="00E46AA5"/>
    <w:rsid w:val="00E50589"/>
    <w:rsid w:val="00E50A4A"/>
    <w:rsid w:val="00E533B5"/>
    <w:rsid w:val="00E533DD"/>
    <w:rsid w:val="00E54269"/>
    <w:rsid w:val="00E55C4C"/>
    <w:rsid w:val="00E56E26"/>
    <w:rsid w:val="00E57058"/>
    <w:rsid w:val="00E57A64"/>
    <w:rsid w:val="00E61429"/>
    <w:rsid w:val="00E63DC2"/>
    <w:rsid w:val="00E6408A"/>
    <w:rsid w:val="00E640AE"/>
    <w:rsid w:val="00E640B3"/>
    <w:rsid w:val="00E6435D"/>
    <w:rsid w:val="00E64399"/>
    <w:rsid w:val="00E6453B"/>
    <w:rsid w:val="00E64AAB"/>
    <w:rsid w:val="00E664E6"/>
    <w:rsid w:val="00E66931"/>
    <w:rsid w:val="00E669D5"/>
    <w:rsid w:val="00E66B77"/>
    <w:rsid w:val="00E67435"/>
    <w:rsid w:val="00E67640"/>
    <w:rsid w:val="00E679FF"/>
    <w:rsid w:val="00E67F3E"/>
    <w:rsid w:val="00E73C96"/>
    <w:rsid w:val="00E7437E"/>
    <w:rsid w:val="00E74F92"/>
    <w:rsid w:val="00E757FB"/>
    <w:rsid w:val="00E76037"/>
    <w:rsid w:val="00E76D78"/>
    <w:rsid w:val="00E77A67"/>
    <w:rsid w:val="00E77CC9"/>
    <w:rsid w:val="00E80DBD"/>
    <w:rsid w:val="00E81C53"/>
    <w:rsid w:val="00E82DF3"/>
    <w:rsid w:val="00E83902"/>
    <w:rsid w:val="00E83D84"/>
    <w:rsid w:val="00E841C4"/>
    <w:rsid w:val="00E844CF"/>
    <w:rsid w:val="00E84620"/>
    <w:rsid w:val="00E84952"/>
    <w:rsid w:val="00E85031"/>
    <w:rsid w:val="00E85816"/>
    <w:rsid w:val="00E866C3"/>
    <w:rsid w:val="00E87106"/>
    <w:rsid w:val="00E87B19"/>
    <w:rsid w:val="00E903CA"/>
    <w:rsid w:val="00E905A5"/>
    <w:rsid w:val="00E90EA4"/>
    <w:rsid w:val="00E90FF3"/>
    <w:rsid w:val="00E9136F"/>
    <w:rsid w:val="00E9291F"/>
    <w:rsid w:val="00E93740"/>
    <w:rsid w:val="00E94184"/>
    <w:rsid w:val="00E94689"/>
    <w:rsid w:val="00E9512E"/>
    <w:rsid w:val="00E95F62"/>
    <w:rsid w:val="00E95F93"/>
    <w:rsid w:val="00E96641"/>
    <w:rsid w:val="00E96B01"/>
    <w:rsid w:val="00E96C20"/>
    <w:rsid w:val="00E972FF"/>
    <w:rsid w:val="00EA0334"/>
    <w:rsid w:val="00EA23B7"/>
    <w:rsid w:val="00EA2F29"/>
    <w:rsid w:val="00EA3372"/>
    <w:rsid w:val="00EA5CB4"/>
    <w:rsid w:val="00EA6BC5"/>
    <w:rsid w:val="00EA7159"/>
    <w:rsid w:val="00EB05F6"/>
    <w:rsid w:val="00EB1506"/>
    <w:rsid w:val="00EB15A3"/>
    <w:rsid w:val="00EB28D8"/>
    <w:rsid w:val="00EB31EB"/>
    <w:rsid w:val="00EB3A4A"/>
    <w:rsid w:val="00EB45DE"/>
    <w:rsid w:val="00EB5FAA"/>
    <w:rsid w:val="00EB60FB"/>
    <w:rsid w:val="00EC061B"/>
    <w:rsid w:val="00EC1D6F"/>
    <w:rsid w:val="00EC2D6C"/>
    <w:rsid w:val="00EC2D73"/>
    <w:rsid w:val="00EC4A4D"/>
    <w:rsid w:val="00EC5936"/>
    <w:rsid w:val="00EC5E48"/>
    <w:rsid w:val="00EC64FA"/>
    <w:rsid w:val="00EC6E97"/>
    <w:rsid w:val="00EC77DA"/>
    <w:rsid w:val="00EC7BC0"/>
    <w:rsid w:val="00ED294C"/>
    <w:rsid w:val="00ED29F8"/>
    <w:rsid w:val="00ED2BA6"/>
    <w:rsid w:val="00ED2BBA"/>
    <w:rsid w:val="00ED3012"/>
    <w:rsid w:val="00ED335B"/>
    <w:rsid w:val="00ED3B78"/>
    <w:rsid w:val="00ED3EAC"/>
    <w:rsid w:val="00ED4C9F"/>
    <w:rsid w:val="00ED532F"/>
    <w:rsid w:val="00ED602F"/>
    <w:rsid w:val="00ED69D4"/>
    <w:rsid w:val="00ED6A74"/>
    <w:rsid w:val="00EE17A0"/>
    <w:rsid w:val="00EE19D0"/>
    <w:rsid w:val="00EE2DE2"/>
    <w:rsid w:val="00EE3122"/>
    <w:rsid w:val="00EE37A6"/>
    <w:rsid w:val="00EE3898"/>
    <w:rsid w:val="00EE5312"/>
    <w:rsid w:val="00EE65E6"/>
    <w:rsid w:val="00EE78E9"/>
    <w:rsid w:val="00EF0234"/>
    <w:rsid w:val="00EF2559"/>
    <w:rsid w:val="00EF25B4"/>
    <w:rsid w:val="00EF27E0"/>
    <w:rsid w:val="00EF388F"/>
    <w:rsid w:val="00EF3AEC"/>
    <w:rsid w:val="00EF425C"/>
    <w:rsid w:val="00EF4ABE"/>
    <w:rsid w:val="00EF501C"/>
    <w:rsid w:val="00EF51C1"/>
    <w:rsid w:val="00EF5A28"/>
    <w:rsid w:val="00EF5E44"/>
    <w:rsid w:val="00EF5E51"/>
    <w:rsid w:val="00EF6BE6"/>
    <w:rsid w:val="00EF6FDD"/>
    <w:rsid w:val="00EF7702"/>
    <w:rsid w:val="00EF7EBA"/>
    <w:rsid w:val="00F00012"/>
    <w:rsid w:val="00F004F4"/>
    <w:rsid w:val="00F024BA"/>
    <w:rsid w:val="00F02667"/>
    <w:rsid w:val="00F02A61"/>
    <w:rsid w:val="00F02B2D"/>
    <w:rsid w:val="00F02C37"/>
    <w:rsid w:val="00F05630"/>
    <w:rsid w:val="00F06B45"/>
    <w:rsid w:val="00F06BBF"/>
    <w:rsid w:val="00F0733B"/>
    <w:rsid w:val="00F075EC"/>
    <w:rsid w:val="00F07B19"/>
    <w:rsid w:val="00F10616"/>
    <w:rsid w:val="00F10EF5"/>
    <w:rsid w:val="00F11455"/>
    <w:rsid w:val="00F121EC"/>
    <w:rsid w:val="00F12281"/>
    <w:rsid w:val="00F12B66"/>
    <w:rsid w:val="00F12E3B"/>
    <w:rsid w:val="00F12EAB"/>
    <w:rsid w:val="00F14300"/>
    <w:rsid w:val="00F14F57"/>
    <w:rsid w:val="00F154B9"/>
    <w:rsid w:val="00F16BC7"/>
    <w:rsid w:val="00F17777"/>
    <w:rsid w:val="00F17791"/>
    <w:rsid w:val="00F17994"/>
    <w:rsid w:val="00F20519"/>
    <w:rsid w:val="00F20F2D"/>
    <w:rsid w:val="00F22849"/>
    <w:rsid w:val="00F22D2E"/>
    <w:rsid w:val="00F2312F"/>
    <w:rsid w:val="00F24C51"/>
    <w:rsid w:val="00F24CB6"/>
    <w:rsid w:val="00F27119"/>
    <w:rsid w:val="00F27827"/>
    <w:rsid w:val="00F279AE"/>
    <w:rsid w:val="00F279B8"/>
    <w:rsid w:val="00F27B72"/>
    <w:rsid w:val="00F27D1C"/>
    <w:rsid w:val="00F30805"/>
    <w:rsid w:val="00F30CFF"/>
    <w:rsid w:val="00F311AB"/>
    <w:rsid w:val="00F317D8"/>
    <w:rsid w:val="00F31C06"/>
    <w:rsid w:val="00F32E27"/>
    <w:rsid w:val="00F33E15"/>
    <w:rsid w:val="00F34CCE"/>
    <w:rsid w:val="00F3560E"/>
    <w:rsid w:val="00F35BE5"/>
    <w:rsid w:val="00F370DC"/>
    <w:rsid w:val="00F374D3"/>
    <w:rsid w:val="00F37E4B"/>
    <w:rsid w:val="00F413ED"/>
    <w:rsid w:val="00F41FF6"/>
    <w:rsid w:val="00F424D9"/>
    <w:rsid w:val="00F42B90"/>
    <w:rsid w:val="00F45188"/>
    <w:rsid w:val="00F454F8"/>
    <w:rsid w:val="00F45AFE"/>
    <w:rsid w:val="00F45FC5"/>
    <w:rsid w:val="00F468DF"/>
    <w:rsid w:val="00F46AB6"/>
    <w:rsid w:val="00F46E6D"/>
    <w:rsid w:val="00F46FF3"/>
    <w:rsid w:val="00F4732A"/>
    <w:rsid w:val="00F475F9"/>
    <w:rsid w:val="00F5016F"/>
    <w:rsid w:val="00F51223"/>
    <w:rsid w:val="00F51693"/>
    <w:rsid w:val="00F51C16"/>
    <w:rsid w:val="00F522C9"/>
    <w:rsid w:val="00F52354"/>
    <w:rsid w:val="00F52E82"/>
    <w:rsid w:val="00F52F32"/>
    <w:rsid w:val="00F52F8B"/>
    <w:rsid w:val="00F53C12"/>
    <w:rsid w:val="00F54528"/>
    <w:rsid w:val="00F574BE"/>
    <w:rsid w:val="00F57605"/>
    <w:rsid w:val="00F57857"/>
    <w:rsid w:val="00F60F6D"/>
    <w:rsid w:val="00F60FF3"/>
    <w:rsid w:val="00F63737"/>
    <w:rsid w:val="00F63E12"/>
    <w:rsid w:val="00F63E90"/>
    <w:rsid w:val="00F64111"/>
    <w:rsid w:val="00F64234"/>
    <w:rsid w:val="00F644C0"/>
    <w:rsid w:val="00F64EA7"/>
    <w:rsid w:val="00F64F27"/>
    <w:rsid w:val="00F658DD"/>
    <w:rsid w:val="00F65A9E"/>
    <w:rsid w:val="00F66AFA"/>
    <w:rsid w:val="00F66E3F"/>
    <w:rsid w:val="00F6722E"/>
    <w:rsid w:val="00F67A31"/>
    <w:rsid w:val="00F7086F"/>
    <w:rsid w:val="00F7254A"/>
    <w:rsid w:val="00F72780"/>
    <w:rsid w:val="00F72A4C"/>
    <w:rsid w:val="00F7319C"/>
    <w:rsid w:val="00F74037"/>
    <w:rsid w:val="00F74C5F"/>
    <w:rsid w:val="00F74DF6"/>
    <w:rsid w:val="00F74F91"/>
    <w:rsid w:val="00F752F5"/>
    <w:rsid w:val="00F76595"/>
    <w:rsid w:val="00F76BF9"/>
    <w:rsid w:val="00F776AD"/>
    <w:rsid w:val="00F7788B"/>
    <w:rsid w:val="00F80324"/>
    <w:rsid w:val="00F80AFC"/>
    <w:rsid w:val="00F815E2"/>
    <w:rsid w:val="00F81F18"/>
    <w:rsid w:val="00F8202A"/>
    <w:rsid w:val="00F83F40"/>
    <w:rsid w:val="00F8406D"/>
    <w:rsid w:val="00F864DE"/>
    <w:rsid w:val="00F86EE8"/>
    <w:rsid w:val="00F8725A"/>
    <w:rsid w:val="00F906D9"/>
    <w:rsid w:val="00F93522"/>
    <w:rsid w:val="00F95296"/>
    <w:rsid w:val="00F95BBB"/>
    <w:rsid w:val="00F96B9B"/>
    <w:rsid w:val="00F96BF4"/>
    <w:rsid w:val="00F97501"/>
    <w:rsid w:val="00F97C2E"/>
    <w:rsid w:val="00FA00A3"/>
    <w:rsid w:val="00FA2BC4"/>
    <w:rsid w:val="00FA2C0E"/>
    <w:rsid w:val="00FA2E62"/>
    <w:rsid w:val="00FA44BB"/>
    <w:rsid w:val="00FA4D9F"/>
    <w:rsid w:val="00FA55D8"/>
    <w:rsid w:val="00FA649B"/>
    <w:rsid w:val="00FA6F45"/>
    <w:rsid w:val="00FA76DD"/>
    <w:rsid w:val="00FA7C66"/>
    <w:rsid w:val="00FB11A9"/>
    <w:rsid w:val="00FB2512"/>
    <w:rsid w:val="00FB33BB"/>
    <w:rsid w:val="00FB3AAB"/>
    <w:rsid w:val="00FB504D"/>
    <w:rsid w:val="00FB675B"/>
    <w:rsid w:val="00FB6BCF"/>
    <w:rsid w:val="00FC22EE"/>
    <w:rsid w:val="00FC27C7"/>
    <w:rsid w:val="00FC29D8"/>
    <w:rsid w:val="00FC3E1B"/>
    <w:rsid w:val="00FC433D"/>
    <w:rsid w:val="00FC5C04"/>
    <w:rsid w:val="00FC64B2"/>
    <w:rsid w:val="00FC6D5E"/>
    <w:rsid w:val="00FC6F84"/>
    <w:rsid w:val="00FC79BF"/>
    <w:rsid w:val="00FC7EEC"/>
    <w:rsid w:val="00FD186F"/>
    <w:rsid w:val="00FD1A2D"/>
    <w:rsid w:val="00FD1D8D"/>
    <w:rsid w:val="00FD1EC1"/>
    <w:rsid w:val="00FD1FB4"/>
    <w:rsid w:val="00FD2D95"/>
    <w:rsid w:val="00FD34CB"/>
    <w:rsid w:val="00FD3C90"/>
    <w:rsid w:val="00FD48CD"/>
    <w:rsid w:val="00FD4EA5"/>
    <w:rsid w:val="00FD5DD2"/>
    <w:rsid w:val="00FD6970"/>
    <w:rsid w:val="00FD7462"/>
    <w:rsid w:val="00FD7685"/>
    <w:rsid w:val="00FE1E05"/>
    <w:rsid w:val="00FE3D9B"/>
    <w:rsid w:val="00FE4955"/>
    <w:rsid w:val="00FE4E2B"/>
    <w:rsid w:val="00FE4EF4"/>
    <w:rsid w:val="00FE557D"/>
    <w:rsid w:val="00FE56BD"/>
    <w:rsid w:val="00FE67EC"/>
    <w:rsid w:val="00FE6A36"/>
    <w:rsid w:val="00FE7F60"/>
    <w:rsid w:val="00FF02C2"/>
    <w:rsid w:val="00FF1AC4"/>
    <w:rsid w:val="00FF2A35"/>
    <w:rsid w:val="00FF318A"/>
    <w:rsid w:val="00FF4364"/>
    <w:rsid w:val="00FF4DCB"/>
    <w:rsid w:val="00FF504A"/>
    <w:rsid w:val="00FF54FB"/>
    <w:rsid w:val="00FF5880"/>
    <w:rsid w:val="00FF5C55"/>
    <w:rsid w:val="00FF63BB"/>
    <w:rsid w:val="00FF644C"/>
    <w:rsid w:val="00FF7320"/>
    <w:rsid w:val="013A2793"/>
    <w:rsid w:val="0156026D"/>
    <w:rsid w:val="018F38F6"/>
    <w:rsid w:val="01E90844"/>
    <w:rsid w:val="022E26FA"/>
    <w:rsid w:val="02511314"/>
    <w:rsid w:val="03443858"/>
    <w:rsid w:val="035911A8"/>
    <w:rsid w:val="035D4076"/>
    <w:rsid w:val="036A4F37"/>
    <w:rsid w:val="0392072B"/>
    <w:rsid w:val="03A74512"/>
    <w:rsid w:val="03AA5DB1"/>
    <w:rsid w:val="04395055"/>
    <w:rsid w:val="047C20F3"/>
    <w:rsid w:val="0481143B"/>
    <w:rsid w:val="04954AC7"/>
    <w:rsid w:val="04964902"/>
    <w:rsid w:val="04BF2C00"/>
    <w:rsid w:val="04D70E27"/>
    <w:rsid w:val="05212A41"/>
    <w:rsid w:val="05300538"/>
    <w:rsid w:val="054162A1"/>
    <w:rsid w:val="0578144E"/>
    <w:rsid w:val="05B42F17"/>
    <w:rsid w:val="05D90BCF"/>
    <w:rsid w:val="06513492"/>
    <w:rsid w:val="06723D89"/>
    <w:rsid w:val="067C38A5"/>
    <w:rsid w:val="068648B3"/>
    <w:rsid w:val="073C31C4"/>
    <w:rsid w:val="0774124D"/>
    <w:rsid w:val="07766439"/>
    <w:rsid w:val="07A33592"/>
    <w:rsid w:val="07BF0F29"/>
    <w:rsid w:val="07DA6724"/>
    <w:rsid w:val="086E3851"/>
    <w:rsid w:val="08A07782"/>
    <w:rsid w:val="08A32A73"/>
    <w:rsid w:val="08C571E9"/>
    <w:rsid w:val="08EC0C19"/>
    <w:rsid w:val="097F1E8C"/>
    <w:rsid w:val="09A31262"/>
    <w:rsid w:val="09BC0979"/>
    <w:rsid w:val="0A14667A"/>
    <w:rsid w:val="0A390502"/>
    <w:rsid w:val="0A4F2E9A"/>
    <w:rsid w:val="0A527505"/>
    <w:rsid w:val="0A54652A"/>
    <w:rsid w:val="0A922957"/>
    <w:rsid w:val="0A9D21CB"/>
    <w:rsid w:val="0AC0410C"/>
    <w:rsid w:val="0AC202F5"/>
    <w:rsid w:val="0AFF46CE"/>
    <w:rsid w:val="0B016BFE"/>
    <w:rsid w:val="0B6151C6"/>
    <w:rsid w:val="0BA80D1B"/>
    <w:rsid w:val="0BAD4690"/>
    <w:rsid w:val="0BB04180"/>
    <w:rsid w:val="0BB665C2"/>
    <w:rsid w:val="0C3C5A14"/>
    <w:rsid w:val="0C7B7B44"/>
    <w:rsid w:val="0C8C699B"/>
    <w:rsid w:val="0C9B7CE9"/>
    <w:rsid w:val="0CA75583"/>
    <w:rsid w:val="0CBA3508"/>
    <w:rsid w:val="0D1321C5"/>
    <w:rsid w:val="0D1C1B16"/>
    <w:rsid w:val="0DA44D27"/>
    <w:rsid w:val="0DB154A0"/>
    <w:rsid w:val="0E5A619D"/>
    <w:rsid w:val="0E7201B5"/>
    <w:rsid w:val="0E8C4A31"/>
    <w:rsid w:val="0EC3241C"/>
    <w:rsid w:val="0ECA37AB"/>
    <w:rsid w:val="0EF91A2E"/>
    <w:rsid w:val="0EFD435B"/>
    <w:rsid w:val="0F244675"/>
    <w:rsid w:val="0F2A424A"/>
    <w:rsid w:val="0F3B0748"/>
    <w:rsid w:val="0F59068B"/>
    <w:rsid w:val="0F7554C5"/>
    <w:rsid w:val="0F7979B8"/>
    <w:rsid w:val="0F9E77FC"/>
    <w:rsid w:val="0FCC70AF"/>
    <w:rsid w:val="10926AB7"/>
    <w:rsid w:val="10AB4BE4"/>
    <w:rsid w:val="10AF2C58"/>
    <w:rsid w:val="10CC380A"/>
    <w:rsid w:val="10CD30DE"/>
    <w:rsid w:val="10D764EC"/>
    <w:rsid w:val="10F42D61"/>
    <w:rsid w:val="11166B93"/>
    <w:rsid w:val="11423ACC"/>
    <w:rsid w:val="11627CCB"/>
    <w:rsid w:val="11C262C0"/>
    <w:rsid w:val="11E54835"/>
    <w:rsid w:val="11F72B09"/>
    <w:rsid w:val="12016786"/>
    <w:rsid w:val="12512C71"/>
    <w:rsid w:val="12521AED"/>
    <w:rsid w:val="12633CFA"/>
    <w:rsid w:val="126E262F"/>
    <w:rsid w:val="12707088"/>
    <w:rsid w:val="128B2F0D"/>
    <w:rsid w:val="12AF0A22"/>
    <w:rsid w:val="12ED7A68"/>
    <w:rsid w:val="13525B1D"/>
    <w:rsid w:val="137A2ED6"/>
    <w:rsid w:val="13A22600"/>
    <w:rsid w:val="13C5610C"/>
    <w:rsid w:val="13D027D0"/>
    <w:rsid w:val="14294AD0"/>
    <w:rsid w:val="1471597C"/>
    <w:rsid w:val="14717CCD"/>
    <w:rsid w:val="148D1503"/>
    <w:rsid w:val="14942DA7"/>
    <w:rsid w:val="14EA1F2A"/>
    <w:rsid w:val="15170DCC"/>
    <w:rsid w:val="15C154CF"/>
    <w:rsid w:val="15F317A5"/>
    <w:rsid w:val="15FF0ADE"/>
    <w:rsid w:val="16775FC6"/>
    <w:rsid w:val="16835BB7"/>
    <w:rsid w:val="1684100F"/>
    <w:rsid w:val="16902DC4"/>
    <w:rsid w:val="16A85011"/>
    <w:rsid w:val="16B25250"/>
    <w:rsid w:val="172318A2"/>
    <w:rsid w:val="172F68A1"/>
    <w:rsid w:val="173A3A3F"/>
    <w:rsid w:val="17D31922"/>
    <w:rsid w:val="17D56760"/>
    <w:rsid w:val="186A04B9"/>
    <w:rsid w:val="187379FD"/>
    <w:rsid w:val="187F1162"/>
    <w:rsid w:val="189A7199"/>
    <w:rsid w:val="18F172D7"/>
    <w:rsid w:val="19BF6247"/>
    <w:rsid w:val="19C657F5"/>
    <w:rsid w:val="19E07411"/>
    <w:rsid w:val="19E41BC5"/>
    <w:rsid w:val="19EF6273"/>
    <w:rsid w:val="19FC2552"/>
    <w:rsid w:val="1A0B266A"/>
    <w:rsid w:val="1A12061E"/>
    <w:rsid w:val="1A2367C2"/>
    <w:rsid w:val="1AB94C2D"/>
    <w:rsid w:val="1AD54F08"/>
    <w:rsid w:val="1AE600F4"/>
    <w:rsid w:val="1B7451E9"/>
    <w:rsid w:val="1B94140F"/>
    <w:rsid w:val="1BD05350"/>
    <w:rsid w:val="1C00080C"/>
    <w:rsid w:val="1C11391D"/>
    <w:rsid w:val="1CD854DF"/>
    <w:rsid w:val="1CDC3027"/>
    <w:rsid w:val="1D3F5364"/>
    <w:rsid w:val="1D7D3EDE"/>
    <w:rsid w:val="1DA50771"/>
    <w:rsid w:val="1E5C3978"/>
    <w:rsid w:val="1E7E1EBC"/>
    <w:rsid w:val="1E967736"/>
    <w:rsid w:val="1EB842D7"/>
    <w:rsid w:val="1ED8571C"/>
    <w:rsid w:val="1EFD7285"/>
    <w:rsid w:val="1F784BFC"/>
    <w:rsid w:val="1F792DAF"/>
    <w:rsid w:val="1F896D6A"/>
    <w:rsid w:val="1FB84222"/>
    <w:rsid w:val="1FF24233"/>
    <w:rsid w:val="1FF97A4C"/>
    <w:rsid w:val="20320D85"/>
    <w:rsid w:val="208D0A85"/>
    <w:rsid w:val="210743EB"/>
    <w:rsid w:val="21204F6E"/>
    <w:rsid w:val="21204FF0"/>
    <w:rsid w:val="214473ED"/>
    <w:rsid w:val="21983295"/>
    <w:rsid w:val="21A4301C"/>
    <w:rsid w:val="21B17FE2"/>
    <w:rsid w:val="21F01F1F"/>
    <w:rsid w:val="222D1C2F"/>
    <w:rsid w:val="224D407F"/>
    <w:rsid w:val="227C6712"/>
    <w:rsid w:val="22B943E7"/>
    <w:rsid w:val="22EF4F37"/>
    <w:rsid w:val="233252EB"/>
    <w:rsid w:val="233F7E6C"/>
    <w:rsid w:val="23515DF1"/>
    <w:rsid w:val="235A6A54"/>
    <w:rsid w:val="235D4796"/>
    <w:rsid w:val="23767606"/>
    <w:rsid w:val="237C7D5E"/>
    <w:rsid w:val="2389558B"/>
    <w:rsid w:val="23902475"/>
    <w:rsid w:val="23A067C1"/>
    <w:rsid w:val="23A203FB"/>
    <w:rsid w:val="244A6C4D"/>
    <w:rsid w:val="246F652F"/>
    <w:rsid w:val="24A3646D"/>
    <w:rsid w:val="24BE60D3"/>
    <w:rsid w:val="24C67E36"/>
    <w:rsid w:val="24CB7AAA"/>
    <w:rsid w:val="24D32F62"/>
    <w:rsid w:val="24F609FE"/>
    <w:rsid w:val="25824926"/>
    <w:rsid w:val="25AD2581"/>
    <w:rsid w:val="26064C71"/>
    <w:rsid w:val="262B2929"/>
    <w:rsid w:val="263A491A"/>
    <w:rsid w:val="263B7010"/>
    <w:rsid w:val="267E37CA"/>
    <w:rsid w:val="26B96122"/>
    <w:rsid w:val="26BC7A25"/>
    <w:rsid w:val="26FA0563"/>
    <w:rsid w:val="272A498F"/>
    <w:rsid w:val="27644345"/>
    <w:rsid w:val="27C14247"/>
    <w:rsid w:val="27CE5C62"/>
    <w:rsid w:val="280B4196"/>
    <w:rsid w:val="28551EE0"/>
    <w:rsid w:val="28667C49"/>
    <w:rsid w:val="288307FB"/>
    <w:rsid w:val="28B23E2E"/>
    <w:rsid w:val="29177560"/>
    <w:rsid w:val="2934650A"/>
    <w:rsid w:val="29451F54"/>
    <w:rsid w:val="29465E87"/>
    <w:rsid w:val="296F397B"/>
    <w:rsid w:val="29A22F02"/>
    <w:rsid w:val="29A44ECD"/>
    <w:rsid w:val="29D273F6"/>
    <w:rsid w:val="29E96D0E"/>
    <w:rsid w:val="29F076F8"/>
    <w:rsid w:val="2A035437"/>
    <w:rsid w:val="2A443FBA"/>
    <w:rsid w:val="2A602AE0"/>
    <w:rsid w:val="2AA04671"/>
    <w:rsid w:val="2AA65E2B"/>
    <w:rsid w:val="2ABB2C22"/>
    <w:rsid w:val="2AD90BA6"/>
    <w:rsid w:val="2ADA512F"/>
    <w:rsid w:val="2B434271"/>
    <w:rsid w:val="2BD15D21"/>
    <w:rsid w:val="2C511478"/>
    <w:rsid w:val="2C91021D"/>
    <w:rsid w:val="2C982A58"/>
    <w:rsid w:val="2D051917"/>
    <w:rsid w:val="2D122B4E"/>
    <w:rsid w:val="2D8A43D9"/>
    <w:rsid w:val="2D8C0151"/>
    <w:rsid w:val="2DA336ED"/>
    <w:rsid w:val="2DC132EA"/>
    <w:rsid w:val="2E084AD9"/>
    <w:rsid w:val="2E7763D7"/>
    <w:rsid w:val="2ED1017B"/>
    <w:rsid w:val="2EE35A97"/>
    <w:rsid w:val="2F087CAC"/>
    <w:rsid w:val="2F21303A"/>
    <w:rsid w:val="2F3C1703"/>
    <w:rsid w:val="2F725125"/>
    <w:rsid w:val="2FA06136"/>
    <w:rsid w:val="2FAA28DE"/>
    <w:rsid w:val="2FF81ACE"/>
    <w:rsid w:val="30297EDA"/>
    <w:rsid w:val="305B205D"/>
    <w:rsid w:val="3062519A"/>
    <w:rsid w:val="30704FFF"/>
    <w:rsid w:val="307373A7"/>
    <w:rsid w:val="30E81B43"/>
    <w:rsid w:val="30EA1F29"/>
    <w:rsid w:val="31726692"/>
    <w:rsid w:val="31B25CAD"/>
    <w:rsid w:val="31F77939"/>
    <w:rsid w:val="321F3964"/>
    <w:rsid w:val="3255145A"/>
    <w:rsid w:val="328C4750"/>
    <w:rsid w:val="32A630D7"/>
    <w:rsid w:val="32F32A21"/>
    <w:rsid w:val="331C5AD4"/>
    <w:rsid w:val="33292BD1"/>
    <w:rsid w:val="33356B95"/>
    <w:rsid w:val="339A6005"/>
    <w:rsid w:val="33AF6948"/>
    <w:rsid w:val="33C1667B"/>
    <w:rsid w:val="34041715"/>
    <w:rsid w:val="34790D04"/>
    <w:rsid w:val="347C3432"/>
    <w:rsid w:val="347F596E"/>
    <w:rsid w:val="34873421"/>
    <w:rsid w:val="349F1742"/>
    <w:rsid w:val="34A935F3"/>
    <w:rsid w:val="34AA39CC"/>
    <w:rsid w:val="34AE30A3"/>
    <w:rsid w:val="34BA37F6"/>
    <w:rsid w:val="356419B4"/>
    <w:rsid w:val="357A4D33"/>
    <w:rsid w:val="361B5455"/>
    <w:rsid w:val="36325040"/>
    <w:rsid w:val="366A2FFA"/>
    <w:rsid w:val="36C175C6"/>
    <w:rsid w:val="36E538DC"/>
    <w:rsid w:val="36F34D9D"/>
    <w:rsid w:val="36FB4647"/>
    <w:rsid w:val="370A4EA2"/>
    <w:rsid w:val="371B7C79"/>
    <w:rsid w:val="3797278D"/>
    <w:rsid w:val="379C42AF"/>
    <w:rsid w:val="379C5435"/>
    <w:rsid w:val="37BA5B27"/>
    <w:rsid w:val="38117DB1"/>
    <w:rsid w:val="381672D6"/>
    <w:rsid w:val="38351B40"/>
    <w:rsid w:val="384C0455"/>
    <w:rsid w:val="38895DF3"/>
    <w:rsid w:val="389D1465"/>
    <w:rsid w:val="38C52A81"/>
    <w:rsid w:val="38DB01DF"/>
    <w:rsid w:val="38DB6C35"/>
    <w:rsid w:val="38F4304F"/>
    <w:rsid w:val="39162FC5"/>
    <w:rsid w:val="391F00CC"/>
    <w:rsid w:val="392576AC"/>
    <w:rsid w:val="3978218A"/>
    <w:rsid w:val="398F4694"/>
    <w:rsid w:val="399F120C"/>
    <w:rsid w:val="39C3314D"/>
    <w:rsid w:val="39DD3AE3"/>
    <w:rsid w:val="39FC665F"/>
    <w:rsid w:val="3A4A1178"/>
    <w:rsid w:val="3A816B64"/>
    <w:rsid w:val="3ABC621B"/>
    <w:rsid w:val="3AE27603"/>
    <w:rsid w:val="3B0C65F0"/>
    <w:rsid w:val="3B1E43B3"/>
    <w:rsid w:val="3B680D5D"/>
    <w:rsid w:val="3BA743A8"/>
    <w:rsid w:val="3BAF567D"/>
    <w:rsid w:val="3BF25B5C"/>
    <w:rsid w:val="3BF3242B"/>
    <w:rsid w:val="3C0C42A9"/>
    <w:rsid w:val="3C0F288D"/>
    <w:rsid w:val="3C101F4E"/>
    <w:rsid w:val="3C1A7270"/>
    <w:rsid w:val="3C467402"/>
    <w:rsid w:val="3C6A3D54"/>
    <w:rsid w:val="3CC86CCC"/>
    <w:rsid w:val="3CE16539"/>
    <w:rsid w:val="3D5D7415"/>
    <w:rsid w:val="3DA72764"/>
    <w:rsid w:val="3DAA5519"/>
    <w:rsid w:val="3DAD2B87"/>
    <w:rsid w:val="3DAE5D24"/>
    <w:rsid w:val="3DE5503A"/>
    <w:rsid w:val="3E071210"/>
    <w:rsid w:val="3E34420B"/>
    <w:rsid w:val="3E495BEB"/>
    <w:rsid w:val="3ECF4342"/>
    <w:rsid w:val="3ED2798E"/>
    <w:rsid w:val="3EFF42AE"/>
    <w:rsid w:val="3F346B36"/>
    <w:rsid w:val="3F3E6DD2"/>
    <w:rsid w:val="3F7E5908"/>
    <w:rsid w:val="3F8C4845"/>
    <w:rsid w:val="3FB9136B"/>
    <w:rsid w:val="3FCD646B"/>
    <w:rsid w:val="3FD85478"/>
    <w:rsid w:val="40271B91"/>
    <w:rsid w:val="403E177F"/>
    <w:rsid w:val="40580C20"/>
    <w:rsid w:val="409C6D9C"/>
    <w:rsid w:val="40E449D3"/>
    <w:rsid w:val="41206E76"/>
    <w:rsid w:val="41614FF9"/>
    <w:rsid w:val="418C58B6"/>
    <w:rsid w:val="41970A1B"/>
    <w:rsid w:val="42554B5E"/>
    <w:rsid w:val="43192030"/>
    <w:rsid w:val="433912BA"/>
    <w:rsid w:val="438D4536"/>
    <w:rsid w:val="43B26EBD"/>
    <w:rsid w:val="43BC57F0"/>
    <w:rsid w:val="43EF1FE9"/>
    <w:rsid w:val="43F02873"/>
    <w:rsid w:val="43F63950"/>
    <w:rsid w:val="449C4CC6"/>
    <w:rsid w:val="44B87626"/>
    <w:rsid w:val="44DC1567"/>
    <w:rsid w:val="44E421C9"/>
    <w:rsid w:val="452E7FD4"/>
    <w:rsid w:val="453853F6"/>
    <w:rsid w:val="455A06DD"/>
    <w:rsid w:val="45610BD0"/>
    <w:rsid w:val="460A2104"/>
    <w:rsid w:val="469A6FE4"/>
    <w:rsid w:val="46E719AA"/>
    <w:rsid w:val="46F824BB"/>
    <w:rsid w:val="4723522B"/>
    <w:rsid w:val="473A4323"/>
    <w:rsid w:val="473D3E13"/>
    <w:rsid w:val="475F1429"/>
    <w:rsid w:val="478163F5"/>
    <w:rsid w:val="478C2ED5"/>
    <w:rsid w:val="47EB2FFC"/>
    <w:rsid w:val="480C5CBF"/>
    <w:rsid w:val="48343468"/>
    <w:rsid w:val="4847319B"/>
    <w:rsid w:val="48F02F04"/>
    <w:rsid w:val="496D09DF"/>
    <w:rsid w:val="49926698"/>
    <w:rsid w:val="49EE2AC8"/>
    <w:rsid w:val="4A31525C"/>
    <w:rsid w:val="4A475610"/>
    <w:rsid w:val="4A80578F"/>
    <w:rsid w:val="4AE271AB"/>
    <w:rsid w:val="4B18719D"/>
    <w:rsid w:val="4B4C734F"/>
    <w:rsid w:val="4B58746D"/>
    <w:rsid w:val="4B773956"/>
    <w:rsid w:val="4B7A5635"/>
    <w:rsid w:val="4B7C315C"/>
    <w:rsid w:val="4BBC17AA"/>
    <w:rsid w:val="4BC90A28"/>
    <w:rsid w:val="4BE34F89"/>
    <w:rsid w:val="4BE73BDE"/>
    <w:rsid w:val="4C254AA8"/>
    <w:rsid w:val="4C3B4FDC"/>
    <w:rsid w:val="4C757967"/>
    <w:rsid w:val="4CE01414"/>
    <w:rsid w:val="4D085C5F"/>
    <w:rsid w:val="4D3B0EF1"/>
    <w:rsid w:val="4DA14831"/>
    <w:rsid w:val="4DA85F2B"/>
    <w:rsid w:val="4DB0533F"/>
    <w:rsid w:val="4E10612E"/>
    <w:rsid w:val="4EA8070C"/>
    <w:rsid w:val="4EF15C0F"/>
    <w:rsid w:val="4F640757"/>
    <w:rsid w:val="50015CFD"/>
    <w:rsid w:val="50250358"/>
    <w:rsid w:val="50387027"/>
    <w:rsid w:val="50540565"/>
    <w:rsid w:val="505709DA"/>
    <w:rsid w:val="505B3C87"/>
    <w:rsid w:val="506027FF"/>
    <w:rsid w:val="507408A5"/>
    <w:rsid w:val="514205CA"/>
    <w:rsid w:val="514C0312"/>
    <w:rsid w:val="515561D0"/>
    <w:rsid w:val="517B5C63"/>
    <w:rsid w:val="51907961"/>
    <w:rsid w:val="51A60DB4"/>
    <w:rsid w:val="52291CD0"/>
    <w:rsid w:val="5244074B"/>
    <w:rsid w:val="52C03774"/>
    <w:rsid w:val="52CD435C"/>
    <w:rsid w:val="52E33975"/>
    <w:rsid w:val="530B42C2"/>
    <w:rsid w:val="536E33AD"/>
    <w:rsid w:val="541C1980"/>
    <w:rsid w:val="545855A0"/>
    <w:rsid w:val="545A4256"/>
    <w:rsid w:val="546C04DD"/>
    <w:rsid w:val="54B32284"/>
    <w:rsid w:val="54DC69F7"/>
    <w:rsid w:val="550B72FE"/>
    <w:rsid w:val="551F2FA5"/>
    <w:rsid w:val="55474FEC"/>
    <w:rsid w:val="55A52046"/>
    <w:rsid w:val="55CE4439"/>
    <w:rsid w:val="56187F25"/>
    <w:rsid w:val="56315A5F"/>
    <w:rsid w:val="56630E61"/>
    <w:rsid w:val="56666EE2"/>
    <w:rsid w:val="566A5CE2"/>
    <w:rsid w:val="56C562EE"/>
    <w:rsid w:val="56C77D58"/>
    <w:rsid w:val="56D7210F"/>
    <w:rsid w:val="56F50A55"/>
    <w:rsid w:val="57407733"/>
    <w:rsid w:val="57530294"/>
    <w:rsid w:val="57783371"/>
    <w:rsid w:val="578641E7"/>
    <w:rsid w:val="57C945D3"/>
    <w:rsid w:val="58345199"/>
    <w:rsid w:val="58496ABB"/>
    <w:rsid w:val="58727DC0"/>
    <w:rsid w:val="58754A86"/>
    <w:rsid w:val="587868EA"/>
    <w:rsid w:val="58BD150F"/>
    <w:rsid w:val="590F1AB3"/>
    <w:rsid w:val="592875B7"/>
    <w:rsid w:val="594C6863"/>
    <w:rsid w:val="59765B98"/>
    <w:rsid w:val="599C373B"/>
    <w:rsid w:val="59DC2372"/>
    <w:rsid w:val="59E719A1"/>
    <w:rsid w:val="5A0507C0"/>
    <w:rsid w:val="5A2C2DC6"/>
    <w:rsid w:val="5A3719C7"/>
    <w:rsid w:val="5AE8436A"/>
    <w:rsid w:val="5AFD10E3"/>
    <w:rsid w:val="5AFE1BD7"/>
    <w:rsid w:val="5B5F03A4"/>
    <w:rsid w:val="5B5F602A"/>
    <w:rsid w:val="5C4A4F8E"/>
    <w:rsid w:val="5CF644C9"/>
    <w:rsid w:val="5CFC0A90"/>
    <w:rsid w:val="5D107BA8"/>
    <w:rsid w:val="5D1F603D"/>
    <w:rsid w:val="5D215911"/>
    <w:rsid w:val="5D6F2F67"/>
    <w:rsid w:val="5D8C6CB5"/>
    <w:rsid w:val="5D916C44"/>
    <w:rsid w:val="5DAB167E"/>
    <w:rsid w:val="5DC170D8"/>
    <w:rsid w:val="5E766130"/>
    <w:rsid w:val="5EE22240"/>
    <w:rsid w:val="5EED6987"/>
    <w:rsid w:val="5EFF7ED4"/>
    <w:rsid w:val="5F3B17EE"/>
    <w:rsid w:val="5F3E6C4E"/>
    <w:rsid w:val="5FA34D03"/>
    <w:rsid w:val="5FCD5CFB"/>
    <w:rsid w:val="5FDF108A"/>
    <w:rsid w:val="5FE01420"/>
    <w:rsid w:val="5FF057E4"/>
    <w:rsid w:val="60243AEA"/>
    <w:rsid w:val="60427493"/>
    <w:rsid w:val="606515C6"/>
    <w:rsid w:val="60C73D08"/>
    <w:rsid w:val="60E82395"/>
    <w:rsid w:val="6110461A"/>
    <w:rsid w:val="61167757"/>
    <w:rsid w:val="61C947C9"/>
    <w:rsid w:val="621D1991"/>
    <w:rsid w:val="623954AB"/>
    <w:rsid w:val="626B7A8A"/>
    <w:rsid w:val="629152E7"/>
    <w:rsid w:val="62970423"/>
    <w:rsid w:val="629D3C8C"/>
    <w:rsid w:val="63165E53"/>
    <w:rsid w:val="634A36E8"/>
    <w:rsid w:val="635B76A3"/>
    <w:rsid w:val="63633F82"/>
    <w:rsid w:val="63AF1794"/>
    <w:rsid w:val="63ED479F"/>
    <w:rsid w:val="63FC0D50"/>
    <w:rsid w:val="6407253D"/>
    <w:rsid w:val="644545DB"/>
    <w:rsid w:val="64495F3F"/>
    <w:rsid w:val="6472739A"/>
    <w:rsid w:val="64A10C94"/>
    <w:rsid w:val="64AB32D4"/>
    <w:rsid w:val="64EA12AF"/>
    <w:rsid w:val="653D52B2"/>
    <w:rsid w:val="657809E0"/>
    <w:rsid w:val="65C634F9"/>
    <w:rsid w:val="65E6594A"/>
    <w:rsid w:val="661B575E"/>
    <w:rsid w:val="6639016F"/>
    <w:rsid w:val="663E5757"/>
    <w:rsid w:val="665A4EEE"/>
    <w:rsid w:val="666F0C16"/>
    <w:rsid w:val="66F80E70"/>
    <w:rsid w:val="672F2593"/>
    <w:rsid w:val="67867289"/>
    <w:rsid w:val="6796514D"/>
    <w:rsid w:val="67DB366C"/>
    <w:rsid w:val="681945A2"/>
    <w:rsid w:val="682269E1"/>
    <w:rsid w:val="685C1EF3"/>
    <w:rsid w:val="685C7E37"/>
    <w:rsid w:val="68747311"/>
    <w:rsid w:val="688361C7"/>
    <w:rsid w:val="68EB00D2"/>
    <w:rsid w:val="69472BA3"/>
    <w:rsid w:val="69AF0748"/>
    <w:rsid w:val="69B016A1"/>
    <w:rsid w:val="69E07153"/>
    <w:rsid w:val="6A1E657F"/>
    <w:rsid w:val="6A2B6021"/>
    <w:rsid w:val="6A4B33A7"/>
    <w:rsid w:val="6A4D41E9"/>
    <w:rsid w:val="6AC124E1"/>
    <w:rsid w:val="6B2111D2"/>
    <w:rsid w:val="6B282560"/>
    <w:rsid w:val="6B8C0D41"/>
    <w:rsid w:val="6BD12EC6"/>
    <w:rsid w:val="6BE6053B"/>
    <w:rsid w:val="6BF05BAA"/>
    <w:rsid w:val="6BF41C1E"/>
    <w:rsid w:val="6C724DE4"/>
    <w:rsid w:val="6C8A2FA4"/>
    <w:rsid w:val="6CCF6BCB"/>
    <w:rsid w:val="6CDC7AA6"/>
    <w:rsid w:val="6CE34991"/>
    <w:rsid w:val="6CE60925"/>
    <w:rsid w:val="6CFB692B"/>
    <w:rsid w:val="6D0C2BFA"/>
    <w:rsid w:val="6D3B2A1F"/>
    <w:rsid w:val="6D761AB6"/>
    <w:rsid w:val="6DB024D9"/>
    <w:rsid w:val="6E1B45FE"/>
    <w:rsid w:val="6E5B49FB"/>
    <w:rsid w:val="6E66587A"/>
    <w:rsid w:val="6EB178F7"/>
    <w:rsid w:val="6EB365E5"/>
    <w:rsid w:val="6EE13152"/>
    <w:rsid w:val="6F1752F4"/>
    <w:rsid w:val="6F2D7ED8"/>
    <w:rsid w:val="6F665D41"/>
    <w:rsid w:val="6F891957"/>
    <w:rsid w:val="6F9B77A5"/>
    <w:rsid w:val="70757FF6"/>
    <w:rsid w:val="70B84386"/>
    <w:rsid w:val="70D540F2"/>
    <w:rsid w:val="711452F5"/>
    <w:rsid w:val="71205150"/>
    <w:rsid w:val="713E6740"/>
    <w:rsid w:val="715F1BDC"/>
    <w:rsid w:val="7189187F"/>
    <w:rsid w:val="71A5490B"/>
    <w:rsid w:val="71CF3736"/>
    <w:rsid w:val="71E566E8"/>
    <w:rsid w:val="71E7506F"/>
    <w:rsid w:val="72231CD3"/>
    <w:rsid w:val="72435ED2"/>
    <w:rsid w:val="72710C91"/>
    <w:rsid w:val="727A7482"/>
    <w:rsid w:val="72B8241C"/>
    <w:rsid w:val="72EB2597"/>
    <w:rsid w:val="73005EB5"/>
    <w:rsid w:val="73942E89"/>
    <w:rsid w:val="739968CA"/>
    <w:rsid w:val="73E22112"/>
    <w:rsid w:val="73EF3D7E"/>
    <w:rsid w:val="742666EF"/>
    <w:rsid w:val="74F71921"/>
    <w:rsid w:val="75731E4D"/>
    <w:rsid w:val="75930F1E"/>
    <w:rsid w:val="75995C02"/>
    <w:rsid w:val="75DB7BB6"/>
    <w:rsid w:val="75E56138"/>
    <w:rsid w:val="75EC5C91"/>
    <w:rsid w:val="76123CE0"/>
    <w:rsid w:val="76A756CA"/>
    <w:rsid w:val="76F0011C"/>
    <w:rsid w:val="770E0AD4"/>
    <w:rsid w:val="77D77C19"/>
    <w:rsid w:val="77FB6BB2"/>
    <w:rsid w:val="78113211"/>
    <w:rsid w:val="78286D62"/>
    <w:rsid w:val="782E0677"/>
    <w:rsid w:val="78375E26"/>
    <w:rsid w:val="784A7FBA"/>
    <w:rsid w:val="790F182A"/>
    <w:rsid w:val="791A1C51"/>
    <w:rsid w:val="794F33AE"/>
    <w:rsid w:val="7A301431"/>
    <w:rsid w:val="7A3D3336"/>
    <w:rsid w:val="7A644EE6"/>
    <w:rsid w:val="7A7E03EF"/>
    <w:rsid w:val="7AA8546C"/>
    <w:rsid w:val="7B544DE1"/>
    <w:rsid w:val="7B7D06A6"/>
    <w:rsid w:val="7B8D6D92"/>
    <w:rsid w:val="7B900CE5"/>
    <w:rsid w:val="7B954F34"/>
    <w:rsid w:val="7BB86E92"/>
    <w:rsid w:val="7BD8022F"/>
    <w:rsid w:val="7C384856"/>
    <w:rsid w:val="7C492337"/>
    <w:rsid w:val="7CF16C56"/>
    <w:rsid w:val="7D140858"/>
    <w:rsid w:val="7D5B41D7"/>
    <w:rsid w:val="7D627B5B"/>
    <w:rsid w:val="7DD50326"/>
    <w:rsid w:val="7E3322A7"/>
    <w:rsid w:val="7E3C65F7"/>
    <w:rsid w:val="7E5A4CCF"/>
    <w:rsid w:val="7E5F5E41"/>
    <w:rsid w:val="7E930E19"/>
    <w:rsid w:val="7E991353"/>
    <w:rsid w:val="7EB50985"/>
    <w:rsid w:val="7ED10D4F"/>
    <w:rsid w:val="7EE34CC4"/>
    <w:rsid w:val="7EFCB9A9"/>
    <w:rsid w:val="7F7342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0" w:semiHidden="0" w:name="toc 1"/>
    <w:lsdException w:qFormat="1" w:uiPriority="0" w:semiHidden="0" w:name="toc 2"/>
    <w:lsdException w:qFormat="1" w:uiPriority="0" w:semiHidden="0" w:name="toc 3"/>
    <w:lsdException w:qFormat="1" w:unhideWhenUsed="0" w:uiPriority="0" w:semiHidden="0" w:name="toc 4"/>
    <w:lsdException w:qFormat="1" w:uiPriority="0" w:name="toc 5"/>
    <w:lsdException w:qFormat="1" w:uiPriority="0" w:name="toc 6"/>
    <w:lsdException w:qFormat="1" w:uiPriority="0" w:name="toc 7"/>
    <w:lsdException w:qFormat="1" w:uiPriority="0" w:name="toc 8"/>
    <w:lsdException w:qFormat="1" w:uiPriority="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99"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64"/>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4">
    <w:name w:val="heading 2"/>
    <w:basedOn w:val="1"/>
    <w:next w:val="1"/>
    <w:link w:val="65"/>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5">
    <w:name w:val="heading 3"/>
    <w:basedOn w:val="1"/>
    <w:next w:val="1"/>
    <w:link w:val="66"/>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6">
    <w:name w:val="heading 4"/>
    <w:basedOn w:val="1"/>
    <w:next w:val="1"/>
    <w:link w:val="67"/>
    <w:qFormat/>
    <w:uiPriority w:val="0"/>
    <w:pPr>
      <w:keepNext/>
      <w:keepLines/>
      <w:numPr>
        <w:ilvl w:val="3"/>
        <w:numId w:val="1"/>
      </w:numPr>
      <w:ind w:firstLine="0" w:firstLineChars="0"/>
      <w:jc w:val="left"/>
      <w:outlineLvl w:val="3"/>
    </w:pPr>
    <w:rPr>
      <w:rFonts w:ascii="黑体" w:hAnsi="黑体" w:eastAsia="黑体"/>
      <w:szCs w:val="24"/>
      <w:lang w:val="zh-CN"/>
    </w:rPr>
  </w:style>
  <w:style w:type="paragraph" w:styleId="7">
    <w:name w:val="heading 5"/>
    <w:basedOn w:val="1"/>
    <w:next w:val="8"/>
    <w:link w:val="68"/>
    <w:qFormat/>
    <w:uiPriority w:val="99"/>
    <w:pPr>
      <w:keepNext/>
      <w:keepLines/>
      <w:numPr>
        <w:ilvl w:val="4"/>
        <w:numId w:val="1"/>
      </w:numPr>
      <w:ind w:firstLine="0" w:firstLineChars="0"/>
      <w:jc w:val="left"/>
      <w:outlineLvl w:val="4"/>
    </w:pPr>
    <w:rPr>
      <w:rFonts w:ascii="黑体" w:hAnsi="黑体" w:eastAsia="黑体"/>
      <w:szCs w:val="24"/>
      <w:lang w:val="zh-CN"/>
    </w:rPr>
  </w:style>
  <w:style w:type="paragraph" w:styleId="9">
    <w:name w:val="heading 6"/>
    <w:basedOn w:val="1"/>
    <w:next w:val="1"/>
    <w:link w:val="69"/>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10">
    <w:name w:val="heading 7"/>
    <w:basedOn w:val="1"/>
    <w:next w:val="1"/>
    <w:link w:val="70"/>
    <w:qFormat/>
    <w:uiPriority w:val="0"/>
    <w:pPr>
      <w:keepNext/>
      <w:keepLines/>
      <w:spacing w:before="240" w:after="64" w:line="320" w:lineRule="auto"/>
      <w:ind w:firstLine="0" w:firstLineChars="0"/>
      <w:outlineLvl w:val="6"/>
    </w:pPr>
    <w:rPr>
      <w:b/>
      <w:bCs/>
      <w:szCs w:val="24"/>
    </w:rPr>
  </w:style>
  <w:style w:type="paragraph" w:styleId="11">
    <w:name w:val="heading 8"/>
    <w:basedOn w:val="1"/>
    <w:next w:val="1"/>
    <w:link w:val="71"/>
    <w:qFormat/>
    <w:uiPriority w:val="0"/>
    <w:pPr>
      <w:keepNext/>
      <w:keepLines/>
      <w:numPr>
        <w:ilvl w:val="7"/>
        <w:numId w:val="1"/>
      </w:numPr>
      <w:spacing w:before="240" w:after="64" w:line="320" w:lineRule="auto"/>
      <w:ind w:firstLine="0" w:firstLineChars="0"/>
      <w:outlineLvl w:val="7"/>
    </w:pPr>
    <w:rPr>
      <w:rFonts w:ascii="Cambria" w:hAnsi="Cambria"/>
      <w:szCs w:val="24"/>
    </w:rPr>
  </w:style>
  <w:style w:type="paragraph" w:styleId="12">
    <w:name w:val="heading 9"/>
    <w:basedOn w:val="1"/>
    <w:next w:val="1"/>
    <w:link w:val="72"/>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50">
    <w:name w:val="Default Paragraph Font"/>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7"/>
    <w:qFormat/>
    <w:uiPriority w:val="0"/>
    <w:pPr>
      <w:autoSpaceDE w:val="0"/>
      <w:autoSpaceDN w:val="0"/>
      <w:spacing w:line="240" w:lineRule="auto"/>
      <w:ind w:left="252" w:firstLine="0" w:firstLineChars="0"/>
      <w:jc w:val="left"/>
    </w:pPr>
    <w:rPr>
      <w:rFonts w:ascii="宋体" w:hAnsi="宋体" w:cs="宋体"/>
      <w:kern w:val="0"/>
      <w:sz w:val="21"/>
      <w:szCs w:val="21"/>
      <w:lang w:val="zh-CN" w:bidi="zh-CN"/>
    </w:rPr>
  </w:style>
  <w:style w:type="paragraph" w:styleId="8">
    <w:name w:val="Normal Indent"/>
    <w:basedOn w:val="1"/>
    <w:link w:val="73"/>
    <w:qFormat/>
    <w:uiPriority w:val="0"/>
    <w:pPr>
      <w:spacing w:line="240" w:lineRule="auto"/>
      <w:ind w:firstLine="420" w:firstLineChars="0"/>
    </w:pPr>
    <w:rPr>
      <w:sz w:val="21"/>
      <w:szCs w:val="20"/>
    </w:rPr>
  </w:style>
  <w:style w:type="paragraph" w:styleId="13">
    <w:name w:val="toc 7"/>
    <w:basedOn w:val="1"/>
    <w:next w:val="1"/>
    <w:autoRedefine/>
    <w:semiHidden/>
    <w:unhideWhenUsed/>
    <w:qFormat/>
    <w:uiPriority w:val="0"/>
    <w:pPr>
      <w:adjustRightInd w:val="0"/>
      <w:spacing w:line="312" w:lineRule="atLeast"/>
      <w:ind w:left="2520" w:firstLine="0" w:firstLineChars="0"/>
    </w:pPr>
    <w:rPr>
      <w:kern w:val="0"/>
      <w:sz w:val="21"/>
      <w:szCs w:val="20"/>
    </w:rPr>
  </w:style>
  <w:style w:type="paragraph" w:styleId="14">
    <w:name w:val="index 8"/>
    <w:basedOn w:val="1"/>
    <w:next w:val="1"/>
    <w:qFormat/>
    <w:uiPriority w:val="0"/>
    <w:pPr>
      <w:spacing w:line="240" w:lineRule="auto"/>
      <w:ind w:left="2940" w:firstLine="0" w:firstLineChars="0"/>
    </w:pPr>
    <w:rPr>
      <w:sz w:val="21"/>
      <w:szCs w:val="24"/>
    </w:rPr>
  </w:style>
  <w:style w:type="paragraph" w:styleId="15">
    <w:name w:val="List Number"/>
    <w:basedOn w:val="1"/>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6">
    <w:name w:val="caption"/>
    <w:basedOn w:val="1"/>
    <w:next w:val="1"/>
    <w:qFormat/>
    <w:uiPriority w:val="0"/>
    <w:pPr>
      <w:ind w:firstLine="0" w:firstLineChars="0"/>
      <w:jc w:val="center"/>
    </w:pPr>
    <w:rPr>
      <w:rFonts w:ascii="Cambria" w:hAnsi="Cambria" w:eastAsia="黑体"/>
      <w:sz w:val="20"/>
      <w:szCs w:val="20"/>
    </w:rPr>
  </w:style>
  <w:style w:type="paragraph" w:styleId="17">
    <w:name w:val="Document Map"/>
    <w:basedOn w:val="1"/>
    <w:link w:val="74"/>
    <w:unhideWhenUsed/>
    <w:qFormat/>
    <w:uiPriority w:val="0"/>
    <w:pPr>
      <w:spacing w:line="240" w:lineRule="auto"/>
      <w:ind w:firstLine="0" w:firstLineChars="0"/>
    </w:pPr>
    <w:rPr>
      <w:rFonts w:ascii="宋体"/>
      <w:sz w:val="18"/>
      <w:szCs w:val="18"/>
    </w:rPr>
  </w:style>
  <w:style w:type="paragraph" w:styleId="18">
    <w:name w:val="annotation text"/>
    <w:basedOn w:val="1"/>
    <w:link w:val="75"/>
    <w:unhideWhenUsed/>
    <w:qFormat/>
    <w:uiPriority w:val="99"/>
    <w:pPr>
      <w:jc w:val="left"/>
    </w:pPr>
  </w:style>
  <w:style w:type="paragraph" w:styleId="19">
    <w:name w:val="Body Text 3"/>
    <w:basedOn w:val="1"/>
    <w:link w:val="76"/>
    <w:qFormat/>
    <w:uiPriority w:val="0"/>
    <w:pPr>
      <w:spacing w:line="240" w:lineRule="exact"/>
      <w:ind w:firstLine="0" w:firstLineChars="0"/>
    </w:pPr>
    <w:rPr>
      <w:rFonts w:ascii="宋体" w:hAnsi="宋体"/>
      <w:color w:val="000000"/>
      <w:sz w:val="21"/>
      <w:szCs w:val="21"/>
    </w:rPr>
  </w:style>
  <w:style w:type="paragraph" w:styleId="20">
    <w:name w:val="Body Text Indent"/>
    <w:basedOn w:val="1"/>
    <w:link w:val="78"/>
    <w:unhideWhenUsed/>
    <w:qFormat/>
    <w:uiPriority w:val="0"/>
    <w:pPr>
      <w:spacing w:after="120" w:line="240" w:lineRule="auto"/>
      <w:ind w:left="420" w:leftChars="200" w:firstLine="0" w:firstLineChars="0"/>
    </w:pPr>
    <w:rPr>
      <w:sz w:val="21"/>
      <w:szCs w:val="24"/>
    </w:rPr>
  </w:style>
  <w:style w:type="paragraph" w:styleId="21">
    <w:name w:val="List Number 3"/>
    <w:basedOn w:val="1"/>
    <w:qFormat/>
    <w:uiPriority w:val="0"/>
    <w:pPr>
      <w:tabs>
        <w:tab w:val="left" w:pos="1350"/>
      </w:tabs>
      <w:spacing w:line="240" w:lineRule="auto"/>
      <w:ind w:left="1350" w:hanging="720" w:firstLineChars="0"/>
    </w:pPr>
    <w:rPr>
      <w:sz w:val="21"/>
      <w:szCs w:val="24"/>
    </w:rPr>
  </w:style>
  <w:style w:type="paragraph" w:styleId="22">
    <w:name w:val="List 2"/>
    <w:basedOn w:val="1"/>
    <w:qFormat/>
    <w:uiPriority w:val="99"/>
    <w:pPr>
      <w:spacing w:line="240" w:lineRule="auto"/>
      <w:ind w:left="100" w:leftChars="200" w:hanging="200" w:hangingChars="200"/>
    </w:pPr>
    <w:rPr>
      <w:sz w:val="28"/>
      <w:szCs w:val="24"/>
    </w:rPr>
  </w:style>
  <w:style w:type="paragraph" w:styleId="23">
    <w:name w:val="Block Text"/>
    <w:basedOn w:val="1"/>
    <w:qFormat/>
    <w:uiPriority w:val="99"/>
    <w:pPr>
      <w:adjustRightInd w:val="0"/>
      <w:spacing w:line="240" w:lineRule="auto"/>
      <w:ind w:left="420" w:right="33" w:firstLine="0" w:firstLineChars="0"/>
      <w:jc w:val="left"/>
      <w:textAlignment w:val="baseline"/>
    </w:pPr>
    <w:rPr>
      <w:kern w:val="0"/>
      <w:szCs w:val="20"/>
    </w:rPr>
  </w:style>
  <w:style w:type="paragraph" w:styleId="24">
    <w:name w:val="toc 5"/>
    <w:basedOn w:val="1"/>
    <w:next w:val="1"/>
    <w:autoRedefine/>
    <w:semiHidden/>
    <w:unhideWhenUsed/>
    <w:qFormat/>
    <w:uiPriority w:val="0"/>
    <w:pPr>
      <w:adjustRightInd w:val="0"/>
      <w:spacing w:line="312" w:lineRule="atLeast"/>
      <w:ind w:left="1680" w:firstLine="0" w:firstLineChars="0"/>
    </w:pPr>
    <w:rPr>
      <w:kern w:val="0"/>
      <w:sz w:val="21"/>
      <w:szCs w:val="20"/>
    </w:rPr>
  </w:style>
  <w:style w:type="paragraph" w:styleId="25">
    <w:name w:val="toc 3"/>
    <w:basedOn w:val="1"/>
    <w:next w:val="1"/>
    <w:unhideWhenUsed/>
    <w:qFormat/>
    <w:uiPriority w:val="0"/>
    <w:pPr>
      <w:ind w:left="840" w:leftChars="400" w:firstLine="0" w:firstLineChars="0"/>
    </w:pPr>
    <w:rPr>
      <w:rFonts w:ascii="Calibri" w:hAnsi="Calibri"/>
    </w:rPr>
  </w:style>
  <w:style w:type="paragraph" w:styleId="26">
    <w:name w:val="Plain Text"/>
    <w:basedOn w:val="1"/>
    <w:next w:val="1"/>
    <w:link w:val="79"/>
    <w:qFormat/>
    <w:uiPriority w:val="0"/>
    <w:pPr>
      <w:spacing w:line="460" w:lineRule="exact"/>
      <w:ind w:firstLine="0" w:firstLineChars="0"/>
    </w:pPr>
    <w:rPr>
      <w:lang w:val="en-GB"/>
    </w:rPr>
  </w:style>
  <w:style w:type="paragraph" w:styleId="27">
    <w:name w:val="toc 8"/>
    <w:basedOn w:val="1"/>
    <w:next w:val="1"/>
    <w:autoRedefine/>
    <w:semiHidden/>
    <w:unhideWhenUsed/>
    <w:qFormat/>
    <w:uiPriority w:val="0"/>
    <w:pPr>
      <w:adjustRightInd w:val="0"/>
      <w:spacing w:line="312" w:lineRule="atLeast"/>
      <w:ind w:left="2940" w:firstLine="0" w:firstLineChars="0"/>
    </w:pPr>
    <w:rPr>
      <w:kern w:val="0"/>
      <w:sz w:val="21"/>
      <w:szCs w:val="20"/>
    </w:rPr>
  </w:style>
  <w:style w:type="paragraph" w:styleId="28">
    <w:name w:val="Date"/>
    <w:basedOn w:val="1"/>
    <w:next w:val="1"/>
    <w:link w:val="80"/>
    <w:unhideWhenUsed/>
    <w:qFormat/>
    <w:uiPriority w:val="0"/>
    <w:pPr>
      <w:ind w:left="100" w:leftChars="2500"/>
    </w:pPr>
  </w:style>
  <w:style w:type="paragraph" w:styleId="29">
    <w:name w:val="Body Text Indent 2"/>
    <w:basedOn w:val="1"/>
    <w:link w:val="81"/>
    <w:unhideWhenUsed/>
    <w:qFormat/>
    <w:uiPriority w:val="0"/>
    <w:pPr>
      <w:spacing w:after="120" w:line="480" w:lineRule="auto"/>
      <w:ind w:left="420" w:leftChars="200" w:firstLine="0" w:firstLineChars="0"/>
    </w:pPr>
    <w:rPr>
      <w:sz w:val="21"/>
      <w:szCs w:val="20"/>
    </w:rPr>
  </w:style>
  <w:style w:type="paragraph" w:styleId="30">
    <w:name w:val="Balloon Text"/>
    <w:basedOn w:val="1"/>
    <w:link w:val="82"/>
    <w:unhideWhenUsed/>
    <w:qFormat/>
    <w:uiPriority w:val="0"/>
    <w:pPr>
      <w:spacing w:line="240" w:lineRule="auto"/>
    </w:pPr>
    <w:rPr>
      <w:sz w:val="18"/>
      <w:szCs w:val="18"/>
    </w:rPr>
  </w:style>
  <w:style w:type="paragraph" w:styleId="31">
    <w:name w:val="footer"/>
    <w:basedOn w:val="1"/>
    <w:link w:val="83"/>
    <w:unhideWhenUsed/>
    <w:qFormat/>
    <w:uiPriority w:val="99"/>
    <w:pPr>
      <w:tabs>
        <w:tab w:val="center" w:pos="4153"/>
        <w:tab w:val="right" w:pos="8306"/>
      </w:tabs>
      <w:snapToGrid w:val="0"/>
      <w:jc w:val="left"/>
    </w:pPr>
    <w:rPr>
      <w:sz w:val="18"/>
      <w:szCs w:val="18"/>
    </w:rPr>
  </w:style>
  <w:style w:type="paragraph" w:styleId="32">
    <w:name w:val="header"/>
    <w:basedOn w:val="1"/>
    <w:link w:val="84"/>
    <w:unhideWhenUsed/>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unhideWhenUsed/>
    <w:qFormat/>
    <w:uiPriority w:val="0"/>
    <w:pPr>
      <w:ind w:firstLine="0" w:firstLineChars="0"/>
    </w:pPr>
    <w:rPr>
      <w:rFonts w:ascii="Calibri" w:hAnsi="Calibri"/>
      <w:b/>
    </w:rPr>
  </w:style>
  <w:style w:type="paragraph" w:styleId="34">
    <w:name w:val="toc 4"/>
    <w:basedOn w:val="1"/>
    <w:next w:val="1"/>
    <w:qFormat/>
    <w:uiPriority w:val="0"/>
    <w:pPr>
      <w:spacing w:line="240" w:lineRule="auto"/>
      <w:ind w:left="630" w:firstLine="0" w:firstLineChars="0"/>
      <w:jc w:val="left"/>
    </w:pPr>
    <w:rPr>
      <w:sz w:val="18"/>
      <w:szCs w:val="18"/>
    </w:rPr>
  </w:style>
  <w:style w:type="paragraph" w:styleId="35">
    <w:name w:val="List"/>
    <w:basedOn w:val="1"/>
    <w:qFormat/>
    <w:uiPriority w:val="0"/>
    <w:pPr>
      <w:spacing w:line="240" w:lineRule="auto"/>
      <w:ind w:left="200" w:hanging="200" w:hangingChars="200"/>
    </w:pPr>
    <w:rPr>
      <w:sz w:val="28"/>
      <w:szCs w:val="24"/>
    </w:rPr>
  </w:style>
  <w:style w:type="paragraph" w:styleId="36">
    <w:name w:val="toc 6"/>
    <w:basedOn w:val="1"/>
    <w:next w:val="1"/>
    <w:autoRedefine/>
    <w:semiHidden/>
    <w:unhideWhenUsed/>
    <w:qFormat/>
    <w:uiPriority w:val="0"/>
    <w:pPr>
      <w:adjustRightInd w:val="0"/>
      <w:spacing w:line="312" w:lineRule="atLeast"/>
      <w:ind w:left="2100" w:firstLine="0" w:firstLineChars="0"/>
    </w:pPr>
    <w:rPr>
      <w:kern w:val="0"/>
      <w:sz w:val="21"/>
      <w:szCs w:val="20"/>
    </w:rPr>
  </w:style>
  <w:style w:type="paragraph" w:styleId="37">
    <w:name w:val="List 5"/>
    <w:basedOn w:val="1"/>
    <w:qFormat/>
    <w:uiPriority w:val="0"/>
    <w:pPr>
      <w:spacing w:line="240" w:lineRule="auto"/>
      <w:ind w:left="2100" w:hanging="420" w:firstLineChars="0"/>
    </w:pPr>
    <w:rPr>
      <w:sz w:val="21"/>
      <w:szCs w:val="20"/>
    </w:rPr>
  </w:style>
  <w:style w:type="paragraph" w:styleId="38">
    <w:name w:val="Body Text Indent 3"/>
    <w:basedOn w:val="1"/>
    <w:link w:val="85"/>
    <w:unhideWhenUsed/>
    <w:qFormat/>
    <w:uiPriority w:val="0"/>
    <w:pPr>
      <w:spacing w:after="120" w:line="240" w:lineRule="auto"/>
      <w:ind w:left="420" w:leftChars="200" w:firstLine="0" w:firstLineChars="0"/>
    </w:pPr>
    <w:rPr>
      <w:sz w:val="16"/>
      <w:szCs w:val="16"/>
    </w:rPr>
  </w:style>
  <w:style w:type="paragraph" w:styleId="39">
    <w:name w:val="toc 2"/>
    <w:basedOn w:val="1"/>
    <w:next w:val="1"/>
    <w:unhideWhenUsed/>
    <w:qFormat/>
    <w:uiPriority w:val="0"/>
    <w:pPr>
      <w:ind w:left="420" w:leftChars="200" w:firstLine="0" w:firstLineChars="0"/>
    </w:pPr>
    <w:rPr>
      <w:rFonts w:ascii="Calibri" w:hAnsi="Calibri"/>
    </w:rPr>
  </w:style>
  <w:style w:type="paragraph" w:styleId="40">
    <w:name w:val="toc 9"/>
    <w:basedOn w:val="1"/>
    <w:next w:val="1"/>
    <w:autoRedefine/>
    <w:semiHidden/>
    <w:unhideWhenUsed/>
    <w:qFormat/>
    <w:uiPriority w:val="0"/>
    <w:pPr>
      <w:adjustRightInd w:val="0"/>
      <w:spacing w:line="312" w:lineRule="atLeast"/>
      <w:ind w:left="3360" w:firstLine="0" w:firstLineChars="0"/>
    </w:pPr>
    <w:rPr>
      <w:kern w:val="0"/>
      <w:sz w:val="21"/>
      <w:szCs w:val="20"/>
    </w:rPr>
  </w:style>
  <w:style w:type="paragraph" w:styleId="41">
    <w:name w:val="Body Text 2"/>
    <w:basedOn w:val="1"/>
    <w:link w:val="86"/>
    <w:qFormat/>
    <w:uiPriority w:val="0"/>
    <w:pPr>
      <w:spacing w:after="120" w:line="480" w:lineRule="auto"/>
      <w:ind w:firstLine="0" w:firstLineChars="0"/>
    </w:pPr>
    <w:rPr>
      <w:sz w:val="21"/>
      <w:szCs w:val="24"/>
    </w:rPr>
  </w:style>
  <w:style w:type="paragraph" w:styleId="42">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43">
    <w:name w:val="Normal (Web)"/>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44">
    <w:name w:val="index 1"/>
    <w:basedOn w:val="1"/>
    <w:next w:val="1"/>
    <w:semiHidden/>
    <w:qFormat/>
    <w:uiPriority w:val="0"/>
    <w:pPr>
      <w:spacing w:line="400" w:lineRule="exact"/>
      <w:ind w:firstLine="420"/>
    </w:pPr>
    <w:rPr>
      <w:rFonts w:ascii="宋体" w:hAnsi="Courier New"/>
      <w:b/>
      <w:sz w:val="21"/>
      <w:szCs w:val="20"/>
    </w:rPr>
  </w:style>
  <w:style w:type="paragraph" w:styleId="45">
    <w:name w:val="Title"/>
    <w:basedOn w:val="1"/>
    <w:next w:val="1"/>
    <w:link w:val="88"/>
    <w:qFormat/>
    <w:uiPriority w:val="0"/>
    <w:pPr>
      <w:spacing w:before="240" w:after="60" w:line="240" w:lineRule="auto"/>
      <w:ind w:firstLine="0" w:firstLineChars="0"/>
      <w:jc w:val="center"/>
      <w:outlineLvl w:val="0"/>
    </w:pPr>
    <w:rPr>
      <w:rFonts w:ascii="Cambria" w:hAnsi="Cambria"/>
      <w:b/>
      <w:bCs/>
      <w:sz w:val="32"/>
      <w:szCs w:val="32"/>
    </w:rPr>
  </w:style>
  <w:style w:type="paragraph" w:styleId="46">
    <w:name w:val="annotation subject"/>
    <w:basedOn w:val="18"/>
    <w:next w:val="18"/>
    <w:link w:val="89"/>
    <w:unhideWhenUsed/>
    <w:qFormat/>
    <w:uiPriority w:val="0"/>
    <w:rPr>
      <w:b/>
      <w:bCs/>
    </w:rPr>
  </w:style>
  <w:style w:type="paragraph" w:styleId="47">
    <w:name w:val="Body Text First Indent 2"/>
    <w:basedOn w:val="20"/>
    <w:link w:val="90"/>
    <w:unhideWhenUsed/>
    <w:qFormat/>
    <w:uiPriority w:val="0"/>
    <w:pPr>
      <w:ind w:firstLine="420" w:firstLineChars="200"/>
    </w:pPr>
  </w:style>
  <w:style w:type="table" w:styleId="49">
    <w:name w:val="Table Grid"/>
    <w:basedOn w:val="4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basedOn w:val="50"/>
    <w:qFormat/>
    <w:uiPriority w:val="0"/>
    <w:rPr>
      <w:b/>
      <w:bCs/>
    </w:rPr>
  </w:style>
  <w:style w:type="character" w:styleId="52">
    <w:name w:val="page number"/>
    <w:basedOn w:val="50"/>
    <w:qFormat/>
    <w:uiPriority w:val="0"/>
  </w:style>
  <w:style w:type="character" w:styleId="53">
    <w:name w:val="FollowedHyperlink"/>
    <w:basedOn w:val="50"/>
    <w:unhideWhenUsed/>
    <w:qFormat/>
    <w:uiPriority w:val="0"/>
    <w:rPr>
      <w:color w:val="800080"/>
      <w:u w:val="single"/>
    </w:rPr>
  </w:style>
  <w:style w:type="character" w:styleId="54">
    <w:name w:val="Emphasis"/>
    <w:qFormat/>
    <w:uiPriority w:val="0"/>
  </w:style>
  <w:style w:type="character" w:styleId="55">
    <w:name w:val="HTML Definition"/>
    <w:basedOn w:val="50"/>
    <w:semiHidden/>
    <w:unhideWhenUsed/>
    <w:qFormat/>
    <w:uiPriority w:val="0"/>
  </w:style>
  <w:style w:type="character" w:styleId="56">
    <w:name w:val="HTML Typewriter"/>
    <w:basedOn w:val="50"/>
    <w:semiHidden/>
    <w:unhideWhenUsed/>
    <w:qFormat/>
    <w:uiPriority w:val="0"/>
    <w:rPr>
      <w:rFonts w:hint="default" w:ascii="Courier New" w:hAnsi="Courier New" w:eastAsia="Courier New" w:cs="Courier New"/>
      <w:sz w:val="24"/>
      <w:szCs w:val="24"/>
    </w:rPr>
  </w:style>
  <w:style w:type="character" w:styleId="57">
    <w:name w:val="HTML Variable"/>
    <w:basedOn w:val="50"/>
    <w:semiHidden/>
    <w:unhideWhenUsed/>
    <w:qFormat/>
    <w:uiPriority w:val="0"/>
    <w:rPr>
      <w:vanish/>
      <w:bdr w:val="single" w:color="DCDCDC" w:sz="6" w:space="0"/>
    </w:rPr>
  </w:style>
  <w:style w:type="character" w:styleId="58">
    <w:name w:val="Hyperlink"/>
    <w:basedOn w:val="50"/>
    <w:unhideWhenUsed/>
    <w:qFormat/>
    <w:uiPriority w:val="0"/>
    <w:rPr>
      <w:color w:val="0000FF"/>
      <w:u w:val="single"/>
    </w:rPr>
  </w:style>
  <w:style w:type="character" w:styleId="59">
    <w:name w:val="HTML Code"/>
    <w:basedOn w:val="50"/>
    <w:semiHidden/>
    <w:unhideWhenUsed/>
    <w:qFormat/>
    <w:uiPriority w:val="0"/>
    <w:rPr>
      <w:rFonts w:hint="default" w:ascii="Courier New" w:hAnsi="Courier New" w:eastAsia="Courier New" w:cs="Courier New"/>
      <w:sz w:val="24"/>
      <w:szCs w:val="24"/>
    </w:rPr>
  </w:style>
  <w:style w:type="character" w:styleId="60">
    <w:name w:val="annotation reference"/>
    <w:basedOn w:val="50"/>
    <w:unhideWhenUsed/>
    <w:qFormat/>
    <w:uiPriority w:val="99"/>
    <w:rPr>
      <w:sz w:val="21"/>
      <w:szCs w:val="21"/>
    </w:rPr>
  </w:style>
  <w:style w:type="character" w:styleId="61">
    <w:name w:val="HTML Cite"/>
    <w:basedOn w:val="50"/>
    <w:semiHidden/>
    <w:unhideWhenUsed/>
    <w:qFormat/>
    <w:uiPriority w:val="0"/>
  </w:style>
  <w:style w:type="character" w:styleId="62">
    <w:name w:val="HTML Keyboard"/>
    <w:basedOn w:val="50"/>
    <w:semiHidden/>
    <w:unhideWhenUsed/>
    <w:qFormat/>
    <w:uiPriority w:val="0"/>
    <w:rPr>
      <w:rFonts w:hint="default" w:ascii="Courier New" w:hAnsi="Courier New" w:eastAsia="Courier New" w:cs="Courier New"/>
      <w:sz w:val="24"/>
      <w:szCs w:val="24"/>
    </w:rPr>
  </w:style>
  <w:style w:type="character" w:styleId="63">
    <w:name w:val="HTML Sample"/>
    <w:basedOn w:val="50"/>
    <w:semiHidden/>
    <w:unhideWhenUsed/>
    <w:qFormat/>
    <w:uiPriority w:val="0"/>
    <w:rPr>
      <w:rFonts w:hint="default" w:ascii="Courier New" w:hAnsi="Courier New" w:eastAsia="Courier New" w:cs="Courier New"/>
    </w:rPr>
  </w:style>
  <w:style w:type="character" w:customStyle="1" w:styleId="64">
    <w:name w:val="标题 1 字符"/>
    <w:basedOn w:val="50"/>
    <w:link w:val="3"/>
    <w:qFormat/>
    <w:uiPriority w:val="0"/>
    <w:rPr>
      <w:rFonts w:ascii="黑体" w:hAnsi="黑体" w:eastAsia="黑体"/>
      <w:b/>
      <w:bCs/>
      <w:kern w:val="44"/>
      <w:sz w:val="28"/>
      <w:szCs w:val="28"/>
      <w:lang w:val="zh-CN"/>
    </w:rPr>
  </w:style>
  <w:style w:type="character" w:customStyle="1" w:styleId="65">
    <w:name w:val="标题 2 字符"/>
    <w:basedOn w:val="50"/>
    <w:link w:val="4"/>
    <w:qFormat/>
    <w:uiPriority w:val="0"/>
    <w:rPr>
      <w:rFonts w:ascii="黑体" w:hAnsi="黑体" w:eastAsia="黑体"/>
      <w:b/>
      <w:bCs/>
      <w:kern w:val="2"/>
      <w:sz w:val="24"/>
      <w:szCs w:val="24"/>
      <w:lang w:val="zh-CN"/>
    </w:rPr>
  </w:style>
  <w:style w:type="character" w:customStyle="1" w:styleId="66">
    <w:name w:val="标题 3 字符"/>
    <w:basedOn w:val="50"/>
    <w:link w:val="5"/>
    <w:qFormat/>
    <w:uiPriority w:val="0"/>
    <w:rPr>
      <w:rFonts w:ascii="黑体" w:hAnsi="黑体" w:eastAsia="黑体"/>
      <w:b/>
      <w:bCs/>
      <w:kern w:val="2"/>
      <w:sz w:val="24"/>
      <w:szCs w:val="24"/>
      <w:lang w:val="zh-CN"/>
    </w:rPr>
  </w:style>
  <w:style w:type="character" w:customStyle="1" w:styleId="67">
    <w:name w:val="标题 4 字符"/>
    <w:basedOn w:val="50"/>
    <w:link w:val="6"/>
    <w:qFormat/>
    <w:uiPriority w:val="0"/>
    <w:rPr>
      <w:rFonts w:ascii="黑体" w:hAnsi="黑体" w:eastAsia="黑体"/>
      <w:kern w:val="2"/>
      <w:sz w:val="24"/>
      <w:szCs w:val="24"/>
      <w:lang w:val="zh-CN"/>
    </w:rPr>
  </w:style>
  <w:style w:type="character" w:customStyle="1" w:styleId="68">
    <w:name w:val="标题 5 字符"/>
    <w:basedOn w:val="50"/>
    <w:link w:val="7"/>
    <w:qFormat/>
    <w:uiPriority w:val="99"/>
    <w:rPr>
      <w:rFonts w:ascii="黑体" w:hAnsi="黑体" w:eastAsia="黑体"/>
      <w:kern w:val="2"/>
      <w:sz w:val="24"/>
      <w:szCs w:val="24"/>
      <w:lang w:val="zh-CN"/>
    </w:rPr>
  </w:style>
  <w:style w:type="character" w:customStyle="1" w:styleId="69">
    <w:name w:val="标题 6 字符"/>
    <w:basedOn w:val="50"/>
    <w:link w:val="9"/>
    <w:qFormat/>
    <w:uiPriority w:val="0"/>
    <w:rPr>
      <w:rFonts w:ascii="黑体" w:hAnsi="黑体" w:eastAsia="黑体"/>
      <w:kern w:val="2"/>
      <w:sz w:val="24"/>
      <w:szCs w:val="24"/>
      <w:lang w:val="zh-CN"/>
    </w:rPr>
  </w:style>
  <w:style w:type="character" w:customStyle="1" w:styleId="70">
    <w:name w:val="标题 7 字符"/>
    <w:basedOn w:val="50"/>
    <w:link w:val="10"/>
    <w:qFormat/>
    <w:uiPriority w:val="0"/>
    <w:rPr>
      <w:rFonts w:eastAsia="宋体"/>
      <w:b/>
      <w:bCs/>
      <w:sz w:val="24"/>
      <w:szCs w:val="24"/>
    </w:rPr>
  </w:style>
  <w:style w:type="character" w:customStyle="1" w:styleId="71">
    <w:name w:val="标题 8 字符"/>
    <w:basedOn w:val="50"/>
    <w:link w:val="11"/>
    <w:qFormat/>
    <w:uiPriority w:val="0"/>
    <w:rPr>
      <w:rFonts w:ascii="Cambria" w:hAnsi="Cambria"/>
      <w:kern w:val="2"/>
      <w:sz w:val="24"/>
      <w:szCs w:val="24"/>
    </w:rPr>
  </w:style>
  <w:style w:type="character" w:customStyle="1" w:styleId="72">
    <w:name w:val="标题 9 字符"/>
    <w:basedOn w:val="50"/>
    <w:link w:val="12"/>
    <w:qFormat/>
    <w:uiPriority w:val="0"/>
    <w:rPr>
      <w:rFonts w:ascii="Cambria" w:hAnsi="Cambria"/>
      <w:kern w:val="2"/>
      <w:sz w:val="21"/>
      <w:szCs w:val="21"/>
    </w:rPr>
  </w:style>
  <w:style w:type="character" w:customStyle="1" w:styleId="73">
    <w:name w:val="正文缩进 字符"/>
    <w:link w:val="8"/>
    <w:qFormat/>
    <w:locked/>
    <w:uiPriority w:val="0"/>
    <w:rPr>
      <w:rFonts w:ascii="Times New Roman" w:hAnsi="Times New Roman"/>
      <w:kern w:val="2"/>
      <w:sz w:val="21"/>
    </w:rPr>
  </w:style>
  <w:style w:type="character" w:customStyle="1" w:styleId="74">
    <w:name w:val="文档结构图 字符"/>
    <w:link w:val="17"/>
    <w:qFormat/>
    <w:uiPriority w:val="0"/>
    <w:rPr>
      <w:rFonts w:ascii="宋体" w:hAnsi="Times New Roman"/>
      <w:kern w:val="2"/>
      <w:sz w:val="18"/>
      <w:szCs w:val="18"/>
    </w:rPr>
  </w:style>
  <w:style w:type="character" w:customStyle="1" w:styleId="75">
    <w:name w:val="批注文字 字符"/>
    <w:basedOn w:val="50"/>
    <w:link w:val="18"/>
    <w:qFormat/>
    <w:uiPriority w:val="99"/>
    <w:rPr>
      <w:rFonts w:eastAsia="宋体"/>
      <w:sz w:val="24"/>
    </w:rPr>
  </w:style>
  <w:style w:type="character" w:customStyle="1" w:styleId="76">
    <w:name w:val="正文文本 3 字符"/>
    <w:basedOn w:val="50"/>
    <w:link w:val="19"/>
    <w:qFormat/>
    <w:uiPriority w:val="0"/>
    <w:rPr>
      <w:rFonts w:ascii="宋体" w:hAnsi="宋体"/>
      <w:color w:val="000000"/>
      <w:kern w:val="2"/>
      <w:sz w:val="21"/>
      <w:szCs w:val="21"/>
    </w:rPr>
  </w:style>
  <w:style w:type="character" w:customStyle="1" w:styleId="77">
    <w:name w:val="正文文本 字符"/>
    <w:basedOn w:val="50"/>
    <w:link w:val="2"/>
    <w:qFormat/>
    <w:uiPriority w:val="0"/>
    <w:rPr>
      <w:rFonts w:ascii="宋体" w:hAnsi="宋体" w:eastAsia="宋体" w:cs="宋体"/>
      <w:kern w:val="0"/>
      <w:szCs w:val="21"/>
      <w:lang w:val="zh-CN" w:bidi="zh-CN"/>
    </w:rPr>
  </w:style>
  <w:style w:type="character" w:customStyle="1" w:styleId="78">
    <w:name w:val="正文文本缩进 字符"/>
    <w:link w:val="20"/>
    <w:qFormat/>
    <w:uiPriority w:val="0"/>
    <w:rPr>
      <w:rFonts w:ascii="Times New Roman" w:hAnsi="Times New Roman"/>
      <w:kern w:val="2"/>
      <w:sz w:val="21"/>
      <w:szCs w:val="24"/>
    </w:rPr>
  </w:style>
  <w:style w:type="character" w:customStyle="1" w:styleId="79">
    <w:name w:val="纯文本 字符1"/>
    <w:basedOn w:val="50"/>
    <w:link w:val="26"/>
    <w:qFormat/>
    <w:uiPriority w:val="0"/>
    <w:rPr>
      <w:rFonts w:eastAsia="宋体"/>
      <w:sz w:val="24"/>
      <w:lang w:val="en-GB"/>
    </w:rPr>
  </w:style>
  <w:style w:type="character" w:customStyle="1" w:styleId="80">
    <w:name w:val="日期 字符"/>
    <w:basedOn w:val="50"/>
    <w:link w:val="28"/>
    <w:qFormat/>
    <w:uiPriority w:val="0"/>
    <w:rPr>
      <w:rFonts w:eastAsia="宋体"/>
      <w:sz w:val="24"/>
    </w:rPr>
  </w:style>
  <w:style w:type="character" w:customStyle="1" w:styleId="81">
    <w:name w:val="正文文本缩进 2 字符"/>
    <w:basedOn w:val="50"/>
    <w:link w:val="29"/>
    <w:qFormat/>
    <w:uiPriority w:val="0"/>
    <w:rPr>
      <w:rFonts w:ascii="Times New Roman" w:hAnsi="Times New Roman"/>
      <w:kern w:val="2"/>
      <w:sz w:val="21"/>
    </w:rPr>
  </w:style>
  <w:style w:type="character" w:customStyle="1" w:styleId="82">
    <w:name w:val="批注框文本 字符"/>
    <w:basedOn w:val="50"/>
    <w:link w:val="30"/>
    <w:qFormat/>
    <w:uiPriority w:val="0"/>
    <w:rPr>
      <w:rFonts w:eastAsia="宋体"/>
      <w:sz w:val="18"/>
      <w:szCs w:val="18"/>
    </w:rPr>
  </w:style>
  <w:style w:type="character" w:customStyle="1" w:styleId="83">
    <w:name w:val="页脚 字符"/>
    <w:basedOn w:val="50"/>
    <w:link w:val="31"/>
    <w:qFormat/>
    <w:uiPriority w:val="99"/>
    <w:rPr>
      <w:sz w:val="18"/>
      <w:szCs w:val="18"/>
    </w:rPr>
  </w:style>
  <w:style w:type="character" w:customStyle="1" w:styleId="84">
    <w:name w:val="页眉 字符"/>
    <w:basedOn w:val="50"/>
    <w:link w:val="32"/>
    <w:qFormat/>
    <w:uiPriority w:val="0"/>
    <w:rPr>
      <w:sz w:val="18"/>
      <w:szCs w:val="18"/>
    </w:rPr>
  </w:style>
  <w:style w:type="character" w:customStyle="1" w:styleId="85">
    <w:name w:val="正文文本缩进 3 字符1"/>
    <w:basedOn w:val="50"/>
    <w:link w:val="38"/>
    <w:qFormat/>
    <w:uiPriority w:val="0"/>
    <w:rPr>
      <w:rFonts w:ascii="Times New Roman" w:hAnsi="Times New Roman"/>
      <w:kern w:val="2"/>
      <w:sz w:val="16"/>
      <w:szCs w:val="16"/>
    </w:rPr>
  </w:style>
  <w:style w:type="character" w:customStyle="1" w:styleId="86">
    <w:name w:val="正文文本 2 字符"/>
    <w:basedOn w:val="50"/>
    <w:link w:val="41"/>
    <w:qFormat/>
    <w:uiPriority w:val="0"/>
    <w:rPr>
      <w:rFonts w:ascii="Times New Roman" w:hAnsi="Times New Roman"/>
      <w:kern w:val="2"/>
      <w:sz w:val="21"/>
      <w:szCs w:val="24"/>
    </w:rPr>
  </w:style>
  <w:style w:type="character" w:customStyle="1" w:styleId="87">
    <w:name w:val="HTML 预设格式 字符"/>
    <w:basedOn w:val="50"/>
    <w:link w:val="42"/>
    <w:qFormat/>
    <w:uiPriority w:val="0"/>
    <w:rPr>
      <w:rFonts w:ascii="宋体" w:hAnsi="宋体"/>
      <w:sz w:val="24"/>
      <w:szCs w:val="24"/>
    </w:rPr>
  </w:style>
  <w:style w:type="character" w:customStyle="1" w:styleId="88">
    <w:name w:val="标题 字符"/>
    <w:basedOn w:val="50"/>
    <w:link w:val="45"/>
    <w:qFormat/>
    <w:uiPriority w:val="0"/>
    <w:rPr>
      <w:rFonts w:ascii="Cambria" w:hAnsi="Cambria"/>
      <w:b/>
      <w:bCs/>
      <w:kern w:val="2"/>
      <w:sz w:val="32"/>
      <w:szCs w:val="32"/>
    </w:rPr>
  </w:style>
  <w:style w:type="character" w:customStyle="1" w:styleId="89">
    <w:name w:val="批注主题 字符"/>
    <w:basedOn w:val="75"/>
    <w:link w:val="46"/>
    <w:qFormat/>
    <w:uiPriority w:val="0"/>
    <w:rPr>
      <w:rFonts w:eastAsia="宋体"/>
      <w:b/>
      <w:bCs/>
      <w:sz w:val="24"/>
    </w:rPr>
  </w:style>
  <w:style w:type="character" w:customStyle="1" w:styleId="90">
    <w:name w:val="正文首行缩进 2 字符"/>
    <w:basedOn w:val="91"/>
    <w:link w:val="47"/>
    <w:qFormat/>
    <w:uiPriority w:val="0"/>
    <w:rPr>
      <w:rFonts w:ascii="Times New Roman" w:hAnsi="Times New Roman"/>
      <w:kern w:val="2"/>
      <w:sz w:val="21"/>
      <w:szCs w:val="24"/>
    </w:rPr>
  </w:style>
  <w:style w:type="character" w:customStyle="1" w:styleId="91">
    <w:name w:val="正文文本缩进 Char"/>
    <w:basedOn w:val="50"/>
    <w:link w:val="92"/>
    <w:qFormat/>
    <w:uiPriority w:val="0"/>
    <w:rPr>
      <w:kern w:val="2"/>
      <w:sz w:val="24"/>
      <w:szCs w:val="22"/>
    </w:rPr>
  </w:style>
  <w:style w:type="paragraph" w:customStyle="1" w:styleId="92">
    <w:name w:val="正文文本缩进1"/>
    <w:basedOn w:val="1"/>
    <w:next w:val="20"/>
    <w:link w:val="91"/>
    <w:qFormat/>
    <w:uiPriority w:val="0"/>
    <w:pPr>
      <w:spacing w:after="120" w:line="240" w:lineRule="auto"/>
      <w:ind w:left="420" w:leftChars="200" w:firstLine="0" w:firstLineChars="0"/>
    </w:pPr>
  </w:style>
  <w:style w:type="character" w:customStyle="1" w:styleId="93">
    <w:name w:val="apple-style-span"/>
    <w:qFormat/>
    <w:uiPriority w:val="0"/>
  </w:style>
  <w:style w:type="character" w:customStyle="1" w:styleId="94">
    <w:name w:val="标题 9 Char1"/>
    <w:semiHidden/>
    <w:qFormat/>
    <w:uiPriority w:val="0"/>
    <w:rPr>
      <w:rFonts w:ascii="Cambria" w:hAnsi="Cambria" w:eastAsia="宋体" w:cs="Times New Roman"/>
      <w:kern w:val="2"/>
      <w:sz w:val="21"/>
      <w:szCs w:val="21"/>
    </w:rPr>
  </w:style>
  <w:style w:type="character" w:customStyle="1" w:styleId="95">
    <w:name w:val="Char Char1"/>
    <w:qFormat/>
    <w:uiPriority w:val="0"/>
    <w:rPr>
      <w:rFonts w:eastAsia="宋体"/>
      <w:kern w:val="2"/>
      <w:sz w:val="21"/>
      <w:szCs w:val="24"/>
      <w:lang w:val="en-US" w:eastAsia="zh-CN" w:bidi="ar-SA"/>
    </w:rPr>
  </w:style>
  <w:style w:type="character" w:customStyle="1" w:styleId="96">
    <w:name w:val="表格正文 Char"/>
    <w:link w:val="97"/>
    <w:qFormat/>
    <w:locked/>
    <w:uiPriority w:val="0"/>
    <w:rPr>
      <w:szCs w:val="24"/>
    </w:rPr>
  </w:style>
  <w:style w:type="paragraph" w:customStyle="1" w:styleId="97">
    <w:name w:val="表格正文"/>
    <w:basedOn w:val="1"/>
    <w:link w:val="96"/>
    <w:qFormat/>
    <w:uiPriority w:val="0"/>
    <w:pPr>
      <w:ind w:firstLine="0" w:firstLineChars="0"/>
    </w:pPr>
    <w:rPr>
      <w:kern w:val="0"/>
      <w:sz w:val="20"/>
      <w:szCs w:val="24"/>
    </w:rPr>
  </w:style>
  <w:style w:type="character" w:customStyle="1" w:styleId="98">
    <w:name w:val="Char Char10"/>
    <w:qFormat/>
    <w:uiPriority w:val="0"/>
    <w:rPr>
      <w:rFonts w:eastAsia="宋体"/>
      <w:kern w:val="2"/>
      <w:sz w:val="21"/>
      <w:szCs w:val="24"/>
      <w:lang w:val="en-US" w:eastAsia="zh-CN" w:bidi="ar-SA"/>
    </w:rPr>
  </w:style>
  <w:style w:type="character" w:customStyle="1" w:styleId="99">
    <w:name w:val="1ji Char"/>
    <w:link w:val="100"/>
    <w:qFormat/>
    <w:uiPriority w:val="0"/>
    <w:rPr>
      <w:rFonts w:ascii="宋体" w:hAnsi="宋体"/>
      <w:b/>
      <w:bCs/>
      <w:kern w:val="44"/>
      <w:sz w:val="36"/>
      <w:szCs w:val="44"/>
    </w:rPr>
  </w:style>
  <w:style w:type="paragraph" w:customStyle="1" w:styleId="100">
    <w:name w:val="1ji"/>
    <w:basedOn w:val="3"/>
    <w:link w:val="99"/>
    <w:qFormat/>
    <w:uiPriority w:val="0"/>
    <w:pPr>
      <w:keepLines w:val="0"/>
      <w:numPr>
        <w:numId w:val="0"/>
      </w:numPr>
      <w:spacing w:line="240" w:lineRule="auto"/>
      <w:jc w:val="center"/>
    </w:pPr>
    <w:rPr>
      <w:rFonts w:ascii="宋体" w:hAnsi="宋体" w:eastAsia="宋体"/>
      <w:sz w:val="36"/>
      <w:szCs w:val="44"/>
    </w:rPr>
  </w:style>
  <w:style w:type="character" w:customStyle="1" w:styleId="101">
    <w:name w:val="标书4级 Char"/>
    <w:link w:val="102"/>
    <w:qFormat/>
    <w:uiPriority w:val="0"/>
    <w:rPr>
      <w:rFonts w:ascii="宋体" w:hAnsi="宋体"/>
      <w:b/>
      <w:bCs/>
      <w:kern w:val="2"/>
      <w:sz w:val="28"/>
      <w:szCs w:val="28"/>
    </w:rPr>
  </w:style>
  <w:style w:type="paragraph" w:customStyle="1" w:styleId="102">
    <w:name w:val="标书4级"/>
    <w:basedOn w:val="6"/>
    <w:link w:val="101"/>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103">
    <w:name w:val="font51"/>
    <w:qFormat/>
    <w:uiPriority w:val="0"/>
    <w:rPr>
      <w:rFonts w:hint="eastAsia" w:ascii="宋体" w:hAnsi="宋体" w:eastAsia="宋体" w:cs="宋体"/>
      <w:color w:val="000000"/>
      <w:sz w:val="18"/>
      <w:szCs w:val="18"/>
      <w:u w:val="none"/>
    </w:rPr>
  </w:style>
  <w:style w:type="character" w:customStyle="1" w:styleId="104">
    <w:name w:val="批注文字 Char1"/>
    <w:qFormat/>
    <w:uiPriority w:val="99"/>
    <w:rPr>
      <w:rFonts w:ascii="Times New Roman" w:hAnsi="Times New Roman"/>
      <w:kern w:val="2"/>
      <w:sz w:val="21"/>
      <w:szCs w:val="24"/>
    </w:rPr>
  </w:style>
  <w:style w:type="character" w:customStyle="1" w:styleId="105">
    <w:name w:val="Char Char"/>
    <w:qFormat/>
    <w:locked/>
    <w:uiPriority w:val="0"/>
    <w:rPr>
      <w:rFonts w:ascii="宋体" w:hAnsi="宋体" w:eastAsia="宋体"/>
      <w:kern w:val="2"/>
      <w:sz w:val="21"/>
      <w:szCs w:val="24"/>
      <w:lang w:val="en-US" w:eastAsia="zh-CN" w:bidi="ar-SA"/>
    </w:rPr>
  </w:style>
  <w:style w:type="character" w:customStyle="1" w:styleId="106">
    <w:name w:val="纯文本 Char1"/>
    <w:qFormat/>
    <w:uiPriority w:val="0"/>
    <w:rPr>
      <w:rFonts w:ascii="宋体" w:hAnsi="Courier New"/>
      <w:kern w:val="2"/>
      <w:sz w:val="21"/>
    </w:rPr>
  </w:style>
  <w:style w:type="character" w:customStyle="1" w:styleId="107">
    <w:name w:val="A15"/>
    <w:qFormat/>
    <w:uiPriority w:val="0"/>
    <w:rPr>
      <w:rFonts w:ascii="Times New Roman" w:hAnsi="Times New Roman"/>
      <w:color w:val="000000"/>
      <w:sz w:val="14"/>
      <w:szCs w:val="14"/>
    </w:rPr>
  </w:style>
  <w:style w:type="character" w:customStyle="1" w:styleId="108">
    <w:name w:val="纯文本 Char3"/>
    <w:qFormat/>
    <w:uiPriority w:val="0"/>
    <w:rPr>
      <w:rFonts w:ascii="宋体" w:hAnsi="Courier New"/>
      <w:szCs w:val="21"/>
    </w:rPr>
  </w:style>
  <w:style w:type="character" w:customStyle="1" w:styleId="109">
    <w:name w:val="无间隔 Char"/>
    <w:link w:val="110"/>
    <w:qFormat/>
    <w:uiPriority w:val="1"/>
    <w:rPr>
      <w:kern w:val="2"/>
      <w:sz w:val="21"/>
      <w:szCs w:val="22"/>
      <w:lang w:val="en-US" w:eastAsia="zh-CN" w:bidi="ar-SA"/>
    </w:rPr>
  </w:style>
  <w:style w:type="paragraph" w:customStyle="1" w:styleId="110">
    <w:name w:val="无间隔1"/>
    <w:link w:val="109"/>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11">
    <w:name w:val="普通文字 Char Char2"/>
    <w:qFormat/>
    <w:uiPriority w:val="0"/>
    <w:rPr>
      <w:rFonts w:ascii="宋体" w:hAnsi="Courier New" w:eastAsia="宋体" w:cs="Courier New"/>
      <w:szCs w:val="21"/>
    </w:rPr>
  </w:style>
  <w:style w:type="character" w:customStyle="1" w:styleId="112">
    <w:name w:val="Char Char3"/>
    <w:qFormat/>
    <w:uiPriority w:val="0"/>
    <w:rPr>
      <w:rFonts w:ascii="宋体" w:hAnsi="Courier New" w:eastAsia="宋体"/>
      <w:kern w:val="2"/>
      <w:sz w:val="21"/>
      <w:lang w:val="en-US" w:eastAsia="zh-CN" w:bidi="ar-SA"/>
    </w:rPr>
  </w:style>
  <w:style w:type="character" w:customStyle="1" w:styleId="113">
    <w:name w:val="标题 Char1"/>
    <w:basedOn w:val="50"/>
    <w:qFormat/>
    <w:uiPriority w:val="0"/>
    <w:rPr>
      <w:rFonts w:ascii="Cambria" w:hAnsi="Cambria" w:cs="Times New Roman"/>
      <w:b/>
      <w:bCs/>
      <w:kern w:val="2"/>
      <w:sz w:val="32"/>
      <w:szCs w:val="32"/>
    </w:rPr>
  </w:style>
  <w:style w:type="character" w:customStyle="1" w:styleId="114">
    <w:name w:val="普通文字 Char Char1 Char"/>
    <w:qFormat/>
    <w:locked/>
    <w:uiPriority w:val="0"/>
    <w:rPr>
      <w:rFonts w:ascii="宋体" w:hAnsi="Courier New" w:eastAsia="宋体" w:cs="宋体"/>
      <w:kern w:val="2"/>
      <w:sz w:val="21"/>
      <w:szCs w:val="21"/>
      <w:lang w:val="en-US" w:eastAsia="zh-CN"/>
    </w:rPr>
  </w:style>
  <w:style w:type="character" w:customStyle="1" w:styleId="115">
    <w:name w:val="纯文本 字符"/>
    <w:basedOn w:val="50"/>
    <w:qFormat/>
    <w:uiPriority w:val="0"/>
    <w:rPr>
      <w:rFonts w:ascii="宋体" w:hAnsi="Courier New" w:cs="Courier New"/>
      <w:sz w:val="24"/>
    </w:rPr>
  </w:style>
  <w:style w:type="character" w:customStyle="1" w:styleId="116">
    <w:name w:val="*正文 Char"/>
    <w:link w:val="117"/>
    <w:qFormat/>
    <w:uiPriority w:val="0"/>
    <w:rPr>
      <w:rFonts w:ascii="仿宋_GB2312" w:eastAsia="仿宋_GB2312"/>
      <w:sz w:val="24"/>
      <w:szCs w:val="28"/>
    </w:rPr>
  </w:style>
  <w:style w:type="paragraph" w:customStyle="1" w:styleId="117">
    <w:name w:val="*正文"/>
    <w:basedOn w:val="1"/>
    <w:link w:val="116"/>
    <w:qFormat/>
    <w:uiPriority w:val="0"/>
    <w:pPr>
      <w:widowControl/>
      <w:spacing w:line="240" w:lineRule="auto"/>
      <w:jc w:val="left"/>
    </w:pPr>
    <w:rPr>
      <w:rFonts w:ascii="仿宋_GB2312" w:eastAsia="仿宋_GB2312"/>
      <w:kern w:val="0"/>
      <w:szCs w:val="28"/>
    </w:rPr>
  </w:style>
  <w:style w:type="character" w:customStyle="1" w:styleId="118">
    <w:name w:val="标题 1 Char1"/>
    <w:qFormat/>
    <w:uiPriority w:val="0"/>
    <w:rPr>
      <w:b/>
      <w:bCs/>
      <w:kern w:val="44"/>
      <w:sz w:val="44"/>
      <w:szCs w:val="44"/>
    </w:rPr>
  </w:style>
  <w:style w:type="character" w:customStyle="1" w:styleId="119">
    <w:name w:val="case31"/>
    <w:qFormat/>
    <w:uiPriority w:val="0"/>
    <w:rPr>
      <w:rFonts w:hint="default"/>
      <w:sz w:val="21"/>
      <w:szCs w:val="21"/>
    </w:rPr>
  </w:style>
  <w:style w:type="character" w:customStyle="1" w:styleId="120">
    <w:name w:val="062"/>
    <w:qFormat/>
    <w:uiPriority w:val="0"/>
    <w:rPr>
      <w:rFonts w:ascii="宋体" w:hAnsi="宋体"/>
      <w:b/>
      <w:bCs/>
      <w:sz w:val="32"/>
    </w:rPr>
  </w:style>
  <w:style w:type="character" w:customStyle="1" w:styleId="121">
    <w:name w:val="正文缩进 Char1"/>
    <w:qFormat/>
    <w:locked/>
    <w:uiPriority w:val="0"/>
    <w:rPr>
      <w:rFonts w:eastAsia="宋体"/>
      <w:kern w:val="2"/>
      <w:sz w:val="21"/>
      <w:lang w:val="en-US" w:eastAsia="zh-CN" w:bidi="ar-SA"/>
    </w:rPr>
  </w:style>
  <w:style w:type="character" w:customStyle="1" w:styleId="122">
    <w:name w:val="普通文字 Char Char3"/>
    <w:qFormat/>
    <w:uiPriority w:val="0"/>
    <w:rPr>
      <w:rFonts w:ascii="宋体" w:hAnsi="Courier New"/>
      <w:kern w:val="2"/>
      <w:sz w:val="21"/>
    </w:rPr>
  </w:style>
  <w:style w:type="character" w:customStyle="1" w:styleId="123">
    <w:name w:val="font41"/>
    <w:qFormat/>
    <w:uiPriority w:val="0"/>
    <w:rPr>
      <w:rFonts w:hint="eastAsia" w:ascii="宋体" w:hAnsi="宋体" w:eastAsia="宋体" w:cs="宋体"/>
      <w:color w:val="FF0000"/>
      <w:sz w:val="18"/>
      <w:szCs w:val="18"/>
      <w:u w:val="none"/>
    </w:rPr>
  </w:style>
  <w:style w:type="character" w:customStyle="1" w:styleId="124">
    <w:name w:val="正文文本缩进 字符1"/>
    <w:basedOn w:val="50"/>
    <w:semiHidden/>
    <w:qFormat/>
    <w:uiPriority w:val="99"/>
  </w:style>
  <w:style w:type="character" w:customStyle="1" w:styleId="125">
    <w:name w:val="正文文本缩进 3 字符"/>
    <w:semiHidden/>
    <w:qFormat/>
    <w:uiPriority w:val="99"/>
    <w:rPr>
      <w:sz w:val="16"/>
      <w:szCs w:val="16"/>
    </w:rPr>
  </w:style>
  <w:style w:type="character" w:customStyle="1" w:styleId="126">
    <w:name w:val="纯文本 字符2"/>
    <w:qFormat/>
    <w:uiPriority w:val="0"/>
    <w:rPr>
      <w:rFonts w:ascii="宋体" w:hAnsi="Courier New" w:eastAsia="宋体" w:cs="Courier New"/>
      <w:kern w:val="2"/>
      <w:sz w:val="21"/>
      <w:szCs w:val="21"/>
      <w:lang w:val="en-US" w:eastAsia="zh-CN" w:bidi="ar-SA"/>
    </w:rPr>
  </w:style>
  <w:style w:type="character" w:customStyle="1" w:styleId="127">
    <w:name w:val="标题 8 Char1"/>
    <w:semiHidden/>
    <w:qFormat/>
    <w:uiPriority w:val="0"/>
    <w:rPr>
      <w:rFonts w:ascii="Cambria" w:hAnsi="Cambria" w:eastAsia="宋体" w:cs="Times New Roman"/>
      <w:kern w:val="2"/>
      <w:sz w:val="24"/>
      <w:szCs w:val="24"/>
    </w:rPr>
  </w:style>
  <w:style w:type="character" w:customStyle="1" w:styleId="128">
    <w:name w:val="正文文本 (2)_"/>
    <w:link w:val="129"/>
    <w:qFormat/>
    <w:locked/>
    <w:uiPriority w:val="0"/>
    <w:rPr>
      <w:rFonts w:ascii="MingLiU" w:hAnsi="MingLiU" w:eastAsia="MingLiU" w:cs="MingLiU"/>
      <w:sz w:val="22"/>
      <w:shd w:val="clear" w:color="auto" w:fill="FFFFFF"/>
    </w:rPr>
  </w:style>
  <w:style w:type="paragraph" w:customStyle="1" w:styleId="129">
    <w:name w:val="正文文本 (2)5"/>
    <w:basedOn w:val="1"/>
    <w:link w:val="128"/>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30">
    <w:name w:val="表格标题 Char"/>
    <w:link w:val="131"/>
    <w:qFormat/>
    <w:uiPriority w:val="0"/>
    <w:rPr>
      <w:rFonts w:ascii="Calibri" w:hAnsi="Calibri" w:eastAsia="宋体" w:cs="Times New Roman"/>
      <w:b/>
      <w:sz w:val="24"/>
      <w:lang w:val="zh-CN"/>
    </w:rPr>
  </w:style>
  <w:style w:type="paragraph" w:customStyle="1" w:styleId="131">
    <w:name w:val="表格标题"/>
    <w:basedOn w:val="132"/>
    <w:link w:val="130"/>
    <w:qFormat/>
    <w:uiPriority w:val="0"/>
    <w:pPr>
      <w:jc w:val="center"/>
    </w:pPr>
    <w:rPr>
      <w:b/>
    </w:rPr>
  </w:style>
  <w:style w:type="paragraph" w:customStyle="1" w:styleId="132">
    <w:name w:val="表格文本"/>
    <w:basedOn w:val="1"/>
    <w:link w:val="133"/>
    <w:qFormat/>
    <w:uiPriority w:val="0"/>
    <w:pPr>
      <w:spacing w:line="276" w:lineRule="auto"/>
      <w:ind w:firstLine="0" w:firstLineChars="0"/>
    </w:pPr>
    <w:rPr>
      <w:kern w:val="0"/>
      <w:szCs w:val="20"/>
      <w:lang w:val="zh-CN"/>
    </w:rPr>
  </w:style>
  <w:style w:type="character" w:customStyle="1" w:styleId="133">
    <w:name w:val="表格文本 Char"/>
    <w:link w:val="132"/>
    <w:qFormat/>
    <w:uiPriority w:val="0"/>
    <w:rPr>
      <w:rFonts w:ascii="Calibri" w:hAnsi="Calibri" w:eastAsia="宋体" w:cs="Times New Roman"/>
      <w:sz w:val="24"/>
      <w:lang w:val="zh-CN"/>
    </w:rPr>
  </w:style>
  <w:style w:type="character" w:customStyle="1" w:styleId="134">
    <w:name w:val="t-14"/>
    <w:basedOn w:val="50"/>
    <w:qFormat/>
    <w:uiPriority w:val="0"/>
  </w:style>
  <w:style w:type="character" w:customStyle="1" w:styleId="135">
    <w:name w:val="ca-142"/>
    <w:basedOn w:val="50"/>
    <w:qFormat/>
    <w:uiPriority w:val="0"/>
  </w:style>
  <w:style w:type="character" w:customStyle="1" w:styleId="136">
    <w:name w:val="NormalCharacter"/>
    <w:qFormat/>
    <w:uiPriority w:val="0"/>
    <w:rPr>
      <w:rFonts w:ascii="Times New Roman" w:hAnsi="Times New Roman" w:eastAsia="华文新魏" w:cs="Times New Roman"/>
      <w:lang w:bidi="ar-SA"/>
    </w:rPr>
  </w:style>
  <w:style w:type="character" w:customStyle="1" w:styleId="137">
    <w:name w:val="A正文小四 Char"/>
    <w:link w:val="138"/>
    <w:qFormat/>
    <w:uiPriority w:val="0"/>
    <w:rPr>
      <w:sz w:val="24"/>
      <w:szCs w:val="24"/>
    </w:rPr>
  </w:style>
  <w:style w:type="paragraph" w:customStyle="1" w:styleId="138">
    <w:name w:val="A正文小四"/>
    <w:basedOn w:val="1"/>
    <w:link w:val="137"/>
    <w:qFormat/>
    <w:uiPriority w:val="0"/>
    <w:rPr>
      <w:kern w:val="0"/>
      <w:szCs w:val="24"/>
    </w:rPr>
  </w:style>
  <w:style w:type="character" w:customStyle="1" w:styleId="139">
    <w:name w:val="标题 4 Char1"/>
    <w:semiHidden/>
    <w:qFormat/>
    <w:uiPriority w:val="0"/>
    <w:rPr>
      <w:rFonts w:ascii="Cambria" w:hAnsi="Cambria" w:eastAsia="宋体" w:cs="Times New Roman"/>
      <w:b/>
      <w:bCs/>
      <w:kern w:val="2"/>
      <w:sz w:val="28"/>
      <w:szCs w:val="28"/>
    </w:rPr>
  </w:style>
  <w:style w:type="character" w:customStyle="1" w:styleId="140">
    <w:name w:val="font21"/>
    <w:qFormat/>
    <w:uiPriority w:val="0"/>
    <w:rPr>
      <w:rFonts w:hint="default" w:ascii="Times New Roman" w:hAnsi="Times New Roman" w:cs="Times New Roman"/>
      <w:color w:val="000000"/>
      <w:sz w:val="18"/>
      <w:szCs w:val="18"/>
      <w:u w:val="none"/>
    </w:rPr>
  </w:style>
  <w:style w:type="character" w:customStyle="1" w:styleId="141">
    <w:name w:val="apple-converted-space"/>
    <w:basedOn w:val="50"/>
    <w:qFormat/>
    <w:uiPriority w:val="0"/>
  </w:style>
  <w:style w:type="character" w:customStyle="1" w:styleId="142">
    <w:name w:val="列出段落 Char"/>
    <w:link w:val="143"/>
    <w:qFormat/>
    <w:locked/>
    <w:uiPriority w:val="0"/>
    <w:rPr>
      <w:kern w:val="2"/>
      <w:sz w:val="21"/>
      <w:szCs w:val="24"/>
    </w:rPr>
  </w:style>
  <w:style w:type="paragraph" w:customStyle="1" w:styleId="143">
    <w:name w:val="列出段落2"/>
    <w:basedOn w:val="1"/>
    <w:link w:val="142"/>
    <w:unhideWhenUsed/>
    <w:qFormat/>
    <w:uiPriority w:val="0"/>
    <w:pPr>
      <w:spacing w:line="240" w:lineRule="auto"/>
      <w:ind w:firstLine="420"/>
    </w:pPr>
    <w:rPr>
      <w:sz w:val="21"/>
      <w:szCs w:val="24"/>
    </w:rPr>
  </w:style>
  <w:style w:type="character" w:customStyle="1" w:styleId="144">
    <w:name w:val="标题 Char2"/>
    <w:basedOn w:val="50"/>
    <w:qFormat/>
    <w:uiPriority w:val="10"/>
    <w:rPr>
      <w:rFonts w:ascii="Cambria" w:hAnsi="Cambria" w:cs="Times New Roman"/>
      <w:b/>
      <w:bCs/>
      <w:kern w:val="2"/>
      <w:sz w:val="32"/>
      <w:szCs w:val="32"/>
    </w:rPr>
  </w:style>
  <w:style w:type="character" w:customStyle="1" w:styleId="145">
    <w:name w:val="fontstyle11"/>
    <w:basedOn w:val="50"/>
    <w:qFormat/>
    <w:uiPriority w:val="0"/>
    <w:rPr>
      <w:rFonts w:hint="eastAsia" w:ascii="宋体" w:hAnsi="宋体" w:eastAsia="宋体"/>
      <w:color w:val="000000"/>
      <w:sz w:val="22"/>
      <w:szCs w:val="22"/>
    </w:rPr>
  </w:style>
  <w:style w:type="character" w:customStyle="1" w:styleId="146">
    <w:name w:val="文档结构图 Char"/>
    <w:basedOn w:val="50"/>
    <w:link w:val="147"/>
    <w:qFormat/>
    <w:uiPriority w:val="0"/>
    <w:rPr>
      <w:rFonts w:ascii="宋体"/>
      <w:kern w:val="2"/>
      <w:sz w:val="18"/>
      <w:szCs w:val="18"/>
    </w:rPr>
  </w:style>
  <w:style w:type="paragraph" w:customStyle="1" w:styleId="147">
    <w:name w:val="文档结构图1"/>
    <w:basedOn w:val="1"/>
    <w:next w:val="17"/>
    <w:link w:val="146"/>
    <w:unhideWhenUsed/>
    <w:qFormat/>
    <w:uiPriority w:val="0"/>
    <w:pPr>
      <w:spacing w:line="240" w:lineRule="auto"/>
      <w:ind w:firstLine="0" w:firstLineChars="0"/>
    </w:pPr>
    <w:rPr>
      <w:rFonts w:ascii="宋体"/>
      <w:sz w:val="18"/>
      <w:szCs w:val="18"/>
    </w:rPr>
  </w:style>
  <w:style w:type="character" w:customStyle="1" w:styleId="148">
    <w:name w:val="Char Char5"/>
    <w:qFormat/>
    <w:locked/>
    <w:uiPriority w:val="0"/>
    <w:rPr>
      <w:rFonts w:cs="Times New Roman"/>
      <w:sz w:val="21"/>
      <w:szCs w:val="21"/>
    </w:rPr>
  </w:style>
  <w:style w:type="character" w:customStyle="1" w:styleId="149">
    <w:name w:val="正文缩进2字符 Char"/>
    <w:link w:val="150"/>
    <w:qFormat/>
    <w:locked/>
    <w:uiPriority w:val="0"/>
    <w:rPr>
      <w:kern w:val="2"/>
      <w:sz w:val="24"/>
      <w:szCs w:val="24"/>
    </w:rPr>
  </w:style>
  <w:style w:type="paragraph" w:customStyle="1" w:styleId="150">
    <w:name w:val="正文缩进2字符"/>
    <w:basedOn w:val="1"/>
    <w:next w:val="1"/>
    <w:link w:val="149"/>
    <w:qFormat/>
    <w:uiPriority w:val="0"/>
    <w:pPr>
      <w:ind w:firstLine="480"/>
    </w:pPr>
    <w:rPr>
      <w:szCs w:val="24"/>
    </w:rPr>
  </w:style>
  <w:style w:type="character" w:customStyle="1" w:styleId="151">
    <w:name w:val="font61"/>
    <w:basedOn w:val="50"/>
    <w:qFormat/>
    <w:uiPriority w:val="0"/>
    <w:rPr>
      <w:rFonts w:hint="eastAsia" w:ascii="宋体" w:hAnsi="宋体" w:eastAsia="宋体" w:cs="宋体"/>
      <w:color w:val="000000"/>
      <w:sz w:val="18"/>
      <w:szCs w:val="18"/>
      <w:u w:val="none"/>
    </w:rPr>
  </w:style>
  <w:style w:type="character" w:customStyle="1" w:styleId="152">
    <w:name w:val="font71"/>
    <w:qFormat/>
    <w:uiPriority w:val="0"/>
    <w:rPr>
      <w:rFonts w:hint="eastAsia" w:ascii="宋体" w:hAnsi="宋体" w:eastAsia="宋体" w:cs="宋体"/>
      <w:color w:val="000000"/>
      <w:sz w:val="21"/>
      <w:szCs w:val="21"/>
      <w:u w:val="none"/>
    </w:rPr>
  </w:style>
  <w:style w:type="character" w:customStyle="1" w:styleId="153">
    <w:name w:val="span_param1"/>
    <w:basedOn w:val="50"/>
    <w:qFormat/>
    <w:uiPriority w:val="0"/>
  </w:style>
  <w:style w:type="character" w:customStyle="1" w:styleId="154">
    <w:name w:val="普通文字 Char Char5"/>
    <w:qFormat/>
    <w:uiPriority w:val="0"/>
    <w:rPr>
      <w:rFonts w:ascii="宋体" w:hAnsi="Courier New" w:eastAsia="宋体"/>
      <w:szCs w:val="21"/>
      <w:lang w:bidi="ar-SA"/>
    </w:rPr>
  </w:style>
  <w:style w:type="character" w:customStyle="1" w:styleId="155">
    <w:name w:val="标准正文 Char"/>
    <w:link w:val="156"/>
    <w:qFormat/>
    <w:locked/>
    <w:uiPriority w:val="0"/>
    <w:rPr>
      <w:rFonts w:ascii="宋体" w:hAnsi="宋体"/>
      <w:kern w:val="2"/>
      <w:sz w:val="24"/>
      <w:szCs w:val="22"/>
    </w:rPr>
  </w:style>
  <w:style w:type="paragraph" w:customStyle="1" w:styleId="156">
    <w:name w:val="标准正文"/>
    <w:basedOn w:val="1"/>
    <w:link w:val="155"/>
    <w:qFormat/>
    <w:uiPriority w:val="0"/>
    <w:pPr>
      <w:ind w:firstLine="420"/>
    </w:pPr>
    <w:rPr>
      <w:rFonts w:ascii="宋体" w:hAnsi="宋体"/>
    </w:rPr>
  </w:style>
  <w:style w:type="character" w:customStyle="1" w:styleId="157">
    <w:name w:val="页脚 Char1"/>
    <w:basedOn w:val="50"/>
    <w:qFormat/>
    <w:uiPriority w:val="0"/>
    <w:rPr>
      <w:rFonts w:eastAsia="宋体"/>
      <w:kern w:val="2"/>
      <w:sz w:val="18"/>
      <w:szCs w:val="18"/>
    </w:rPr>
  </w:style>
  <w:style w:type="character" w:customStyle="1" w:styleId="158">
    <w:name w:val="style291"/>
    <w:qFormat/>
    <w:uiPriority w:val="0"/>
    <w:rPr>
      <w:rFonts w:hint="eastAsia" w:ascii="仿宋_GB2312" w:eastAsia="仿宋_GB2312"/>
    </w:rPr>
  </w:style>
  <w:style w:type="character" w:customStyle="1" w:styleId="159">
    <w:name w:val="A4"/>
    <w:qFormat/>
    <w:uiPriority w:val="0"/>
    <w:rPr>
      <w:rFonts w:ascii="新宋体" w:eastAsia="新宋体" w:cs="新宋体"/>
      <w:color w:val="000000"/>
      <w:lang w:bidi="ar-SA"/>
    </w:rPr>
  </w:style>
  <w:style w:type="character" w:customStyle="1" w:styleId="160">
    <w:name w:val="纯文本 Char2"/>
    <w:qFormat/>
    <w:uiPriority w:val="0"/>
    <w:rPr>
      <w:rFonts w:ascii="宋体" w:hAnsi="Courier New" w:cs="Courier New"/>
      <w:kern w:val="2"/>
      <w:sz w:val="21"/>
      <w:szCs w:val="21"/>
    </w:rPr>
  </w:style>
  <w:style w:type="character" w:customStyle="1" w:styleId="161">
    <w:name w:val="正文文本 Char1"/>
    <w:semiHidden/>
    <w:qFormat/>
    <w:locked/>
    <w:uiPriority w:val="0"/>
    <w:rPr>
      <w:kern w:val="2"/>
      <w:sz w:val="21"/>
      <w:szCs w:val="24"/>
    </w:rPr>
  </w:style>
  <w:style w:type="character" w:customStyle="1" w:styleId="162">
    <w:name w:val="标准正文 S字符"/>
    <w:link w:val="163"/>
    <w:qFormat/>
    <w:locked/>
    <w:uiPriority w:val="0"/>
    <w:rPr>
      <w:kern w:val="2"/>
      <w:sz w:val="24"/>
      <w:szCs w:val="24"/>
    </w:rPr>
  </w:style>
  <w:style w:type="paragraph" w:customStyle="1" w:styleId="163">
    <w:name w:val="标准正文 S"/>
    <w:basedOn w:val="1"/>
    <w:link w:val="162"/>
    <w:qFormat/>
    <w:uiPriority w:val="0"/>
    <w:pPr>
      <w:spacing w:beforeLines="50" w:afterLines="50"/>
      <w:ind w:firstLine="480" w:firstLineChars="0"/>
      <w:jc w:val="left"/>
    </w:pPr>
    <w:rPr>
      <w:szCs w:val="24"/>
    </w:rPr>
  </w:style>
  <w:style w:type="character" w:customStyle="1" w:styleId="164">
    <w:name w:val="副章标题 Char"/>
    <w:link w:val="165"/>
    <w:qFormat/>
    <w:uiPriority w:val="0"/>
    <w:rPr>
      <w:rFonts w:hAnsi="微软雅黑"/>
      <w:b/>
      <w:color w:val="000000"/>
      <w:sz w:val="36"/>
      <w:szCs w:val="36"/>
    </w:rPr>
  </w:style>
  <w:style w:type="paragraph" w:customStyle="1" w:styleId="165">
    <w:name w:val="副章标题"/>
    <w:basedOn w:val="1"/>
    <w:link w:val="164"/>
    <w:qFormat/>
    <w:uiPriority w:val="0"/>
    <w:pPr>
      <w:spacing w:line="240" w:lineRule="auto"/>
      <w:ind w:firstLine="0" w:firstLineChars="0"/>
      <w:outlineLvl w:val="1"/>
    </w:pPr>
    <w:rPr>
      <w:rFonts w:hAnsi="微软雅黑"/>
      <w:b/>
      <w:color w:val="000000"/>
      <w:kern w:val="0"/>
      <w:sz w:val="36"/>
      <w:szCs w:val="36"/>
    </w:rPr>
  </w:style>
  <w:style w:type="paragraph" w:customStyle="1" w:styleId="166">
    <w:name w:val="目录 41"/>
    <w:basedOn w:val="1"/>
    <w:next w:val="1"/>
    <w:unhideWhenUsed/>
    <w:qFormat/>
    <w:uiPriority w:val="39"/>
    <w:pPr>
      <w:spacing w:line="240" w:lineRule="auto"/>
      <w:ind w:left="630" w:firstLine="0" w:firstLineChars="0"/>
      <w:jc w:val="left"/>
    </w:pPr>
    <w:rPr>
      <w:rFonts w:ascii="等线" w:hAnsi="等线" w:eastAsia="等线"/>
      <w:sz w:val="18"/>
      <w:szCs w:val="18"/>
    </w:rPr>
  </w:style>
  <w:style w:type="paragraph" w:customStyle="1" w:styleId="167">
    <w:name w:val="Char Char Char"/>
    <w:basedOn w:val="1"/>
    <w:qFormat/>
    <w:uiPriority w:val="0"/>
    <w:pPr>
      <w:spacing w:line="240" w:lineRule="auto"/>
      <w:ind w:firstLine="0" w:firstLineChars="0"/>
    </w:pPr>
    <w:rPr>
      <w:rFonts w:ascii="Tahoma" w:hAnsi="Tahoma"/>
      <w:szCs w:val="20"/>
    </w:rPr>
  </w:style>
  <w:style w:type="paragraph" w:customStyle="1" w:styleId="168">
    <w:name w:val="标题 81"/>
    <w:basedOn w:val="1"/>
    <w:next w:val="1"/>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69">
    <w:name w:val="标题 11"/>
    <w:basedOn w:val="1"/>
    <w:next w:val="1"/>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170">
    <w:name w:val="表内文字"/>
    <w:basedOn w:val="1"/>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71">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72">
    <w:name w:val="Char1"/>
    <w:basedOn w:val="1"/>
    <w:qFormat/>
    <w:uiPriority w:val="0"/>
    <w:pPr>
      <w:spacing w:line="240" w:lineRule="auto"/>
      <w:ind w:firstLine="0" w:firstLineChars="0"/>
    </w:pPr>
    <w:rPr>
      <w:sz w:val="21"/>
      <w:szCs w:val="21"/>
    </w:rPr>
  </w:style>
  <w:style w:type="paragraph" w:customStyle="1" w:styleId="173">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74">
    <w:name w:val="_Style 29"/>
    <w:basedOn w:val="1"/>
    <w:qFormat/>
    <w:uiPriority w:val="0"/>
    <w:pPr>
      <w:spacing w:line="240" w:lineRule="auto"/>
      <w:ind w:firstLine="0" w:firstLineChars="0"/>
    </w:pPr>
    <w:rPr>
      <w:rFonts w:ascii="Tahoma" w:hAnsi="Tahoma"/>
      <w:szCs w:val="20"/>
    </w:rPr>
  </w:style>
  <w:style w:type="paragraph" w:customStyle="1" w:styleId="175">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76">
    <w:name w:val="列出段落3"/>
    <w:basedOn w:val="1"/>
    <w:unhideWhenUsed/>
    <w:qFormat/>
    <w:uiPriority w:val="99"/>
    <w:pPr>
      <w:spacing w:line="240" w:lineRule="auto"/>
      <w:ind w:firstLine="420"/>
    </w:pPr>
    <w:rPr>
      <w:sz w:val="21"/>
      <w:szCs w:val="24"/>
    </w:rPr>
  </w:style>
  <w:style w:type="paragraph" w:customStyle="1" w:styleId="177">
    <w:name w:val="默认段落字体 Para Char Char Char Char Char Char Char Char Char1 Char Char Char Char"/>
    <w:basedOn w:val="1"/>
    <w:qFormat/>
    <w:uiPriority w:val="0"/>
    <w:pPr>
      <w:spacing w:line="240" w:lineRule="auto"/>
      <w:ind w:firstLine="0" w:firstLineChars="0"/>
    </w:pPr>
    <w:rPr>
      <w:rFonts w:ascii="Tahoma" w:hAnsi="Tahoma"/>
      <w:szCs w:val="20"/>
    </w:rPr>
  </w:style>
  <w:style w:type="paragraph" w:customStyle="1" w:styleId="178">
    <w:name w:val="Char3"/>
    <w:basedOn w:val="1"/>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styleId="179">
    <w:name w:val="List Paragraph"/>
    <w:basedOn w:val="1"/>
    <w:qFormat/>
    <w:uiPriority w:val="0"/>
    <w:pPr>
      <w:ind w:firstLine="420"/>
    </w:pPr>
  </w:style>
  <w:style w:type="paragraph" w:customStyle="1" w:styleId="180">
    <w:name w:val="表格"/>
    <w:basedOn w:val="1"/>
    <w:qFormat/>
    <w:uiPriority w:val="0"/>
    <w:pPr>
      <w:spacing w:line="400" w:lineRule="exact"/>
      <w:ind w:firstLine="0" w:firstLineChars="0"/>
    </w:pPr>
    <w:rPr>
      <w:szCs w:val="24"/>
    </w:rPr>
  </w:style>
  <w:style w:type="paragraph" w:customStyle="1" w:styleId="181">
    <w:name w:val="目录 61"/>
    <w:basedOn w:val="1"/>
    <w:next w:val="1"/>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82">
    <w:name w:val="修订1"/>
    <w:semiHidden/>
    <w:qFormat/>
    <w:uiPriority w:val="99"/>
    <w:rPr>
      <w:rFonts w:ascii="Times New Roman" w:hAnsi="Times New Roman" w:eastAsia="宋体" w:cs="Times New Roman"/>
      <w:kern w:val="2"/>
      <w:sz w:val="21"/>
      <w:lang w:val="en-US" w:eastAsia="zh-CN" w:bidi="ar-SA"/>
    </w:rPr>
  </w:style>
  <w:style w:type="paragraph" w:customStyle="1" w:styleId="183">
    <w:name w:val="ZW"/>
    <w:basedOn w:val="1"/>
    <w:qFormat/>
    <w:uiPriority w:val="0"/>
    <w:pPr>
      <w:spacing w:line="560" w:lineRule="exact"/>
      <w:ind w:firstLine="560"/>
    </w:pPr>
    <w:rPr>
      <w:rFonts w:hAnsi="宋体"/>
      <w:sz w:val="28"/>
      <w:szCs w:val="28"/>
    </w:rPr>
  </w:style>
  <w:style w:type="paragraph" w:styleId="184">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85">
    <w:name w:val="列出段落11"/>
    <w:basedOn w:val="1"/>
    <w:qFormat/>
    <w:uiPriority w:val="34"/>
    <w:pPr>
      <w:spacing w:line="240" w:lineRule="auto"/>
      <w:ind w:firstLine="420"/>
    </w:pPr>
    <w:rPr>
      <w:sz w:val="21"/>
      <w:szCs w:val="24"/>
    </w:rPr>
  </w:style>
  <w:style w:type="paragraph" w:customStyle="1" w:styleId="186">
    <w:name w:val="样式 首行缩进:  2 字符"/>
    <w:basedOn w:val="1"/>
    <w:qFormat/>
    <w:uiPriority w:val="0"/>
    <w:pPr>
      <w:spacing w:line="400" w:lineRule="exact"/>
    </w:pPr>
    <w:rPr>
      <w:rFonts w:cs="宋体"/>
      <w:szCs w:val="24"/>
    </w:rPr>
  </w:style>
  <w:style w:type="paragraph" w:customStyle="1" w:styleId="187">
    <w:name w:val="目录 31"/>
    <w:basedOn w:val="1"/>
    <w:next w:val="1"/>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88">
    <w:name w:val="无间隔1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89">
    <w:name w:val="默认段落字体 Para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90">
    <w:name w:val="题注1"/>
    <w:basedOn w:val="1"/>
    <w:next w:val="1"/>
    <w:unhideWhenUsed/>
    <w:qFormat/>
    <w:uiPriority w:val="0"/>
    <w:pPr>
      <w:keepNext/>
      <w:ind w:firstLine="0" w:firstLineChars="0"/>
      <w:jc w:val="center"/>
    </w:pPr>
    <w:rPr>
      <w:rFonts w:ascii="Cambria" w:hAnsi="Cambria"/>
      <w:b/>
      <w:color w:val="000000"/>
      <w:sz w:val="21"/>
      <w:szCs w:val="20"/>
    </w:rPr>
  </w:style>
  <w:style w:type="paragraph" w:customStyle="1" w:styleId="191">
    <w:name w:val="Table Paragraph"/>
    <w:basedOn w:val="1"/>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9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93">
    <w:name w:val="Default"/>
    <w:qFormat/>
    <w:uiPriority w:val="99"/>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94">
    <w:name w:val="TOC 标题1"/>
    <w:basedOn w:val="3"/>
    <w:next w:val="1"/>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paragraph" w:customStyle="1" w:styleId="195">
    <w:name w:val="列表段落1"/>
    <w:basedOn w:val="1"/>
    <w:qFormat/>
    <w:uiPriority w:val="34"/>
    <w:pPr>
      <w:spacing w:beforeLines="50" w:afterLines="50" w:line="240" w:lineRule="auto"/>
      <w:ind w:firstLine="420"/>
    </w:pPr>
  </w:style>
  <w:style w:type="paragraph" w:customStyle="1" w:styleId="196">
    <w:name w:val="3 级标题"/>
    <w:basedOn w:val="5"/>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197">
    <w:name w:val="目录 21"/>
    <w:basedOn w:val="1"/>
    <w:next w:val="1"/>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98">
    <w:name w:val="目录 81"/>
    <w:basedOn w:val="1"/>
    <w:next w:val="1"/>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99">
    <w:name w:val="TOC 标题11"/>
    <w:basedOn w:val="3"/>
    <w:next w:val="1"/>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paragraph" w:customStyle="1" w:styleId="200">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1">
    <w:name w:val="正文段"/>
    <w:basedOn w:val="1"/>
    <w:qFormat/>
    <w:uiPriority w:val="0"/>
    <w:pPr>
      <w:widowControl/>
      <w:snapToGrid w:val="0"/>
      <w:spacing w:afterLines="50" w:line="240" w:lineRule="auto"/>
    </w:pPr>
    <w:rPr>
      <w:kern w:val="0"/>
      <w:szCs w:val="20"/>
    </w:rPr>
  </w:style>
  <w:style w:type="paragraph" w:customStyle="1" w:styleId="202">
    <w:name w:val="样式 Verdana 首行缩进:  0.74 厘米"/>
    <w:basedOn w:val="1"/>
    <w:qFormat/>
    <w:uiPriority w:val="0"/>
    <w:pPr>
      <w:ind w:firstLine="420" w:firstLineChars="0"/>
    </w:pPr>
    <w:rPr>
      <w:rFonts w:ascii="Verdana" w:hAnsi="Verdana"/>
      <w:szCs w:val="20"/>
    </w:rPr>
  </w:style>
  <w:style w:type="paragraph" w:customStyle="1" w:styleId="203">
    <w:name w:val="标题 91"/>
    <w:basedOn w:val="1"/>
    <w:next w:val="1"/>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204">
    <w:name w:val="p0"/>
    <w:basedOn w:val="1"/>
    <w:qFormat/>
    <w:uiPriority w:val="0"/>
    <w:pPr>
      <w:widowControl/>
      <w:spacing w:line="240" w:lineRule="auto"/>
      <w:ind w:firstLine="0" w:firstLineChars="0"/>
    </w:pPr>
    <w:rPr>
      <w:kern w:val="0"/>
      <w:sz w:val="21"/>
      <w:szCs w:val="21"/>
    </w:rPr>
  </w:style>
  <w:style w:type="paragraph" w:customStyle="1" w:styleId="205">
    <w:name w:val="444"/>
    <w:basedOn w:val="1"/>
    <w:qFormat/>
    <w:uiPriority w:val="0"/>
    <w:pPr>
      <w:adjustRightInd w:val="0"/>
      <w:spacing w:line="312" w:lineRule="atLeast"/>
      <w:ind w:firstLine="0" w:firstLineChars="0"/>
      <w:jc w:val="center"/>
      <w:textAlignment w:val="baseline"/>
    </w:pPr>
    <w:rPr>
      <w:b/>
      <w:kern w:val="0"/>
      <w:sz w:val="36"/>
      <w:szCs w:val="36"/>
    </w:rPr>
  </w:style>
  <w:style w:type="paragraph" w:customStyle="1" w:styleId="206">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7">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208">
    <w:name w:val="1"/>
    <w:basedOn w:val="1"/>
    <w:next w:val="26"/>
    <w:qFormat/>
    <w:uiPriority w:val="0"/>
    <w:pPr>
      <w:spacing w:line="240" w:lineRule="auto"/>
      <w:ind w:firstLine="0" w:firstLineChars="0"/>
    </w:pPr>
    <w:rPr>
      <w:rFonts w:ascii="宋体" w:hAnsi="Courier New"/>
      <w:sz w:val="21"/>
      <w:szCs w:val="20"/>
    </w:rPr>
  </w:style>
  <w:style w:type="paragraph" w:customStyle="1" w:styleId="209">
    <w:name w:val="Char Char8"/>
    <w:basedOn w:val="1"/>
    <w:qFormat/>
    <w:uiPriority w:val="0"/>
    <w:pPr>
      <w:spacing w:line="240" w:lineRule="auto"/>
      <w:ind w:firstLine="0" w:firstLineChars="0"/>
    </w:pPr>
    <w:rPr>
      <w:rFonts w:ascii="Tahoma" w:hAnsi="Tahoma" w:eastAsia="Times New Roman"/>
      <w:kern w:val="0"/>
      <w:szCs w:val="20"/>
    </w:rPr>
  </w:style>
  <w:style w:type="paragraph" w:customStyle="1" w:styleId="210">
    <w:name w:val="列出段落1"/>
    <w:basedOn w:val="1"/>
    <w:qFormat/>
    <w:uiPriority w:val="0"/>
    <w:pPr>
      <w:spacing w:line="240" w:lineRule="auto"/>
      <w:ind w:firstLine="420"/>
    </w:pPr>
    <w:rPr>
      <w:sz w:val="21"/>
    </w:rPr>
  </w:style>
  <w:style w:type="paragraph" w:customStyle="1" w:styleId="211">
    <w:name w:val="目录 91"/>
    <w:basedOn w:val="1"/>
    <w:next w:val="1"/>
    <w:unhideWhenUsed/>
    <w:qFormat/>
    <w:uiPriority w:val="39"/>
    <w:pPr>
      <w:spacing w:line="240" w:lineRule="auto"/>
      <w:ind w:left="1680" w:firstLine="0" w:firstLineChars="0"/>
      <w:jc w:val="left"/>
    </w:pPr>
    <w:rPr>
      <w:rFonts w:ascii="等线" w:hAnsi="等线" w:eastAsia="等线"/>
      <w:sz w:val="18"/>
      <w:szCs w:val="18"/>
    </w:rPr>
  </w:style>
  <w:style w:type="paragraph" w:customStyle="1" w:styleId="212">
    <w:name w:val="样式 小四正文 + 首行缩进:  2 字符 段前: 0.5 行"/>
    <w:basedOn w:val="1"/>
    <w:qFormat/>
    <w:uiPriority w:val="0"/>
    <w:pPr>
      <w:spacing w:beforeLines="50"/>
    </w:pPr>
    <w:rPr>
      <w:rFonts w:ascii="宋体" w:hAnsi="宋体"/>
      <w:szCs w:val="20"/>
    </w:rPr>
  </w:style>
  <w:style w:type="paragraph" w:customStyle="1" w:styleId="213">
    <w:name w:val="_Style 52"/>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2ji"/>
    <w:basedOn w:val="4"/>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215">
    <w:name w:val="Char Char16 Char Char"/>
    <w:basedOn w:val="1"/>
    <w:qFormat/>
    <w:uiPriority w:val="0"/>
    <w:pPr>
      <w:adjustRightInd w:val="0"/>
      <w:ind w:firstLine="0" w:firstLineChars="0"/>
    </w:pPr>
    <w:rPr>
      <w:sz w:val="21"/>
      <w:szCs w:val="24"/>
    </w:rPr>
  </w:style>
  <w:style w:type="paragraph" w:customStyle="1" w:styleId="216">
    <w:name w:val="正文首行缩进两字符"/>
    <w:basedOn w:val="1"/>
    <w:qFormat/>
    <w:uiPriority w:val="0"/>
    <w:rPr>
      <w:sz w:val="21"/>
      <w:szCs w:val="24"/>
    </w:rPr>
  </w:style>
  <w:style w:type="paragraph" w:customStyle="1" w:styleId="217">
    <w:name w:val="标题 41"/>
    <w:basedOn w:val="1"/>
    <w:next w:val="1"/>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218">
    <w:name w:val="F2"/>
    <w:basedOn w:val="1"/>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219">
    <w:name w:val="_Style 36"/>
    <w:basedOn w:val="1"/>
    <w:qFormat/>
    <w:uiPriority w:val="0"/>
    <w:pPr>
      <w:spacing w:line="240" w:lineRule="auto"/>
      <w:ind w:firstLine="0" w:firstLineChars="0"/>
    </w:pPr>
    <w:rPr>
      <w:rFonts w:ascii="Tahoma" w:hAnsi="Tahoma"/>
      <w:szCs w:val="20"/>
    </w:rPr>
  </w:style>
  <w:style w:type="paragraph" w:customStyle="1" w:styleId="220">
    <w:name w:val="Char2"/>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21">
    <w:name w:val="Char"/>
    <w:basedOn w:val="1"/>
    <w:qFormat/>
    <w:uiPriority w:val="0"/>
    <w:pPr>
      <w:spacing w:line="240" w:lineRule="auto"/>
      <w:ind w:firstLine="0" w:firstLineChars="0"/>
    </w:pPr>
    <w:rPr>
      <w:sz w:val="21"/>
      <w:szCs w:val="24"/>
    </w:rPr>
  </w:style>
  <w:style w:type="paragraph" w:customStyle="1" w:styleId="222">
    <w:name w:val="目录 11"/>
    <w:basedOn w:val="1"/>
    <w:next w:val="1"/>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223">
    <w:name w:val="列出段落12"/>
    <w:basedOn w:val="1"/>
    <w:qFormat/>
    <w:uiPriority w:val="34"/>
    <w:pPr>
      <w:spacing w:line="240" w:lineRule="auto"/>
      <w:ind w:firstLine="420"/>
    </w:pPr>
    <w:rPr>
      <w:sz w:val="21"/>
      <w:szCs w:val="24"/>
    </w:rPr>
  </w:style>
  <w:style w:type="paragraph" w:customStyle="1" w:styleId="224">
    <w:name w:val="目录 51"/>
    <w:basedOn w:val="1"/>
    <w:next w:val="1"/>
    <w:unhideWhenUsed/>
    <w:qFormat/>
    <w:uiPriority w:val="39"/>
    <w:pPr>
      <w:spacing w:line="240" w:lineRule="auto"/>
      <w:ind w:left="840" w:firstLine="0" w:firstLineChars="0"/>
      <w:jc w:val="left"/>
    </w:pPr>
    <w:rPr>
      <w:rFonts w:ascii="等线" w:hAnsi="等线" w:eastAsia="等线"/>
      <w:sz w:val="18"/>
      <w:szCs w:val="18"/>
    </w:rPr>
  </w:style>
  <w:style w:type="paragraph" w:customStyle="1" w:styleId="225">
    <w:name w:val="目录 71"/>
    <w:basedOn w:val="1"/>
    <w:next w:val="1"/>
    <w:unhideWhenUsed/>
    <w:qFormat/>
    <w:uiPriority w:val="39"/>
    <w:pPr>
      <w:spacing w:line="240" w:lineRule="auto"/>
      <w:ind w:left="1260" w:firstLine="0" w:firstLineChars="0"/>
      <w:jc w:val="left"/>
    </w:pPr>
    <w:rPr>
      <w:rFonts w:ascii="等线" w:hAnsi="等线" w:eastAsia="等线"/>
      <w:sz w:val="18"/>
      <w:szCs w:val="18"/>
    </w:rPr>
  </w:style>
  <w:style w:type="paragraph" w:customStyle="1" w:styleId="226">
    <w:name w:val="样式 标题 3 + (中文) 黑体 小四 非加粗 段前: 7.8 磅 段后: 0 磅 行距: 固定值 20 磅"/>
    <w:basedOn w:val="5"/>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27">
    <w:name w:val="msolistparagraph"/>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28">
    <w:name w:val="样式1"/>
    <w:basedOn w:val="1"/>
    <w:qFormat/>
    <w:uiPriority w:val="0"/>
    <w:pPr>
      <w:spacing w:before="120" w:after="120" w:line="300" w:lineRule="auto"/>
      <w:ind w:firstLine="0" w:firstLineChars="0"/>
    </w:pPr>
    <w:rPr>
      <w:rFonts w:ascii="宋体" w:hAnsi="宋体"/>
      <w:b/>
      <w:szCs w:val="20"/>
    </w:rPr>
  </w:style>
  <w:style w:type="paragraph" w:customStyle="1" w:styleId="229">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30">
    <w:name w:val="网格型2"/>
    <w:basedOn w:val="48"/>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
    <w:name w:val="网格型1"/>
    <w:basedOn w:val="4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2">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3">
    <w:name w:val="修订2"/>
    <w:hidden/>
    <w:unhideWhenUsed/>
    <w:qFormat/>
    <w:uiPriority w:val="99"/>
    <w:rPr>
      <w:rFonts w:ascii="Times New Roman" w:hAnsi="Times New Roman" w:eastAsia="宋体" w:cs="Times New Roman"/>
      <w:kern w:val="2"/>
      <w:sz w:val="24"/>
      <w:szCs w:val="22"/>
      <w:lang w:val="en-US" w:eastAsia="zh-CN" w:bidi="ar-SA"/>
    </w:rPr>
  </w:style>
  <w:style w:type="paragraph" w:customStyle="1" w:styleId="234">
    <w:name w:val="正文呀2"/>
    <w:basedOn w:val="235"/>
    <w:link w:val="240"/>
    <w:qFormat/>
    <w:uiPriority w:val="0"/>
    <w:rPr>
      <w:rFonts w:ascii="Times New Roman" w:hAnsi="Times New Roman"/>
    </w:rPr>
  </w:style>
  <w:style w:type="paragraph" w:customStyle="1" w:styleId="235">
    <w:name w:val="正文呀"/>
    <w:basedOn w:val="1"/>
    <w:link w:val="237"/>
    <w:qFormat/>
    <w:uiPriority w:val="0"/>
    <w:pPr>
      <w:spacing w:line="420" w:lineRule="exact"/>
      <w:ind w:firstLine="420"/>
    </w:pPr>
    <w:rPr>
      <w:rFonts w:ascii="宋体" w:hAnsi="宋体"/>
    </w:rPr>
  </w:style>
  <w:style w:type="paragraph" w:customStyle="1" w:styleId="236">
    <w:name w:val="表格文字"/>
    <w:basedOn w:val="1"/>
    <w:qFormat/>
    <w:uiPriority w:val="0"/>
    <w:pPr>
      <w:adjustRightInd w:val="0"/>
      <w:spacing w:line="420" w:lineRule="atLeast"/>
      <w:ind w:firstLine="0" w:firstLineChars="0"/>
      <w:jc w:val="left"/>
    </w:pPr>
    <w:rPr>
      <w:kern w:val="0"/>
      <w:sz w:val="21"/>
      <w:szCs w:val="24"/>
    </w:rPr>
  </w:style>
  <w:style w:type="character" w:customStyle="1" w:styleId="237">
    <w:name w:val="正文呀 Char"/>
    <w:link w:val="235"/>
    <w:qFormat/>
    <w:locked/>
    <w:uiPriority w:val="0"/>
    <w:rPr>
      <w:rFonts w:ascii="宋体" w:hAnsi="宋体"/>
      <w:kern w:val="2"/>
      <w:sz w:val="24"/>
      <w:szCs w:val="22"/>
    </w:rPr>
  </w:style>
  <w:style w:type="character" w:customStyle="1" w:styleId="238">
    <w:name w:val="标准文本 Char"/>
    <w:link w:val="239"/>
    <w:qFormat/>
    <w:locked/>
    <w:uiPriority w:val="0"/>
    <w:rPr>
      <w:kern w:val="2"/>
      <w:sz w:val="24"/>
    </w:rPr>
  </w:style>
  <w:style w:type="paragraph" w:customStyle="1" w:styleId="239">
    <w:name w:val="标准文本"/>
    <w:basedOn w:val="1"/>
    <w:link w:val="238"/>
    <w:qFormat/>
    <w:uiPriority w:val="0"/>
    <w:pPr>
      <w:ind w:firstLine="480"/>
    </w:pPr>
    <w:rPr>
      <w:szCs w:val="20"/>
    </w:rPr>
  </w:style>
  <w:style w:type="character" w:customStyle="1" w:styleId="240">
    <w:name w:val="正文呀2 Char"/>
    <w:basedOn w:val="237"/>
    <w:link w:val="234"/>
    <w:qFormat/>
    <w:locked/>
    <w:uiPriority w:val="0"/>
    <w:rPr>
      <w:rFonts w:ascii="宋体" w:hAnsi="宋体"/>
      <w:kern w:val="2"/>
      <w:sz w:val="24"/>
      <w:szCs w:val="22"/>
    </w:rPr>
  </w:style>
  <w:style w:type="character" w:customStyle="1" w:styleId="241">
    <w:name w:val="！正文 Char Char"/>
    <w:link w:val="242"/>
    <w:qFormat/>
    <w:locked/>
    <w:uiPriority w:val="0"/>
    <w:rPr>
      <w:rFonts w:ascii="华文细黑" w:hAnsi="华文细黑" w:eastAsia="华文细黑"/>
      <w:sz w:val="24"/>
    </w:rPr>
  </w:style>
  <w:style w:type="paragraph" w:customStyle="1" w:styleId="242">
    <w:name w:val="！正文"/>
    <w:basedOn w:val="1"/>
    <w:link w:val="241"/>
    <w:qFormat/>
    <w:uiPriority w:val="0"/>
    <w:rPr>
      <w:rFonts w:ascii="华文细黑" w:hAnsi="华文细黑" w:eastAsia="华文细黑"/>
      <w:kern w:val="0"/>
      <w:szCs w:val="20"/>
    </w:rPr>
  </w:style>
  <w:style w:type="character" w:customStyle="1" w:styleId="243">
    <w:name w:val="段 Char"/>
    <w:link w:val="244"/>
    <w:qFormat/>
    <w:locked/>
    <w:uiPriority w:val="0"/>
    <w:rPr>
      <w:rFonts w:ascii="宋体" w:hAnsi="宋体"/>
    </w:rPr>
  </w:style>
  <w:style w:type="paragraph" w:customStyle="1" w:styleId="244">
    <w:name w:val="段"/>
    <w:link w:val="243"/>
    <w:qFormat/>
    <w:uiPriority w:val="0"/>
    <w:pPr>
      <w:autoSpaceDE w:val="0"/>
      <w:autoSpaceDN w:val="0"/>
      <w:ind w:firstLine="200" w:firstLineChars="200"/>
      <w:jc w:val="both"/>
    </w:pPr>
    <w:rPr>
      <w:rFonts w:ascii="宋体" w:hAnsi="宋体" w:eastAsia="宋体" w:cs="Times New Roman"/>
      <w:lang w:val="en-US" w:eastAsia="zh-CN" w:bidi="ar-SA"/>
    </w:rPr>
  </w:style>
  <w:style w:type="paragraph" w:customStyle="1" w:styleId="245">
    <w:name w:val="标题 2_0"/>
    <w:basedOn w:val="1"/>
    <w:next w:val="1"/>
    <w:qFormat/>
    <w:uiPriority w:val="9"/>
    <w:pPr>
      <w:keepNext/>
      <w:keepLines/>
      <w:spacing w:before="260" w:after="260" w:line="412" w:lineRule="auto"/>
      <w:ind w:firstLine="0" w:firstLineChars="0"/>
      <w:jc w:val="left"/>
      <w:outlineLvl w:val="1"/>
    </w:pPr>
    <w:rPr>
      <w:rFonts w:ascii="Arial" w:hAnsi="Arial"/>
      <w:b/>
      <w:sz w:val="21"/>
      <w:szCs w:val="24"/>
    </w:rPr>
  </w:style>
  <w:style w:type="paragraph" w:customStyle="1" w:styleId="246">
    <w:name w:val="xl51"/>
    <w:basedOn w:val="1"/>
    <w:qFormat/>
    <w:uiPriority w:val="0"/>
    <w:pPr>
      <w:widowControl/>
      <w:pBdr>
        <w:top w:val="single" w:color="0000FF" w:sz="4" w:space="0"/>
        <w:left w:val="single" w:color="0000FF" w:sz="4" w:space="0"/>
        <w:bottom w:val="single" w:color="0000FF" w:sz="8" w:space="0"/>
        <w:right w:val="single" w:color="0000FF" w:sz="4" w:space="0"/>
      </w:pBdr>
      <w:spacing w:before="100" w:beforeAutospacing="1" w:after="100" w:afterAutospacing="1" w:line="240" w:lineRule="auto"/>
      <w:ind w:firstLine="0" w:firstLineChars="0"/>
      <w:jc w:val="center"/>
    </w:pPr>
    <w:rPr>
      <w:rFonts w:ascii="宋体" w:hAnsi="宋体"/>
      <w:kern w:val="0"/>
      <w:szCs w:val="24"/>
    </w:rPr>
  </w:style>
  <w:style w:type="paragraph" w:customStyle="1" w:styleId="247">
    <w:name w:val="one"/>
    <w:basedOn w:val="1"/>
    <w:qFormat/>
    <w:uiPriority w:val="0"/>
    <w:pPr>
      <w:widowControl/>
      <w:spacing w:line="240" w:lineRule="auto"/>
      <w:ind w:firstLine="0" w:firstLineChars="0"/>
      <w:jc w:val="left"/>
    </w:pPr>
    <w:rPr>
      <w:rFonts w:ascii="宋体" w:cs="宋体"/>
      <w:kern w:val="0"/>
      <w:szCs w:val="24"/>
    </w:rPr>
  </w:style>
  <w:style w:type="paragraph" w:customStyle="1" w:styleId="248">
    <w:name w:val="_Style 37"/>
    <w:basedOn w:val="1"/>
    <w:qFormat/>
    <w:uiPriority w:val="0"/>
    <w:pPr>
      <w:spacing w:line="240" w:lineRule="auto"/>
      <w:ind w:firstLine="0" w:firstLineChars="0"/>
    </w:pPr>
    <w:rPr>
      <w:rFonts w:ascii="Tahoma" w:hAnsi="Tahoma"/>
      <w:szCs w:val="20"/>
    </w:rPr>
  </w:style>
  <w:style w:type="paragraph" w:customStyle="1" w:styleId="249">
    <w:name w:val="正文_0"/>
    <w:qFormat/>
    <w:uiPriority w:val="0"/>
    <w:pPr>
      <w:widowControl w:val="0"/>
      <w:spacing w:before="120" w:after="120"/>
      <w:jc w:val="both"/>
    </w:pPr>
    <w:rPr>
      <w:rFonts w:ascii="Calibri" w:hAnsi="Calibri" w:eastAsia="宋体" w:cs="Times New Roman"/>
      <w:kern w:val="2"/>
      <w:sz w:val="21"/>
      <w:szCs w:val="24"/>
      <w:lang w:val="en-US" w:eastAsia="zh-CN" w:bidi="ar-SA"/>
    </w:rPr>
  </w:style>
  <w:style w:type="paragraph" w:customStyle="1" w:styleId="250">
    <w:name w:val="正文1"/>
    <w:basedOn w:val="1"/>
    <w:qFormat/>
    <w:uiPriority w:val="0"/>
    <w:pPr>
      <w:adjustRightInd w:val="0"/>
      <w:spacing w:before="360" w:after="360" w:line="312" w:lineRule="atLeast"/>
      <w:ind w:firstLine="0" w:firstLineChars="0"/>
      <w:jc w:val="center"/>
    </w:pPr>
    <w:rPr>
      <w:b/>
      <w:kern w:val="0"/>
      <w:sz w:val="52"/>
      <w:szCs w:val="20"/>
    </w:rPr>
  </w:style>
  <w:style w:type="paragraph" w:customStyle="1" w:styleId="251">
    <w:name w:val="font6"/>
    <w:basedOn w:val="1"/>
    <w:qFormat/>
    <w:uiPriority w:val="0"/>
    <w:pPr>
      <w:widowControl/>
      <w:spacing w:before="100" w:beforeAutospacing="1" w:after="100" w:afterAutospacing="1" w:line="240" w:lineRule="auto"/>
      <w:ind w:firstLine="0" w:firstLineChars="0"/>
      <w:jc w:val="left"/>
    </w:pPr>
    <w:rPr>
      <w:rFonts w:ascii="宋体" w:hAnsi="宋体"/>
      <w:kern w:val="0"/>
      <w:sz w:val="20"/>
      <w:szCs w:val="20"/>
    </w:rPr>
  </w:style>
  <w:style w:type="paragraph" w:customStyle="1" w:styleId="252">
    <w:name w:val="Char Char1 Char Char Char Char Char Char Char Char Char Char"/>
    <w:basedOn w:val="1"/>
    <w:qFormat/>
    <w:uiPriority w:val="0"/>
    <w:pPr>
      <w:widowControl/>
      <w:spacing w:after="160" w:line="240" w:lineRule="exact"/>
      <w:ind w:firstLine="0" w:firstLineChars="0"/>
      <w:jc w:val="left"/>
    </w:pPr>
    <w:rPr>
      <w:sz w:val="21"/>
      <w:szCs w:val="20"/>
    </w:rPr>
  </w:style>
  <w:style w:type="paragraph" w:customStyle="1" w:styleId="253">
    <w:name w:val="正文缩进1"/>
    <w:basedOn w:val="1"/>
    <w:next w:val="1"/>
    <w:qFormat/>
    <w:uiPriority w:val="0"/>
    <w:pPr>
      <w:widowControl/>
      <w:spacing w:line="240" w:lineRule="auto"/>
      <w:ind w:firstLine="420" w:firstLineChars="0"/>
    </w:pPr>
    <w:rPr>
      <w:color w:val="000000"/>
      <w:sz w:val="21"/>
      <w:szCs w:val="20"/>
    </w:rPr>
  </w:style>
  <w:style w:type="paragraph" w:customStyle="1" w:styleId="254">
    <w:name w:val="xl2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szCs w:val="21"/>
    </w:rPr>
  </w:style>
  <w:style w:type="paragraph" w:customStyle="1" w:styleId="255">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56">
    <w:name w:val="xl52"/>
    <w:basedOn w:val="1"/>
    <w:qFormat/>
    <w:uiPriority w:val="0"/>
    <w:pPr>
      <w:widowControl/>
      <w:pBdr>
        <w:top w:val="single" w:color="0000FF" w:sz="8" w:space="0"/>
        <w:left w:val="single" w:color="0000FF" w:sz="4" w:space="0"/>
        <w:bottom w:val="single" w:color="0000FF" w:sz="4" w:space="0"/>
        <w:right w:val="single" w:color="0000FF" w:sz="8"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57">
    <w:name w:val="xl57"/>
    <w:basedOn w:val="1"/>
    <w:qFormat/>
    <w:uiPriority w:val="0"/>
    <w:pPr>
      <w:widowControl/>
      <w:pBdr>
        <w:left w:val="single" w:color="0000FF" w:sz="4" w:space="0"/>
        <w:bottom w:val="single" w:color="0000FF" w:sz="4" w:space="0"/>
        <w:right w:val="single" w:color="0000FF" w:sz="4"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58">
    <w:name w:val="xl2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259">
    <w:name w:val="xl2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b/>
      <w:bCs/>
      <w:kern w:val="0"/>
      <w:sz w:val="21"/>
      <w:szCs w:val="21"/>
    </w:rPr>
  </w:style>
  <w:style w:type="paragraph" w:customStyle="1" w:styleId="260">
    <w:name w:val="xl3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pPr>
    <w:rPr>
      <w:rFonts w:ascii="宋体" w:hAnsi="宋体"/>
      <w:kern w:val="0"/>
      <w:sz w:val="21"/>
      <w:szCs w:val="21"/>
    </w:rPr>
  </w:style>
  <w:style w:type="paragraph" w:customStyle="1" w:styleId="261">
    <w:name w:val="正文小标题"/>
    <w:basedOn w:val="3"/>
    <w:qFormat/>
    <w:uiPriority w:val="0"/>
    <w:pPr>
      <w:widowControl w:val="0"/>
      <w:numPr>
        <w:numId w:val="0"/>
      </w:numPr>
      <w:spacing w:before="340" w:after="330" w:line="420" w:lineRule="exact"/>
      <w:jc w:val="both"/>
    </w:pPr>
    <w:rPr>
      <w:rFonts w:ascii="Times New Roman" w:hAnsi="宋体" w:eastAsia="宋体"/>
      <w:sz w:val="21"/>
      <w:szCs w:val="21"/>
      <w:lang w:val="en-US"/>
    </w:rPr>
  </w:style>
  <w:style w:type="paragraph" w:customStyle="1" w:styleId="262">
    <w:name w:val="Blockquote"/>
    <w:basedOn w:val="1"/>
    <w:qFormat/>
    <w:uiPriority w:val="0"/>
    <w:pPr>
      <w:autoSpaceDE w:val="0"/>
      <w:autoSpaceDN w:val="0"/>
      <w:adjustRightInd w:val="0"/>
      <w:spacing w:before="100" w:after="100" w:line="312" w:lineRule="atLeast"/>
      <w:ind w:left="360" w:right="360" w:firstLine="0" w:firstLineChars="0"/>
    </w:pPr>
    <w:rPr>
      <w:kern w:val="0"/>
      <w:szCs w:val="20"/>
    </w:rPr>
  </w:style>
  <w:style w:type="paragraph" w:customStyle="1" w:styleId="263">
    <w:name w:val="CM24"/>
    <w:basedOn w:val="1"/>
    <w:next w:val="1"/>
    <w:qFormat/>
    <w:uiPriority w:val="0"/>
    <w:pPr>
      <w:autoSpaceDE w:val="0"/>
      <w:autoSpaceDN w:val="0"/>
      <w:adjustRightInd w:val="0"/>
      <w:spacing w:after="298" w:line="240" w:lineRule="auto"/>
      <w:ind w:firstLine="0" w:firstLineChars="0"/>
      <w:jc w:val="left"/>
    </w:pPr>
    <w:rPr>
      <w:rFonts w:ascii="楷体_GB2312" w:eastAsia="楷体_GB2312" w:cs="楷体_GB2312"/>
      <w:kern w:val="0"/>
      <w:szCs w:val="24"/>
    </w:rPr>
  </w:style>
  <w:style w:type="paragraph" w:customStyle="1" w:styleId="26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szCs w:val="21"/>
      <w:u w:val="single"/>
    </w:rPr>
  </w:style>
  <w:style w:type="paragraph" w:customStyle="1" w:styleId="265">
    <w:name w:val="font7"/>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266">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7">
    <w:name w:val="xl42"/>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楷体_GB2312" w:hAnsi="宋体" w:eastAsia="楷体_GB2312"/>
      <w:b/>
      <w:bCs/>
      <w:kern w:val="0"/>
      <w:sz w:val="20"/>
      <w:szCs w:val="20"/>
    </w:rPr>
  </w:style>
  <w:style w:type="paragraph" w:customStyle="1" w:styleId="268">
    <w:name w:val="xl3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269">
    <w:name w:val="xl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kern w:val="0"/>
      <w:sz w:val="20"/>
      <w:szCs w:val="20"/>
    </w:rPr>
  </w:style>
  <w:style w:type="paragraph" w:customStyle="1" w:styleId="270">
    <w:name w:val="Char Char Char Char"/>
    <w:basedOn w:val="1"/>
    <w:qFormat/>
    <w:uiPriority w:val="0"/>
    <w:pPr>
      <w:spacing w:line="240" w:lineRule="auto"/>
      <w:ind w:firstLine="0" w:firstLineChars="0"/>
    </w:pPr>
    <w:rPr>
      <w:rFonts w:ascii="Tahoma" w:hAnsi="Tahoma"/>
      <w:szCs w:val="20"/>
    </w:rPr>
  </w:style>
  <w:style w:type="paragraph" w:customStyle="1" w:styleId="271">
    <w:name w:val="正文_1_0_0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2">
    <w:name w:val="xl46"/>
    <w:basedOn w:val="1"/>
    <w:qFormat/>
    <w:uiPriority w:val="0"/>
    <w:pPr>
      <w:widowControl/>
      <w:pBdr>
        <w:top w:val="single" w:color="0000FF" w:sz="8" w:space="0"/>
        <w:left w:val="single" w:color="0000FF" w:sz="8"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73">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274">
    <w:name w:val="xl31"/>
    <w:basedOn w:val="1"/>
    <w:qFormat/>
    <w:uiPriority w:val="0"/>
    <w:pPr>
      <w:widowControl/>
      <w:spacing w:before="100" w:beforeAutospacing="1" w:after="100" w:afterAutospacing="1" w:line="240" w:lineRule="auto"/>
      <w:ind w:firstLine="0" w:firstLineChars="0"/>
      <w:jc w:val="center"/>
    </w:pPr>
    <w:rPr>
      <w:rFonts w:ascii="Arial Unicode MS" w:hAnsi="Arial Unicode MS"/>
      <w:kern w:val="0"/>
      <w:szCs w:val="24"/>
    </w:rPr>
  </w:style>
  <w:style w:type="paragraph" w:customStyle="1" w:styleId="275">
    <w:name w:val="_Style 20"/>
    <w:basedOn w:val="1"/>
    <w:qFormat/>
    <w:uiPriority w:val="0"/>
    <w:pPr>
      <w:spacing w:line="240" w:lineRule="auto"/>
      <w:ind w:firstLine="0" w:firstLineChars="0"/>
    </w:pPr>
    <w:rPr>
      <w:rFonts w:ascii="Tahoma" w:hAnsi="Tahoma"/>
      <w:szCs w:val="20"/>
    </w:rPr>
  </w:style>
  <w:style w:type="paragraph" w:customStyle="1" w:styleId="276">
    <w:name w:val="xl2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277">
    <w:name w:val="pa-1"/>
    <w:basedOn w:val="1"/>
    <w:qFormat/>
    <w:uiPriority w:val="0"/>
    <w:pPr>
      <w:widowControl/>
      <w:spacing w:line="384" w:lineRule="atLeast"/>
      <w:ind w:firstLine="0" w:firstLineChars="0"/>
      <w:jc w:val="left"/>
    </w:pPr>
    <w:rPr>
      <w:rFonts w:ascii="宋体" w:hAnsi="宋体" w:cs="宋体"/>
      <w:kern w:val="0"/>
      <w:szCs w:val="24"/>
    </w:rPr>
  </w:style>
  <w:style w:type="paragraph" w:customStyle="1" w:styleId="278">
    <w:name w:val="xl59"/>
    <w:basedOn w:val="1"/>
    <w:qFormat/>
    <w:uiPriority w:val="0"/>
    <w:pPr>
      <w:widowControl/>
      <w:pBdr>
        <w:top w:val="single" w:color="0000FF" w:sz="4" w:space="0"/>
        <w:left w:val="single" w:color="0000FF" w:sz="4" w:space="0"/>
        <w:right w:val="single" w:color="0000FF" w:sz="8"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79">
    <w:name w:val="xl56"/>
    <w:basedOn w:val="1"/>
    <w:qFormat/>
    <w:uiPriority w:val="0"/>
    <w:pPr>
      <w:widowControl/>
      <w:pBdr>
        <w:top w:val="single" w:color="0000FF" w:sz="4" w:space="0"/>
        <w:left w:val="single" w:color="0000FF" w:sz="4" w:space="0"/>
        <w:right w:val="single" w:color="0000FF" w:sz="4"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80">
    <w:name w:val="xl50"/>
    <w:basedOn w:val="1"/>
    <w:qFormat/>
    <w:uiPriority w:val="0"/>
    <w:pPr>
      <w:widowControl/>
      <w:pBdr>
        <w:top w:val="single" w:color="0000FF" w:sz="4" w:space="0"/>
        <w:left w:val="single" w:color="0000FF" w:sz="4"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81">
    <w:name w:val="xl3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rFonts w:ascii="楷体_GB2312" w:hAnsi="宋体" w:eastAsia="楷体_GB2312"/>
      <w:kern w:val="0"/>
      <w:sz w:val="21"/>
      <w:szCs w:val="21"/>
    </w:rPr>
  </w:style>
  <w:style w:type="paragraph" w:customStyle="1" w:styleId="282">
    <w:name w:val="Char1 Char Char Char Char Char Char"/>
    <w:basedOn w:val="1"/>
    <w:qFormat/>
    <w:uiPriority w:val="0"/>
    <w:pPr>
      <w:spacing w:line="240" w:lineRule="auto"/>
      <w:ind w:firstLine="0" w:firstLineChars="0"/>
    </w:pPr>
    <w:rPr>
      <w:rFonts w:ascii="Tahoma" w:hAnsi="Tahoma"/>
      <w:szCs w:val="20"/>
    </w:rPr>
  </w:style>
  <w:style w:type="paragraph" w:customStyle="1" w:styleId="283">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4">
    <w:name w:val="xl58"/>
    <w:basedOn w:val="1"/>
    <w:qFormat/>
    <w:uiPriority w:val="0"/>
    <w:pPr>
      <w:widowControl/>
      <w:pBdr>
        <w:top w:val="single" w:color="0000FF" w:sz="4" w:space="0"/>
        <w:left w:val="single" w:color="0000FF" w:sz="4" w:space="0"/>
        <w:bottom w:val="single" w:color="0000FF" w:sz="4" w:space="0"/>
        <w:right w:val="single" w:color="0000FF" w:sz="8" w:space="0"/>
      </w:pBdr>
      <w:spacing w:before="100" w:beforeAutospacing="1" w:after="100" w:afterAutospacing="1" w:line="240" w:lineRule="auto"/>
      <w:ind w:firstLine="0" w:firstLineChars="0"/>
      <w:jc w:val="center"/>
    </w:pPr>
    <w:rPr>
      <w:kern w:val="0"/>
      <w:sz w:val="21"/>
      <w:szCs w:val="21"/>
    </w:rPr>
  </w:style>
  <w:style w:type="paragraph" w:customStyle="1" w:styleId="285">
    <w:name w:val="xl48"/>
    <w:basedOn w:val="1"/>
    <w:qFormat/>
    <w:uiPriority w:val="0"/>
    <w:pPr>
      <w:widowControl/>
      <w:pBdr>
        <w:top w:val="single" w:color="0000FF" w:sz="8" w:space="0"/>
        <w:left w:val="single" w:color="0000FF" w:sz="4"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86">
    <w:name w:val="xl55"/>
    <w:basedOn w:val="1"/>
    <w:qFormat/>
    <w:uiPriority w:val="0"/>
    <w:pPr>
      <w:widowControl/>
      <w:pBdr>
        <w:left w:val="single" w:color="0000FF" w:sz="8"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color w:val="000000"/>
      <w:kern w:val="0"/>
      <w:sz w:val="21"/>
      <w:szCs w:val="21"/>
    </w:rPr>
  </w:style>
  <w:style w:type="paragraph" w:customStyle="1" w:styleId="287">
    <w:name w:val="标题 3_0"/>
    <w:basedOn w:val="249"/>
    <w:next w:val="1"/>
    <w:qFormat/>
    <w:uiPriority w:val="0"/>
    <w:pPr>
      <w:keepNext/>
      <w:keepLines/>
      <w:spacing w:before="260" w:after="260" w:line="412" w:lineRule="auto"/>
      <w:jc w:val="left"/>
      <w:outlineLvl w:val="2"/>
    </w:pPr>
    <w:rPr>
      <w:b/>
    </w:rPr>
  </w:style>
  <w:style w:type="paragraph" w:customStyle="1" w:styleId="288">
    <w:name w:val="xl60"/>
    <w:basedOn w:val="1"/>
    <w:qFormat/>
    <w:uiPriority w:val="0"/>
    <w:pPr>
      <w:widowControl/>
      <w:pBdr>
        <w:left w:val="single" w:color="0000FF" w:sz="4" w:space="0"/>
        <w:bottom w:val="single" w:color="0000FF" w:sz="4" w:space="0"/>
        <w:right w:val="single" w:color="0000FF" w:sz="8"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289">
    <w:name w:val="次小点说明 Char"/>
    <w:basedOn w:val="8"/>
    <w:qFormat/>
    <w:uiPriority w:val="0"/>
    <w:pPr>
      <w:ind w:firstLine="0"/>
    </w:pPr>
    <w:rPr>
      <w:sz w:val="24"/>
      <w:szCs w:val="24"/>
    </w:rPr>
  </w:style>
  <w:style w:type="paragraph" w:customStyle="1" w:styleId="290">
    <w:name w:val="正文呀_0"/>
    <w:basedOn w:val="283"/>
    <w:qFormat/>
    <w:uiPriority w:val="0"/>
    <w:pPr>
      <w:spacing w:line="420" w:lineRule="exact"/>
      <w:ind w:firstLine="420" w:firstLineChars="200"/>
    </w:pPr>
    <w:rPr>
      <w:rFonts w:ascii="宋体" w:hAnsi="宋体" w:eastAsia="等线"/>
      <w:szCs w:val="21"/>
    </w:rPr>
  </w:style>
  <w:style w:type="paragraph" w:customStyle="1" w:styleId="291">
    <w:name w:val="xl3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292">
    <w:name w:val="xl53"/>
    <w:basedOn w:val="1"/>
    <w:qFormat/>
    <w:uiPriority w:val="0"/>
    <w:pPr>
      <w:widowControl/>
      <w:pBdr>
        <w:top w:val="single" w:color="0000FF" w:sz="4" w:space="0"/>
        <w:left w:val="single" w:color="0000FF" w:sz="4" w:space="0"/>
        <w:bottom w:val="single" w:color="0000FF" w:sz="4" w:space="0"/>
        <w:right w:val="single" w:color="0000FF" w:sz="8"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93">
    <w:name w:val="Char Char Char1"/>
    <w:basedOn w:val="1"/>
    <w:qFormat/>
    <w:uiPriority w:val="0"/>
    <w:pPr>
      <w:spacing w:line="240" w:lineRule="auto"/>
      <w:ind w:firstLine="0" w:firstLineChars="0"/>
    </w:pPr>
    <w:rPr>
      <w:rFonts w:ascii="Tahoma" w:hAnsi="Tahoma"/>
      <w:szCs w:val="20"/>
    </w:rPr>
  </w:style>
  <w:style w:type="paragraph" w:customStyle="1" w:styleId="294">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5">
    <w:name w:val="xl49"/>
    <w:basedOn w:val="1"/>
    <w:qFormat/>
    <w:uiPriority w:val="0"/>
    <w:pPr>
      <w:widowControl/>
      <w:pBdr>
        <w:top w:val="single" w:color="0000FF" w:sz="8" w:space="0"/>
        <w:left w:val="single" w:color="0000FF" w:sz="4"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b/>
      <w:bCs/>
      <w:color w:val="000000"/>
      <w:kern w:val="0"/>
      <w:sz w:val="21"/>
      <w:szCs w:val="21"/>
    </w:rPr>
  </w:style>
  <w:style w:type="paragraph" w:customStyle="1" w:styleId="296">
    <w:name w:val="xl4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kern w:val="0"/>
      <w:szCs w:val="20"/>
    </w:rPr>
  </w:style>
  <w:style w:type="paragraph" w:customStyle="1" w:styleId="297">
    <w:name w:val="xl61"/>
    <w:basedOn w:val="1"/>
    <w:qFormat/>
    <w:uiPriority w:val="0"/>
    <w:pPr>
      <w:widowControl/>
      <w:pBdr>
        <w:top w:val="single" w:color="0000FF" w:sz="4" w:space="0"/>
        <w:left w:val="single" w:color="0000FF" w:sz="4" w:space="0"/>
        <w:right w:val="single" w:color="0000FF" w:sz="4" w:space="0"/>
      </w:pBdr>
      <w:spacing w:before="100" w:beforeAutospacing="1" w:after="100" w:afterAutospacing="1" w:line="240" w:lineRule="auto"/>
      <w:ind w:firstLine="0" w:firstLineChars="0"/>
      <w:jc w:val="center"/>
    </w:pPr>
    <w:rPr>
      <w:color w:val="000000"/>
      <w:kern w:val="0"/>
      <w:sz w:val="21"/>
      <w:szCs w:val="21"/>
    </w:rPr>
  </w:style>
  <w:style w:type="paragraph" w:customStyle="1" w:styleId="298">
    <w:name w:val="正文小四缩进"/>
    <w:next w:val="1"/>
    <w:qFormat/>
    <w:uiPriority w:val="0"/>
    <w:pPr>
      <w:widowControl w:val="0"/>
      <w:adjustRightInd w:val="0"/>
      <w:snapToGrid w:val="0"/>
      <w:spacing w:line="360" w:lineRule="auto"/>
      <w:ind w:firstLine="420" w:firstLineChars="200"/>
    </w:pPr>
    <w:rPr>
      <w:rFonts w:ascii="宋体" w:hAnsi="宋体" w:eastAsia="Times New Roman" w:cs="Times New Roman"/>
      <w:kern w:val="2"/>
      <w:sz w:val="21"/>
      <w:szCs w:val="21"/>
      <w:lang w:val="en-US" w:eastAsia="zh-CN" w:bidi="ar-SA"/>
    </w:rPr>
  </w:style>
  <w:style w:type="paragraph" w:customStyle="1" w:styleId="299">
    <w:name w:val="xl54"/>
    <w:basedOn w:val="1"/>
    <w:qFormat/>
    <w:uiPriority w:val="0"/>
    <w:pPr>
      <w:widowControl/>
      <w:pBdr>
        <w:top w:val="single" w:color="0000FF" w:sz="4" w:space="0"/>
        <w:left w:val="single" w:color="0000FF" w:sz="8" w:space="0"/>
        <w:right w:val="single" w:color="0000FF" w:sz="4" w:space="0"/>
      </w:pBdr>
      <w:spacing w:before="100" w:beforeAutospacing="1" w:after="100" w:afterAutospacing="1" w:line="240" w:lineRule="auto"/>
      <w:ind w:firstLine="0" w:firstLineChars="0"/>
      <w:jc w:val="center"/>
    </w:pPr>
    <w:rPr>
      <w:rFonts w:ascii="宋体" w:hAnsi="宋体"/>
      <w:color w:val="000000"/>
      <w:kern w:val="0"/>
      <w:sz w:val="21"/>
      <w:szCs w:val="21"/>
    </w:rPr>
  </w:style>
  <w:style w:type="paragraph" w:customStyle="1" w:styleId="300">
    <w:name w:val="font10"/>
    <w:basedOn w:val="1"/>
    <w:qFormat/>
    <w:uiPriority w:val="0"/>
    <w:pPr>
      <w:widowControl/>
      <w:spacing w:before="100" w:beforeAutospacing="1" w:after="100" w:afterAutospacing="1" w:line="240" w:lineRule="auto"/>
      <w:ind w:firstLine="0" w:firstLineChars="0"/>
      <w:jc w:val="left"/>
    </w:pPr>
    <w:rPr>
      <w:rFonts w:ascii="宋体" w:hAnsi="宋体"/>
      <w:b/>
      <w:bCs/>
      <w:color w:val="000000"/>
      <w:kern w:val="0"/>
      <w:sz w:val="21"/>
      <w:szCs w:val="21"/>
    </w:rPr>
  </w:style>
  <w:style w:type="paragraph" w:customStyle="1" w:styleId="30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楷体_GB2312" w:hAnsi="宋体" w:eastAsia="楷体_GB2312"/>
      <w:b/>
      <w:bCs/>
      <w:kern w:val="0"/>
      <w:sz w:val="21"/>
      <w:szCs w:val="21"/>
    </w:rPr>
  </w:style>
  <w:style w:type="paragraph" w:customStyle="1" w:styleId="302">
    <w:name w:val="xl44"/>
    <w:basedOn w:val="1"/>
    <w:qFormat/>
    <w:uiPriority w:val="0"/>
    <w:pPr>
      <w:widowControl/>
      <w:pBdr>
        <w:top w:val="single" w:color="0000FF" w:sz="4" w:space="0"/>
        <w:left w:val="single" w:color="0000FF" w:sz="4" w:space="0"/>
        <w:right w:val="single" w:color="0000FF" w:sz="4" w:space="0"/>
      </w:pBdr>
      <w:shd w:val="clear" w:color="auto" w:fill="FFFFFF"/>
      <w:spacing w:before="100" w:beforeAutospacing="1" w:after="100" w:afterAutospacing="1" w:line="240" w:lineRule="auto"/>
      <w:ind w:firstLine="0" w:firstLineChars="0"/>
      <w:jc w:val="center"/>
    </w:pPr>
    <w:rPr>
      <w:rFonts w:ascii="宋体" w:hAnsi="宋体"/>
      <w:kern w:val="0"/>
      <w:szCs w:val="24"/>
    </w:rPr>
  </w:style>
  <w:style w:type="paragraph" w:customStyle="1" w:styleId="303">
    <w:name w:val="font5"/>
    <w:basedOn w:val="1"/>
    <w:qFormat/>
    <w:uiPriority w:val="0"/>
    <w:pPr>
      <w:widowControl/>
      <w:spacing w:before="100" w:beforeAutospacing="1" w:after="100" w:afterAutospacing="1" w:line="240" w:lineRule="auto"/>
      <w:ind w:firstLine="0" w:firstLineChars="0"/>
      <w:jc w:val="left"/>
    </w:pPr>
    <w:rPr>
      <w:rFonts w:ascii="宋体" w:hAnsi="宋体"/>
      <w:kern w:val="0"/>
      <w:sz w:val="18"/>
      <w:szCs w:val="18"/>
    </w:rPr>
  </w:style>
  <w:style w:type="paragraph" w:customStyle="1" w:styleId="304">
    <w:name w:val="xl4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kern w:val="0"/>
      <w:szCs w:val="20"/>
    </w:rPr>
  </w:style>
  <w:style w:type="paragraph" w:customStyle="1" w:styleId="305">
    <w:name w:val="font9"/>
    <w:basedOn w:val="1"/>
    <w:qFormat/>
    <w:uiPriority w:val="0"/>
    <w:pPr>
      <w:widowControl/>
      <w:spacing w:before="100" w:beforeAutospacing="1" w:after="100" w:afterAutospacing="1" w:line="240" w:lineRule="auto"/>
      <w:ind w:firstLine="0" w:firstLineChars="0"/>
      <w:jc w:val="left"/>
    </w:pPr>
    <w:rPr>
      <w:b/>
      <w:bCs/>
      <w:color w:val="000000"/>
      <w:kern w:val="0"/>
      <w:sz w:val="21"/>
      <w:szCs w:val="21"/>
    </w:rPr>
  </w:style>
  <w:style w:type="paragraph" w:customStyle="1" w:styleId="306">
    <w:name w:val="正文 A"/>
    <w:qFormat/>
    <w:uiPriority w:val="0"/>
    <w:pPr>
      <w:widowControl w:val="0"/>
      <w:jc w:val="both"/>
    </w:pPr>
    <w:rPr>
      <w:rFonts w:ascii="Calibri" w:hAnsi="Calibri" w:eastAsia="宋体" w:cs="Calibri"/>
      <w:color w:val="000000"/>
      <w:kern w:val="2"/>
      <w:sz w:val="21"/>
      <w:szCs w:val="21"/>
      <w:u w:color="000000"/>
      <w:lang w:val="en-US" w:eastAsia="zh-CN" w:bidi="ar-SA"/>
    </w:rPr>
  </w:style>
  <w:style w:type="paragraph" w:customStyle="1" w:styleId="307">
    <w:name w:val="xl47"/>
    <w:basedOn w:val="1"/>
    <w:qFormat/>
    <w:uiPriority w:val="0"/>
    <w:pPr>
      <w:widowControl/>
      <w:pBdr>
        <w:top w:val="single" w:color="0000FF" w:sz="4" w:space="0"/>
        <w:left w:val="single" w:color="0000FF" w:sz="8" w:space="0"/>
        <w:bottom w:val="single" w:color="0000FF" w:sz="4" w:space="0"/>
        <w:right w:val="single" w:color="0000FF" w:sz="4" w:space="0"/>
      </w:pBdr>
      <w:spacing w:before="100" w:beforeAutospacing="1" w:after="100" w:afterAutospacing="1" w:line="240" w:lineRule="auto"/>
      <w:ind w:firstLine="0" w:firstLineChars="0"/>
      <w:jc w:val="center"/>
    </w:pPr>
    <w:rPr>
      <w:rFonts w:ascii="宋体" w:hAnsi="宋体"/>
      <w:kern w:val="0"/>
      <w:szCs w:val="24"/>
    </w:rPr>
  </w:style>
  <w:style w:type="paragraph" w:customStyle="1" w:styleId="308">
    <w:name w:val="Char Char1 Char Char Char Char Char Char"/>
    <w:basedOn w:val="1"/>
    <w:qFormat/>
    <w:uiPriority w:val="0"/>
    <w:pPr>
      <w:widowControl/>
      <w:adjustRightInd w:val="0"/>
      <w:snapToGrid w:val="0"/>
      <w:spacing w:beforeLines="25" w:line="240" w:lineRule="exact"/>
      <w:ind w:firstLine="560" w:firstLineChars="192"/>
      <w:jc w:val="left"/>
    </w:pPr>
    <w:rPr>
      <w:sz w:val="21"/>
      <w:szCs w:val="20"/>
    </w:rPr>
  </w:style>
  <w:style w:type="paragraph" w:customStyle="1" w:styleId="309">
    <w:name w:val="font8"/>
    <w:basedOn w:val="1"/>
    <w:qFormat/>
    <w:uiPriority w:val="0"/>
    <w:pPr>
      <w:widowControl/>
      <w:spacing w:before="100" w:beforeAutospacing="1" w:after="100" w:afterAutospacing="1" w:line="240" w:lineRule="auto"/>
      <w:ind w:firstLine="0" w:firstLineChars="0"/>
      <w:jc w:val="left"/>
    </w:pPr>
    <w:rPr>
      <w:rFonts w:ascii="宋体" w:hAnsi="宋体"/>
      <w:b/>
      <w:bCs/>
      <w:color w:val="000000"/>
      <w:kern w:val="0"/>
      <w:sz w:val="21"/>
      <w:szCs w:val="21"/>
    </w:rPr>
  </w:style>
  <w:style w:type="paragraph" w:customStyle="1" w:styleId="310">
    <w:name w:val="xl3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b/>
      <w:bCs/>
      <w:kern w:val="0"/>
      <w:sz w:val="21"/>
      <w:szCs w:val="21"/>
      <w:u w:val="single"/>
    </w:rPr>
  </w:style>
  <w:style w:type="paragraph" w:customStyle="1" w:styleId="311">
    <w:name w:val="font11"/>
    <w:basedOn w:val="1"/>
    <w:qFormat/>
    <w:uiPriority w:val="0"/>
    <w:pPr>
      <w:widowControl/>
      <w:spacing w:before="100" w:beforeAutospacing="1" w:after="100" w:afterAutospacing="1" w:line="240" w:lineRule="auto"/>
      <w:ind w:firstLine="0" w:firstLineChars="0"/>
      <w:jc w:val="left"/>
    </w:pPr>
    <w:rPr>
      <w:rFonts w:ascii="宋体" w:hAnsi="宋体"/>
      <w:kern w:val="0"/>
      <w:sz w:val="21"/>
      <w:szCs w:val="21"/>
    </w:rPr>
  </w:style>
  <w:style w:type="paragraph" w:customStyle="1" w:styleId="312">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31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楷体_GB2312" w:hAnsi="宋体" w:eastAsia="楷体_GB2312"/>
      <w:kern w:val="0"/>
      <w:sz w:val="21"/>
      <w:szCs w:val="21"/>
    </w:rPr>
  </w:style>
  <w:style w:type="paragraph" w:customStyle="1" w:styleId="314">
    <w:name w:val="xl2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楷体_GB2312" w:hAnsi="宋体" w:eastAsia="楷体_GB2312"/>
      <w:b/>
      <w:bCs/>
      <w:kern w:val="0"/>
      <w:sz w:val="21"/>
      <w:szCs w:val="21"/>
    </w:rPr>
  </w:style>
  <w:style w:type="paragraph" w:customStyle="1" w:styleId="315">
    <w:name w:val="xl45"/>
    <w:basedOn w:val="1"/>
    <w:qFormat/>
    <w:uiPriority w:val="0"/>
    <w:pPr>
      <w:widowControl/>
      <w:pBdr>
        <w:top w:val="single" w:color="0000FF" w:sz="4" w:space="0"/>
        <w:left w:val="single" w:color="0000FF" w:sz="4" w:space="0"/>
        <w:right w:val="single" w:color="0000FF" w:sz="4" w:space="0"/>
      </w:pBdr>
      <w:spacing w:before="100" w:beforeAutospacing="1" w:after="100" w:afterAutospacing="1" w:line="240" w:lineRule="auto"/>
      <w:ind w:firstLine="0" w:firstLineChars="0"/>
      <w:jc w:val="left"/>
    </w:pPr>
    <w:rPr>
      <w:rFonts w:ascii="宋体" w:hAnsi="宋体"/>
      <w:kern w:val="0"/>
      <w:szCs w:val="24"/>
    </w:rPr>
  </w:style>
  <w:style w:type="paragraph" w:customStyle="1" w:styleId="316">
    <w:name w:val="正文呀2_0"/>
    <w:basedOn w:val="290"/>
    <w:qFormat/>
    <w:uiPriority w:val="0"/>
    <w:rPr>
      <w:rFonts w:ascii="Times New Roman" w:hAnsi="Times New Roman" w:eastAsia="宋体"/>
    </w:rPr>
  </w:style>
  <w:style w:type="character" w:customStyle="1" w:styleId="317">
    <w:name w:val="UserStyle_9"/>
    <w:link w:val="318"/>
    <w:qFormat/>
    <w:locked/>
    <w:uiPriority w:val="0"/>
    <w:rPr>
      <w:kern w:val="2"/>
      <w:sz w:val="21"/>
      <w:szCs w:val="24"/>
    </w:rPr>
  </w:style>
  <w:style w:type="paragraph" w:customStyle="1" w:styleId="318">
    <w:name w:val="AnnotationText"/>
    <w:basedOn w:val="1"/>
    <w:link w:val="317"/>
    <w:qFormat/>
    <w:uiPriority w:val="0"/>
    <w:pPr>
      <w:widowControl/>
      <w:spacing w:line="240" w:lineRule="auto"/>
      <w:ind w:firstLine="0" w:firstLineChars="0"/>
      <w:jc w:val="left"/>
    </w:pPr>
    <w:rPr>
      <w:sz w:val="21"/>
      <w:szCs w:val="24"/>
    </w:rPr>
  </w:style>
  <w:style w:type="character" w:customStyle="1" w:styleId="319">
    <w:name w:val="批注文字 Char2"/>
    <w:qFormat/>
    <w:uiPriority w:val="0"/>
    <w:rPr>
      <w:rFonts w:hint="default" w:ascii="Times New Roman" w:hAnsi="Times New Roman" w:cs="Times New Roman"/>
      <w:szCs w:val="24"/>
    </w:rPr>
  </w:style>
  <w:style w:type="character" w:customStyle="1" w:styleId="320">
    <w:name w:val="Char Char9"/>
    <w:qFormat/>
    <w:uiPriority w:val="0"/>
    <w:rPr>
      <w:rFonts w:hint="eastAsia" w:ascii="仿宋_GB2312" w:hAnsi="Times New Roman" w:eastAsia="仿宋_GB2312" w:cs="Times New Roman"/>
      <w:sz w:val="32"/>
      <w:szCs w:val="20"/>
    </w:rPr>
  </w:style>
  <w:style w:type="character" w:customStyle="1" w:styleId="321">
    <w:name w:val="正文文本缩进 3 Char1"/>
    <w:basedOn w:val="50"/>
    <w:semiHidden/>
    <w:qFormat/>
    <w:locked/>
    <w:uiPriority w:val="0"/>
    <w:rPr>
      <w:sz w:val="28"/>
    </w:rPr>
  </w:style>
  <w:style w:type="character" w:customStyle="1" w:styleId="322">
    <w:name w:val="批注框文本 Char1"/>
    <w:basedOn w:val="50"/>
    <w:semiHidden/>
    <w:qFormat/>
    <w:locked/>
    <w:uiPriority w:val="0"/>
    <w:rPr>
      <w:kern w:val="2"/>
      <w:sz w:val="18"/>
      <w:szCs w:val="18"/>
    </w:rPr>
  </w:style>
  <w:style w:type="character" w:customStyle="1" w:styleId="323">
    <w:name w:val="日期 Char1"/>
    <w:basedOn w:val="50"/>
    <w:semiHidden/>
    <w:qFormat/>
    <w:locked/>
    <w:uiPriority w:val="0"/>
    <w:rPr>
      <w:kern w:val="2"/>
      <w:sz w:val="21"/>
      <w:szCs w:val="24"/>
    </w:rPr>
  </w:style>
  <w:style w:type="character" w:customStyle="1" w:styleId="324">
    <w:name w:val="手改 Char Char"/>
    <w:qFormat/>
    <w:uiPriority w:val="0"/>
    <w:rPr>
      <w:rFonts w:hint="default" w:ascii="Times New Roman" w:hAnsi="Times New Roman" w:eastAsia="宋体" w:cs="Times New Roman"/>
      <w:sz w:val="24"/>
      <w:szCs w:val="24"/>
      <w:lang w:bidi="ar-SA"/>
    </w:rPr>
  </w:style>
  <w:style w:type="character" w:customStyle="1" w:styleId="325">
    <w:name w:val="ca-71"/>
    <w:qFormat/>
    <w:uiPriority w:val="0"/>
    <w:rPr>
      <w:rFonts w:hint="eastAsia" w:ascii="宋体" w:hAnsi="宋体" w:eastAsia="宋体" w:cs="Times New Roman"/>
      <w:color w:val="000000"/>
      <w:sz w:val="12"/>
      <w:szCs w:val="12"/>
    </w:rPr>
  </w:style>
  <w:style w:type="character" w:customStyle="1" w:styleId="326">
    <w:name w:val="ca-41"/>
    <w:qFormat/>
    <w:uiPriority w:val="0"/>
    <w:rPr>
      <w:rFonts w:hint="eastAsia" w:ascii="宋体" w:hAnsi="宋体" w:eastAsia="宋体" w:cs="Times New Roman"/>
      <w:color w:val="000000"/>
      <w:sz w:val="20"/>
      <w:szCs w:val="20"/>
    </w:rPr>
  </w:style>
  <w:style w:type="character" w:customStyle="1" w:styleId="327">
    <w:name w:val="页眉 Char1"/>
    <w:basedOn w:val="50"/>
    <w:semiHidden/>
    <w:qFormat/>
    <w:locked/>
    <w:uiPriority w:val="0"/>
    <w:rPr>
      <w:kern w:val="2"/>
      <w:sz w:val="18"/>
      <w:szCs w:val="18"/>
    </w:rPr>
  </w:style>
  <w:style w:type="character" w:customStyle="1" w:styleId="328">
    <w:name w:val="ca-51"/>
    <w:qFormat/>
    <w:uiPriority w:val="0"/>
    <w:rPr>
      <w:rFonts w:hint="eastAsia" w:ascii="宋体" w:hAnsi="宋体" w:eastAsia="宋体" w:cs="Times New Roman"/>
      <w:color w:val="E60000"/>
      <w:sz w:val="20"/>
      <w:szCs w:val="20"/>
    </w:rPr>
  </w:style>
  <w:style w:type="character" w:customStyle="1" w:styleId="329">
    <w:name w:val="标题 2 Char1"/>
    <w:qFormat/>
    <w:uiPriority w:val="9"/>
    <w:rPr>
      <w:rFonts w:hint="default" w:ascii="Cambria" w:hAnsi="Cambria" w:eastAsia="宋体" w:cs="Times New Roman"/>
      <w:b/>
      <w:bCs/>
      <w:kern w:val="2"/>
      <w:sz w:val="32"/>
      <w:szCs w:val="32"/>
    </w:rPr>
  </w:style>
  <w:style w:type="character" w:customStyle="1" w:styleId="330">
    <w:name w:val="ca-31"/>
    <w:qFormat/>
    <w:uiPriority w:val="0"/>
    <w:rPr>
      <w:rFonts w:hint="eastAsia" w:ascii="宋体" w:hAnsi="宋体" w:eastAsia="宋体" w:cs="Times New Roman"/>
      <w:color w:val="000000"/>
      <w:sz w:val="24"/>
      <w:szCs w:val="24"/>
    </w:rPr>
  </w:style>
  <w:style w:type="character" w:customStyle="1" w:styleId="331">
    <w:name w:val="textcontents"/>
    <w:basedOn w:val="50"/>
    <w:qFormat/>
    <w:uiPriority w:val="0"/>
  </w:style>
  <w:style w:type="paragraph" w:customStyle="1" w:styleId="332">
    <w:name w:val="_paragraph_4sbbx_1"/>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7.wmf"/><Relationship Id="rId3" Type="http://schemas.openxmlformats.org/officeDocument/2006/relationships/footnotes" Target="footnotes.xml"/><Relationship Id="rId29" Type="http://schemas.openxmlformats.org/officeDocument/2006/relationships/image" Target="media/image6.wmf"/><Relationship Id="rId28" Type="http://schemas.openxmlformats.org/officeDocument/2006/relationships/image" Target="media/image5.wmf"/><Relationship Id="rId27" Type="http://schemas.openxmlformats.org/officeDocument/2006/relationships/image" Target="media/image4.wmf"/><Relationship Id="rId26" Type="http://schemas.openxmlformats.org/officeDocument/2006/relationships/image" Target="media/image3.wmf"/><Relationship Id="rId25" Type="http://schemas.openxmlformats.org/officeDocument/2006/relationships/image" Target="file:///C:\Users\Administrator\AppData\Roaming\Tencent\Users\84332323\QQ\WinTemp\RichOle\TN3R7%25252525252525252525252525252525252525252525252525252525252525252525252525252525252525252525252525252525252525252525252525252525252525252525252525252525255dUDEA05N%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604SDUJC)1.png" TargetMode="External"/><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contractReview xmlns="http://schemas.wps.cn/vas-ai-hub/contract-review">
  <reviewItems>
    <reviewItem>
      <errorID>a1d0d837-ccdf-4bfb-b538-6a772f2ef959</errorID>
      <errorWord>上午00:00</errorWord>
      <group>L1_Knowledge</group>
      <groupName>知识性问题</groupName>
      <ability>L2_Time</ability>
      <abilityName>日期时间</abilityName>
      <candidateList/>
      <explain>时间与前缀不匹配，可能的时间前缀有“下午、晚上、凌晨、午夜”。</explain>
      <paraID>62DC28B7</paraID>
      <start>29</start>
      <end>36</end>
      <status>unmodified</status>
      <modifiedWord/>
      <trackRevisions>false</trackRevisions>
    </reviewItem>
    <reviewItem>
      <errorID>6d756cc6-19f3-419f-9076-4de23c2788cc</errorID>
      <errorWord>，</errorWord>
      <group>L1_Word</group>
      <groupName>字词问题</groupName>
      <ability>L2_Typo</ability>
      <abilityName>字词错误</abilityName>
      <candidateList>
        <item>，使</item>
      </candidateList>
      <explain/>
      <paraID>48D2FD44</paraID>
      <start>39</start>
      <end>40</end>
      <status>unmodified</status>
      <modifiedWord/>
      <trackRevisions>false</trackRevisions>
    </reviewItem>
    <reviewItem>
      <errorID>69d0b481-5423-4b9f-9122-454d41120924</errorID>
      <errorWord>可附件</errorWord>
      <group>L1_Word</group>
      <groupName>字词问题</groupName>
      <ability>L2_Typo</ability>
      <abilityName>字词错误</abilityName>
      <candidateList>
        <item>见附件</item>
      </candidateList>
      <explain/>
      <paraID>2C8347DF</paraID>
      <start>49</start>
      <end>52</end>
      <status>unmodified</status>
      <modifiedWord/>
      <trackRevisions>false</trackRevisions>
    </reviewItem>
    <reviewItem>
      <errorID>37553f03-c2aa-47d4-87a1-79fd3b8e704a</errorID>
      <errorWord>(</errorWord>
      <group>L1_Format</group>
      <groupName>格式问题</groupName>
      <ability>L2_HalfPunc</ability>
      <abilityName>全半角检查</abilityName>
      <candidateList>
        <item>（</item>
      </candidateList>
      <explain>文本全半角错误。</explain>
      <paraID>3AB1DF81</paraID>
      <start>24</start>
      <end>25</end>
      <status>modified</status>
      <modifiedWord>（</modifiedWord>
      <trackRevisions>false</trackRevisions>
    </reviewItem>
    <reviewItem>
      <errorID>1e5ef378-887f-4696-8fc1-f988f598d383</errorID>
      <errorWord>)</errorWord>
      <group>L1_Format</group>
      <groupName>格式问题</groupName>
      <ability>L2_HalfPunc</ability>
      <abilityName>全半角检查</abilityName>
      <candidateList>
        <item>）</item>
      </candidateList>
      <explain>文本全半角错误。</explain>
      <paraID>3AB1DF81</paraID>
      <start>29</start>
      <end>30</end>
      <status>modified</status>
      <modifiedWord>）</modifiedWord>
      <trackRevisions>false</trackRevisions>
    </reviewItem>
    <reviewItem>
      <errorID>c353dee6-00b1-47ab-8891-66866b609fa9</errorID>
      <errorWord>(</errorWord>
      <group>L1_Format</group>
      <groupName>格式问题</groupName>
      <ability>L2_HalfPunc</ability>
      <abilityName>全半角检查</abilityName>
      <candidateList>
        <item>（</item>
      </candidateList>
      <explain>文本全半角错误。</explain>
      <paraID>6E38580C</paraID>
      <start>16</start>
      <end>17</end>
      <status>modified</status>
      <modifiedWord>（</modifiedWord>
      <trackRevisions>false</trackRevisions>
    </reviewItem>
    <reviewItem>
      <errorID>2bd09ca9-7652-4c27-bcd1-e6d240ac9572</errorID>
      <errorWord>)</errorWord>
      <group>L1_Format</group>
      <groupName>格式问题</groupName>
      <ability>L2_HalfPunc</ability>
      <abilityName>全半角检查</abilityName>
      <candidateList>
        <item>）</item>
      </candidateList>
      <explain>文本全半角错误。</explain>
      <paraID>6E38580C</paraID>
      <start>21</start>
      <end>22</end>
      <status>modified</status>
      <modifiedWord>）</modifiedWord>
      <trackRevisions>false</trackRevisions>
    </reviewItem>
    <reviewItem>
      <errorID>523fe312-0b56-423c-8680-5b231e4f74c6</errorID>
      <errorWord>,</errorWord>
      <group>L1_Format</group>
      <groupName>格式问题</groupName>
      <ability>L2_HalfPunc</ability>
      <abilityName>全半角检查</abilityName>
      <candidateList>
        <item>，</item>
      </candidateList>
      <explain>文本全半角错误。</explain>
      <paraID>2CC481C8</paraID>
      <start>132</start>
      <end>133</end>
      <status>modified</status>
      <modifiedWord>，</modifiedWord>
      <trackRevisions>false</trackRevisions>
    </reviewItem>
    <reviewItem>
      <errorID>9a54b886-a2c6-49cb-aba6-637c2a16115d</errorID>
      <errorWord>,</errorWord>
      <group>L1_Format</group>
      <groupName>格式问题</groupName>
      <ability>L2_HalfPunc</ability>
      <abilityName>全半角检查</abilityName>
      <candidateList>
        <item>，</item>
      </candidateList>
      <explain>文本全半角错误。</explain>
      <paraID>2CC481C8</paraID>
      <start>294</start>
      <end>295</end>
      <status>modified</status>
      <modifiedWord>，</modifiedWord>
      <trackRevisions>false</trackRevisions>
    </reviewItem>
    <reviewItem>
      <errorID>2591c957-3572-4c31-a594-be3efe7ce6a1</errorID>
      <errorWord>须</errorWord>
      <group>L1_Word</group>
      <groupName>字词问题</groupName>
      <ability>L2_Typo</ability>
      <abilityName>字词错误</abilityName>
      <candidateList>
        <item>需</item>
      </candidateList>
      <explain>存在发音相同字词的误用。</explain>
      <paraID> 5611AC3</paraID>
      <start>9</start>
      <end>10</end>
      <status>ignored</status>
      <modifiedWord/>
      <trackRevisions>false</trackRevisions>
    </reviewItem>
    <reviewItem>
      <errorID>e569ce78-85ab-46d0-ab3a-bb83a33dda9d</errorID>
      <errorWord>(</errorWord>
      <group>L1_Format</group>
      <groupName>格式问题</groupName>
      <ability>L2_HalfPunc</ability>
      <abilityName>全半角检查</abilityName>
      <candidateList>
        <item>（</item>
      </candidateList>
      <explain>文本全半角错误。</explain>
      <paraID>681CA2F1</paraID>
      <start>18</start>
      <end>19</end>
      <status>modified</status>
      <modifiedWord>（</modifiedWord>
      <trackRevisions>false</trackRevisions>
    </reviewItem>
    <reviewItem>
      <errorID>d96dd47d-72cc-44d5-8250-34520688c20f</errorID>
      <errorWord>)</errorWord>
      <group>L1_Format</group>
      <groupName>格式问题</groupName>
      <ability>L2_HalfPunc</ability>
      <abilityName>全半角检查</abilityName>
      <candidateList>
        <item>）</item>
      </candidateList>
      <explain>文本全半角错误。</explain>
      <paraID>681CA2F1</paraID>
      <start>31</start>
      <end>32</end>
      <status>modified</status>
      <modifiedWord>）</modifiedWord>
      <trackRevisions>false</trackRevisions>
    </reviewItem>
    <reviewItem>
      <errorID>4b1b97f3-740f-47e7-980b-e2f6c28974fd</errorID>
      <errorWord>(</errorWord>
      <group>L1_Format</group>
      <groupName>格式问题</groupName>
      <ability>L2_HalfPunc</ability>
      <abilityName>全半角检查</abilityName>
      <candidateList>
        <item>（</item>
      </candidateList>
      <explain>文本全半角错误。</explain>
      <paraID>785179C2</paraID>
      <start>16</start>
      <end>17</end>
      <status>modified</status>
      <modifiedWord>（</modifiedWord>
      <trackRevisions>false</trackRevisions>
    </reviewItem>
    <reviewItem>
      <errorID>7f90b958-d633-4667-b6f9-9c9b39e9611f</errorID>
      <errorWord>)</errorWord>
      <group>L1_Format</group>
      <groupName>格式问题</groupName>
      <ability>L2_HalfPunc</ability>
      <abilityName>全半角检查</abilityName>
      <candidateList>
        <item>）</item>
      </candidateList>
      <explain>文本全半角错误。</explain>
      <paraID>785179C2</paraID>
      <start>35</start>
      <end>36</end>
      <status>modified</status>
      <modifiedWord>）</modifiedWord>
      <trackRevisions>false</trackRevisions>
    </reviewItem>
    <reviewItem>
      <errorID>bf1745f9-74b7-4708-b5ba-34ce204db332</errorID>
      <errorWord>(</errorWord>
      <group>L1_Format</group>
      <groupName>格式问题</groupName>
      <ability>L2_HalfPunc</ability>
      <abilityName>全半角检查</abilityName>
      <candidateList>
        <item>（</item>
      </candidateList>
      <explain>文本全半角错误。</explain>
      <paraID>785179C2</paraID>
      <start>48</start>
      <end>49</end>
      <status>modified</status>
      <modifiedWord>（</modifiedWord>
      <trackRevisions>false</trackRevisions>
    </reviewItem>
    <reviewItem>
      <errorID>9d7ecd2e-9628-4089-ad72-3f6c9845823a</errorID>
      <errorWord>)</errorWord>
      <group>L1_Format</group>
      <groupName>格式问题</groupName>
      <ability>L2_HalfPunc</ability>
      <abilityName>全半角检查</abilityName>
      <candidateList>
        <item>）</item>
      </candidateList>
      <explain>文本全半角错误。</explain>
      <paraID>785179C2</paraID>
      <start>52</start>
      <end>53</end>
      <status>modified</status>
      <modifiedWord>）</modifiedWord>
      <trackRevisions>false</trackRevisions>
    </reviewItem>
    <reviewItem>
      <errorID>ca706451-8ba8-4526-874b-774072c1e77e</errorID>
      <errorWord>&lt;</errorWord>
      <group>L1_Format</group>
      <groupName>格式问题</groupName>
      <ability>L2_HalfPunc</ability>
      <abilityName>全半角检查</abilityName>
      <candidateList>
        <item>〈</item>
      </candidateList>
      <explain>文本全半角错误。</explain>
      <paraID>1F5B177B</paraID>
      <start>23</start>
      <end>24</end>
      <status>modified</status>
      <modifiedWord>〈</modifiedWord>
      <trackRevisions>false</trackRevisions>
    </reviewItem>
    <reviewItem>
      <errorID>1a1f80e5-8b56-4b61-bb75-297a3003ada9</errorID>
      <errorWord>&gt;的通知》</errorWord>
      <group>L1_Punc</group>
      <groupName>标点问题</groupName>
      <ability>L2_Punc</ability>
      <abilityName>标点符号检查</abilityName>
      <candidateList>
        <item>〉的通知》</item>
      </candidateList>
      <explain/>
      <paraID>1F5B177B</paraID>
      <start>39</start>
      <end>44</end>
      <status>modified</status>
      <modifiedWord>〉的通知》</modifiedWord>
      <trackRevisions>false</trackRevisions>
    </reviewItem>
    <reviewItem>
      <errorID>a4764caf-a2ff-4074-bdeb-51a36460dfb2</errorID>
      <errorWord>(</errorWord>
      <group>L1_Format</group>
      <groupName>格式问题</groupName>
      <ability>L2_HalfPunc</ability>
      <abilityName>全半角检查</abilityName>
      <candidateList>
        <item>（</item>
      </candidateList>
      <explain>文本全半角错误。</explain>
      <paraID>1F5B177B</paraID>
      <start>44</start>
      <end>45</end>
      <status>modified</status>
      <modifiedWord>（</modifiedWord>
      <trackRevisions>false</trackRevisions>
    </reviewItem>
    <reviewItem>
      <errorID>9d337fe7-fc03-4cfc-a0b3-2d0b9a18807c</errorID>
      <errorWord>[2016】16号</errorWord>
      <group>L1_Knowledge</group>
      <groupName>知识性问题</groupName>
      <ability>L2_Knowledge</ability>
      <abilityName>其他知识</abilityName>
      <candidateList>
        <item>〔2016〕16号</item>
      </candidateList>
      <explain>发文字号格式错误。</explain>
      <paraID>1F5B177B</paraID>
      <start>48</start>
      <end>57</end>
      <status>modified</status>
      <modifiedWord>〔2016〕16号</modifiedWord>
      <trackRevisions>false</trackRevisions>
    </reviewItem>
    <reviewItem>
      <errorID>d90a82e5-f413-413f-9b8a-6d87ceef585d</errorID>
      <errorWord>)</errorWord>
      <group>L1_Format</group>
      <groupName>格式问题</groupName>
      <ability>L2_HalfPunc</ability>
      <abilityName>全半角检查</abilityName>
      <candidateList>
        <item>）</item>
      </candidateList>
      <explain>文本全半角错误。</explain>
      <paraID>1F5B177B</paraID>
      <start>57</start>
      <end>58</end>
      <status>modified</status>
      <modifiedWord>）</modifiedWord>
      <trackRevisions>false</trackRevisions>
    </reviewItem>
    <reviewItem>
      <errorID>a22d22af-ed65-4b7e-af2a-260fb4a18215</errorID>
      <errorWord>(</errorWord>
      <group>L1_Format</group>
      <groupName>格式问题</groupName>
      <ability>L2_HalfPunc</ability>
      <abilityName>全半角检查</abilityName>
      <candidateList>
        <item>（</item>
      </candidateList>
      <explain>文本全半角错误。</explain>
      <paraID>7B454E29</paraID>
      <start>50</start>
      <end>51</end>
      <status>modified</status>
      <modifiedWord>（</modifiedWord>
      <trackRevisions>false</trackRevisions>
    </reviewItem>
    <reviewItem>
      <errorID>78d10dd2-91a9-4906-91e1-cf811b75d34e</errorID>
      <errorWord>[2016]17号</errorWord>
      <group>L1_Knowledge</group>
      <groupName>知识性问题</groupName>
      <ability>L2_Knowledge</ability>
      <abilityName>其他知识</abilityName>
      <candidateList>
        <item>〔2016〕17号</item>
      </candidateList>
      <explain>发文字号格式错误。</explain>
      <paraID>7B454E29</paraID>
      <start>54</start>
      <end>63</end>
      <status>modified</status>
      <modifiedWord>〔2016〕17号</modifiedWord>
      <trackRevisions>false</trackRevisions>
    </reviewItem>
    <reviewItem>
      <errorID>a758be1b-51c8-4a5e-ac2a-9e075ae8cc2b</errorID>
      <errorWord>)</errorWord>
      <group>L1_Format</group>
      <groupName>格式问题</groupName>
      <ability>L2_HalfPunc</ability>
      <abilityName>全半角检查</abilityName>
      <candidateList>
        <item>）</item>
      </candidateList>
      <explain>文本全半角错误。</explain>
      <paraID>7B454E29</paraID>
      <start>63</start>
      <end>64</end>
      <status>modified</status>
      <modifiedWord>）</modifiedWord>
      <trackRevisions>false</trackRevisions>
    </reviewItem>
    <reviewItem>
      <errorID>972ddfb0-cda8-44f9-b220-3bb147856253</errorID>
      <errorWord>(</errorWord>
      <group>L1_Format</group>
      <groupName>格式问题</groupName>
      <ability>L2_HalfPunc</ability>
      <abilityName>全半角检查</abilityName>
      <candidateList>
        <item>（</item>
      </candidateList>
      <explain>文本全半角错误。</explain>
      <paraID>1A8AD3B2</paraID>
      <start>26</start>
      <end>27</end>
      <status>modified</status>
      <modifiedWord>（</modifiedWord>
      <trackRevisions>false</trackRevisions>
    </reviewItem>
    <reviewItem>
      <errorID>4eb77ba6-97c7-4431-b57d-e91585c5ce9f</errorID>
      <errorWord>[2023】7号</errorWord>
      <group>L1_Knowledge</group>
      <groupName>知识性问题</groupName>
      <ability>L2_Knowledge</ability>
      <abilityName>其他知识</abilityName>
      <candidateList>
        <item>〔2023〕7号</item>
      </candidateList>
      <explain>发文字号格式错误。</explain>
      <paraID>1A8AD3B2</paraID>
      <start>30</start>
      <end>38</end>
      <status>modified</status>
      <modifiedWord>〔2023〕7号</modifiedWord>
      <trackRevisions>false</trackRevisions>
    </reviewItem>
    <reviewItem>
      <errorID>f74c48c3-24a3-4069-9265-e4683aabe32c</errorID>
      <errorWord>)</errorWord>
      <group>L1_Format</group>
      <groupName>格式问题</groupName>
      <ability>L2_HalfPunc</ability>
      <abilityName>全半角检查</abilityName>
      <candidateList>
        <item>）</item>
      </candidateList>
      <explain>文本全半角错误。</explain>
      <paraID>1A8AD3B2</paraID>
      <start>39</start>
      <end>40</end>
      <status>modified</status>
      <modifiedWord>）</modifiedWord>
      <trackRevisions>false</trackRevisions>
    </reviewItem>
    <reviewItem>
      <errorID>b4cbe7dc-dcda-4581-9b87-ec3b02facd6e</errorID>
      <errorWord>房</errorWord>
      <group>L1_Word</group>
      <groupName>字词问题</groupName>
      <ability>L2_Typo</ability>
      <abilityName>字词错误</abilityName>
      <candidateList>
        <item>房和</item>
      </candidateList>
      <explain/>
      <paraID>1DB34AF3</paraID>
      <start>8</start>
      <end>9</end>
      <status>ignored</status>
      <modifiedWord/>
      <trackRevisions>false</trackRevisions>
    </reviewItem>
    <reviewItem>
      <errorID>edca0f0d-1922-4474-8758-ef79aa1f4c92</errorID>
      <errorWord>(</errorWord>
      <group>L1_Format</group>
      <groupName>格式问题</groupName>
      <ability>L2_HalfPunc</ability>
      <abilityName>全半角检查</abilityName>
      <candidateList>
        <item>（</item>
      </candidateList>
      <explain>文本全半角错误。</explain>
      <paraID>1DB34AF3</paraID>
      <start>33</start>
      <end>34</end>
      <status>modified</status>
      <modifiedWord>（</modifiedWord>
      <trackRevisions>false</trackRevisions>
    </reviewItem>
    <reviewItem>
      <errorID>010dda8a-6010-4669-98c1-aaee10092ffd</errorID>
      <errorWord>【2019】12号</errorWord>
      <group>L1_Knowledge</group>
      <groupName>知识性问题</groupName>
      <ability>L2_Knowledge</ability>
      <abilityName>其他知识</abilityName>
      <candidateList>
        <item>〔2019〕12号</item>
      </candidateList>
      <explain>发文字号格式错误。</explain>
      <paraID>1DB34AF3</paraID>
      <start>37</start>
      <end>46</end>
      <status>modified</status>
      <modifiedWord>〔2019〕12号</modifiedWord>
      <trackRevisions>false</trackRevisions>
    </reviewItem>
    <reviewItem>
      <errorID>0a38d7ed-7777-4d9e-bb19-fe805e53de44</errorID>
      <errorWord>)</errorWord>
      <group>L1_Format</group>
      <groupName>格式问题</groupName>
      <ability>L2_HalfPunc</ability>
      <abilityName>全半角检查</abilityName>
      <candidateList>
        <item>）</item>
      </candidateList>
      <explain>文本全半角错误。</explain>
      <paraID>1DB34AF3</paraID>
      <start>46</start>
      <end>47</end>
      <status>modified</status>
      <modifiedWord>）</modifiedWord>
      <trackRevisions>false</trackRevisions>
    </reviewItem>
    <reviewItem>
      <errorID>30c28db1-bb1b-408a-802b-d123e66fd801</errorID>
      <errorWord>，</errorWord>
      <group>L1_Word</group>
      <groupName>字词问题</groupName>
      <ability>L2_Typo</ability>
      <abilityName>字词错误</abilityName>
      <candidateList>
        <item>，具</item>
      </candidateList>
      <explain/>
      <paraID>5439F0FD</paraID>
      <start>23</start>
      <end>25</end>
      <status>modified</status>
      <modifiedWord>，具</modifiedWord>
      <trackRevisions>false</trackRevisions>
    </reviewItem>
    <reviewItem>
      <errorID>109017f8-8fd5-4d00-a433-15473a37bbdc</errorID>
      <errorWord>关键技术有</errorWord>
      <group>L1_Word</group>
      <groupName>字词问题</groupName>
      <ability>L2_Typo</ability>
      <abilityName>字词错误</abilityName>
      <candidateList>
        <item>关键技术</item>
      </candidateList>
      <explain/>
      <paraID>5A974572</paraID>
      <start>10</start>
      <end>14</end>
      <status>modified</status>
      <modifiedWord>关键技术</modifiedWord>
      <trackRevisions>false</trackRevisions>
    </reviewItem>
    <reviewItem>
      <errorID>00ad64ea-fea3-439a-87cb-64b5d5c126f4</errorID>
      <errorWord>送达至</errorWord>
      <group>L1_Word</group>
      <groupName>字词问题</groupName>
      <ability>L2_Typo</ability>
      <abilityName>字词错误</abilityName>
      <candidateList>
        <item>送达</item>
      </candidateList>
      <explain/>
      <paraID>74372B99</paraID>
      <start>22</start>
      <end>25</end>
      <status>ignored</status>
      <modifiedWord/>
      <trackRevisions>false</trackRevisions>
    </reviewItem>
    <reviewItem>
      <errorID>292e5a87-0be7-431d-aa57-82debba19d4c</errorID>
      <errorWord>古树名木的保护</errorWord>
      <group>L1_Political</group>
      <groupName>政治性问题</groupName>
      <ability>L2_Keyword</ability>
      <abilityName>固定表述</abilityName>
      <candidateList>
        <item>古树名木保护</item>
      </candidateList>
      <explain>词汇“古树名木保护”在特定场景下为固定表述形式，请确认此处的“古树名木的保护”是否存在不当。</explain>
      <paraID>6BAD1647</paraID>
      <start>28</start>
      <end>35</end>
      <status>ignored</status>
      <modifiedWord/>
      <trackRevisions>false</trackRevisions>
    </reviewItem>
    <reviewItem>
      <errorID>67161c97-28c8-4da6-a2ea-65f11944aba9</errorID>
      <errorWord>噪音</errorWord>
      <group>L1_Word</group>
      <groupName>字词问题</groupName>
      <ability>L2_Alias</ability>
      <abilityName>也作/曾用词</abilityName>
      <candidateList>
        <item>噪声</item>
      </candidateList>
      <explain>词汇[噪音]为不规范表述或旧称，其规范书面表述为[噪声]。</explain>
      <paraID>12939283</paraID>
      <start>69</start>
      <end>71</end>
      <status>ignored</status>
      <modifiedWord/>
      <trackRevisions>false</trackRevisions>
    </reviewItem>
    <reviewItem>
      <errorID>0a023d40-7e70-4a34-acaf-a5eef1cff6d8</errorID>
      <errorWord>运入</errorWord>
      <group>L1_Word</group>
      <groupName>字词问题</groupName>
      <ability>L2_Typo</ability>
      <abilityName>字词错误</abilityName>
      <candidateList>
        <item>进入</item>
      </candidateList>
      <explain>〈动〉支进到某个范围或某个时期里：～学校｜～新阶段◇～角色。</explain>
      <paraID> 40940D9</paraID>
      <start>3</start>
      <end>5</end>
      <status>ignored</status>
      <modifiedWord/>
      <trackRevisions>false</trackRevisions>
    </reviewItem>
    <reviewItem>
      <errorID>38ff0ee6-5b42-4e38-9dbd-66d943510363</errorID>
      <errorWord>）</errorWord>
      <group>L1_Word</group>
      <groupName>字词问题</groupName>
      <ability>L2_Typo</ability>
      <abilityName>字词错误</abilityName>
      <candidateList>
        <item>）项</item>
      </candidateList>
      <explain/>
      <paraID> 64F33FC</paraID>
      <start>44</start>
      <end>45</end>
      <status>ignored</status>
      <modifiedWord/>
      <trackRevisions>false</trackRevisions>
    </reviewItem>
    <reviewItem>
      <errorID>aa7eed68-852e-43fe-b1e5-ef35918e43f2</errorID>
      <errorWord>其它</errorWord>
      <group>L1_Word</group>
      <groupName>字词问题</groupName>
      <ability>L2_Alias</ability>
      <abilityName>也作/曾用词</abilityName>
      <candidateList>
        <item>其他</item>
      </candidateList>
      <explain>词汇[其它]为不规范表述或旧称，其规范书面表述为[其他]。</explain>
      <paraID>2AFEA7CB</paraID>
      <start>1</start>
      <end>3</end>
      <status>ignored</status>
      <modifiedWord/>
      <trackRevisions>false</trackRevisions>
    </reviewItem>
    <reviewItem>
      <errorID>ae6be5a6-7da4-4863-bfa4-2c646f0e2aa1</errorID>
      <errorWord>：/。</errorWord>
      <group>L1_Punc</group>
      <groupName>标点问题</groupName>
      <ability>L2_Punc</ability>
      <abilityName>标点符号检查</abilityName>
      <candidateList>
        <item>：</item>
      </candidateList>
      <explain/>
      <paraID> A9DEF93</paraID>
      <start>10</start>
      <end>13</end>
      <status>ignored</status>
      <modifiedWord/>
      <trackRevisions>false</trackRevisions>
    </reviewItem>
    <reviewItem>
      <errorID>bdf212ff-da2d-447a-9b0d-add1c9c28354</errorID>
      <errorWord>：/。</errorWord>
      <group>L1_Punc</group>
      <groupName>标点问题</groupName>
      <ability>L2_Punc</ability>
      <abilityName>标点符号检查</abilityName>
      <candidateList>
        <item>：</item>
      </candidateList>
      <explain/>
      <paraID>67FC9658</paraID>
      <start>7</start>
      <end>10</end>
      <status>ignored</status>
      <modifiedWord/>
      <trackRevisions>false</trackRevisions>
    </reviewItem>
    <reviewItem>
      <errorID>d9ba6d25-8337-4b31-bbf9-f1f169e53c75</errorID>
      <errorWord>：/。</errorWord>
      <group>L1_Punc</group>
      <groupName>标点问题</groupName>
      <ability>L2_Punc</ability>
      <abilityName>标点符号检查</abilityName>
      <candidateList>
        <item>：</item>
      </candidateList>
      <explain/>
      <paraID>602093CB</paraID>
      <start>8</start>
      <end>11</end>
      <status>ignored</status>
      <modifiedWord/>
      <trackRevisions>false</trackRevisions>
    </reviewItem>
    <reviewItem>
      <errorID>5eb7ff5c-080b-4692-9a50-310a004f88d6</errorID>
      <errorWord>：/；</errorWord>
      <group>L1_Punc</group>
      <groupName>标点问题</groupName>
      <ability>L2_Punc</ability>
      <abilityName>标点符号检查</abilityName>
      <candidateList>
        <item>：</item>
      </candidateList>
      <explain/>
      <paraID>7ABB02E2</paraID>
      <start>16</start>
      <end>19</end>
      <status>ignored</status>
      <modifiedWord/>
      <trackRevisions>false</trackRevisions>
    </reviewItem>
    <reviewItem>
      <errorID>efdf8a69-54c4-4851-93c7-0ad61ea0a8be</errorID>
      <errorWord>:/。</errorWord>
      <group>L1_Punc</group>
      <groupName>标点问题</groupName>
      <ability>L2_Punc</ability>
      <abilityName>标点符号检查</abilityName>
      <candidateList>
        <item>:</item>
      </candidateList>
      <explain/>
      <paraID>59848F8D</paraID>
      <start>7</start>
      <end>10</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08e6f9-2ab5-447b-b23a-1d6a65797b1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154</Pages>
  <Words>83060</Words>
  <Characters>87531</Characters>
  <Lines>861</Lines>
  <Paragraphs>242</Paragraphs>
  <TotalTime>10</TotalTime>
  <ScaleCrop>false</ScaleCrop>
  <LinksUpToDate>false</LinksUpToDate>
  <CharactersWithSpaces>91983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2023-01-02T18:53:00Z</dcterms:created>
  <dc:creator>Administrator</dc:creator>
  <cp:lastModifiedBy>用户</cp:lastModifiedBy>
  <cp:lastPrinted>2026-04-28T12:27:00Z</cp:lastPrinted>
  <dcterms:modified xsi:type="dcterms:W3CDTF">2026-05-18T04:53:38Z</dcterms:modified>
  <cp:revision>279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85313A2820C640CAA3B4A8F95A4B0D20_13</vt:lpwstr>
  </property>
  <property fmtid="{D5CDD505-2E9C-101B-9397-08002B2CF9AE}" pid="4" name="KSOTemplateDocerSaveRecord">
    <vt:lpwstr>eyJoZGlkIjoiNjYxNGMxOWE1NmJmNjE2NWUxMWZiOTdlYWFjMjI2YjIiLCJ1c2VySWQiOiIyNDA5MzM3NzAifQ==</vt:lpwstr>
  </property>
</Properties>
</file>