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45D9A2">
      <w:pPr>
        <w:spacing w:line="720" w:lineRule="exact"/>
        <w:ind w:firstLine="0" w:firstLineChars="0"/>
        <w:jc w:val="center"/>
        <w:rPr>
          <w:rFonts w:ascii="华文新魏" w:eastAsia="华文新魏"/>
          <w:b/>
          <w:bCs/>
          <w:color w:val="auto"/>
          <w:kern w:val="0"/>
          <w:sz w:val="60"/>
          <w:szCs w:val="60"/>
          <w:highlight w:val="none"/>
        </w:rPr>
      </w:pPr>
      <w:bookmarkStart w:id="0" w:name="_Toc82016587"/>
    </w:p>
    <w:p w14:paraId="4AC7D2B8">
      <w:pPr>
        <w:spacing w:line="720" w:lineRule="exact"/>
        <w:ind w:firstLine="0" w:firstLineChars="0"/>
        <w:jc w:val="center"/>
        <w:rPr>
          <w:rFonts w:ascii="文鼎中隶简" w:eastAsia="文鼎中隶简"/>
          <w:color w:val="auto"/>
          <w:kern w:val="0"/>
          <w:sz w:val="60"/>
          <w:szCs w:val="60"/>
          <w:highlight w:val="none"/>
        </w:rPr>
      </w:pPr>
      <w:r>
        <w:rPr>
          <w:rFonts w:hint="eastAsia" w:ascii="华文新魏" w:eastAsia="华文新魏"/>
          <w:b/>
          <w:bCs/>
          <w:color w:val="auto"/>
          <w:kern w:val="0"/>
          <w:sz w:val="60"/>
          <w:szCs w:val="60"/>
          <w:highlight w:val="none"/>
        </w:rPr>
        <w:t>云之龙咨询集团有限公司</w:t>
      </w:r>
    </w:p>
    <w:p w14:paraId="1D7A49FA">
      <w:pPr>
        <w:spacing w:line="720" w:lineRule="exact"/>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133879D1">
      <w:pPr>
        <w:spacing w:line="1000" w:lineRule="exact"/>
        <w:ind w:firstLine="1440"/>
        <w:jc w:val="center"/>
        <w:rPr>
          <w:color w:val="auto"/>
          <w:kern w:val="0"/>
          <w:sz w:val="72"/>
          <w:highlight w:val="none"/>
        </w:rPr>
      </w:pPr>
    </w:p>
    <w:p w14:paraId="592B95BE">
      <w:pPr>
        <w:spacing w:line="1000" w:lineRule="exact"/>
        <w:ind w:firstLine="1440"/>
        <w:jc w:val="center"/>
        <w:rPr>
          <w:color w:val="auto"/>
          <w:highlight w:val="none"/>
        </w:rPr>
      </w:pPr>
      <w:r>
        <w:rPr>
          <w:rFonts w:hint="eastAsia"/>
          <w:color w:val="auto"/>
          <w:kern w:val="0"/>
          <w:sz w:val="72"/>
          <w:highlight w:val="none"/>
        </w:rPr>
        <w:cr/>
      </w:r>
      <w:r>
        <w:rPr>
          <w:rFonts w:hint="eastAsia" w:ascii="楷体_GB2312" w:eastAsia="楷体_GB2312"/>
          <w:b/>
          <w:color w:val="auto"/>
          <w:kern w:val="0"/>
          <w:sz w:val="84"/>
          <w:szCs w:val="84"/>
          <w:highlight w:val="none"/>
        </w:rPr>
        <w:t>竞争性谈判文件</w:t>
      </w:r>
      <w:r>
        <w:rPr>
          <w:rFonts w:hint="eastAsia" w:ascii="楷体_GB2312" w:eastAsia="楷体_GB2312"/>
          <w:b/>
          <w:color w:val="auto"/>
          <w:kern w:val="0"/>
          <w:sz w:val="84"/>
          <w:szCs w:val="84"/>
          <w:highlight w:val="none"/>
        </w:rPr>
        <w:cr/>
      </w:r>
      <w:r>
        <w:rPr>
          <w:rFonts w:hint="eastAsia" w:ascii="楷体_GB2312" w:eastAsia="楷体_GB2312"/>
          <w:b/>
          <w:color w:val="auto"/>
          <w:kern w:val="0"/>
          <w:sz w:val="84"/>
          <w:szCs w:val="84"/>
          <w:highlight w:val="none"/>
        </w:rPr>
        <w:cr/>
      </w:r>
    </w:p>
    <w:p w14:paraId="3A6BC8DF">
      <w:pPr>
        <w:ind w:left="2871" w:leftChars="527" w:hanging="1606" w:hangingChars="500"/>
        <w:rPr>
          <w:rFonts w:hint="eastAsia" w:ascii="宋体" w:hAnsi="宋体" w:cs="宋体"/>
          <w:b/>
          <w:bCs/>
          <w:color w:val="auto"/>
          <w:kern w:val="0"/>
          <w:sz w:val="32"/>
          <w:highlight w:val="none"/>
        </w:rPr>
      </w:pPr>
    </w:p>
    <w:p w14:paraId="1AF96CA1">
      <w:pPr>
        <w:ind w:left="557" w:leftChars="232" w:firstLine="0" w:firstLineChars="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项目名称：</w:t>
      </w:r>
      <w:r>
        <w:rPr>
          <w:rFonts w:hint="eastAsia" w:ascii="宋体" w:hAnsi="宋体" w:cs="宋体"/>
          <w:b/>
          <w:bCs/>
          <w:color w:val="auto"/>
          <w:kern w:val="0"/>
          <w:sz w:val="32"/>
          <w:highlight w:val="none"/>
          <w:lang w:eastAsia="zh-CN"/>
        </w:rPr>
        <w:t>2026年兴安县八一建军节慰问品采购</w:t>
      </w:r>
    </w:p>
    <w:p w14:paraId="7AD0D2BA">
      <w:pPr>
        <w:ind w:firstLine="520" w:firstLineChars="162"/>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项目编号：GLZC2026-J1-250047-YZLZ</w:t>
      </w:r>
    </w:p>
    <w:p w14:paraId="2A549427">
      <w:pPr>
        <w:ind w:left="-2" w:leftChars="-1" w:firstLine="720" w:firstLineChars="300"/>
        <w:rPr>
          <w:rFonts w:hint="eastAsia" w:ascii="宋体" w:hAnsi="宋体" w:cs="宋体"/>
          <w:color w:val="auto"/>
          <w:kern w:val="0"/>
          <w:highlight w:val="none"/>
        </w:rPr>
      </w:pPr>
    </w:p>
    <w:p w14:paraId="61285C70">
      <w:pPr>
        <w:ind w:firstLine="1446" w:firstLineChars="450"/>
        <w:jc w:val="center"/>
        <w:rPr>
          <w:rFonts w:hint="eastAsia" w:ascii="宋体" w:hAnsi="宋体" w:cs="宋体"/>
          <w:b/>
          <w:bCs/>
          <w:color w:val="auto"/>
          <w:kern w:val="0"/>
          <w:sz w:val="32"/>
          <w:highlight w:val="none"/>
        </w:rPr>
      </w:pPr>
    </w:p>
    <w:p w14:paraId="1F8F3B11">
      <w:pPr>
        <w:pStyle w:val="22"/>
        <w:rPr>
          <w:rFonts w:hint="eastAsia" w:ascii="宋体" w:hAnsi="宋体" w:cs="宋体"/>
          <w:b/>
          <w:bCs/>
          <w:color w:val="auto"/>
          <w:sz w:val="32"/>
          <w:highlight w:val="none"/>
        </w:rPr>
      </w:pPr>
    </w:p>
    <w:p w14:paraId="6A1BEBD7">
      <w:pPr>
        <w:pStyle w:val="22"/>
        <w:rPr>
          <w:rFonts w:hint="eastAsia" w:ascii="宋体" w:hAnsi="宋体" w:cs="宋体"/>
          <w:b/>
          <w:bCs/>
          <w:color w:val="auto"/>
          <w:sz w:val="32"/>
          <w:highlight w:val="none"/>
        </w:rPr>
      </w:pPr>
    </w:p>
    <w:p w14:paraId="197A80D0">
      <w:pPr>
        <w:ind w:firstLine="643"/>
        <w:jc w:val="center"/>
        <w:rPr>
          <w:rFonts w:hint="eastAsia" w:ascii="宋体" w:hAnsi="宋体" w:cs="宋体"/>
          <w:b/>
          <w:bCs/>
          <w:color w:val="auto"/>
          <w:kern w:val="0"/>
          <w:sz w:val="32"/>
          <w:highlight w:val="none"/>
        </w:rPr>
      </w:pPr>
      <w:r>
        <w:rPr>
          <w:rFonts w:hint="eastAsia" w:ascii="宋体" w:hAnsi="宋体" w:cs="宋体"/>
          <w:b/>
          <w:bCs/>
          <w:color w:val="auto"/>
          <w:kern w:val="0"/>
          <w:sz w:val="32"/>
          <w:highlight w:val="none"/>
        </w:rPr>
        <w:t>采购代理机构：云之龙咨询集团有限公司</w:t>
      </w:r>
    </w:p>
    <w:p w14:paraId="68F88417">
      <w:pPr>
        <w:ind w:firstLine="643"/>
        <w:jc w:val="center"/>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 xml:space="preserve"> </w:t>
      </w:r>
      <w:r>
        <w:rPr>
          <w:rFonts w:hint="eastAsia" w:ascii="宋体" w:hAnsi="宋体" w:cs="宋体"/>
          <w:b/>
          <w:bCs/>
          <w:color w:val="auto"/>
          <w:kern w:val="0"/>
          <w:sz w:val="32"/>
          <w:highlight w:val="none"/>
          <w:lang w:eastAsia="zh-CN"/>
        </w:rPr>
        <w:t>2026年</w:t>
      </w:r>
      <w:r>
        <w:rPr>
          <w:rFonts w:hint="eastAsia" w:ascii="宋体" w:hAnsi="宋体" w:cs="宋体"/>
          <w:b/>
          <w:bCs/>
          <w:color w:val="auto"/>
          <w:kern w:val="0"/>
          <w:sz w:val="32"/>
          <w:highlight w:val="none"/>
          <w:lang w:val="en-US" w:eastAsia="zh-CN"/>
        </w:rPr>
        <w:t>7</w:t>
      </w:r>
      <w:r>
        <w:rPr>
          <w:rFonts w:hint="eastAsia" w:ascii="宋体" w:hAnsi="宋体" w:cs="宋体"/>
          <w:b/>
          <w:bCs/>
          <w:color w:val="auto"/>
          <w:kern w:val="0"/>
          <w:sz w:val="32"/>
          <w:highlight w:val="none"/>
          <w:lang w:eastAsia="zh-CN"/>
        </w:rPr>
        <w:t>月</w:t>
      </w:r>
      <w:r>
        <w:rPr>
          <w:rFonts w:hint="eastAsia" w:ascii="宋体" w:hAnsi="宋体" w:cs="宋体"/>
          <w:b/>
          <w:bCs/>
          <w:color w:val="auto"/>
          <w:kern w:val="0"/>
          <w:sz w:val="32"/>
          <w:highlight w:val="none"/>
          <w:lang w:val="en-US" w:eastAsia="zh-CN"/>
        </w:rPr>
        <w:t>3</w:t>
      </w:r>
      <w:r>
        <w:rPr>
          <w:rFonts w:hint="eastAsia" w:ascii="宋体" w:hAnsi="宋体" w:cs="宋体"/>
          <w:b/>
          <w:bCs/>
          <w:color w:val="auto"/>
          <w:kern w:val="0"/>
          <w:sz w:val="32"/>
          <w:highlight w:val="none"/>
          <w:lang w:eastAsia="zh-CN"/>
        </w:rPr>
        <w:t>日</w:t>
      </w:r>
    </w:p>
    <w:p w14:paraId="3BE63F5C">
      <w:pPr>
        <w:pStyle w:val="24"/>
        <w:spacing w:line="420" w:lineRule="exact"/>
        <w:rPr>
          <w:rFonts w:hint="eastAsia" w:hAnsi="宋体" w:cs="宋体"/>
          <w:color w:val="auto"/>
          <w:sz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start="0"/>
          <w:cols w:space="720" w:num="1"/>
          <w:titlePg/>
          <w:docGrid w:linePitch="331" w:charSpace="0"/>
        </w:sectPr>
      </w:pPr>
    </w:p>
    <w:p w14:paraId="5083ABF9">
      <w:pPr>
        <w:pStyle w:val="24"/>
        <w:spacing w:line="420" w:lineRule="exact"/>
        <w:jc w:val="center"/>
        <w:rPr>
          <w:rFonts w:hint="eastAsia" w:ascii="黑体" w:hAnsi="黑体" w:eastAsia="黑体" w:cs="宋体"/>
          <w:color w:val="auto"/>
          <w:sz w:val="44"/>
          <w:highlight w:val="none"/>
        </w:rPr>
      </w:pPr>
    </w:p>
    <w:p w14:paraId="53D82E3E">
      <w:pPr>
        <w:pStyle w:val="24"/>
        <w:spacing w:line="420" w:lineRule="exact"/>
        <w:jc w:val="center"/>
        <w:rPr>
          <w:rFonts w:hint="eastAsia" w:ascii="黑体" w:hAnsi="黑体" w:eastAsia="黑体" w:cs="宋体"/>
          <w:color w:val="auto"/>
          <w:sz w:val="44"/>
          <w:highlight w:val="none"/>
        </w:rPr>
      </w:pPr>
      <w:r>
        <w:rPr>
          <w:rFonts w:hint="eastAsia" w:ascii="黑体" w:hAnsi="黑体" w:eastAsia="黑体" w:cs="宋体"/>
          <w:color w:val="auto"/>
          <w:sz w:val="44"/>
          <w:highlight w:val="none"/>
        </w:rPr>
        <w:t>目     录</w:t>
      </w:r>
    </w:p>
    <w:p w14:paraId="3DC627E9">
      <w:pPr>
        <w:pStyle w:val="24"/>
        <w:tabs>
          <w:tab w:val="left" w:pos="8860"/>
          <w:tab w:val="left" w:pos="9140"/>
        </w:tabs>
        <w:rPr>
          <w:rFonts w:hint="eastAsia" w:hAnsi="宋体" w:cs="宋体"/>
          <w:color w:val="auto"/>
          <w:sz w:val="32"/>
          <w:highlight w:val="none"/>
        </w:rPr>
      </w:pPr>
    </w:p>
    <w:p w14:paraId="0487B86A">
      <w:pPr>
        <w:pStyle w:val="23"/>
        <w:tabs>
          <w:tab w:val="right" w:leader="dot" w:pos="9288"/>
        </w:tabs>
        <w:ind w:left="0" w:leftChars="0"/>
        <w:rPr>
          <w:rFonts w:hint="eastAsia" w:ascii="黑体" w:hAnsi="黑体" w:eastAsia="黑体"/>
          <w:color w:val="auto"/>
          <w:sz w:val="28"/>
          <w:szCs w:val="28"/>
          <w:highlight w:val="none"/>
        </w:rPr>
      </w:pPr>
    </w:p>
    <w:p w14:paraId="6BB9E1AE">
      <w:pPr>
        <w:pStyle w:val="30"/>
        <w:tabs>
          <w:tab w:val="right" w:leader="dot" w:pos="9288"/>
        </w:tabs>
        <w:rPr>
          <w:rFonts w:hint="eastAsia" w:ascii="宋体" w:hAnsi="宋体"/>
          <w:b w:val="0"/>
          <w:color w:val="auto"/>
          <w:sz w:val="28"/>
          <w:szCs w:val="28"/>
          <w:highlight w:val="none"/>
        </w:rPr>
      </w:pPr>
      <w:r>
        <w:rPr>
          <w:rFonts w:ascii="宋体" w:hAnsi="宋体" w:cs="宋体"/>
          <w:b w:val="0"/>
          <w:color w:val="auto"/>
          <w:sz w:val="28"/>
          <w:szCs w:val="28"/>
          <w:highlight w:val="none"/>
        </w:rPr>
        <w:fldChar w:fldCharType="begin"/>
      </w:r>
      <w:r>
        <w:rPr>
          <w:rFonts w:hint="eastAsia" w:ascii="宋体" w:hAnsi="宋体" w:cs="宋体"/>
          <w:b w:val="0"/>
          <w:color w:val="auto"/>
          <w:sz w:val="28"/>
          <w:szCs w:val="28"/>
          <w:highlight w:val="none"/>
        </w:rPr>
        <w:instrText xml:space="preserve">TOC \o "1-1" \h \z \u</w:instrText>
      </w:r>
      <w:r>
        <w:rPr>
          <w:rFonts w:ascii="宋体" w:hAnsi="宋体" w:cs="宋体"/>
          <w:b w:val="0"/>
          <w:color w:val="auto"/>
          <w:sz w:val="28"/>
          <w:szCs w:val="28"/>
          <w:highlight w:val="none"/>
        </w:rPr>
        <w:fldChar w:fldCharType="separate"/>
      </w:r>
      <w:r>
        <w:rPr>
          <w:color w:val="auto"/>
          <w:highlight w:val="none"/>
        </w:rPr>
        <w:fldChar w:fldCharType="begin"/>
      </w:r>
      <w:r>
        <w:rPr>
          <w:color w:val="auto"/>
          <w:highlight w:val="none"/>
        </w:rPr>
        <w:instrText xml:space="preserve"> HYPERLINK \l "_Toc155531032" </w:instrText>
      </w:r>
      <w:r>
        <w:rPr>
          <w:color w:val="auto"/>
          <w:highlight w:val="none"/>
        </w:rPr>
        <w:fldChar w:fldCharType="separate"/>
      </w:r>
      <w:r>
        <w:rPr>
          <w:rStyle w:val="50"/>
          <w:rFonts w:ascii="宋体" w:hAnsi="宋体"/>
          <w:color w:val="auto"/>
          <w:kern w:val="0"/>
          <w:sz w:val="28"/>
          <w:szCs w:val="28"/>
          <w:highlight w:val="none"/>
        </w:rPr>
        <w:t>第一章  竞争性谈判公告</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_Toc155531032 \h </w:instrText>
      </w:r>
      <w:r>
        <w:rPr>
          <w:rFonts w:ascii="宋体" w:hAnsi="宋体"/>
          <w:color w:val="auto"/>
          <w:sz w:val="28"/>
          <w:szCs w:val="28"/>
          <w:highlight w:val="none"/>
        </w:rPr>
        <w:fldChar w:fldCharType="separate"/>
      </w:r>
      <w:r>
        <w:rPr>
          <w:rFonts w:ascii="宋体" w:hAnsi="宋体"/>
          <w:color w:val="auto"/>
          <w:sz w:val="28"/>
          <w:szCs w:val="28"/>
          <w:highlight w:val="none"/>
        </w:rPr>
        <w:t>2</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1B368DC1">
      <w:pPr>
        <w:pStyle w:val="30"/>
        <w:tabs>
          <w:tab w:val="right" w:leader="dot" w:pos="9288"/>
        </w:tabs>
        <w:rPr>
          <w:rFonts w:hint="eastAsia" w:ascii="宋体" w:hAnsi="宋体"/>
          <w:b w:val="0"/>
          <w:color w:val="auto"/>
          <w:sz w:val="28"/>
          <w:szCs w:val="28"/>
          <w:highlight w:val="none"/>
        </w:rPr>
      </w:pPr>
      <w:r>
        <w:rPr>
          <w:color w:val="auto"/>
          <w:highlight w:val="none"/>
        </w:rPr>
        <w:fldChar w:fldCharType="begin"/>
      </w:r>
      <w:r>
        <w:rPr>
          <w:color w:val="auto"/>
          <w:highlight w:val="none"/>
        </w:rPr>
        <w:instrText xml:space="preserve"> HYPERLINK \l "_Toc155531033" </w:instrText>
      </w:r>
      <w:r>
        <w:rPr>
          <w:color w:val="auto"/>
          <w:highlight w:val="none"/>
        </w:rPr>
        <w:fldChar w:fldCharType="separate"/>
      </w:r>
      <w:r>
        <w:rPr>
          <w:rStyle w:val="50"/>
          <w:rFonts w:ascii="宋体" w:hAnsi="宋体"/>
          <w:color w:val="auto"/>
          <w:kern w:val="0"/>
          <w:sz w:val="28"/>
          <w:szCs w:val="28"/>
          <w:highlight w:val="none"/>
        </w:rPr>
        <w:t>第二章  供应商须知</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_Toc155531033 \h </w:instrText>
      </w:r>
      <w:r>
        <w:rPr>
          <w:rFonts w:ascii="宋体" w:hAnsi="宋体"/>
          <w:color w:val="auto"/>
          <w:sz w:val="28"/>
          <w:szCs w:val="28"/>
          <w:highlight w:val="none"/>
        </w:rPr>
        <w:fldChar w:fldCharType="separate"/>
      </w:r>
      <w:r>
        <w:rPr>
          <w:rFonts w:ascii="宋体" w:hAnsi="宋体"/>
          <w:color w:val="auto"/>
          <w:sz w:val="28"/>
          <w:szCs w:val="28"/>
          <w:highlight w:val="none"/>
        </w:rPr>
        <w:t>5</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5EC3F513">
      <w:pPr>
        <w:pStyle w:val="30"/>
        <w:tabs>
          <w:tab w:val="right" w:leader="dot" w:pos="9288"/>
        </w:tabs>
        <w:rPr>
          <w:rFonts w:hint="eastAsia" w:ascii="宋体" w:hAnsi="宋体"/>
          <w:b w:val="0"/>
          <w:color w:val="auto"/>
          <w:sz w:val="28"/>
          <w:szCs w:val="28"/>
          <w:highlight w:val="none"/>
        </w:rPr>
      </w:pPr>
      <w:r>
        <w:rPr>
          <w:color w:val="auto"/>
          <w:highlight w:val="none"/>
        </w:rPr>
        <w:fldChar w:fldCharType="begin"/>
      </w:r>
      <w:r>
        <w:rPr>
          <w:color w:val="auto"/>
          <w:highlight w:val="none"/>
        </w:rPr>
        <w:instrText xml:space="preserve"> HYPERLINK \l "_Toc155531034" </w:instrText>
      </w:r>
      <w:r>
        <w:rPr>
          <w:color w:val="auto"/>
          <w:highlight w:val="none"/>
        </w:rPr>
        <w:fldChar w:fldCharType="separate"/>
      </w:r>
      <w:r>
        <w:rPr>
          <w:rStyle w:val="50"/>
          <w:rFonts w:ascii="宋体" w:hAnsi="宋体"/>
          <w:color w:val="auto"/>
          <w:sz w:val="28"/>
          <w:szCs w:val="28"/>
          <w:highlight w:val="none"/>
        </w:rPr>
        <w:t>第三章  采购需求</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_Toc155531034 \h </w:instrText>
      </w:r>
      <w:r>
        <w:rPr>
          <w:rFonts w:ascii="宋体" w:hAnsi="宋体"/>
          <w:color w:val="auto"/>
          <w:sz w:val="28"/>
          <w:szCs w:val="28"/>
          <w:highlight w:val="none"/>
        </w:rPr>
        <w:fldChar w:fldCharType="separate"/>
      </w:r>
      <w:r>
        <w:rPr>
          <w:rFonts w:ascii="宋体" w:hAnsi="宋体"/>
          <w:color w:val="auto"/>
          <w:sz w:val="28"/>
          <w:szCs w:val="28"/>
          <w:highlight w:val="none"/>
        </w:rPr>
        <w:t>29</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36A8D1AB">
      <w:pPr>
        <w:pStyle w:val="30"/>
        <w:tabs>
          <w:tab w:val="right" w:leader="dot" w:pos="9288"/>
        </w:tabs>
        <w:rPr>
          <w:rFonts w:hint="eastAsia" w:ascii="宋体" w:hAnsi="宋体" w:eastAsia="宋体"/>
          <w:b w:val="0"/>
          <w:color w:val="auto"/>
          <w:sz w:val="28"/>
          <w:szCs w:val="28"/>
          <w:highlight w:val="none"/>
          <w:lang w:eastAsia="zh-CN"/>
        </w:rPr>
      </w:pPr>
      <w:r>
        <w:rPr>
          <w:color w:val="auto"/>
          <w:highlight w:val="none"/>
        </w:rPr>
        <w:fldChar w:fldCharType="begin"/>
      </w:r>
      <w:r>
        <w:rPr>
          <w:color w:val="auto"/>
          <w:highlight w:val="none"/>
        </w:rPr>
        <w:instrText xml:space="preserve"> HYPERLINK \l "_Toc155531035" </w:instrText>
      </w:r>
      <w:r>
        <w:rPr>
          <w:color w:val="auto"/>
          <w:highlight w:val="none"/>
        </w:rPr>
        <w:fldChar w:fldCharType="separate"/>
      </w:r>
      <w:r>
        <w:rPr>
          <w:rStyle w:val="50"/>
          <w:rFonts w:ascii="宋体" w:hAnsi="宋体"/>
          <w:color w:val="auto"/>
          <w:kern w:val="0"/>
          <w:sz w:val="28"/>
          <w:szCs w:val="28"/>
          <w:highlight w:val="none"/>
        </w:rPr>
        <w:t>第四章  评审办法</w:t>
      </w:r>
      <w:r>
        <w:rPr>
          <w:rFonts w:ascii="宋体" w:hAnsi="宋体"/>
          <w:color w:val="auto"/>
          <w:sz w:val="28"/>
          <w:szCs w:val="28"/>
          <w:highlight w:val="none"/>
        </w:rPr>
        <w:tab/>
      </w:r>
      <w:r>
        <w:rPr>
          <w:rFonts w:hint="eastAsia" w:ascii="宋体" w:hAnsi="宋体"/>
          <w:color w:val="auto"/>
          <w:sz w:val="28"/>
          <w:szCs w:val="28"/>
          <w:highlight w:val="none"/>
        </w:rPr>
        <w:t>3</w:t>
      </w:r>
      <w:r>
        <w:rPr>
          <w:rFonts w:hint="eastAsia" w:ascii="宋体" w:hAnsi="宋体"/>
          <w:color w:val="auto"/>
          <w:sz w:val="28"/>
          <w:szCs w:val="28"/>
          <w:highlight w:val="none"/>
        </w:rPr>
        <w:fldChar w:fldCharType="end"/>
      </w:r>
      <w:r>
        <w:rPr>
          <w:rStyle w:val="50"/>
          <w:rFonts w:hint="eastAsia" w:ascii="宋体" w:hAnsi="宋体"/>
          <w:color w:val="auto"/>
          <w:sz w:val="28"/>
          <w:szCs w:val="28"/>
          <w:highlight w:val="none"/>
          <w:lang w:val="en-US" w:eastAsia="zh-CN"/>
        </w:rPr>
        <w:t>6</w:t>
      </w:r>
    </w:p>
    <w:p w14:paraId="3765D2D4">
      <w:pPr>
        <w:pStyle w:val="30"/>
        <w:tabs>
          <w:tab w:val="right" w:leader="dot" w:pos="9288"/>
        </w:tabs>
        <w:rPr>
          <w:rFonts w:hint="eastAsia" w:ascii="宋体" w:hAnsi="宋体" w:eastAsia="宋体"/>
          <w:b w:val="0"/>
          <w:color w:val="auto"/>
          <w:sz w:val="28"/>
          <w:szCs w:val="28"/>
          <w:highlight w:val="none"/>
          <w:lang w:eastAsia="zh-CN"/>
        </w:rPr>
      </w:pPr>
      <w:r>
        <w:rPr>
          <w:color w:val="auto"/>
          <w:highlight w:val="none"/>
        </w:rPr>
        <w:fldChar w:fldCharType="begin"/>
      </w:r>
      <w:r>
        <w:rPr>
          <w:color w:val="auto"/>
          <w:highlight w:val="none"/>
        </w:rPr>
        <w:instrText xml:space="preserve"> HYPERLINK \l "_Toc155531036" </w:instrText>
      </w:r>
      <w:r>
        <w:rPr>
          <w:color w:val="auto"/>
          <w:highlight w:val="none"/>
        </w:rPr>
        <w:fldChar w:fldCharType="separate"/>
      </w:r>
      <w:r>
        <w:rPr>
          <w:rStyle w:val="50"/>
          <w:rFonts w:ascii="宋体" w:hAnsi="宋体"/>
          <w:color w:val="auto"/>
          <w:kern w:val="0"/>
          <w:sz w:val="28"/>
          <w:szCs w:val="28"/>
          <w:highlight w:val="none"/>
        </w:rPr>
        <w:t xml:space="preserve">第五章  </w:t>
      </w:r>
      <w:r>
        <w:rPr>
          <w:rStyle w:val="50"/>
          <w:rFonts w:ascii="宋体" w:hAnsi="宋体"/>
          <w:color w:val="auto"/>
          <w:sz w:val="28"/>
          <w:szCs w:val="28"/>
          <w:highlight w:val="none"/>
        </w:rPr>
        <w:t>政府采购合同（合同主要条款及格式）</w:t>
      </w:r>
      <w:r>
        <w:rPr>
          <w:rFonts w:ascii="宋体" w:hAnsi="宋体"/>
          <w:color w:val="auto"/>
          <w:sz w:val="28"/>
          <w:szCs w:val="28"/>
          <w:highlight w:val="none"/>
        </w:rPr>
        <w:tab/>
      </w:r>
      <w:r>
        <w:rPr>
          <w:rFonts w:ascii="宋体" w:hAnsi="宋体"/>
          <w:color w:val="auto"/>
          <w:sz w:val="28"/>
          <w:szCs w:val="28"/>
          <w:highlight w:val="none"/>
        </w:rPr>
        <w:fldChar w:fldCharType="end"/>
      </w:r>
      <w:r>
        <w:rPr>
          <w:rStyle w:val="50"/>
          <w:rFonts w:hint="eastAsia" w:ascii="宋体" w:hAnsi="宋体"/>
          <w:color w:val="auto"/>
          <w:sz w:val="28"/>
          <w:szCs w:val="28"/>
          <w:highlight w:val="none"/>
        </w:rPr>
        <w:t>3</w:t>
      </w:r>
      <w:r>
        <w:rPr>
          <w:rStyle w:val="50"/>
          <w:rFonts w:hint="eastAsia" w:ascii="宋体" w:hAnsi="宋体"/>
          <w:color w:val="auto"/>
          <w:sz w:val="28"/>
          <w:szCs w:val="28"/>
          <w:highlight w:val="none"/>
          <w:lang w:val="en-US" w:eastAsia="zh-CN"/>
        </w:rPr>
        <w:t>8</w:t>
      </w:r>
    </w:p>
    <w:p w14:paraId="7A2BCC95">
      <w:pPr>
        <w:pStyle w:val="30"/>
        <w:tabs>
          <w:tab w:val="right" w:leader="dot" w:pos="9288"/>
        </w:tabs>
        <w:rPr>
          <w:rFonts w:hint="default" w:ascii="宋体" w:hAnsi="宋体" w:eastAsia="宋体"/>
          <w:b w:val="0"/>
          <w:color w:val="auto"/>
          <w:sz w:val="28"/>
          <w:szCs w:val="28"/>
          <w:highlight w:val="none"/>
          <w:lang w:val="en-US" w:eastAsia="zh-CN"/>
        </w:rPr>
      </w:pPr>
      <w:r>
        <w:rPr>
          <w:color w:val="auto"/>
          <w:highlight w:val="none"/>
        </w:rPr>
        <w:fldChar w:fldCharType="begin"/>
      </w:r>
      <w:r>
        <w:rPr>
          <w:color w:val="auto"/>
          <w:highlight w:val="none"/>
        </w:rPr>
        <w:instrText xml:space="preserve"> HYPERLINK \l "_Toc155531037" </w:instrText>
      </w:r>
      <w:r>
        <w:rPr>
          <w:color w:val="auto"/>
          <w:highlight w:val="none"/>
        </w:rPr>
        <w:fldChar w:fldCharType="separate"/>
      </w:r>
      <w:r>
        <w:rPr>
          <w:rStyle w:val="50"/>
          <w:rFonts w:ascii="宋体" w:hAnsi="宋体"/>
          <w:color w:val="auto"/>
          <w:kern w:val="0"/>
          <w:sz w:val="28"/>
          <w:szCs w:val="28"/>
          <w:highlight w:val="none"/>
        </w:rPr>
        <w:t>第六章  响应文件（格式）</w:t>
      </w:r>
      <w:r>
        <w:rPr>
          <w:rFonts w:ascii="宋体" w:hAnsi="宋体"/>
          <w:color w:val="auto"/>
          <w:sz w:val="28"/>
          <w:szCs w:val="28"/>
          <w:highlight w:val="none"/>
        </w:rPr>
        <w:tab/>
      </w:r>
      <w:r>
        <w:rPr>
          <w:rFonts w:ascii="宋体" w:hAnsi="宋体"/>
          <w:color w:val="auto"/>
          <w:sz w:val="28"/>
          <w:szCs w:val="28"/>
          <w:highlight w:val="none"/>
        </w:rPr>
        <w:fldChar w:fldCharType="end"/>
      </w:r>
      <w:r>
        <w:rPr>
          <w:rStyle w:val="50"/>
          <w:rFonts w:hint="eastAsia" w:ascii="宋体" w:hAnsi="宋体"/>
          <w:color w:val="auto"/>
          <w:sz w:val="28"/>
          <w:szCs w:val="28"/>
          <w:highlight w:val="none"/>
          <w:lang w:val="en-US" w:eastAsia="zh-CN"/>
        </w:rPr>
        <w:t>42</w:t>
      </w:r>
    </w:p>
    <w:p w14:paraId="02038A5B">
      <w:pPr>
        <w:pStyle w:val="24"/>
        <w:tabs>
          <w:tab w:val="left" w:pos="8860"/>
          <w:tab w:val="left" w:pos="9140"/>
        </w:tabs>
        <w:spacing w:line="360" w:lineRule="auto"/>
        <w:rPr>
          <w:rFonts w:hint="eastAsia" w:hAnsi="宋体" w:cs="宋体"/>
          <w:color w:val="auto"/>
          <w:sz w:val="32"/>
          <w:highlight w:val="none"/>
        </w:rPr>
      </w:pPr>
      <w:r>
        <w:rPr>
          <w:rFonts w:ascii="宋体" w:hAnsi="宋体" w:cs="宋体"/>
          <w:color w:val="auto"/>
          <w:sz w:val="28"/>
          <w:szCs w:val="28"/>
          <w:highlight w:val="none"/>
        </w:rPr>
        <w:fldChar w:fldCharType="end"/>
      </w:r>
    </w:p>
    <w:p w14:paraId="0B689A21">
      <w:pPr>
        <w:pStyle w:val="24"/>
        <w:tabs>
          <w:tab w:val="left" w:pos="8860"/>
          <w:tab w:val="left" w:pos="9140"/>
        </w:tabs>
        <w:spacing w:line="520" w:lineRule="exact"/>
        <w:ind w:firstLine="737"/>
        <w:rPr>
          <w:rFonts w:hint="eastAsia" w:hAnsi="宋体" w:cs="宋体"/>
          <w:color w:val="auto"/>
          <w:szCs w:val="21"/>
          <w:highlight w:val="none"/>
        </w:rPr>
      </w:pPr>
    </w:p>
    <w:p w14:paraId="5777F20D">
      <w:pPr>
        <w:ind w:firstLine="3120" w:firstLineChars="1300"/>
        <w:rPr>
          <w:color w:val="auto"/>
          <w:kern w:val="0"/>
          <w:szCs w:val="21"/>
          <w:highlight w:val="none"/>
        </w:rPr>
      </w:pPr>
    </w:p>
    <w:p w14:paraId="69D9EA20">
      <w:pPr>
        <w:ind w:firstLine="3120" w:firstLineChars="1300"/>
        <w:rPr>
          <w:color w:val="auto"/>
          <w:kern w:val="0"/>
          <w:szCs w:val="21"/>
          <w:highlight w:val="none"/>
        </w:rPr>
      </w:pPr>
    </w:p>
    <w:p w14:paraId="073FBD79">
      <w:pPr>
        <w:ind w:firstLine="3120" w:firstLineChars="1300"/>
        <w:rPr>
          <w:color w:val="auto"/>
          <w:kern w:val="0"/>
          <w:szCs w:val="21"/>
          <w:highlight w:val="none"/>
        </w:rPr>
      </w:pPr>
    </w:p>
    <w:p w14:paraId="17A3F85B">
      <w:pPr>
        <w:ind w:firstLine="3120" w:firstLineChars="1300"/>
        <w:rPr>
          <w:color w:val="auto"/>
          <w:kern w:val="0"/>
          <w:szCs w:val="21"/>
          <w:highlight w:val="none"/>
        </w:rPr>
      </w:pPr>
    </w:p>
    <w:p w14:paraId="175806B5">
      <w:pPr>
        <w:ind w:firstLine="3120" w:firstLineChars="1300"/>
        <w:rPr>
          <w:color w:val="auto"/>
          <w:kern w:val="0"/>
          <w:szCs w:val="21"/>
          <w:highlight w:val="none"/>
        </w:rPr>
      </w:pPr>
    </w:p>
    <w:p w14:paraId="4C7EA722">
      <w:pPr>
        <w:ind w:firstLine="3120" w:firstLineChars="1300"/>
        <w:rPr>
          <w:color w:val="auto"/>
          <w:kern w:val="0"/>
          <w:szCs w:val="21"/>
          <w:highlight w:val="none"/>
        </w:rPr>
      </w:pPr>
    </w:p>
    <w:p w14:paraId="67990BE9">
      <w:pPr>
        <w:ind w:firstLine="3120" w:firstLineChars="1300"/>
        <w:rPr>
          <w:color w:val="auto"/>
          <w:kern w:val="0"/>
          <w:szCs w:val="21"/>
          <w:highlight w:val="none"/>
        </w:rPr>
      </w:pPr>
    </w:p>
    <w:p w14:paraId="64EDD7D9">
      <w:pPr>
        <w:ind w:firstLine="3120" w:firstLineChars="1300"/>
        <w:rPr>
          <w:color w:val="auto"/>
          <w:kern w:val="0"/>
          <w:szCs w:val="21"/>
          <w:highlight w:val="none"/>
        </w:rPr>
      </w:pPr>
    </w:p>
    <w:p w14:paraId="66338B8C">
      <w:pPr>
        <w:ind w:firstLine="3120" w:firstLineChars="1300"/>
        <w:rPr>
          <w:color w:val="auto"/>
          <w:kern w:val="0"/>
          <w:szCs w:val="21"/>
          <w:highlight w:val="none"/>
        </w:rPr>
      </w:pPr>
    </w:p>
    <w:p w14:paraId="77571A00">
      <w:pPr>
        <w:ind w:firstLine="3120" w:firstLineChars="1300"/>
        <w:rPr>
          <w:color w:val="auto"/>
          <w:kern w:val="0"/>
          <w:szCs w:val="21"/>
          <w:highlight w:val="none"/>
        </w:rPr>
      </w:pPr>
    </w:p>
    <w:p w14:paraId="7D4A846D">
      <w:pPr>
        <w:ind w:firstLine="3120" w:firstLineChars="1300"/>
        <w:rPr>
          <w:color w:val="auto"/>
          <w:kern w:val="0"/>
          <w:szCs w:val="21"/>
          <w:highlight w:val="none"/>
        </w:rPr>
      </w:pPr>
    </w:p>
    <w:p w14:paraId="78102F04">
      <w:pPr>
        <w:ind w:firstLine="3120" w:firstLineChars="1300"/>
        <w:rPr>
          <w:color w:val="auto"/>
          <w:kern w:val="0"/>
          <w:szCs w:val="21"/>
          <w:highlight w:val="none"/>
        </w:rPr>
      </w:pPr>
    </w:p>
    <w:p w14:paraId="69BA70FD">
      <w:pPr>
        <w:ind w:firstLine="3120" w:firstLineChars="1300"/>
        <w:rPr>
          <w:color w:val="auto"/>
          <w:kern w:val="0"/>
          <w:szCs w:val="21"/>
          <w:highlight w:val="none"/>
        </w:rPr>
      </w:pPr>
    </w:p>
    <w:p w14:paraId="64872B7B">
      <w:pPr>
        <w:ind w:firstLine="3120" w:firstLineChars="1300"/>
        <w:rPr>
          <w:color w:val="auto"/>
          <w:kern w:val="0"/>
          <w:szCs w:val="21"/>
          <w:highlight w:val="none"/>
        </w:rPr>
      </w:pPr>
    </w:p>
    <w:p w14:paraId="64E13618">
      <w:pPr>
        <w:pStyle w:val="22"/>
        <w:rPr>
          <w:color w:val="auto"/>
          <w:highlight w:val="none"/>
        </w:rPr>
      </w:pPr>
    </w:p>
    <w:p w14:paraId="650625F8">
      <w:pPr>
        <w:ind w:firstLine="3120" w:firstLineChars="1300"/>
        <w:rPr>
          <w:color w:val="auto"/>
          <w:kern w:val="0"/>
          <w:szCs w:val="21"/>
          <w:highlight w:val="none"/>
        </w:rPr>
      </w:pPr>
    </w:p>
    <w:p w14:paraId="4145114D">
      <w:pPr>
        <w:pStyle w:val="22"/>
        <w:rPr>
          <w:color w:val="auto"/>
          <w:highlight w:val="none"/>
        </w:rPr>
      </w:pPr>
    </w:p>
    <w:p w14:paraId="764E284C">
      <w:pPr>
        <w:pStyle w:val="22"/>
        <w:rPr>
          <w:color w:val="auto"/>
          <w:highlight w:val="none"/>
        </w:rPr>
      </w:pPr>
    </w:p>
    <w:p w14:paraId="5B2A3BB8">
      <w:pPr>
        <w:pStyle w:val="22"/>
        <w:rPr>
          <w:color w:val="auto"/>
          <w:highlight w:val="none"/>
        </w:rPr>
      </w:pPr>
    </w:p>
    <w:p w14:paraId="6D9C8864">
      <w:pPr>
        <w:pStyle w:val="22"/>
        <w:rPr>
          <w:color w:val="auto"/>
          <w:highlight w:val="none"/>
        </w:rPr>
      </w:pPr>
    </w:p>
    <w:p w14:paraId="1DC418AC">
      <w:pPr>
        <w:pStyle w:val="40"/>
        <w:rPr>
          <w:color w:val="auto"/>
          <w:kern w:val="0"/>
          <w:highlight w:val="none"/>
        </w:rPr>
      </w:pPr>
      <w:bookmarkStart w:id="1" w:name="_Toc82016584"/>
      <w:bookmarkStart w:id="2" w:name="_Toc155531032"/>
      <w:bookmarkStart w:id="3" w:name="_Toc44405619"/>
      <w:bookmarkStart w:id="4" w:name="_Toc44229878"/>
      <w:r>
        <w:rPr>
          <w:rFonts w:hint="eastAsia"/>
          <w:color w:val="auto"/>
          <w:kern w:val="0"/>
          <w:highlight w:val="none"/>
        </w:rPr>
        <w:t>第一章竞争性谈判公告</w:t>
      </w:r>
      <w:bookmarkEnd w:id="1"/>
      <w:bookmarkEnd w:id="2"/>
    </w:p>
    <w:p w14:paraId="530D34D0">
      <w:pPr>
        <w:spacing w:line="320" w:lineRule="exact"/>
        <w:ind w:firstLine="0" w:firstLineChars="0"/>
        <w:rPr>
          <w:rFonts w:hint="eastAsia" w:ascii="宋体" w:hAnsi="宋体" w:cs="宋体"/>
          <w:color w:val="auto"/>
          <w:sz w:val="21"/>
          <w:szCs w:val="24"/>
          <w:highlight w:val="none"/>
        </w:rPr>
      </w:pPr>
    </w:p>
    <w:p w14:paraId="6D8D973B">
      <w:pPr>
        <w:pBdr>
          <w:top w:val="single" w:color="auto" w:sz="4" w:space="1"/>
          <w:left w:val="single" w:color="auto" w:sz="4" w:space="4"/>
          <w:bottom w:val="single" w:color="auto" w:sz="4" w:space="1"/>
          <w:right w:val="single" w:color="auto" w:sz="4" w:space="4"/>
        </w:pBdr>
        <w:spacing w:line="320" w:lineRule="exact"/>
        <w:ind w:firstLine="420"/>
        <w:rPr>
          <w:rFonts w:hint="eastAsia" w:ascii="宋体" w:hAnsi="宋体" w:cs="宋体"/>
          <w:color w:val="auto"/>
          <w:sz w:val="21"/>
          <w:szCs w:val="24"/>
          <w:highlight w:val="none"/>
        </w:rPr>
      </w:pPr>
      <w:bookmarkStart w:id="5" w:name="_Hlk37430271"/>
      <w:r>
        <w:rPr>
          <w:rFonts w:hint="eastAsia" w:ascii="宋体" w:hAnsi="宋体" w:cs="宋体"/>
          <w:color w:val="auto"/>
          <w:sz w:val="21"/>
          <w:szCs w:val="24"/>
          <w:highlight w:val="none"/>
        </w:rPr>
        <w:t>项目概况</w:t>
      </w:r>
    </w:p>
    <w:p w14:paraId="7B239164">
      <w:pPr>
        <w:pBdr>
          <w:top w:val="single" w:color="auto" w:sz="4" w:space="1"/>
          <w:left w:val="single" w:color="auto" w:sz="4" w:space="4"/>
          <w:bottom w:val="single" w:color="auto" w:sz="4" w:space="1"/>
          <w:right w:val="single" w:color="auto" w:sz="4" w:space="4"/>
        </w:pBdr>
        <w:spacing w:line="320" w:lineRule="exact"/>
        <w:ind w:firstLine="420"/>
        <w:rPr>
          <w:rFonts w:hint="eastAsia" w:ascii="宋体" w:hAnsi="宋体" w:cs="宋体"/>
          <w:color w:val="auto"/>
          <w:sz w:val="21"/>
          <w:szCs w:val="24"/>
          <w:highlight w:val="none"/>
        </w:rPr>
      </w:pPr>
      <w:r>
        <w:rPr>
          <w:rFonts w:hint="eastAsia" w:ascii="宋体" w:hAnsi="宋体" w:cs="宋体"/>
          <w:color w:val="auto"/>
          <w:sz w:val="21"/>
          <w:szCs w:val="24"/>
          <w:highlight w:val="none"/>
          <w:lang w:eastAsia="zh-CN"/>
        </w:rPr>
        <w:t>2026年兴安县八一建军节慰问品采购</w:t>
      </w:r>
      <w:r>
        <w:rPr>
          <w:rFonts w:hint="eastAsia" w:ascii="宋体" w:hAnsi="宋体" w:cs="宋体"/>
          <w:color w:val="auto"/>
          <w:sz w:val="21"/>
          <w:szCs w:val="24"/>
          <w:highlight w:val="none"/>
        </w:rPr>
        <w:t>的潜在供应商应在“广西政府采购云平台”（www.gcy.zfcg.gxzf.gov.cn）获取竞争性谈判文件，并于</w:t>
      </w:r>
      <w:r>
        <w:rPr>
          <w:rFonts w:hint="eastAsia" w:ascii="宋体" w:hAnsi="宋体" w:cs="宋体"/>
          <w:bCs/>
          <w:color w:val="auto"/>
          <w:sz w:val="21"/>
          <w:szCs w:val="21"/>
          <w:highlight w:val="none"/>
          <w:lang w:eastAsia="zh-CN"/>
        </w:rPr>
        <w:t>2026年</w:t>
      </w:r>
      <w:r>
        <w:rPr>
          <w:rFonts w:hint="eastAsia" w:ascii="宋体" w:hAnsi="宋体" w:cs="宋体"/>
          <w:bCs/>
          <w:color w:val="auto"/>
          <w:sz w:val="21"/>
          <w:szCs w:val="21"/>
          <w:highlight w:val="none"/>
          <w:lang w:val="en-US" w:eastAsia="zh-CN"/>
        </w:rPr>
        <w:t>7</w:t>
      </w:r>
      <w:r>
        <w:rPr>
          <w:rFonts w:hint="eastAsia" w:ascii="宋体" w:hAnsi="宋体" w:cs="宋体"/>
          <w:bCs/>
          <w:color w:val="auto"/>
          <w:sz w:val="21"/>
          <w:szCs w:val="21"/>
          <w:highlight w:val="none"/>
          <w:lang w:eastAsia="zh-CN"/>
        </w:rPr>
        <w:t>月</w:t>
      </w:r>
      <w:r>
        <w:rPr>
          <w:rFonts w:hint="eastAsia" w:ascii="宋体" w:hAnsi="宋体" w:cs="宋体"/>
          <w:bCs/>
          <w:color w:val="auto"/>
          <w:sz w:val="21"/>
          <w:szCs w:val="21"/>
          <w:highlight w:val="none"/>
          <w:lang w:val="en-US" w:eastAsia="zh-CN"/>
        </w:rPr>
        <w:t>13</w:t>
      </w:r>
      <w:r>
        <w:rPr>
          <w:rFonts w:hint="eastAsia" w:ascii="宋体" w:hAnsi="宋体" w:cs="宋体"/>
          <w:bCs/>
          <w:color w:val="auto"/>
          <w:sz w:val="21"/>
          <w:szCs w:val="21"/>
          <w:highlight w:val="none"/>
          <w:lang w:eastAsia="zh-CN"/>
        </w:rPr>
        <w:t>日</w:t>
      </w:r>
      <w:r>
        <w:rPr>
          <w:rFonts w:hint="eastAsia" w:ascii="宋体" w:hAnsi="宋体" w:cs="宋体"/>
          <w:color w:val="auto"/>
          <w:sz w:val="21"/>
          <w:szCs w:val="24"/>
          <w:highlight w:val="none"/>
        </w:rPr>
        <w:t>上午9时30分（北京时间）前提交响应文件。</w:t>
      </w:r>
    </w:p>
    <w:bookmarkEnd w:id="5"/>
    <w:p w14:paraId="0A993DDD">
      <w:pPr>
        <w:keepNext/>
        <w:keepLines/>
        <w:spacing w:before="260" w:after="260" w:line="400" w:lineRule="exact"/>
        <w:ind w:firstLine="422"/>
        <w:outlineLvl w:val="1"/>
        <w:rPr>
          <w:rFonts w:hint="eastAsia" w:ascii="宋体" w:hAnsi="宋体" w:cs="宋体"/>
          <w:b/>
          <w:color w:val="auto"/>
          <w:sz w:val="21"/>
          <w:szCs w:val="21"/>
          <w:highlight w:val="none"/>
        </w:rPr>
      </w:pPr>
      <w:bookmarkStart w:id="6" w:name="_Toc28359012"/>
      <w:bookmarkStart w:id="7" w:name="_Toc35393629"/>
      <w:bookmarkStart w:id="8" w:name="_Toc28359089"/>
      <w:bookmarkStart w:id="9" w:name="_Toc35393798"/>
      <w:bookmarkStart w:id="10" w:name="_Toc82016585"/>
      <w:r>
        <w:rPr>
          <w:rFonts w:hint="eastAsia" w:ascii="宋体" w:hAnsi="宋体" w:cs="宋体"/>
          <w:b/>
          <w:color w:val="auto"/>
          <w:sz w:val="21"/>
          <w:szCs w:val="21"/>
          <w:highlight w:val="none"/>
        </w:rPr>
        <w:t>一、项目基本情况</w:t>
      </w:r>
      <w:bookmarkEnd w:id="6"/>
      <w:bookmarkEnd w:id="7"/>
      <w:bookmarkEnd w:id="8"/>
      <w:bookmarkEnd w:id="9"/>
      <w:bookmarkEnd w:id="10"/>
    </w:p>
    <w:p w14:paraId="5198A614">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项目编号：GLZC2026-J1-250047-YZLZ（代理编号：</w:t>
      </w:r>
      <w:r>
        <w:rPr>
          <w:rFonts w:hint="eastAsia" w:ascii="宋体" w:hAnsi="宋体" w:cs="宋体"/>
          <w:color w:val="auto"/>
          <w:sz w:val="21"/>
          <w:szCs w:val="21"/>
          <w:highlight w:val="none"/>
          <w:lang w:eastAsia="zh-CN"/>
        </w:rPr>
        <w:t>YZLGL2026-J1-019-XAZC</w:t>
      </w:r>
      <w:r>
        <w:rPr>
          <w:rFonts w:hint="eastAsia" w:ascii="宋体" w:hAnsi="宋体" w:cs="宋体"/>
          <w:color w:val="auto"/>
          <w:sz w:val="21"/>
          <w:szCs w:val="21"/>
          <w:highlight w:val="none"/>
        </w:rPr>
        <w:t xml:space="preserve">） </w:t>
      </w:r>
    </w:p>
    <w:p w14:paraId="23642306">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项目名称：</w:t>
      </w:r>
      <w:r>
        <w:rPr>
          <w:rFonts w:hint="eastAsia" w:ascii="宋体" w:hAnsi="宋体" w:cs="宋体"/>
          <w:color w:val="auto"/>
          <w:sz w:val="21"/>
          <w:szCs w:val="24"/>
          <w:highlight w:val="none"/>
          <w:lang w:eastAsia="zh-CN"/>
        </w:rPr>
        <w:t>2026年兴安县八一建军节慰问品采购</w:t>
      </w:r>
    </w:p>
    <w:p w14:paraId="6E6FDF69">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采购方式：竞争性谈判</w:t>
      </w:r>
    </w:p>
    <w:p w14:paraId="74F9BA1B">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预算金额（元）：</w:t>
      </w:r>
      <w:r>
        <w:rPr>
          <w:rFonts w:hint="eastAsia" w:ascii="宋体" w:hAnsi="宋体" w:cs="宋体"/>
          <w:color w:val="auto"/>
          <w:sz w:val="21"/>
          <w:szCs w:val="21"/>
          <w:highlight w:val="none"/>
          <w:lang w:val="en-US" w:eastAsia="zh-CN"/>
        </w:rPr>
        <w:t>9800</w:t>
      </w:r>
      <w:r>
        <w:rPr>
          <w:rFonts w:hint="eastAsia" w:ascii="宋体" w:hAnsi="宋体" w:cs="宋体"/>
          <w:color w:val="auto"/>
          <w:sz w:val="21"/>
          <w:szCs w:val="21"/>
          <w:highlight w:val="none"/>
        </w:rPr>
        <w:t>00.00</w:t>
      </w:r>
    </w:p>
    <w:p w14:paraId="1DDED17E">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最高限价（元）：</w:t>
      </w:r>
      <w:r>
        <w:rPr>
          <w:rFonts w:hint="eastAsia" w:ascii="宋体" w:hAnsi="宋体" w:cs="宋体"/>
          <w:color w:val="auto"/>
          <w:sz w:val="21"/>
          <w:szCs w:val="21"/>
          <w:highlight w:val="none"/>
          <w:lang w:val="en-US" w:eastAsia="zh-CN"/>
        </w:rPr>
        <w:t>9800</w:t>
      </w:r>
      <w:r>
        <w:rPr>
          <w:rFonts w:hint="eastAsia" w:ascii="宋体" w:hAnsi="宋体" w:cs="宋体"/>
          <w:color w:val="auto"/>
          <w:sz w:val="21"/>
          <w:szCs w:val="21"/>
          <w:highlight w:val="none"/>
        </w:rPr>
        <w:t>00.00</w:t>
      </w:r>
    </w:p>
    <w:p w14:paraId="605907C0">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采购需求：</w:t>
      </w:r>
    </w:p>
    <w:p w14:paraId="0161F764">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（1）标的名称、数量：夏凉被9800</w:t>
      </w:r>
      <w:r>
        <w:rPr>
          <w:rFonts w:hint="eastAsia" w:ascii="宋体" w:hAnsi="宋体" w:cs="宋体"/>
          <w:color w:val="auto"/>
          <w:sz w:val="21"/>
          <w:szCs w:val="21"/>
          <w:highlight w:val="none"/>
          <w:lang w:val="en-US" w:eastAsia="zh-CN"/>
        </w:rPr>
        <w:t>床、</w:t>
      </w:r>
      <w:r>
        <w:rPr>
          <w:rFonts w:hint="eastAsia" w:ascii="宋体" w:hAnsi="宋体" w:cs="宋体"/>
          <w:color w:val="auto"/>
          <w:sz w:val="21"/>
          <w:szCs w:val="21"/>
          <w:highlight w:val="none"/>
          <w:lang w:eastAsia="zh-CN"/>
        </w:rPr>
        <w:t>台式</w:t>
      </w:r>
      <w:r>
        <w:rPr>
          <w:rFonts w:hint="eastAsia" w:ascii="宋体" w:hAnsi="宋体" w:cs="宋体"/>
          <w:color w:val="auto"/>
          <w:sz w:val="21"/>
          <w:szCs w:val="21"/>
          <w:highlight w:val="none"/>
        </w:rPr>
        <w:t>风扇9800</w:t>
      </w:r>
      <w:r>
        <w:rPr>
          <w:rFonts w:hint="eastAsia" w:ascii="宋体" w:hAnsi="宋体" w:cs="宋体"/>
          <w:color w:val="auto"/>
          <w:sz w:val="21"/>
          <w:szCs w:val="21"/>
          <w:highlight w:val="none"/>
          <w:lang w:val="en-US" w:eastAsia="zh-CN"/>
        </w:rPr>
        <w:t>台、</w:t>
      </w:r>
      <w:r>
        <w:rPr>
          <w:rFonts w:hint="eastAsia" w:ascii="宋体" w:hAnsi="宋体" w:cs="宋体"/>
          <w:color w:val="auto"/>
          <w:sz w:val="21"/>
          <w:szCs w:val="21"/>
          <w:highlight w:val="none"/>
        </w:rPr>
        <w:t>慰问信9800</w:t>
      </w:r>
      <w:r>
        <w:rPr>
          <w:rFonts w:hint="eastAsia" w:ascii="宋体" w:hAnsi="宋体" w:cs="宋体"/>
          <w:color w:val="auto"/>
          <w:sz w:val="21"/>
          <w:szCs w:val="21"/>
          <w:highlight w:val="none"/>
          <w:lang w:val="en-US" w:eastAsia="zh-CN"/>
        </w:rPr>
        <w:t>份</w:t>
      </w:r>
      <w:r>
        <w:rPr>
          <w:rFonts w:hint="eastAsia" w:ascii="宋体" w:hAnsi="宋体" w:cs="宋体"/>
          <w:color w:val="auto"/>
          <w:sz w:val="21"/>
          <w:szCs w:val="21"/>
          <w:highlight w:val="none"/>
        </w:rPr>
        <w:t>；（2）简要技术要求或服务要求：按国家有关产品“三包”规定执行“三包”。具体内容详见第三章采购需求。</w:t>
      </w:r>
    </w:p>
    <w:p w14:paraId="4EAD64D4">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合同履行期限（交付时间）：因本项目货物交付时间紧迫，供应商须于签订合同之日起</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日内交付并验收合格完毕，如延期交付的，按违约处理。</w:t>
      </w:r>
    </w:p>
    <w:p w14:paraId="749AB735">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本项目否接受联合体参与谈判。</w:t>
      </w:r>
      <w:bookmarkStart w:id="11" w:name="_Toc35393799"/>
      <w:bookmarkStart w:id="12" w:name="_Toc28359090"/>
      <w:bookmarkStart w:id="13" w:name="_Toc35393630"/>
      <w:bookmarkStart w:id="14" w:name="_Toc28359013"/>
    </w:p>
    <w:p w14:paraId="4ACB1880">
      <w:pPr>
        <w:spacing w:line="400" w:lineRule="exact"/>
        <w:ind w:firstLine="422"/>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二、申请人的资格要求</w:t>
      </w:r>
      <w:bookmarkEnd w:id="11"/>
      <w:bookmarkEnd w:id="12"/>
      <w:bookmarkEnd w:id="13"/>
      <w:bookmarkEnd w:id="14"/>
    </w:p>
    <w:p w14:paraId="6F6AC079">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1.满足《中华人民共和国政府采购法》第二十二条规定。</w:t>
      </w:r>
    </w:p>
    <w:p w14:paraId="79412264">
      <w:pPr>
        <w:spacing w:line="400" w:lineRule="exact"/>
        <w:ind w:firstLine="420"/>
        <w:rPr>
          <w:color w:val="auto"/>
          <w:sz w:val="21"/>
          <w:szCs w:val="24"/>
          <w:highlight w:val="none"/>
        </w:rPr>
      </w:pPr>
      <w:bookmarkStart w:id="15" w:name="_Toc28359091"/>
      <w:bookmarkStart w:id="16" w:name="_Toc28359014"/>
      <w:r>
        <w:rPr>
          <w:rFonts w:hint="eastAsia" w:ascii="宋体" w:hAnsi="宋体" w:cs="宋体"/>
          <w:color w:val="auto"/>
          <w:sz w:val="21"/>
          <w:szCs w:val="21"/>
          <w:highlight w:val="none"/>
        </w:rPr>
        <w:t>2.落实政府采购政策需满足的资格要求：无。</w:t>
      </w:r>
    </w:p>
    <w:p w14:paraId="3E472970">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3.本项目的特定资格要求：无</w:t>
      </w:r>
      <w:r>
        <w:rPr>
          <w:rFonts w:ascii="宋体" w:hAnsi="宋体" w:cs="宋体"/>
          <w:color w:val="auto"/>
          <w:sz w:val="21"/>
          <w:szCs w:val="21"/>
          <w:highlight w:val="none"/>
        </w:rPr>
        <w:t>。</w:t>
      </w:r>
    </w:p>
    <w:p w14:paraId="6E9AC8B2">
      <w:pPr>
        <w:spacing w:line="400" w:lineRule="exact"/>
        <w:ind w:firstLine="422"/>
        <w:rPr>
          <w:rFonts w:hint="eastAsia" w:ascii="宋体" w:hAnsi="宋体" w:cs="宋体"/>
          <w:b/>
          <w:bCs/>
          <w:color w:val="auto"/>
          <w:sz w:val="21"/>
          <w:szCs w:val="21"/>
          <w:highlight w:val="none"/>
        </w:rPr>
      </w:pPr>
      <w:bookmarkStart w:id="17" w:name="_Toc35393631"/>
      <w:bookmarkStart w:id="18" w:name="_Toc35393800"/>
      <w:r>
        <w:rPr>
          <w:rFonts w:hint="eastAsia" w:ascii="宋体" w:hAnsi="宋体" w:cs="宋体"/>
          <w:b/>
          <w:bCs/>
          <w:color w:val="auto"/>
          <w:sz w:val="21"/>
          <w:szCs w:val="21"/>
          <w:highlight w:val="none"/>
        </w:rPr>
        <w:t>三、获取采购文件</w:t>
      </w:r>
      <w:bookmarkEnd w:id="15"/>
      <w:bookmarkEnd w:id="16"/>
      <w:bookmarkEnd w:id="17"/>
      <w:bookmarkEnd w:id="18"/>
    </w:p>
    <w:p w14:paraId="7D448989">
      <w:pPr>
        <w:spacing w:line="400" w:lineRule="exact"/>
        <w:ind w:firstLine="54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时间：</w:t>
      </w:r>
      <w:r>
        <w:rPr>
          <w:rFonts w:hint="eastAsia" w:ascii="宋体" w:hAnsi="宋体" w:cs="宋体"/>
          <w:color w:val="auto"/>
          <w:sz w:val="21"/>
          <w:szCs w:val="21"/>
          <w:highlight w:val="none"/>
          <w:lang w:eastAsia="zh-CN"/>
        </w:rPr>
        <w:t>2026年</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日</w:t>
      </w:r>
      <w:r>
        <w:rPr>
          <w:rFonts w:hint="eastAsia" w:ascii="宋体" w:hAnsi="宋体" w:cs="宋体"/>
          <w:color w:val="auto"/>
          <w:sz w:val="21"/>
          <w:szCs w:val="21"/>
          <w:highlight w:val="none"/>
        </w:rPr>
        <w:t>至</w:t>
      </w:r>
      <w:r>
        <w:rPr>
          <w:rFonts w:hint="eastAsia" w:ascii="宋体" w:hAnsi="宋体" w:cs="宋体"/>
          <w:color w:val="auto"/>
          <w:sz w:val="21"/>
          <w:szCs w:val="21"/>
          <w:highlight w:val="none"/>
          <w:lang w:eastAsia="zh-CN"/>
        </w:rPr>
        <w:t>2026年</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lang w:eastAsia="zh-CN"/>
        </w:rPr>
        <w:t>日</w:t>
      </w:r>
      <w:r>
        <w:rPr>
          <w:rFonts w:hint="eastAsia" w:ascii="宋体" w:hAnsi="宋体" w:cs="宋体"/>
          <w:color w:val="auto"/>
          <w:sz w:val="21"/>
          <w:szCs w:val="21"/>
          <w:highlight w:val="none"/>
        </w:rPr>
        <w:t>，每天上午00：00</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00</w:t>
      </w:r>
      <w:r>
        <w:rPr>
          <w:rFonts w:hint="eastAsia" w:ascii="宋体" w:hAnsi="宋体" w:cs="宋体"/>
          <w:color w:val="auto"/>
          <w:sz w:val="21"/>
          <w:szCs w:val="21"/>
          <w:highlight w:val="none"/>
        </w:rPr>
        <w:t>至</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00：00</w:t>
      </w:r>
      <w:r>
        <w:rPr>
          <w:rFonts w:hint="eastAsia" w:ascii="宋体" w:hAnsi="宋体" w:cs="宋体"/>
          <w:color w:val="auto"/>
          <w:sz w:val="21"/>
          <w:szCs w:val="21"/>
          <w:highlight w:val="none"/>
        </w:rPr>
        <w:t>，下午12：00</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00</w:t>
      </w:r>
      <w:r>
        <w:rPr>
          <w:rFonts w:hint="eastAsia" w:ascii="宋体" w:hAnsi="宋体" w:cs="宋体"/>
          <w:color w:val="auto"/>
          <w:sz w:val="21"/>
          <w:szCs w:val="21"/>
          <w:highlight w:val="none"/>
        </w:rPr>
        <w:t>至23：59</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59</w:t>
      </w:r>
      <w:r>
        <w:rPr>
          <w:rFonts w:hint="eastAsia" w:ascii="宋体" w:hAnsi="宋体" w:cs="宋体"/>
          <w:color w:val="auto"/>
          <w:sz w:val="21"/>
          <w:szCs w:val="21"/>
          <w:highlight w:val="none"/>
        </w:rPr>
        <w:t>（北京时间，法定节假日除外）</w:t>
      </w:r>
    </w:p>
    <w:p w14:paraId="2CB728F7">
      <w:pPr>
        <w:spacing w:line="400" w:lineRule="exact"/>
        <w:ind w:firstLine="54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地点：</w:t>
      </w:r>
      <w:r>
        <w:rPr>
          <w:rFonts w:hint="eastAsia" w:ascii="宋体" w:hAnsi="宋体" w:cs="宋体"/>
          <w:color w:val="auto"/>
          <w:sz w:val="21"/>
          <w:szCs w:val="24"/>
          <w:highlight w:val="none"/>
        </w:rPr>
        <w:t>“广西政府采购云平台”（www.gcy.zfcg.gxzf.gov.cn）</w:t>
      </w:r>
      <w:r>
        <w:rPr>
          <w:rFonts w:hint="eastAsia" w:ascii="宋体" w:hAnsi="宋体" w:cs="宋体"/>
          <w:color w:val="auto"/>
          <w:sz w:val="21"/>
          <w:szCs w:val="21"/>
          <w:highlight w:val="none"/>
        </w:rPr>
        <w:t>。</w:t>
      </w:r>
    </w:p>
    <w:p w14:paraId="0558308B">
      <w:pPr>
        <w:spacing w:line="400" w:lineRule="exact"/>
        <w:ind w:firstLine="540" w:firstLineChars="0"/>
        <w:rPr>
          <w:rFonts w:hint="eastAsia" w:ascii="宋体" w:hAnsi="宋体" w:cs="宋体"/>
          <w:b/>
          <w:color w:val="auto"/>
          <w:sz w:val="21"/>
          <w:szCs w:val="21"/>
          <w:highlight w:val="none"/>
        </w:rPr>
      </w:pPr>
      <w:r>
        <w:rPr>
          <w:rFonts w:hint="eastAsia" w:ascii="宋体" w:hAnsi="宋体" w:cs="宋体"/>
          <w:color w:val="auto"/>
          <w:sz w:val="21"/>
          <w:szCs w:val="21"/>
          <w:highlight w:val="none"/>
        </w:rPr>
        <w:t>方式：</w:t>
      </w:r>
      <w:r>
        <w:rPr>
          <w:rFonts w:hint="eastAsia" w:ascii="宋体" w:hAnsi="宋体" w:cs="宋体"/>
          <w:color w:val="auto"/>
          <w:kern w:val="0"/>
          <w:sz w:val="21"/>
          <w:szCs w:val="21"/>
          <w:highlight w:val="none"/>
        </w:rPr>
        <w:t>潜在供应商登录</w:t>
      </w:r>
      <w:r>
        <w:rPr>
          <w:rFonts w:hint="eastAsia" w:ascii="宋体" w:hAnsi="宋体" w:cs="宋体"/>
          <w:color w:val="auto"/>
          <w:sz w:val="21"/>
          <w:szCs w:val="24"/>
          <w:highlight w:val="none"/>
        </w:rPr>
        <w:t>“广西政府采购云平台”（www.gcy.zfcg.gxzf.gov.cn）免费</w:t>
      </w:r>
      <w:r>
        <w:rPr>
          <w:rFonts w:hint="eastAsia" w:ascii="宋体" w:hAnsi="宋体" w:cs="宋体"/>
          <w:color w:val="auto"/>
          <w:sz w:val="21"/>
          <w:szCs w:val="21"/>
          <w:highlight w:val="none"/>
        </w:rPr>
        <w:t>下载竞争性谈判文件电子版。</w:t>
      </w:r>
      <w:r>
        <w:rPr>
          <w:rFonts w:hint="eastAsia" w:ascii="宋体" w:hAnsi="宋体" w:cs="宋体"/>
          <w:b/>
          <w:color w:val="auto"/>
          <w:sz w:val="21"/>
          <w:szCs w:val="21"/>
          <w:highlight w:val="none"/>
        </w:rPr>
        <w:t>供应商</w:t>
      </w:r>
      <w:r>
        <w:rPr>
          <w:rFonts w:hint="eastAsia" w:ascii="宋体" w:hAnsi="宋体" w:cs="宋体"/>
          <w:b/>
          <w:bCs/>
          <w:color w:val="auto"/>
          <w:sz w:val="21"/>
          <w:szCs w:val="21"/>
          <w:highlight w:val="none"/>
        </w:rPr>
        <w:t>应在“广西政府采购云平台”进行“申请获取采购文件”操作，否则，将导致无法在线编制响应文件并参与竞标，其不利后果由供应商自行承担。</w:t>
      </w:r>
    </w:p>
    <w:p w14:paraId="7737F617">
      <w:pPr>
        <w:spacing w:line="400" w:lineRule="exact"/>
        <w:ind w:firstLine="54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售价（元）：0。</w:t>
      </w:r>
      <w:bookmarkStart w:id="19" w:name="_Toc35393632"/>
      <w:bookmarkStart w:id="20" w:name="_Toc28359015"/>
      <w:bookmarkStart w:id="21" w:name="_Toc28359092"/>
      <w:bookmarkStart w:id="22" w:name="_Toc35393801"/>
    </w:p>
    <w:p w14:paraId="3D6CD131">
      <w:pPr>
        <w:spacing w:line="400" w:lineRule="exact"/>
        <w:ind w:firstLine="540" w:firstLineChars="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四、响应文件提交</w:t>
      </w:r>
      <w:bookmarkEnd w:id="19"/>
      <w:bookmarkEnd w:id="20"/>
      <w:bookmarkEnd w:id="21"/>
      <w:bookmarkEnd w:id="22"/>
    </w:p>
    <w:p w14:paraId="04ECF6C2">
      <w:pPr>
        <w:spacing w:line="400" w:lineRule="exact"/>
        <w:ind w:firstLine="54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截止时间：</w:t>
      </w:r>
      <w:r>
        <w:rPr>
          <w:rFonts w:hint="eastAsia" w:ascii="宋体" w:hAnsi="宋体" w:cs="宋体"/>
          <w:bCs/>
          <w:color w:val="auto"/>
          <w:sz w:val="21"/>
          <w:szCs w:val="21"/>
          <w:highlight w:val="none"/>
          <w:lang w:eastAsia="zh-CN"/>
        </w:rPr>
        <w:t>2026年</w:t>
      </w:r>
      <w:r>
        <w:rPr>
          <w:rFonts w:hint="eastAsia" w:ascii="宋体" w:hAnsi="宋体" w:cs="宋体"/>
          <w:bCs/>
          <w:color w:val="auto"/>
          <w:sz w:val="21"/>
          <w:szCs w:val="21"/>
          <w:highlight w:val="none"/>
          <w:lang w:val="en-US" w:eastAsia="zh-CN"/>
        </w:rPr>
        <w:t>7</w:t>
      </w:r>
      <w:r>
        <w:rPr>
          <w:rFonts w:hint="eastAsia" w:ascii="宋体" w:hAnsi="宋体" w:cs="宋体"/>
          <w:bCs/>
          <w:color w:val="auto"/>
          <w:sz w:val="21"/>
          <w:szCs w:val="21"/>
          <w:highlight w:val="none"/>
          <w:lang w:eastAsia="zh-CN"/>
        </w:rPr>
        <w:t>月</w:t>
      </w:r>
      <w:r>
        <w:rPr>
          <w:rFonts w:hint="eastAsia" w:ascii="宋体" w:hAnsi="宋体" w:cs="宋体"/>
          <w:bCs/>
          <w:color w:val="auto"/>
          <w:sz w:val="21"/>
          <w:szCs w:val="21"/>
          <w:highlight w:val="none"/>
          <w:lang w:val="en-US" w:eastAsia="zh-CN"/>
        </w:rPr>
        <w:t>13</w:t>
      </w:r>
      <w:r>
        <w:rPr>
          <w:rFonts w:hint="eastAsia" w:ascii="宋体" w:hAnsi="宋体" w:cs="宋体"/>
          <w:bCs/>
          <w:color w:val="auto"/>
          <w:sz w:val="21"/>
          <w:szCs w:val="21"/>
          <w:highlight w:val="none"/>
          <w:lang w:eastAsia="zh-CN"/>
        </w:rPr>
        <w:t>日</w:t>
      </w:r>
      <w:r>
        <w:rPr>
          <w:rFonts w:hint="eastAsia" w:ascii="宋体" w:hAnsi="宋体" w:cs="宋体"/>
          <w:bCs/>
          <w:color w:val="auto"/>
          <w:sz w:val="21"/>
          <w:szCs w:val="21"/>
          <w:highlight w:val="none"/>
        </w:rPr>
        <w:t>上午9时30分（北京时间）</w:t>
      </w:r>
    </w:p>
    <w:p w14:paraId="4C20650F">
      <w:pPr>
        <w:spacing w:line="400" w:lineRule="exact"/>
        <w:ind w:firstLine="54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地点：</w:t>
      </w:r>
      <w:bookmarkStart w:id="23" w:name="_Toc28359016"/>
      <w:bookmarkStart w:id="24" w:name="_Toc35393802"/>
      <w:bookmarkStart w:id="25" w:name="_Toc35393633"/>
      <w:bookmarkStart w:id="26" w:name="_Toc28359093"/>
      <w:r>
        <w:rPr>
          <w:rFonts w:hint="eastAsia" w:ascii="宋体" w:hAnsi="宋体" w:cs="宋体"/>
          <w:bCs/>
          <w:color w:val="auto"/>
          <w:sz w:val="21"/>
          <w:szCs w:val="21"/>
          <w:highlight w:val="none"/>
        </w:rPr>
        <w:t>登录“广西政府采购云平台”在线提交。</w:t>
      </w:r>
    </w:p>
    <w:p w14:paraId="467B0126">
      <w:pPr>
        <w:spacing w:line="400" w:lineRule="exact"/>
        <w:ind w:firstLine="632" w:firstLineChars="300"/>
        <w:rPr>
          <w:rFonts w:hint="eastAsia" w:ascii="宋体" w:hAnsi="宋体" w:cs="宋体"/>
          <w:color w:val="auto"/>
          <w:sz w:val="21"/>
          <w:szCs w:val="21"/>
          <w:highlight w:val="none"/>
        </w:rPr>
      </w:pPr>
      <w:r>
        <w:rPr>
          <w:rFonts w:hint="eastAsia" w:ascii="宋体" w:hAnsi="宋体" w:cs="宋体"/>
          <w:b/>
          <w:bCs/>
          <w:color w:val="auto"/>
          <w:sz w:val="21"/>
          <w:szCs w:val="21"/>
          <w:highlight w:val="none"/>
        </w:rPr>
        <w:t>五、开启</w:t>
      </w:r>
      <w:bookmarkEnd w:id="23"/>
      <w:bookmarkEnd w:id="24"/>
      <w:bookmarkEnd w:id="25"/>
      <w:bookmarkEnd w:id="26"/>
    </w:p>
    <w:p w14:paraId="522CBC8C">
      <w:pPr>
        <w:spacing w:line="400" w:lineRule="exact"/>
        <w:ind w:firstLine="420"/>
        <w:rPr>
          <w:rFonts w:hint="eastAsia" w:ascii="宋体" w:hAnsi="宋体" w:cs="宋体"/>
          <w:bCs/>
          <w:color w:val="auto"/>
          <w:sz w:val="21"/>
          <w:szCs w:val="21"/>
          <w:highlight w:val="none"/>
          <w:u w:val="single"/>
        </w:rPr>
      </w:pPr>
      <w:r>
        <w:rPr>
          <w:rFonts w:hint="eastAsia" w:ascii="宋体" w:hAnsi="宋体" w:cs="宋体"/>
          <w:color w:val="auto"/>
          <w:sz w:val="21"/>
          <w:szCs w:val="21"/>
          <w:highlight w:val="none"/>
        </w:rPr>
        <w:t>时间：</w:t>
      </w:r>
      <w:r>
        <w:rPr>
          <w:rFonts w:hint="eastAsia" w:ascii="宋体" w:hAnsi="宋体" w:cs="宋体"/>
          <w:bCs/>
          <w:color w:val="auto"/>
          <w:sz w:val="21"/>
          <w:szCs w:val="21"/>
          <w:highlight w:val="none"/>
          <w:lang w:eastAsia="zh-CN"/>
        </w:rPr>
        <w:t>2026年</w:t>
      </w:r>
      <w:r>
        <w:rPr>
          <w:rFonts w:hint="eastAsia" w:ascii="宋体" w:hAnsi="宋体" w:cs="宋体"/>
          <w:bCs/>
          <w:color w:val="auto"/>
          <w:sz w:val="21"/>
          <w:szCs w:val="21"/>
          <w:highlight w:val="none"/>
          <w:lang w:val="en-US" w:eastAsia="zh-CN"/>
        </w:rPr>
        <w:t>7</w:t>
      </w:r>
      <w:r>
        <w:rPr>
          <w:rFonts w:hint="eastAsia" w:ascii="宋体" w:hAnsi="宋体" w:cs="宋体"/>
          <w:bCs/>
          <w:color w:val="auto"/>
          <w:sz w:val="21"/>
          <w:szCs w:val="21"/>
          <w:highlight w:val="none"/>
          <w:lang w:eastAsia="zh-CN"/>
        </w:rPr>
        <w:t>月</w:t>
      </w:r>
      <w:r>
        <w:rPr>
          <w:rFonts w:hint="eastAsia" w:ascii="宋体" w:hAnsi="宋体" w:cs="宋体"/>
          <w:bCs/>
          <w:color w:val="auto"/>
          <w:sz w:val="21"/>
          <w:szCs w:val="21"/>
          <w:highlight w:val="none"/>
          <w:lang w:val="en-US" w:eastAsia="zh-CN"/>
        </w:rPr>
        <w:t>13</w:t>
      </w:r>
      <w:r>
        <w:rPr>
          <w:rFonts w:hint="eastAsia" w:ascii="宋体" w:hAnsi="宋体" w:cs="宋体"/>
          <w:bCs/>
          <w:color w:val="auto"/>
          <w:sz w:val="21"/>
          <w:szCs w:val="21"/>
          <w:highlight w:val="none"/>
          <w:lang w:eastAsia="zh-CN"/>
        </w:rPr>
        <w:t>日</w:t>
      </w:r>
      <w:r>
        <w:rPr>
          <w:rFonts w:hint="eastAsia" w:ascii="宋体" w:hAnsi="宋体" w:cs="宋体"/>
          <w:color w:val="auto"/>
          <w:sz w:val="21"/>
          <w:szCs w:val="21"/>
          <w:highlight w:val="none"/>
        </w:rPr>
        <w:t>上午9时30分</w:t>
      </w:r>
      <w:r>
        <w:rPr>
          <w:rFonts w:hint="eastAsia" w:ascii="宋体" w:hAnsi="宋体" w:cs="宋体"/>
          <w:bCs/>
          <w:color w:val="auto"/>
          <w:sz w:val="21"/>
          <w:szCs w:val="21"/>
          <w:highlight w:val="none"/>
        </w:rPr>
        <w:t>（北京时间）</w:t>
      </w:r>
    </w:p>
    <w:p w14:paraId="4F14798D">
      <w:pPr>
        <w:spacing w:line="400" w:lineRule="exact"/>
        <w:ind w:left="240" w:leftChars="100" w:firstLine="210" w:firstLineChars="100"/>
        <w:rPr>
          <w:rFonts w:hint="eastAsia" w:ascii="宋体" w:hAnsi="宋体" w:cs="宋体"/>
          <w:color w:val="auto"/>
          <w:sz w:val="21"/>
          <w:szCs w:val="21"/>
          <w:highlight w:val="none"/>
        </w:rPr>
      </w:pPr>
      <w:r>
        <w:rPr>
          <w:rFonts w:hint="eastAsia" w:ascii="宋体" w:hAnsi="宋体" w:cs="宋体"/>
          <w:color w:val="auto"/>
          <w:sz w:val="21"/>
          <w:szCs w:val="21"/>
          <w:highlight w:val="none"/>
        </w:rPr>
        <w:t>地点：</w:t>
      </w:r>
      <w:bookmarkStart w:id="27" w:name="_Toc35393803"/>
      <w:bookmarkStart w:id="28" w:name="_Toc28359094"/>
      <w:bookmarkStart w:id="29" w:name="_Toc35393634"/>
      <w:bookmarkStart w:id="30" w:name="_Toc28359017"/>
      <w:r>
        <w:rPr>
          <w:rFonts w:hint="eastAsia" w:ascii="宋体" w:hAnsi="宋体" w:cs="宋体"/>
          <w:color w:val="auto"/>
          <w:sz w:val="21"/>
          <w:szCs w:val="21"/>
          <w:highlight w:val="none"/>
        </w:rPr>
        <w:t>通过“广西政府采购云平台”在线解密开启。</w:t>
      </w:r>
    </w:p>
    <w:p w14:paraId="7A06D6BB">
      <w:pPr>
        <w:spacing w:line="400" w:lineRule="exact"/>
        <w:ind w:left="240" w:leftChars="100" w:firstLine="211" w:firstLineChars="100"/>
        <w:rPr>
          <w:rFonts w:hint="eastAsia" w:ascii="宋体" w:hAnsi="宋体" w:cs="宋体"/>
          <w:color w:val="auto"/>
          <w:sz w:val="21"/>
          <w:szCs w:val="21"/>
          <w:highlight w:val="none"/>
        </w:rPr>
      </w:pPr>
      <w:r>
        <w:rPr>
          <w:rFonts w:hint="eastAsia" w:ascii="宋体" w:hAnsi="宋体" w:cs="宋体"/>
          <w:b/>
          <w:bCs/>
          <w:color w:val="auto"/>
          <w:sz w:val="21"/>
          <w:szCs w:val="21"/>
          <w:highlight w:val="none"/>
        </w:rPr>
        <w:t>六、公告期限</w:t>
      </w:r>
      <w:bookmarkEnd w:id="27"/>
      <w:bookmarkEnd w:id="28"/>
      <w:bookmarkEnd w:id="29"/>
      <w:bookmarkEnd w:id="30"/>
    </w:p>
    <w:p w14:paraId="3C50B92B">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自本公告发布之日起3个工作日。</w:t>
      </w:r>
      <w:bookmarkStart w:id="31" w:name="_Toc35393804"/>
      <w:bookmarkStart w:id="32" w:name="_Toc35393635"/>
    </w:p>
    <w:p w14:paraId="14C90910">
      <w:pPr>
        <w:numPr>
          <w:ilvl w:val="0"/>
          <w:numId w:val="2"/>
        </w:numPr>
        <w:spacing w:line="400" w:lineRule="exact"/>
        <w:ind w:firstLine="422" w:firstLineChars="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其他补充事宜</w:t>
      </w:r>
      <w:bookmarkEnd w:id="31"/>
      <w:bookmarkEnd w:id="32"/>
    </w:p>
    <w:p w14:paraId="71778EDD">
      <w:pPr>
        <w:spacing w:line="400" w:lineRule="exact"/>
        <w:ind w:firstLine="420"/>
        <w:rPr>
          <w:rFonts w:hint="eastAsia" w:ascii="宋体" w:hAnsi="宋体"/>
          <w:color w:val="auto"/>
          <w:szCs w:val="21"/>
          <w:highlight w:val="none"/>
        </w:rPr>
      </w:pPr>
      <w:r>
        <w:rPr>
          <w:rFonts w:hint="eastAsia" w:ascii="宋体" w:hAnsi="宋体" w:cs="宋体"/>
          <w:bCs/>
          <w:color w:val="auto"/>
          <w:sz w:val="21"/>
          <w:szCs w:val="21"/>
          <w:highlight w:val="none"/>
        </w:rPr>
        <w:t>1.信息公告发布媒体：中国政府采购网（www.ccgp.gov.cn）、广西壮族自治区政府采购网（zfcg.gxzf.gov.cn）、桂林市政府采购网（</w:t>
      </w:r>
      <w:r>
        <w:rPr>
          <w:rFonts w:ascii="宋体" w:hAnsi="宋体" w:cs="宋体"/>
          <w:bCs/>
          <w:color w:val="auto"/>
          <w:sz w:val="21"/>
          <w:szCs w:val="21"/>
          <w:highlight w:val="none"/>
        </w:rPr>
        <w:t>zfcg.czj.guilin.gov.cn</w:t>
      </w:r>
      <w:r>
        <w:rPr>
          <w:rFonts w:hint="eastAsia" w:ascii="宋体" w:hAnsi="宋体" w:cs="宋体"/>
          <w:bCs/>
          <w:color w:val="auto"/>
          <w:sz w:val="21"/>
          <w:szCs w:val="21"/>
          <w:highlight w:val="none"/>
        </w:rPr>
        <w:t>）。</w:t>
      </w:r>
    </w:p>
    <w:p w14:paraId="4F3178BA">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2.本项目需要落实的政府采购政策：</w:t>
      </w:r>
    </w:p>
    <w:p w14:paraId="2A876380">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（1）政府采购促进中小企业发展（本项目非专门面向中小企业采购）。</w:t>
      </w:r>
    </w:p>
    <w:p w14:paraId="5A1D7F20">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（2）政府采购支持监狱企业发展。</w:t>
      </w:r>
    </w:p>
    <w:p w14:paraId="00022403">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（3）政府采购促进残疾人就业政策。</w:t>
      </w:r>
    </w:p>
    <w:p w14:paraId="4D8FCD99">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（4）本项目不涉及强制采购节能产品；优先采购环境标志产品、节能产品。</w:t>
      </w:r>
    </w:p>
    <w:p w14:paraId="0D8A5241">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（5）政府采购支持采用本国产品的政策。</w:t>
      </w:r>
    </w:p>
    <w:p w14:paraId="5F40AD17">
      <w:pPr>
        <w:spacing w:line="400" w:lineRule="exact"/>
        <w:ind w:firstLine="420"/>
        <w:rPr>
          <w:rFonts w:hint="eastAsia" w:ascii="宋体" w:hAnsi="宋体" w:cs="宋体"/>
          <w:color w:val="auto"/>
          <w:sz w:val="21"/>
          <w:szCs w:val="21"/>
          <w:highlight w:val="none"/>
        </w:rPr>
      </w:pPr>
      <w:bookmarkStart w:id="33" w:name="_Toc28359095"/>
      <w:bookmarkStart w:id="34" w:name="_Toc35393805"/>
      <w:bookmarkStart w:id="35" w:name="_Toc28359018"/>
      <w:bookmarkStart w:id="36" w:name="_Toc35393636"/>
      <w:r>
        <w:rPr>
          <w:rFonts w:hint="eastAsia" w:ascii="宋体" w:hAnsi="宋体" w:cs="宋体"/>
          <w:bCs/>
          <w:color w:val="auto"/>
          <w:sz w:val="21"/>
          <w:szCs w:val="21"/>
          <w:highlight w:val="none"/>
        </w:rPr>
        <w:t>3.</w:t>
      </w:r>
      <w:r>
        <w:rPr>
          <w:rFonts w:hint="eastAsia" w:ascii="宋体" w:hAnsi="宋体" w:cs="宋体"/>
          <w:color w:val="auto"/>
          <w:sz w:val="21"/>
          <w:szCs w:val="21"/>
          <w:highlight w:val="none"/>
        </w:rPr>
        <w:t>资格条件特别说明：</w:t>
      </w:r>
    </w:p>
    <w:p w14:paraId="7D6CE795">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728B7A3F">
      <w:pPr>
        <w:spacing w:line="400" w:lineRule="exact"/>
        <w:ind w:firstLine="420"/>
        <w:rPr>
          <w:rFonts w:hint="eastAsia" w:ascii="宋体" w:hAnsi="宋体" w:cs="宋体"/>
          <w:color w:val="auto"/>
          <w:sz w:val="21"/>
          <w:szCs w:val="24"/>
          <w:highlight w:val="none"/>
        </w:rPr>
      </w:pPr>
      <w:r>
        <w:rPr>
          <w:rFonts w:hint="eastAsia" w:ascii="宋体" w:hAnsi="宋体" w:cs="宋体"/>
          <w:color w:val="auto"/>
          <w:sz w:val="21"/>
          <w:szCs w:val="24"/>
          <w:highlight w:val="none"/>
        </w:rPr>
        <w:t>（2）对在“信用中国”网站</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www.creditchina.gov.cn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 xml:space="preserve"> 、中国政府采购网</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www.ccgp.gov.cn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被列入失信被执行人、重大税收违法失信主体、政府采购严重违法失信行为记录名单及其他不符合《中华人民共和国政府采购法》第二十二条规定条件的供应商，不得参与政府采购活动。</w:t>
      </w:r>
    </w:p>
    <w:p w14:paraId="23270D74">
      <w:pPr>
        <w:spacing w:line="400" w:lineRule="exact"/>
        <w:ind w:left="480" w:leftChars="200" w:firstLine="0" w:firstLineChars="0"/>
        <w:rPr>
          <w:rFonts w:hint="eastAsia" w:ascii="宋体" w:hAnsi="宋体" w:cs="宋体"/>
          <w:bCs/>
          <w:color w:val="auto"/>
          <w:sz w:val="21"/>
          <w:szCs w:val="21"/>
          <w:highlight w:val="none"/>
        </w:rPr>
      </w:pPr>
      <w:r>
        <w:rPr>
          <w:rFonts w:hint="eastAsia" w:ascii="宋体" w:hAnsi="宋体" w:cs="宋体"/>
          <w:bCs/>
          <w:color w:val="auto"/>
          <w:sz w:val="21"/>
          <w:szCs w:val="21"/>
          <w:highlight w:val="none"/>
        </w:rPr>
        <w:t>4.“广西政府采购云平台”电子竞标相关事宜：</w:t>
      </w:r>
    </w:p>
    <w:p w14:paraId="6C6C0BC5">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进行电子签章或电子签名；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09291D22">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（2）电子竞标具体操作流程参考《政府采购项目电子交易管理操作指南-供应商》（详见桂林市政府采购网—采购资讯—重要通知）；如遇平台技术问题详询95763或0771-3381253。</w:t>
      </w:r>
    </w:p>
    <w:p w14:paraId="7BCFBC6C">
      <w:pPr>
        <w:adjustRightInd w:val="0"/>
        <w:snapToGrid w:val="0"/>
        <w:spacing w:line="400" w:lineRule="exact"/>
        <w:ind w:firstLine="420"/>
        <w:rPr>
          <w:rFonts w:hint="eastAsia" w:ascii="宋体" w:hAnsi="宋体" w:cs="宋体"/>
          <w:color w:val="auto"/>
          <w:sz w:val="21"/>
          <w:szCs w:val="21"/>
          <w:highlight w:val="none"/>
        </w:rPr>
      </w:pPr>
      <w:r>
        <w:rPr>
          <w:rFonts w:hint="eastAsia" w:ascii="宋体" w:hAnsi="宋体" w:cs="宋体"/>
          <w:bCs/>
          <w:color w:val="auto"/>
          <w:sz w:val="21"/>
          <w:szCs w:val="21"/>
          <w:highlight w:val="none"/>
        </w:rPr>
        <w:t>（3）</w:t>
      </w:r>
      <w:r>
        <w:rPr>
          <w:rFonts w:hint="eastAsia" w:ascii="宋体" w:hAnsi="宋体" w:cs="宋体"/>
          <w:color w:val="auto"/>
          <w:kern w:val="0"/>
          <w:sz w:val="21"/>
          <w:szCs w:val="21"/>
          <w:highlight w:val="none"/>
        </w:rPr>
        <w:t>电子响应文件的制作、加密、</w:t>
      </w:r>
      <w:r>
        <w:rPr>
          <w:rFonts w:hint="eastAsia" w:ascii="宋体" w:hAnsi="宋体" w:cs="宋体"/>
          <w:color w:val="auto"/>
          <w:sz w:val="21"/>
          <w:szCs w:val="21"/>
          <w:highlight w:val="none"/>
        </w:rPr>
        <w:t>提交、解密等相关事宜详见第二章 “供应商须知”。</w:t>
      </w:r>
    </w:p>
    <w:p w14:paraId="69E9C1AE">
      <w:pPr>
        <w:adjustRightInd w:val="0"/>
        <w:snapToGrid w:val="0"/>
        <w:spacing w:line="400" w:lineRule="exact"/>
        <w:ind w:firstLine="420"/>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监督管理机构</w:t>
      </w:r>
      <w:r>
        <w:rPr>
          <w:rFonts w:hint="eastAsia" w:ascii="宋体" w:hAnsi="宋体" w:cs="宋体"/>
          <w:color w:val="auto"/>
          <w:kern w:val="0"/>
          <w:sz w:val="21"/>
          <w:szCs w:val="21"/>
          <w:highlight w:val="none"/>
          <w:lang w:val="en-US" w:eastAsia="zh-CN"/>
        </w:rPr>
        <w:t>:</w:t>
      </w:r>
      <w:r>
        <w:rPr>
          <w:rFonts w:hint="eastAsia" w:ascii="宋体" w:hAnsi="宋体" w:cs="宋体"/>
          <w:color w:val="auto"/>
          <w:kern w:val="0"/>
          <w:sz w:val="21"/>
          <w:szCs w:val="21"/>
          <w:highlight w:val="none"/>
        </w:rPr>
        <w:t xml:space="preserve">兴安县财政局； 联系电话：0773-6220651 </w:t>
      </w:r>
    </w:p>
    <w:p w14:paraId="1D57F497">
      <w:pPr>
        <w:spacing w:line="400" w:lineRule="exact"/>
        <w:ind w:firstLine="422"/>
        <w:rPr>
          <w:rFonts w:hint="eastAsia" w:ascii="宋体" w:hAnsi="宋体" w:cs="宋体"/>
          <w:b/>
          <w:color w:val="auto"/>
          <w:sz w:val="21"/>
          <w:szCs w:val="21"/>
          <w:highlight w:val="none"/>
        </w:rPr>
      </w:pPr>
      <w:r>
        <w:rPr>
          <w:rFonts w:hint="eastAsia" w:ascii="宋体" w:hAnsi="宋体" w:cs="宋体"/>
          <w:b/>
          <w:color w:val="auto"/>
          <w:sz w:val="21"/>
          <w:szCs w:val="21"/>
          <w:highlight w:val="none"/>
        </w:rPr>
        <w:t>八、凡对本次采购提出询问，请按以下方式联系</w:t>
      </w:r>
      <w:bookmarkEnd w:id="33"/>
      <w:bookmarkEnd w:id="34"/>
      <w:bookmarkEnd w:id="35"/>
      <w:bookmarkEnd w:id="36"/>
    </w:p>
    <w:p w14:paraId="3D96776F">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1.采购人信息</w:t>
      </w:r>
    </w:p>
    <w:p w14:paraId="493DD7E7">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名    称：兴安县退役军人事务局</w:t>
      </w:r>
    </w:p>
    <w:p w14:paraId="3D55E2DE">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地    址：广西桂林市兴安县兴安镇志玲路137号办公大楼一楼</w:t>
      </w:r>
    </w:p>
    <w:p w14:paraId="767235C0">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 xml:space="preserve">联系方式：郑代发  0773-6237558             </w:t>
      </w:r>
    </w:p>
    <w:p w14:paraId="298946AE">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2.采购代理机构信息</w:t>
      </w:r>
    </w:p>
    <w:p w14:paraId="56A8AB28">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名   称：云之龙咨询集团有限公司</w:t>
      </w:r>
    </w:p>
    <w:p w14:paraId="234EAAF5">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地　 址：广西桂林市临桂区西城北路2号耀辉•美好家园2幢12层1号房</w:t>
      </w:r>
    </w:p>
    <w:p w14:paraId="0759AA29">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项目联系人：李贞</w:t>
      </w:r>
    </w:p>
    <w:p w14:paraId="654F1B56">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联系方式：</w:t>
      </w:r>
      <w:r>
        <w:rPr>
          <w:rFonts w:ascii="宋体" w:hAnsi="宋体" w:cs="宋体"/>
          <w:bCs/>
          <w:color w:val="auto"/>
          <w:sz w:val="21"/>
          <w:szCs w:val="21"/>
          <w:highlight w:val="none"/>
        </w:rPr>
        <w:t>0773-2887388  2887399</w:t>
      </w:r>
    </w:p>
    <w:p w14:paraId="78F08C94">
      <w:pPr>
        <w:spacing w:line="400" w:lineRule="exact"/>
        <w:ind w:firstLine="420"/>
        <w:rPr>
          <w:rFonts w:hint="eastAsia" w:ascii="宋体" w:hAnsi="宋体" w:cs="宋体"/>
          <w:bCs/>
          <w:color w:val="auto"/>
          <w:sz w:val="21"/>
          <w:szCs w:val="21"/>
          <w:highlight w:val="none"/>
        </w:rPr>
      </w:pPr>
    </w:p>
    <w:p w14:paraId="38EFDA88">
      <w:pPr>
        <w:spacing w:line="400" w:lineRule="exact"/>
        <w:ind w:firstLine="0" w:firstLineChars="0"/>
        <w:rPr>
          <w:rFonts w:hint="eastAsia" w:ascii="宋体" w:hAnsi="宋体" w:cs="宋体"/>
          <w:bCs/>
          <w:color w:val="auto"/>
          <w:sz w:val="21"/>
          <w:szCs w:val="21"/>
          <w:highlight w:val="none"/>
        </w:rPr>
      </w:pPr>
    </w:p>
    <w:p w14:paraId="43104C87">
      <w:pPr>
        <w:spacing w:line="400" w:lineRule="exact"/>
        <w:ind w:firstLine="420"/>
        <w:rPr>
          <w:rFonts w:hint="eastAsia" w:ascii="宋体" w:hAnsi="宋体" w:cs="宋体"/>
          <w:bCs/>
          <w:color w:val="auto"/>
          <w:sz w:val="21"/>
          <w:szCs w:val="21"/>
          <w:highlight w:val="none"/>
        </w:rPr>
      </w:pPr>
    </w:p>
    <w:p w14:paraId="454F04CE">
      <w:pPr>
        <w:spacing w:line="400" w:lineRule="exact"/>
        <w:ind w:firstLine="420"/>
        <w:rPr>
          <w:rFonts w:hint="eastAsia" w:ascii="宋体" w:hAnsi="宋体" w:cs="宋体"/>
          <w:bCs/>
          <w:color w:val="auto"/>
          <w:sz w:val="21"/>
          <w:szCs w:val="21"/>
          <w:highlight w:val="none"/>
        </w:rPr>
      </w:pPr>
    </w:p>
    <w:p w14:paraId="72DDBB86">
      <w:pPr>
        <w:spacing w:line="400" w:lineRule="exact"/>
        <w:ind w:firstLine="480"/>
        <w:rPr>
          <w:rFonts w:hint="eastAsia" w:ascii="宋体" w:hAnsi="宋体" w:cs="宋体"/>
          <w:bCs/>
          <w:color w:val="auto"/>
          <w:szCs w:val="21"/>
          <w:highlight w:val="none"/>
        </w:rPr>
      </w:pPr>
    </w:p>
    <w:p w14:paraId="6238FF16">
      <w:pPr>
        <w:spacing w:line="400" w:lineRule="exact"/>
        <w:ind w:firstLine="480"/>
        <w:rPr>
          <w:rFonts w:hint="eastAsia" w:ascii="宋体" w:hAnsi="宋体" w:cs="宋体"/>
          <w:bCs/>
          <w:color w:val="auto"/>
          <w:szCs w:val="21"/>
          <w:highlight w:val="none"/>
        </w:rPr>
      </w:pPr>
    </w:p>
    <w:p w14:paraId="700990DB">
      <w:pPr>
        <w:spacing w:line="400" w:lineRule="exact"/>
        <w:ind w:firstLine="480"/>
        <w:rPr>
          <w:rFonts w:hint="eastAsia" w:ascii="宋体" w:hAnsi="宋体" w:cs="宋体"/>
          <w:bCs/>
          <w:color w:val="auto"/>
          <w:szCs w:val="21"/>
          <w:highlight w:val="none"/>
        </w:rPr>
      </w:pPr>
    </w:p>
    <w:p w14:paraId="641FE528">
      <w:pPr>
        <w:spacing w:line="400" w:lineRule="exact"/>
        <w:ind w:firstLine="480"/>
        <w:rPr>
          <w:rFonts w:hint="eastAsia" w:ascii="宋体" w:hAnsi="宋体" w:cs="宋体"/>
          <w:bCs/>
          <w:color w:val="auto"/>
          <w:szCs w:val="21"/>
          <w:highlight w:val="none"/>
        </w:rPr>
      </w:pPr>
    </w:p>
    <w:p w14:paraId="3FC5082F">
      <w:pPr>
        <w:spacing w:line="400" w:lineRule="exact"/>
        <w:ind w:firstLine="480"/>
        <w:rPr>
          <w:rFonts w:hint="eastAsia" w:ascii="宋体" w:hAnsi="宋体" w:cs="宋体"/>
          <w:bCs/>
          <w:color w:val="auto"/>
          <w:szCs w:val="21"/>
          <w:highlight w:val="none"/>
        </w:rPr>
      </w:pPr>
    </w:p>
    <w:p w14:paraId="1E2C01BB">
      <w:pPr>
        <w:spacing w:line="400" w:lineRule="exact"/>
        <w:ind w:firstLine="480"/>
        <w:rPr>
          <w:rFonts w:hint="eastAsia" w:ascii="宋体" w:hAnsi="宋体" w:cs="宋体"/>
          <w:bCs/>
          <w:color w:val="auto"/>
          <w:szCs w:val="21"/>
          <w:highlight w:val="none"/>
        </w:rPr>
      </w:pPr>
    </w:p>
    <w:p w14:paraId="5F4779D3">
      <w:pPr>
        <w:spacing w:line="400" w:lineRule="exact"/>
        <w:ind w:firstLine="0" w:firstLineChars="0"/>
        <w:rPr>
          <w:rFonts w:hint="eastAsia" w:ascii="宋体" w:hAnsi="宋体" w:cs="宋体"/>
          <w:bCs/>
          <w:color w:val="auto"/>
          <w:szCs w:val="21"/>
          <w:highlight w:val="none"/>
        </w:rPr>
      </w:pPr>
    </w:p>
    <w:p w14:paraId="01792C0F">
      <w:pPr>
        <w:pStyle w:val="22"/>
        <w:rPr>
          <w:color w:val="auto"/>
          <w:highlight w:val="none"/>
        </w:rPr>
      </w:pPr>
    </w:p>
    <w:p w14:paraId="59DD4F6E">
      <w:pPr>
        <w:pStyle w:val="22"/>
        <w:rPr>
          <w:color w:val="auto"/>
          <w:highlight w:val="none"/>
        </w:rPr>
      </w:pPr>
    </w:p>
    <w:p w14:paraId="1099DE60">
      <w:pPr>
        <w:pStyle w:val="22"/>
        <w:rPr>
          <w:color w:val="auto"/>
          <w:highlight w:val="none"/>
        </w:rPr>
      </w:pPr>
    </w:p>
    <w:p w14:paraId="63328AF4">
      <w:pPr>
        <w:pStyle w:val="22"/>
        <w:rPr>
          <w:color w:val="auto"/>
          <w:highlight w:val="none"/>
        </w:rPr>
      </w:pPr>
    </w:p>
    <w:p w14:paraId="0197FFF1">
      <w:pPr>
        <w:pStyle w:val="22"/>
        <w:rPr>
          <w:color w:val="auto"/>
          <w:highlight w:val="none"/>
        </w:rPr>
      </w:pPr>
    </w:p>
    <w:p w14:paraId="124D4DF2">
      <w:pPr>
        <w:pStyle w:val="22"/>
        <w:rPr>
          <w:color w:val="auto"/>
          <w:highlight w:val="none"/>
        </w:rPr>
      </w:pPr>
    </w:p>
    <w:p w14:paraId="41A41A10">
      <w:pPr>
        <w:pStyle w:val="22"/>
        <w:rPr>
          <w:color w:val="auto"/>
          <w:highlight w:val="none"/>
        </w:rPr>
      </w:pPr>
    </w:p>
    <w:p w14:paraId="138D8F70">
      <w:pPr>
        <w:pStyle w:val="22"/>
        <w:rPr>
          <w:color w:val="auto"/>
          <w:highlight w:val="none"/>
        </w:rPr>
      </w:pPr>
    </w:p>
    <w:p w14:paraId="20738088">
      <w:pPr>
        <w:pStyle w:val="22"/>
        <w:rPr>
          <w:color w:val="auto"/>
          <w:highlight w:val="none"/>
        </w:rPr>
      </w:pPr>
    </w:p>
    <w:p w14:paraId="4309EA60">
      <w:pPr>
        <w:pStyle w:val="22"/>
        <w:rPr>
          <w:color w:val="auto"/>
          <w:highlight w:val="none"/>
        </w:rPr>
      </w:pPr>
    </w:p>
    <w:p w14:paraId="05D2C9A0">
      <w:pPr>
        <w:pStyle w:val="22"/>
        <w:rPr>
          <w:color w:val="auto"/>
          <w:highlight w:val="none"/>
        </w:rPr>
      </w:pPr>
    </w:p>
    <w:p w14:paraId="02E9471B">
      <w:pPr>
        <w:pStyle w:val="22"/>
        <w:rPr>
          <w:color w:val="auto"/>
          <w:highlight w:val="none"/>
        </w:rPr>
      </w:pPr>
    </w:p>
    <w:p w14:paraId="7A64B880">
      <w:pPr>
        <w:pStyle w:val="22"/>
        <w:rPr>
          <w:color w:val="auto"/>
          <w:highlight w:val="none"/>
        </w:rPr>
      </w:pPr>
    </w:p>
    <w:p w14:paraId="092996F0">
      <w:pPr>
        <w:pStyle w:val="22"/>
        <w:rPr>
          <w:color w:val="auto"/>
          <w:highlight w:val="none"/>
        </w:rPr>
      </w:pPr>
    </w:p>
    <w:p w14:paraId="46AEFDA7">
      <w:pPr>
        <w:pStyle w:val="22"/>
        <w:rPr>
          <w:color w:val="auto"/>
          <w:highlight w:val="none"/>
        </w:rPr>
      </w:pPr>
    </w:p>
    <w:p w14:paraId="703662B3">
      <w:pPr>
        <w:pStyle w:val="22"/>
        <w:rPr>
          <w:color w:val="auto"/>
          <w:highlight w:val="none"/>
        </w:rPr>
      </w:pPr>
    </w:p>
    <w:p w14:paraId="10B43B7B">
      <w:pPr>
        <w:pStyle w:val="22"/>
        <w:rPr>
          <w:color w:val="auto"/>
          <w:highlight w:val="none"/>
        </w:rPr>
      </w:pPr>
    </w:p>
    <w:bookmarkEnd w:id="3"/>
    <w:bookmarkEnd w:id="4"/>
    <w:p w14:paraId="759761F1">
      <w:pPr>
        <w:pStyle w:val="40"/>
        <w:rPr>
          <w:color w:val="auto"/>
          <w:kern w:val="0"/>
          <w:highlight w:val="none"/>
        </w:rPr>
      </w:pPr>
      <w:bookmarkStart w:id="37" w:name="_Toc155531033"/>
      <w:bookmarkStart w:id="38" w:name="_Toc82016586"/>
      <w:r>
        <w:rPr>
          <w:rFonts w:hint="eastAsia"/>
          <w:color w:val="auto"/>
          <w:kern w:val="0"/>
          <w:highlight w:val="none"/>
        </w:rPr>
        <w:t>第二章供应商须知</w:t>
      </w:r>
      <w:bookmarkEnd w:id="37"/>
      <w:bookmarkEnd w:id="38"/>
    </w:p>
    <w:p w14:paraId="39F3741D">
      <w:pPr>
        <w:tabs>
          <w:tab w:val="left" w:pos="1065"/>
          <w:tab w:val="center" w:pos="4411"/>
        </w:tabs>
        <w:spacing w:line="360" w:lineRule="exact"/>
        <w:ind w:firstLine="482"/>
        <w:jc w:val="center"/>
        <w:rPr>
          <w:rFonts w:hint="eastAsia" w:ascii="宋体" w:hAnsi="宋体" w:cs="宋体"/>
          <w:b/>
          <w:color w:val="auto"/>
          <w:kern w:val="0"/>
          <w:highlight w:val="none"/>
        </w:rPr>
      </w:pPr>
      <w:r>
        <w:rPr>
          <w:rFonts w:hint="eastAsia" w:ascii="宋体" w:hAnsi="宋体" w:cs="宋体"/>
          <w:b/>
          <w:color w:val="auto"/>
          <w:kern w:val="0"/>
          <w:highlight w:val="none"/>
        </w:rPr>
        <w:t>供 应 商 须 知 前 附 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51"/>
        <w:gridCol w:w="1400"/>
        <w:gridCol w:w="6588"/>
      </w:tblGrid>
      <w:tr w14:paraId="5DE1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02C802D7">
            <w:pPr>
              <w:spacing w:line="320" w:lineRule="exact"/>
              <w:ind w:firstLine="0" w:firstLineChars="0"/>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序号</w:t>
            </w:r>
          </w:p>
        </w:tc>
        <w:tc>
          <w:tcPr>
            <w:tcW w:w="447" w:type="pct"/>
            <w:vAlign w:val="center"/>
          </w:tcPr>
          <w:p w14:paraId="1DA48A12">
            <w:pPr>
              <w:spacing w:line="320" w:lineRule="exact"/>
              <w:ind w:firstLine="0" w:firstLineChars="0"/>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条款号</w:t>
            </w:r>
          </w:p>
        </w:tc>
        <w:tc>
          <w:tcPr>
            <w:tcW w:w="736" w:type="pct"/>
            <w:vAlign w:val="center"/>
          </w:tcPr>
          <w:p w14:paraId="012DF370">
            <w:pPr>
              <w:spacing w:line="320" w:lineRule="exact"/>
              <w:ind w:firstLine="0" w:firstLineChars="0"/>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条款名称</w:t>
            </w:r>
          </w:p>
        </w:tc>
        <w:tc>
          <w:tcPr>
            <w:tcW w:w="3462" w:type="pct"/>
            <w:vAlign w:val="center"/>
          </w:tcPr>
          <w:p w14:paraId="1148A5A9">
            <w:pPr>
              <w:spacing w:line="320" w:lineRule="exact"/>
              <w:ind w:firstLine="0" w:firstLineChars="0"/>
              <w:jc w:val="center"/>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内容、要求</w:t>
            </w:r>
          </w:p>
        </w:tc>
      </w:tr>
      <w:tr w14:paraId="3E3C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355" w:type="pct"/>
            <w:vAlign w:val="center"/>
          </w:tcPr>
          <w:p w14:paraId="55C8877F">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447" w:type="pct"/>
            <w:vAlign w:val="center"/>
          </w:tcPr>
          <w:p w14:paraId="7B32EC4A">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736" w:type="pct"/>
            <w:vAlign w:val="center"/>
          </w:tcPr>
          <w:p w14:paraId="5EEAF2AB">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项目名称及项目编号</w:t>
            </w:r>
          </w:p>
        </w:tc>
        <w:tc>
          <w:tcPr>
            <w:tcW w:w="3462" w:type="pct"/>
            <w:vAlign w:val="center"/>
          </w:tcPr>
          <w:p w14:paraId="365C7ADB">
            <w:pPr>
              <w:keepNext w:val="0"/>
              <w:keepLines w:val="0"/>
              <w:pageBreakBefore w:val="0"/>
              <w:widowControl w:val="0"/>
              <w:kinsoku/>
              <w:wordWrap/>
              <w:overflowPunct/>
              <w:topLinePunct w:val="0"/>
              <w:autoSpaceDE/>
              <w:autoSpaceDN/>
              <w:bidi w:val="0"/>
              <w:adjustRightInd/>
              <w:spacing w:line="460" w:lineRule="exact"/>
              <w:ind w:firstLine="0" w:firstLineChars="0"/>
              <w:jc w:val="left"/>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s="宋体"/>
                <w:color w:val="auto"/>
                <w:kern w:val="0"/>
                <w:sz w:val="21"/>
                <w:szCs w:val="21"/>
                <w:highlight w:val="none"/>
                <w:lang w:eastAsia="zh-CN"/>
              </w:rPr>
              <w:t>2026年兴安县八一建军节慰问品采购</w:t>
            </w:r>
          </w:p>
          <w:p w14:paraId="496DDE84">
            <w:pPr>
              <w:keepNext w:val="0"/>
              <w:keepLines w:val="0"/>
              <w:pageBreakBefore w:val="0"/>
              <w:widowControl w:val="0"/>
              <w:kinsoku/>
              <w:wordWrap/>
              <w:overflowPunct/>
              <w:topLinePunct w:val="0"/>
              <w:autoSpaceDE/>
              <w:autoSpaceDN/>
              <w:bidi w:val="0"/>
              <w:adjustRightInd/>
              <w:spacing w:line="460" w:lineRule="exact"/>
              <w:ind w:firstLine="0" w:firstLineChars="0"/>
              <w:jc w:val="left"/>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项目编号：GLZC2026-J1-250047-YZLZ</w:t>
            </w:r>
          </w:p>
          <w:p w14:paraId="0DD2D962">
            <w:pPr>
              <w:keepNext w:val="0"/>
              <w:keepLines w:val="0"/>
              <w:pageBreakBefore w:val="0"/>
              <w:widowControl w:val="0"/>
              <w:kinsoku/>
              <w:wordWrap/>
              <w:overflowPunct/>
              <w:topLinePunct w:val="0"/>
              <w:autoSpaceDE/>
              <w:autoSpaceDN/>
              <w:bidi w:val="0"/>
              <w:adjustRightInd/>
              <w:spacing w:line="460" w:lineRule="exact"/>
              <w:ind w:firstLine="0" w:firstLineChars="0"/>
              <w:jc w:val="left"/>
              <w:textAlignment w:val="auto"/>
              <w:rPr>
                <w:rFonts w:hint="eastAsia" w:ascii="宋体" w:hAnsi="宋体" w:eastAsia="宋体" w:cs="宋体"/>
                <w:color w:val="auto"/>
                <w:kern w:val="0"/>
                <w:sz w:val="21"/>
                <w:szCs w:val="24"/>
                <w:highlight w:val="none"/>
                <w:lang w:eastAsia="zh-CN"/>
              </w:rPr>
            </w:pPr>
            <w:r>
              <w:rPr>
                <w:rFonts w:hint="eastAsia" w:ascii="宋体" w:hAnsi="宋体" w:cs="宋体"/>
                <w:color w:val="auto"/>
                <w:kern w:val="0"/>
                <w:sz w:val="21"/>
                <w:szCs w:val="24"/>
                <w:highlight w:val="none"/>
              </w:rPr>
              <w:t>代理编号：</w:t>
            </w:r>
            <w:r>
              <w:rPr>
                <w:rFonts w:hint="eastAsia" w:ascii="宋体" w:hAnsi="宋体" w:cs="宋体"/>
                <w:color w:val="auto"/>
                <w:kern w:val="0"/>
                <w:sz w:val="21"/>
                <w:szCs w:val="24"/>
                <w:highlight w:val="none"/>
                <w:lang w:eastAsia="zh-CN"/>
              </w:rPr>
              <w:t>YZLGL2026-J1-019-XAZC</w:t>
            </w:r>
          </w:p>
        </w:tc>
      </w:tr>
      <w:tr w14:paraId="23CA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6E28CAA6">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447" w:type="pct"/>
            <w:vAlign w:val="center"/>
          </w:tcPr>
          <w:p w14:paraId="6DE3B7C3">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736" w:type="pct"/>
            <w:vAlign w:val="center"/>
          </w:tcPr>
          <w:p w14:paraId="232DCD88">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供应商资格</w:t>
            </w:r>
          </w:p>
        </w:tc>
        <w:tc>
          <w:tcPr>
            <w:tcW w:w="3462" w:type="pct"/>
            <w:vAlign w:val="center"/>
          </w:tcPr>
          <w:p w14:paraId="65967CF4">
            <w:pPr>
              <w:keepNext w:val="0"/>
              <w:keepLines w:val="0"/>
              <w:pageBreakBefore w:val="0"/>
              <w:widowControl w:val="0"/>
              <w:kinsoku/>
              <w:wordWrap/>
              <w:overflowPunct/>
              <w:topLinePunct w:val="0"/>
              <w:autoSpaceDE/>
              <w:autoSpaceDN/>
              <w:bidi w:val="0"/>
              <w:adjustRightInd/>
              <w:spacing w:line="460" w:lineRule="exact"/>
              <w:ind w:firstLine="0" w:firstLineChars="0"/>
              <w:jc w:val="left"/>
              <w:textAlignment w:val="auto"/>
              <w:rPr>
                <w:rFonts w:hint="eastAsia" w:ascii="宋体" w:hAnsi="宋体" w:cs="宋体"/>
                <w:color w:val="auto"/>
                <w:kern w:val="0"/>
                <w:sz w:val="21"/>
                <w:szCs w:val="21"/>
                <w:highlight w:val="none"/>
              </w:rPr>
            </w:pPr>
            <w:r>
              <w:rPr>
                <w:rFonts w:hint="eastAsia" w:ascii="宋体" w:hAnsi="宋体" w:cs="宋体"/>
                <w:bCs/>
                <w:color w:val="auto"/>
                <w:sz w:val="21"/>
                <w:szCs w:val="21"/>
                <w:highlight w:val="none"/>
              </w:rPr>
              <w:t>3</w:t>
            </w:r>
            <w:r>
              <w:rPr>
                <w:rFonts w:hint="eastAsia" w:ascii="宋体" w:hAnsi="宋体" w:cs="宋体"/>
                <w:color w:val="auto"/>
                <w:kern w:val="0"/>
                <w:sz w:val="21"/>
                <w:szCs w:val="21"/>
                <w:highlight w:val="none"/>
              </w:rPr>
              <w:t>.1满足《中华人民共和国政府采购法》第二十二条规定。</w:t>
            </w:r>
          </w:p>
          <w:p w14:paraId="269452FB">
            <w:pPr>
              <w:keepNext w:val="0"/>
              <w:keepLines w:val="0"/>
              <w:pageBreakBefore w:val="0"/>
              <w:widowControl w:val="0"/>
              <w:kinsoku/>
              <w:wordWrap/>
              <w:overflowPunct/>
              <w:topLinePunct w:val="0"/>
              <w:autoSpaceDE/>
              <w:autoSpaceDN/>
              <w:bidi w:val="0"/>
              <w:adjustRightInd/>
              <w:spacing w:line="460" w:lineRule="exact"/>
              <w:ind w:firstLine="0" w:firstLineChars="0"/>
              <w:jc w:val="left"/>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3.2落实政府采购政策需满足的资格要求：无。</w:t>
            </w:r>
          </w:p>
          <w:p w14:paraId="37E2B705">
            <w:pPr>
              <w:keepNext w:val="0"/>
              <w:keepLines w:val="0"/>
              <w:pageBreakBefore w:val="0"/>
              <w:widowControl w:val="0"/>
              <w:kinsoku/>
              <w:wordWrap/>
              <w:overflowPunct/>
              <w:topLinePunct w:val="0"/>
              <w:autoSpaceDE/>
              <w:autoSpaceDN/>
              <w:bidi w:val="0"/>
              <w:adjustRightInd/>
              <w:spacing w:line="460" w:lineRule="exact"/>
              <w:ind w:firstLine="0" w:firstLineChars="0"/>
              <w:jc w:val="left"/>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3.3本项目的特定资格要求：无。</w:t>
            </w:r>
          </w:p>
          <w:p w14:paraId="540F2756">
            <w:pPr>
              <w:keepNext w:val="0"/>
              <w:keepLines w:val="0"/>
              <w:pageBreakBefore w:val="0"/>
              <w:widowControl w:val="0"/>
              <w:kinsoku/>
              <w:wordWrap/>
              <w:overflowPunct/>
              <w:topLinePunct w:val="0"/>
              <w:autoSpaceDE/>
              <w:autoSpaceDN/>
              <w:bidi w:val="0"/>
              <w:adjustRightInd/>
              <w:spacing w:line="460" w:lineRule="exact"/>
              <w:ind w:firstLine="0" w:firstLineChars="0"/>
              <w:jc w:val="left"/>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资格条件特别说明：</w:t>
            </w:r>
          </w:p>
          <w:p w14:paraId="2DF59C8C">
            <w:pPr>
              <w:keepNext w:val="0"/>
              <w:keepLines w:val="0"/>
              <w:pageBreakBefore w:val="0"/>
              <w:widowControl w:val="0"/>
              <w:kinsoku/>
              <w:wordWrap/>
              <w:overflowPunct/>
              <w:topLinePunct w:val="0"/>
              <w:autoSpaceDE/>
              <w:autoSpaceDN/>
              <w:bidi w:val="0"/>
              <w:adjustRightInd/>
              <w:spacing w:line="460" w:lineRule="exact"/>
              <w:ind w:firstLine="0" w:firstLineChars="0"/>
              <w:jc w:val="left"/>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112B7657">
            <w:pPr>
              <w:keepNext w:val="0"/>
              <w:keepLines w:val="0"/>
              <w:pageBreakBefore w:val="0"/>
              <w:widowControl w:val="0"/>
              <w:kinsoku/>
              <w:wordWrap/>
              <w:overflowPunct/>
              <w:topLinePunct w:val="0"/>
              <w:autoSpaceDE/>
              <w:autoSpaceDN/>
              <w:bidi w:val="0"/>
              <w:adjustRightInd/>
              <w:spacing w:line="460" w:lineRule="exact"/>
              <w:ind w:firstLine="0" w:firstLineChars="0"/>
              <w:jc w:val="left"/>
              <w:textAlignment w:val="auto"/>
              <w:rPr>
                <w:rFonts w:hint="eastAsia" w:ascii="宋体" w:hAnsi="宋体" w:cs="宋体"/>
                <w:bCs/>
                <w:color w:val="auto"/>
                <w:sz w:val="21"/>
                <w:szCs w:val="21"/>
                <w:highlight w:val="none"/>
              </w:rPr>
            </w:pPr>
            <w:r>
              <w:rPr>
                <w:rFonts w:hint="eastAsia" w:ascii="宋体" w:hAnsi="宋体" w:cs="宋体"/>
                <w:color w:val="auto"/>
                <w:kern w:val="0"/>
                <w:sz w:val="21"/>
                <w:szCs w:val="21"/>
                <w:highlight w:val="none"/>
              </w:rPr>
              <w:t>（2）对在“信用中国”网站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 xml:space="preserve"> 、中国政府采购网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被列入失信被执行人、重大税收违法失信主体、政府采购严重违法失信行为记录名单及其他不符合《中华人民共和国政府采购法》第二十二条规定条件的供应商，不得参与政府采购活动。</w:t>
            </w:r>
          </w:p>
        </w:tc>
      </w:tr>
      <w:tr w14:paraId="2641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2AC1ED9A">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447" w:type="pct"/>
            <w:vAlign w:val="center"/>
          </w:tcPr>
          <w:p w14:paraId="01D7C13C">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736" w:type="pct"/>
            <w:vAlign w:val="center"/>
          </w:tcPr>
          <w:p w14:paraId="1B530BB2">
            <w:pPr>
              <w:spacing w:line="320" w:lineRule="exact"/>
              <w:ind w:firstLine="0" w:firstLineChars="0"/>
              <w:jc w:val="center"/>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参与电子竞标的准备工作</w:t>
            </w:r>
          </w:p>
        </w:tc>
        <w:tc>
          <w:tcPr>
            <w:tcW w:w="3462" w:type="pct"/>
            <w:vAlign w:val="center"/>
          </w:tcPr>
          <w:p w14:paraId="617642FD">
            <w:pPr>
              <w:keepNext w:val="0"/>
              <w:keepLines w:val="0"/>
              <w:pageBreakBefore w:val="0"/>
              <w:widowControl w:val="0"/>
              <w:kinsoku/>
              <w:wordWrap/>
              <w:overflowPunct/>
              <w:topLinePunct w:val="0"/>
              <w:autoSpaceDE/>
              <w:autoSpaceDN/>
              <w:bidi w:val="0"/>
              <w:adjustRightInd/>
              <w:snapToGrid w:val="0"/>
              <w:spacing w:line="460" w:lineRule="exact"/>
              <w:ind w:firstLine="0" w:firstLineChars="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4.1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以便供应商采用CA证书对其响应文件进行电子签章或电子签名；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0C946EF9">
            <w:pPr>
              <w:keepNext w:val="0"/>
              <w:keepLines w:val="0"/>
              <w:pageBreakBefore w:val="0"/>
              <w:widowControl w:val="0"/>
              <w:kinsoku/>
              <w:wordWrap/>
              <w:overflowPunct/>
              <w:topLinePunct w:val="0"/>
              <w:autoSpaceDE/>
              <w:autoSpaceDN/>
              <w:bidi w:val="0"/>
              <w:adjustRightInd/>
              <w:snapToGrid w:val="0"/>
              <w:spacing w:line="460" w:lineRule="exact"/>
              <w:ind w:firstLine="0" w:firstLineChars="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4.2电子竞标具体操作流程参考《政府采购项目电子交易管理操作指南-供应商》（详见桂林市政府采购网—采购资讯—重要通知）；如遇平台技术问题详询95763或0771-3381253。</w:t>
            </w:r>
          </w:p>
          <w:p w14:paraId="42AC78CE">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4.3不论谈判结果如何，供应商均应自行承担所有与谈判有关的全部费用。 </w:t>
            </w:r>
          </w:p>
        </w:tc>
      </w:tr>
      <w:tr w14:paraId="5282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5D4C2D8A">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447" w:type="pct"/>
            <w:vAlign w:val="center"/>
          </w:tcPr>
          <w:p w14:paraId="11D4AF2A">
            <w:pPr>
              <w:spacing w:line="320" w:lineRule="exact"/>
              <w:ind w:firstLine="0" w:firstLineChars="0"/>
              <w:jc w:val="center"/>
              <w:rPr>
                <w:rFonts w:hint="eastAsia"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13</w:t>
            </w:r>
          </w:p>
        </w:tc>
        <w:tc>
          <w:tcPr>
            <w:tcW w:w="736" w:type="pct"/>
            <w:vAlign w:val="center"/>
          </w:tcPr>
          <w:p w14:paraId="38CB0DF3">
            <w:pPr>
              <w:spacing w:line="320" w:lineRule="exact"/>
              <w:ind w:firstLine="0" w:firstLineChars="0"/>
              <w:jc w:val="center"/>
              <w:rPr>
                <w:rFonts w:hint="eastAsia"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谈判报价及采购预算金额</w:t>
            </w:r>
          </w:p>
        </w:tc>
        <w:tc>
          <w:tcPr>
            <w:tcW w:w="3462" w:type="pct"/>
            <w:vAlign w:val="center"/>
          </w:tcPr>
          <w:p w14:paraId="5262B0EA">
            <w:pPr>
              <w:keepNext w:val="0"/>
              <w:keepLines w:val="0"/>
              <w:pageBreakBefore w:val="0"/>
              <w:widowControl w:val="0"/>
              <w:tabs>
                <w:tab w:val="left" w:pos="1305"/>
              </w:tabs>
              <w:kinsoku/>
              <w:wordWrap/>
              <w:overflowPunct/>
              <w:topLinePunct w:val="0"/>
              <w:autoSpaceDE/>
              <w:autoSpaceDN/>
              <w:bidi w:val="0"/>
              <w:adjustRightInd/>
              <w:snapToGrid/>
              <w:spacing w:line="460" w:lineRule="exact"/>
              <w:ind w:left="0" w:leftChars="0" w:firstLine="0" w:firstLineChars="0"/>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13.1“谈判报价表”中标的名称、数量、单位、单价、合计金额必须如实填写</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rPr>
              <w:t>其中，</w:t>
            </w:r>
            <w:r>
              <w:rPr>
                <w:rFonts w:hint="eastAsia" w:ascii="宋体" w:hAnsi="宋体" w:cs="宋体"/>
                <w:b/>
                <w:bCs/>
                <w:color w:val="auto"/>
                <w:kern w:val="0"/>
                <w:sz w:val="21"/>
                <w:szCs w:val="21"/>
                <w:highlight w:val="none"/>
                <w:lang w:eastAsia="zh-CN"/>
              </w:rPr>
              <w:t>就</w:t>
            </w:r>
            <w:r>
              <w:rPr>
                <w:rFonts w:hint="eastAsia" w:ascii="宋体" w:hAnsi="宋体" w:cs="宋体"/>
                <w:b/>
                <w:bCs/>
                <w:color w:val="auto"/>
                <w:kern w:val="0"/>
                <w:sz w:val="21"/>
                <w:szCs w:val="21"/>
                <w:highlight w:val="none"/>
              </w:rPr>
              <w:t>所竞</w:t>
            </w:r>
            <w:r>
              <w:rPr>
                <w:rFonts w:hint="eastAsia" w:ascii="宋体" w:hAnsi="宋体" w:cs="宋体"/>
                <w:b/>
                <w:bCs/>
                <w:color w:val="auto"/>
                <w:kern w:val="0"/>
                <w:sz w:val="21"/>
                <w:szCs w:val="21"/>
                <w:highlight w:val="none"/>
                <w:lang w:eastAsia="zh-CN"/>
              </w:rPr>
              <w:t>标的“</w:t>
            </w:r>
            <w:r>
              <w:rPr>
                <w:rFonts w:hint="eastAsia" w:ascii="宋体" w:hAnsi="宋体" w:cs="宋体"/>
                <w:b/>
                <w:bCs/>
                <w:color w:val="auto"/>
                <w:kern w:val="0"/>
                <w:sz w:val="21"/>
                <w:szCs w:val="21"/>
                <w:highlight w:val="none"/>
              </w:rPr>
              <w:t>夏凉被</w:t>
            </w:r>
            <w:r>
              <w:rPr>
                <w:rFonts w:hint="eastAsia" w:ascii="宋体" w:hAnsi="宋体" w:cs="宋体"/>
                <w:b/>
                <w:bCs/>
                <w:color w:val="auto"/>
                <w:kern w:val="0"/>
                <w:sz w:val="21"/>
                <w:szCs w:val="21"/>
                <w:highlight w:val="none"/>
                <w:lang w:eastAsia="zh-CN"/>
              </w:rPr>
              <w:t>”、“台式</w:t>
            </w:r>
            <w:r>
              <w:rPr>
                <w:rFonts w:hint="eastAsia" w:ascii="宋体" w:hAnsi="宋体" w:cs="宋体"/>
                <w:b/>
                <w:bCs/>
                <w:color w:val="auto"/>
                <w:kern w:val="0"/>
                <w:sz w:val="21"/>
                <w:szCs w:val="21"/>
                <w:highlight w:val="none"/>
              </w:rPr>
              <w:t>风扇</w:t>
            </w:r>
            <w:r>
              <w:rPr>
                <w:rFonts w:hint="eastAsia" w:ascii="宋体" w:hAnsi="宋体" w:cs="宋体"/>
                <w:b/>
                <w:bCs/>
                <w:color w:val="auto"/>
                <w:kern w:val="0"/>
                <w:sz w:val="21"/>
                <w:szCs w:val="21"/>
                <w:highlight w:val="none"/>
                <w:lang w:eastAsia="zh-CN"/>
              </w:rPr>
              <w:t>”须同时填报</w:t>
            </w:r>
            <w:r>
              <w:rPr>
                <w:rFonts w:hint="eastAsia" w:ascii="宋体" w:hAnsi="宋体" w:cs="宋体"/>
                <w:b/>
                <w:bCs/>
                <w:color w:val="auto"/>
                <w:kern w:val="0"/>
                <w:sz w:val="21"/>
                <w:szCs w:val="21"/>
                <w:highlight w:val="none"/>
              </w:rPr>
              <w:t>生产厂家（或制造商）、品牌、规格型号</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lang w:val="en-US" w:eastAsia="zh-CN"/>
              </w:rPr>
              <w:t>如</w:t>
            </w:r>
            <w:r>
              <w:rPr>
                <w:rFonts w:hint="eastAsia" w:ascii="宋体" w:hAnsi="宋体" w:cs="宋体"/>
                <w:b/>
                <w:bCs/>
                <w:color w:val="auto"/>
                <w:kern w:val="0"/>
                <w:sz w:val="21"/>
                <w:szCs w:val="21"/>
                <w:highlight w:val="none"/>
              </w:rPr>
              <w:t>有缺漏的，响应文件按无效处理。慰问信无品牌规格型号的，则无需填写。</w:t>
            </w:r>
          </w:p>
          <w:p w14:paraId="4E819565">
            <w:pPr>
              <w:keepNext w:val="0"/>
              <w:keepLines w:val="0"/>
              <w:pageBreakBefore w:val="0"/>
              <w:widowControl w:val="0"/>
              <w:tabs>
                <w:tab w:val="left" w:pos="1305"/>
              </w:tabs>
              <w:kinsoku/>
              <w:wordWrap/>
              <w:overflowPunct/>
              <w:topLinePunct w:val="0"/>
              <w:autoSpaceDE/>
              <w:autoSpaceDN/>
              <w:bidi w:val="0"/>
              <w:adjustRightInd/>
              <w:snapToGrid/>
              <w:spacing w:line="460" w:lineRule="exact"/>
              <w:ind w:left="0" w:leftChars="0" w:firstLine="0" w:firstLineChars="0"/>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13.2供应商必须就“采购需求”中的所有内容作完整唯一报价，响应文件只允许有一个报价方案，不接受有选择的或有条件的报价，否则响应文件按无效处理。</w:t>
            </w:r>
          </w:p>
          <w:p w14:paraId="2F8321AB">
            <w:pPr>
              <w:keepNext w:val="0"/>
              <w:keepLines w:val="0"/>
              <w:pageBreakBefore w:val="0"/>
              <w:widowControl w:val="0"/>
              <w:tabs>
                <w:tab w:val="left" w:pos="1305"/>
              </w:tabs>
              <w:kinsoku/>
              <w:wordWrap/>
              <w:overflowPunct/>
              <w:topLinePunct w:val="0"/>
              <w:autoSpaceDE/>
              <w:autoSpaceDN/>
              <w:bidi w:val="0"/>
              <w:adjustRightInd/>
              <w:snapToGrid/>
              <w:spacing w:line="460" w:lineRule="exact"/>
              <w:ind w:left="0" w:leftChars="0" w:firstLine="0" w:firstLineChars="0"/>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13.3采购预算金额（人民币）：</w:t>
            </w:r>
            <w:r>
              <w:rPr>
                <w:rFonts w:hint="eastAsia" w:ascii="宋体" w:hAnsi="宋体" w:cs="宋体"/>
                <w:b/>
                <w:bCs/>
                <w:color w:val="auto"/>
                <w:sz w:val="21"/>
                <w:szCs w:val="21"/>
                <w:highlight w:val="none"/>
                <w:lang w:eastAsia="zh-CN"/>
              </w:rPr>
              <w:t>玖拾捌万元整（¥980000.00）</w:t>
            </w:r>
            <w:r>
              <w:rPr>
                <w:rFonts w:hint="eastAsia" w:ascii="宋体" w:hAnsi="宋体" w:cs="宋体"/>
                <w:b/>
                <w:bCs/>
                <w:color w:val="auto"/>
                <w:kern w:val="0"/>
                <w:sz w:val="21"/>
                <w:szCs w:val="21"/>
                <w:highlight w:val="none"/>
              </w:rPr>
              <w:t>。报价超采购预算金额的，响应文件作无效处理。</w:t>
            </w:r>
          </w:p>
          <w:p w14:paraId="680F7CE7">
            <w:pPr>
              <w:keepNext w:val="0"/>
              <w:keepLines w:val="0"/>
              <w:pageBreakBefore w:val="0"/>
              <w:widowControl w:val="0"/>
              <w:tabs>
                <w:tab w:val="left" w:pos="1305"/>
              </w:tabs>
              <w:kinsoku/>
              <w:wordWrap/>
              <w:overflowPunct/>
              <w:topLinePunct w:val="0"/>
              <w:autoSpaceDE/>
              <w:autoSpaceDN/>
              <w:bidi w:val="0"/>
              <w:adjustRightInd/>
              <w:snapToGrid/>
              <w:spacing w:line="460" w:lineRule="exact"/>
              <w:ind w:firstLine="0" w:firstLineChars="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13.4</w:t>
            </w:r>
            <w:r>
              <w:rPr>
                <w:rFonts w:hint="eastAsia" w:ascii="宋体" w:hAnsi="宋体"/>
                <w:color w:val="auto"/>
                <w:sz w:val="21"/>
                <w:szCs w:val="21"/>
                <w:highlight w:val="none"/>
              </w:rPr>
              <w:t>供应商谈判报价应包括本次采购范围内货物价款、货物随配标准附件、包装、运输、装卸、保险、税金、货到位以及安装、安装所需辅材、调试、检验、售后服务、培训、保修</w:t>
            </w:r>
            <w:r>
              <w:rPr>
                <w:rFonts w:hint="eastAsia" w:ascii="宋体" w:hAnsi="宋体"/>
                <w:color w:val="auto"/>
                <w:kern w:val="0"/>
                <w:sz w:val="21"/>
                <w:szCs w:val="21"/>
                <w:highlight w:val="none"/>
                <w:lang w:eastAsia="zh-CN"/>
              </w:rPr>
              <w:t>（质保）</w:t>
            </w:r>
            <w:r>
              <w:rPr>
                <w:rFonts w:hint="eastAsia" w:ascii="宋体" w:hAnsi="宋体"/>
                <w:color w:val="auto"/>
                <w:sz w:val="21"/>
                <w:szCs w:val="21"/>
                <w:highlight w:val="none"/>
              </w:rPr>
              <w:t>、验收及其他所有成本费用的总和，供应商应综合考虑在报价中。</w:t>
            </w:r>
            <w:r>
              <w:rPr>
                <w:rFonts w:hint="eastAsia" w:ascii="宋体" w:hAnsi="宋体" w:cs="宋体"/>
                <w:color w:val="auto"/>
                <w:kern w:val="0"/>
                <w:sz w:val="21"/>
                <w:szCs w:val="21"/>
                <w:highlight w:val="none"/>
              </w:rPr>
              <w:t xml:space="preserve"> </w:t>
            </w:r>
          </w:p>
        </w:tc>
      </w:tr>
      <w:tr w14:paraId="2E6A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1A499C99">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447" w:type="pct"/>
            <w:vAlign w:val="center"/>
          </w:tcPr>
          <w:p w14:paraId="400B0D14">
            <w:pPr>
              <w:spacing w:line="320" w:lineRule="exact"/>
              <w:ind w:firstLine="0" w:firstLineChars="0"/>
              <w:jc w:val="center"/>
              <w:rPr>
                <w:rFonts w:hint="eastAsia"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14</w:t>
            </w:r>
          </w:p>
        </w:tc>
        <w:tc>
          <w:tcPr>
            <w:tcW w:w="736" w:type="pct"/>
            <w:vAlign w:val="center"/>
          </w:tcPr>
          <w:p w14:paraId="4F129134">
            <w:pPr>
              <w:spacing w:line="320" w:lineRule="exact"/>
              <w:ind w:firstLine="0" w:firstLineChars="0"/>
              <w:jc w:val="center"/>
              <w:rPr>
                <w:rFonts w:hint="eastAsia"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响应文件有效期</w:t>
            </w:r>
          </w:p>
        </w:tc>
        <w:tc>
          <w:tcPr>
            <w:tcW w:w="3462" w:type="pct"/>
            <w:vAlign w:val="center"/>
          </w:tcPr>
          <w:p w14:paraId="1B3FFE05">
            <w:pPr>
              <w:keepNext w:val="0"/>
              <w:keepLines w:val="0"/>
              <w:pageBreakBefore w:val="0"/>
              <w:widowControl w:val="0"/>
              <w:tabs>
                <w:tab w:val="left" w:pos="1305"/>
              </w:tabs>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tc>
      </w:tr>
      <w:tr w14:paraId="7C58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473E12E">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447" w:type="pct"/>
            <w:vAlign w:val="center"/>
          </w:tcPr>
          <w:p w14:paraId="67CCEC4F">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736" w:type="pct"/>
            <w:vAlign w:val="center"/>
          </w:tcPr>
          <w:p w14:paraId="09B66753">
            <w:pPr>
              <w:spacing w:line="320" w:lineRule="exact"/>
              <w:ind w:firstLine="0" w:firstLineChars="0"/>
              <w:jc w:val="center"/>
              <w:rPr>
                <w:rFonts w:hint="eastAsia" w:ascii="宋体" w:hAnsi="宋体" w:cs="宋体"/>
                <w:bCs/>
                <w:color w:val="auto"/>
                <w:sz w:val="21"/>
                <w:szCs w:val="21"/>
                <w:highlight w:val="none"/>
              </w:rPr>
            </w:pPr>
            <w:r>
              <w:rPr>
                <w:rFonts w:hint="eastAsia" w:ascii="宋体" w:hAnsi="宋体" w:cs="宋体"/>
                <w:color w:val="auto"/>
                <w:kern w:val="0"/>
                <w:sz w:val="21"/>
                <w:szCs w:val="21"/>
                <w:highlight w:val="none"/>
              </w:rPr>
              <w:t>电子响应文件的制作、加密要求</w:t>
            </w:r>
          </w:p>
        </w:tc>
        <w:tc>
          <w:tcPr>
            <w:tcW w:w="3462" w:type="pct"/>
            <w:vAlign w:val="center"/>
          </w:tcPr>
          <w:p w14:paraId="076F4C39">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left"/>
              <w:textAlignment w:val="auto"/>
              <w:rPr>
                <w:rFonts w:hint="eastAsia" w:ascii="宋体" w:hAnsi="宋体" w:cs="宋体"/>
                <w:bCs/>
                <w:color w:val="auto"/>
                <w:sz w:val="21"/>
                <w:szCs w:val="21"/>
                <w:highlight w:val="none"/>
              </w:rPr>
            </w:pPr>
            <w:r>
              <w:rPr>
                <w:rFonts w:hint="eastAsia" w:ascii="宋体" w:hAnsi="宋体" w:cs="宋体"/>
                <w:color w:val="auto"/>
                <w:kern w:val="0"/>
                <w:sz w:val="21"/>
                <w:szCs w:val="21"/>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p>
          <w:p w14:paraId="489EB34A">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15.2供应商下载或获取竞争性谈判文件后，登录“广西政府采购云平台电子投标客户端”，按照本谈判文件</w:t>
            </w:r>
            <w:r>
              <w:rPr>
                <w:rFonts w:hint="eastAsia" w:ascii="宋体" w:hAnsi="宋体" w:cs="宋体"/>
                <w:color w:val="auto"/>
                <w:sz w:val="21"/>
                <w:szCs w:val="21"/>
                <w:highlight w:val="none"/>
              </w:rPr>
              <w:t>规定的响应文件格式、顺序</w:t>
            </w:r>
            <w:r>
              <w:rPr>
                <w:rFonts w:hint="eastAsia" w:ascii="宋体" w:hAnsi="宋体" w:cs="宋体"/>
                <w:bCs/>
                <w:color w:val="auto"/>
                <w:sz w:val="21"/>
                <w:szCs w:val="21"/>
                <w:highlight w:val="none"/>
              </w:rPr>
              <w:t>以及“广西政府采购云平台”的要求，通过“广西政府采购云平台电子投标客户端”编制电子响应文件。</w:t>
            </w:r>
          </w:p>
          <w:p w14:paraId="719DC915">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15.3</w:t>
            </w:r>
            <w:r>
              <w:rPr>
                <w:rFonts w:hint="eastAsia"/>
                <w:color w:val="auto"/>
                <w:sz w:val="21"/>
                <w:szCs w:val="24"/>
                <w:highlight w:val="none"/>
              </w:rPr>
              <w:t>供应商</w:t>
            </w:r>
            <w:r>
              <w:rPr>
                <w:color w:val="auto"/>
                <w:sz w:val="21"/>
                <w:szCs w:val="24"/>
                <w:highlight w:val="none"/>
              </w:rPr>
              <w:t>应按“</w:t>
            </w:r>
            <w:r>
              <w:rPr>
                <w:rFonts w:hint="eastAsia"/>
                <w:color w:val="auto"/>
                <w:sz w:val="21"/>
                <w:szCs w:val="24"/>
                <w:highlight w:val="none"/>
              </w:rPr>
              <w:t>广西政府采购云平台</w:t>
            </w:r>
            <w:r>
              <w:rPr>
                <w:color w:val="auto"/>
                <w:sz w:val="21"/>
                <w:szCs w:val="24"/>
                <w:highlight w:val="none"/>
              </w:rPr>
              <w:t>电子投标客户端”载明的“标书关联”功能进行电子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谈判小组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谈判小组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7EC43F8C">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15.4</w:t>
            </w:r>
            <w:r>
              <w:rPr>
                <w:rFonts w:hint="eastAsia" w:ascii="宋体" w:hAnsi="宋体" w:cs="宋体"/>
                <w:color w:val="auto"/>
                <w:sz w:val="21"/>
                <w:szCs w:val="24"/>
                <w:highlight w:val="none"/>
              </w:rPr>
              <w:t>电子响应文件不得涂改，若有修改错漏处，须由法定代表人或委托代理人签字（或者电子签名）。因响应文件字迹潦草、表达不清、内容不完整、编排混乱导致响应文件被误读、漏读，或者在竞争性谈判文件规定的部位查找不到相关内容，</w:t>
            </w:r>
            <w:r>
              <w:rPr>
                <w:color w:val="auto"/>
                <w:sz w:val="21"/>
                <w:szCs w:val="24"/>
                <w:highlight w:val="none"/>
              </w:rPr>
              <w:t>导致</w:t>
            </w:r>
            <w:r>
              <w:rPr>
                <w:rFonts w:hint="eastAsia"/>
                <w:color w:val="auto"/>
                <w:sz w:val="21"/>
                <w:szCs w:val="24"/>
                <w:highlight w:val="none"/>
              </w:rPr>
              <w:t>谈判小组</w:t>
            </w:r>
            <w:r>
              <w:rPr>
                <w:color w:val="auto"/>
                <w:sz w:val="21"/>
                <w:szCs w:val="24"/>
                <w:highlight w:val="none"/>
              </w:rPr>
              <w:t>做出对</w:t>
            </w:r>
            <w:r>
              <w:rPr>
                <w:rFonts w:hint="eastAsia"/>
                <w:color w:val="auto"/>
                <w:sz w:val="21"/>
                <w:szCs w:val="24"/>
                <w:highlight w:val="none"/>
              </w:rPr>
              <w:t>供应商</w:t>
            </w:r>
            <w:r>
              <w:rPr>
                <w:color w:val="auto"/>
                <w:sz w:val="21"/>
                <w:szCs w:val="24"/>
                <w:highlight w:val="none"/>
              </w:rPr>
              <w:t>不利的评审</w:t>
            </w:r>
            <w:r>
              <w:rPr>
                <w:rFonts w:hint="eastAsia"/>
                <w:color w:val="auto"/>
                <w:sz w:val="21"/>
                <w:szCs w:val="24"/>
                <w:highlight w:val="none"/>
              </w:rPr>
              <w:t>的，</w:t>
            </w:r>
            <w:r>
              <w:rPr>
                <w:rFonts w:hint="eastAsia" w:ascii="宋体" w:hAnsi="宋体" w:cs="宋体"/>
                <w:color w:val="auto"/>
                <w:sz w:val="21"/>
                <w:szCs w:val="24"/>
                <w:highlight w:val="none"/>
              </w:rPr>
              <w:t>其后果由供应商自行承担</w:t>
            </w:r>
            <w:r>
              <w:rPr>
                <w:rFonts w:hint="eastAsia" w:ascii="宋体" w:hAnsi="宋体" w:cs="宋体"/>
                <w:color w:val="auto"/>
                <w:sz w:val="21"/>
                <w:szCs w:val="21"/>
                <w:highlight w:val="none"/>
              </w:rPr>
              <w:t>。</w:t>
            </w:r>
          </w:p>
          <w:p w14:paraId="4D4CCD09">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left"/>
              <w:textAlignment w:val="auto"/>
              <w:rPr>
                <w:rFonts w:hint="eastAsia" w:ascii="宋体" w:hAnsi="宋体" w:cs="宋体"/>
                <w:color w:val="auto"/>
                <w:kern w:val="0"/>
                <w:sz w:val="21"/>
                <w:szCs w:val="21"/>
                <w:highlight w:val="none"/>
              </w:rPr>
            </w:pPr>
            <w:r>
              <w:rPr>
                <w:rFonts w:hint="eastAsia" w:ascii="宋体" w:hAnsi="宋体" w:cs="宋体"/>
                <w:color w:val="auto"/>
                <w:sz w:val="21"/>
                <w:szCs w:val="21"/>
                <w:highlight w:val="none"/>
              </w:rPr>
              <w:t>15.5供应商编制、生成电子响应文件后应当</w:t>
            </w:r>
            <w:r>
              <w:rPr>
                <w:rFonts w:hint="eastAsia" w:ascii="宋体" w:hAnsi="宋体" w:cs="宋体"/>
                <w:bCs/>
                <w:color w:val="auto"/>
                <w:sz w:val="21"/>
                <w:szCs w:val="21"/>
                <w:highlight w:val="none"/>
              </w:rPr>
              <w:t>加密响应文件。供应商未按规定编制并加密的响应文件，“广西政府采购云平台”将予以拒收。</w:t>
            </w:r>
          </w:p>
        </w:tc>
      </w:tr>
      <w:tr w14:paraId="1AB6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40E73106">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447" w:type="pct"/>
            <w:vAlign w:val="center"/>
          </w:tcPr>
          <w:p w14:paraId="18B7EDC1">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15.6</w:t>
            </w:r>
          </w:p>
        </w:tc>
        <w:tc>
          <w:tcPr>
            <w:tcW w:w="736" w:type="pct"/>
            <w:vAlign w:val="center"/>
          </w:tcPr>
          <w:p w14:paraId="155E29B0">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供应商公章及签字</w:t>
            </w:r>
          </w:p>
        </w:tc>
        <w:tc>
          <w:tcPr>
            <w:tcW w:w="3462" w:type="pct"/>
            <w:vAlign w:val="center"/>
          </w:tcPr>
          <w:p w14:paraId="42F6111A">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left"/>
              <w:textAlignment w:val="auto"/>
              <w:rPr>
                <w:rFonts w:hint="eastAsia" w:ascii="宋体" w:hAnsi="宋体" w:cs="宋体"/>
                <w:color w:val="auto"/>
                <w:sz w:val="21"/>
                <w:szCs w:val="24"/>
                <w:highlight w:val="none"/>
              </w:rPr>
            </w:pPr>
            <w:r>
              <w:rPr>
                <w:rFonts w:hint="eastAsia" w:ascii="宋体" w:hAnsi="宋体" w:cs="宋体"/>
                <w:color w:val="auto"/>
                <w:sz w:val="21"/>
                <w:szCs w:val="24"/>
                <w:highlight w:val="none"/>
              </w:rPr>
              <w:t>15.6.1本竞争性谈判文件中描述供应商的“公章”是指根据我国对公章的管理规定，用供应商法定主体行为名称制作的印章，除本竞争性谈判文件有特殊规定外，供应商的其他形式印章均不能代替公章。</w:t>
            </w:r>
          </w:p>
          <w:p w14:paraId="3FF7CCF2">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left"/>
              <w:textAlignment w:val="auto"/>
              <w:rPr>
                <w:rFonts w:hint="eastAsia" w:ascii="宋体" w:hAnsi="宋体" w:cs="宋体"/>
                <w:color w:val="auto"/>
                <w:sz w:val="21"/>
                <w:szCs w:val="24"/>
                <w:highlight w:val="none"/>
              </w:rPr>
            </w:pPr>
            <w:r>
              <w:rPr>
                <w:rFonts w:hint="eastAsia" w:ascii="宋体" w:hAnsi="宋体" w:cs="宋体"/>
                <w:color w:val="auto"/>
                <w:sz w:val="21"/>
                <w:szCs w:val="24"/>
                <w:highlight w:val="none"/>
              </w:rPr>
              <w:t>15.6.2本竞争性谈判文件中描述供应商的“签字”是指供应商的法定代表人或者委托代理人亲自在文件规定签字处亲笔写上个人的名字的行为，其他形式均不能代替亲笔签字。</w:t>
            </w:r>
          </w:p>
          <w:p w14:paraId="2351738F">
            <w:pPr>
              <w:keepNext w:val="0"/>
              <w:keepLines w:val="0"/>
              <w:pageBreakBefore w:val="0"/>
              <w:widowControl w:val="0"/>
              <w:kinsoku/>
              <w:wordWrap/>
              <w:overflowPunct/>
              <w:topLinePunct w:val="0"/>
              <w:autoSpaceDE/>
              <w:autoSpaceDN/>
              <w:bidi w:val="0"/>
              <w:adjustRightInd/>
              <w:snapToGrid w:val="0"/>
              <w:spacing w:line="460" w:lineRule="exact"/>
              <w:ind w:firstLine="0" w:firstLineChars="0"/>
              <w:jc w:val="left"/>
              <w:textAlignment w:val="auto"/>
              <w:rPr>
                <w:rFonts w:hint="eastAsia" w:ascii="宋体" w:hAnsi="宋体" w:cs="宋体"/>
                <w:color w:val="auto"/>
                <w:sz w:val="21"/>
                <w:szCs w:val="21"/>
                <w:highlight w:val="none"/>
              </w:rPr>
            </w:pPr>
            <w:r>
              <w:rPr>
                <w:rFonts w:hint="eastAsia" w:ascii="宋体" w:hAnsi="宋体" w:cs="宋体"/>
                <w:color w:val="auto"/>
                <w:sz w:val="21"/>
                <w:szCs w:val="24"/>
                <w:highlight w:val="none"/>
              </w:rPr>
              <w:t>15.6.3本竞争性谈判文件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tc>
      </w:tr>
      <w:tr w14:paraId="4467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BB218B3">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447" w:type="pct"/>
            <w:vAlign w:val="center"/>
          </w:tcPr>
          <w:p w14:paraId="416062EE">
            <w:pPr>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16</w:t>
            </w:r>
          </w:p>
        </w:tc>
        <w:tc>
          <w:tcPr>
            <w:tcW w:w="736" w:type="pct"/>
            <w:vAlign w:val="center"/>
          </w:tcPr>
          <w:p w14:paraId="05CECA3E">
            <w:pPr>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首次响应文件的提交、撤回、修改</w:t>
            </w:r>
          </w:p>
        </w:tc>
        <w:tc>
          <w:tcPr>
            <w:tcW w:w="3462" w:type="pct"/>
            <w:vAlign w:val="center"/>
          </w:tcPr>
          <w:p w14:paraId="01C2AABA">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eastAsia" w:ascii="宋体" w:hAnsi="宋体" w:cs="宋体"/>
                <w:bCs/>
                <w:color w:val="auto"/>
                <w:sz w:val="21"/>
                <w:szCs w:val="21"/>
                <w:highlight w:val="none"/>
                <w:lang w:eastAsia="zh-CN"/>
              </w:rPr>
              <w:t>2026年</w:t>
            </w:r>
            <w:r>
              <w:rPr>
                <w:rFonts w:hint="eastAsia" w:ascii="宋体" w:hAnsi="宋体" w:cs="宋体"/>
                <w:bCs/>
                <w:color w:val="auto"/>
                <w:sz w:val="21"/>
                <w:szCs w:val="21"/>
                <w:highlight w:val="none"/>
                <w:lang w:val="en-US" w:eastAsia="zh-CN"/>
              </w:rPr>
              <w:t>7</w:t>
            </w:r>
            <w:r>
              <w:rPr>
                <w:rFonts w:hint="eastAsia" w:ascii="宋体" w:hAnsi="宋体" w:cs="宋体"/>
                <w:bCs/>
                <w:color w:val="auto"/>
                <w:sz w:val="21"/>
                <w:szCs w:val="21"/>
                <w:highlight w:val="none"/>
                <w:lang w:eastAsia="zh-CN"/>
              </w:rPr>
              <w:t>月</w:t>
            </w:r>
            <w:r>
              <w:rPr>
                <w:rFonts w:hint="eastAsia" w:ascii="宋体" w:hAnsi="宋体" w:cs="宋体"/>
                <w:bCs/>
                <w:color w:val="auto"/>
                <w:sz w:val="21"/>
                <w:szCs w:val="21"/>
                <w:highlight w:val="none"/>
                <w:lang w:val="en-US" w:eastAsia="zh-CN"/>
              </w:rPr>
              <w:t>13</w:t>
            </w:r>
            <w:r>
              <w:rPr>
                <w:rFonts w:hint="eastAsia" w:ascii="宋体" w:hAnsi="宋体" w:cs="宋体"/>
                <w:bCs/>
                <w:color w:val="auto"/>
                <w:sz w:val="21"/>
                <w:szCs w:val="21"/>
                <w:highlight w:val="none"/>
                <w:lang w:eastAsia="zh-CN"/>
              </w:rPr>
              <w:t>日</w:t>
            </w:r>
            <w:r>
              <w:rPr>
                <w:rFonts w:hint="eastAsia" w:ascii="宋体" w:hAnsi="宋体" w:cs="宋体"/>
                <w:color w:val="auto"/>
                <w:sz w:val="21"/>
                <w:szCs w:val="21"/>
                <w:highlight w:val="none"/>
              </w:rPr>
              <w:t>上午9时30分</w:t>
            </w:r>
            <w:r>
              <w:rPr>
                <w:rFonts w:hint="eastAsia" w:ascii="宋体" w:hAnsi="宋体" w:cs="宋体"/>
                <w:bCs/>
                <w:color w:val="auto"/>
                <w:sz w:val="21"/>
                <w:szCs w:val="21"/>
                <w:highlight w:val="none"/>
              </w:rPr>
              <w:t>（北京时间）</w:t>
            </w:r>
          </w:p>
          <w:p w14:paraId="6ED0C9D8">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66545F7A">
            <w:pPr>
              <w:keepNext w:val="0"/>
              <w:keepLines w:val="0"/>
              <w:pageBreakBefore w:val="0"/>
              <w:widowControl w:val="0"/>
              <w:kinsoku/>
              <w:wordWrap/>
              <w:overflowPunct/>
              <w:topLinePunct w:val="0"/>
              <w:autoSpaceDE/>
              <w:autoSpaceDN/>
              <w:bidi w:val="0"/>
              <w:adjustRightInd/>
              <w:snapToGrid w:val="0"/>
              <w:spacing w:line="460" w:lineRule="exact"/>
              <w:ind w:firstLine="0" w:firstLineChars="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响应文件提交截止时间前未成功将电子响应文件上传“广西政府采购云平台”的，视为未提交响应文件。</w:t>
            </w:r>
          </w:p>
          <w:p w14:paraId="73579514">
            <w:pPr>
              <w:keepNext w:val="0"/>
              <w:keepLines w:val="0"/>
              <w:pageBreakBefore w:val="0"/>
              <w:widowControl w:val="0"/>
              <w:tabs>
                <w:tab w:val="left" w:pos="1305"/>
              </w:tabs>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16.4除竞争性谈判文件另有规定外，供应商所提交的响应文件不予退还。</w:t>
            </w:r>
          </w:p>
        </w:tc>
      </w:tr>
      <w:tr w14:paraId="6FFC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C64603F">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447" w:type="pct"/>
            <w:vAlign w:val="center"/>
          </w:tcPr>
          <w:p w14:paraId="49BBECE5">
            <w:pPr>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17</w:t>
            </w:r>
          </w:p>
        </w:tc>
        <w:tc>
          <w:tcPr>
            <w:tcW w:w="736" w:type="pct"/>
            <w:vAlign w:val="center"/>
          </w:tcPr>
          <w:p w14:paraId="4FFEE429">
            <w:pPr>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响应文件的解密</w:t>
            </w:r>
          </w:p>
        </w:tc>
        <w:tc>
          <w:tcPr>
            <w:tcW w:w="3462" w:type="pct"/>
            <w:vAlign w:val="center"/>
          </w:tcPr>
          <w:p w14:paraId="65889EFB">
            <w:pPr>
              <w:keepNext w:val="0"/>
              <w:keepLines w:val="0"/>
              <w:pageBreakBefore w:val="0"/>
              <w:widowControl w:val="0"/>
              <w:tabs>
                <w:tab w:val="left" w:pos="1305"/>
              </w:tabs>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kern w:val="0"/>
                <w:sz w:val="21"/>
                <w:szCs w:val="21"/>
                <w:highlight w:val="none"/>
              </w:rPr>
            </w:pPr>
            <w:r>
              <w:rPr>
                <w:rFonts w:ascii="宋体" w:hAnsi="宋体" w:cs="宋体"/>
                <w:color w:val="auto"/>
                <w:kern w:val="0"/>
                <w:sz w:val="21"/>
                <w:szCs w:val="21"/>
                <w:highlight w:val="none"/>
              </w:rPr>
              <w:t>响应文件提交截止时间后，采购代理机构开启解密响应文件操作，</w:t>
            </w:r>
            <w:r>
              <w:rPr>
                <w:rFonts w:hint="eastAsia" w:ascii="宋体" w:hAnsi="宋体" w:cs="宋体"/>
                <w:color w:val="auto"/>
                <w:kern w:val="0"/>
                <w:sz w:val="21"/>
                <w:szCs w:val="21"/>
                <w:highlight w:val="none"/>
              </w:rPr>
              <w:t>“广西政府采购云平台”</w:t>
            </w:r>
            <w:r>
              <w:rPr>
                <w:rFonts w:ascii="宋体" w:hAnsi="宋体" w:cs="宋体"/>
                <w:color w:val="auto"/>
                <w:kern w:val="0"/>
                <w:sz w:val="21"/>
                <w:szCs w:val="21"/>
                <w:highlight w:val="none"/>
              </w:rPr>
              <w:t>向各供应商发出电子加密响应文件解密通知，由供应商在系统发出解密通知后30分钟内自行使用加密时的CA通过“项目采购-开标评标”功能对响应文件进行解密。若供应商在上述规定的时间内无法解密或解密失败的，可以在响应文件解密截止时间后30分钟内以电子邮件的形式向采购代理机构提交电子备份响应文件（接收电子备份响应文件的电子邮箱为：guilinyl@vip.sina.com）</w:t>
            </w:r>
            <w:r>
              <w:rPr>
                <w:rFonts w:hint="eastAsia" w:ascii="宋体" w:hAnsi="宋体" w:cs="宋体"/>
                <w:color w:val="auto"/>
                <w:kern w:val="0"/>
                <w:sz w:val="21"/>
                <w:szCs w:val="21"/>
                <w:highlight w:val="none"/>
              </w:rPr>
              <w:t>；供应商未在上述规定的时间、电子邮箱提交的电子备份响应文件，采购代理机构不予接收或承认。</w:t>
            </w:r>
            <w:r>
              <w:rPr>
                <w:rFonts w:ascii="宋体" w:hAnsi="宋体" w:cs="宋体"/>
                <w:color w:val="auto"/>
                <w:kern w:val="0"/>
                <w:sz w:val="21"/>
                <w:szCs w:val="21"/>
                <w:highlight w:val="none"/>
              </w:rPr>
              <w:t>采购代理机构收到电子备份响应文件后按“政府采购云平台”操作规范上传至“政府采购云平台”，电子备份响应文件上传成功后，供应商原上传的“电子加密响应文件”自动失效。若供应商在规定时间内无法解密或解密失败且未在规定的时间内提供电子备份响应文件的（包含提供的电子备份响应文件无效或无法解密的情况），视为供应商放弃</w:t>
            </w:r>
            <w:r>
              <w:rPr>
                <w:rFonts w:hint="eastAsia" w:ascii="宋体" w:hAnsi="宋体" w:cs="宋体"/>
                <w:color w:val="auto"/>
                <w:kern w:val="0"/>
                <w:sz w:val="21"/>
                <w:szCs w:val="21"/>
                <w:highlight w:val="none"/>
              </w:rPr>
              <w:t>谈判。</w:t>
            </w:r>
          </w:p>
        </w:tc>
      </w:tr>
      <w:tr w14:paraId="25AA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A83EF0A">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447" w:type="pct"/>
            <w:vAlign w:val="center"/>
          </w:tcPr>
          <w:p w14:paraId="5E250D63">
            <w:pPr>
              <w:spacing w:line="320" w:lineRule="exact"/>
              <w:ind w:firstLine="105" w:firstLineChars="50"/>
              <w:jc w:val="center"/>
              <w:rPr>
                <w:rFonts w:hint="eastAsia"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18.1</w:t>
            </w:r>
          </w:p>
        </w:tc>
        <w:tc>
          <w:tcPr>
            <w:tcW w:w="736" w:type="pct"/>
            <w:vAlign w:val="center"/>
          </w:tcPr>
          <w:p w14:paraId="33A0EB03">
            <w:pPr>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谈判小组组成</w:t>
            </w:r>
          </w:p>
        </w:tc>
        <w:tc>
          <w:tcPr>
            <w:tcW w:w="3462" w:type="pct"/>
            <w:vAlign w:val="center"/>
          </w:tcPr>
          <w:p w14:paraId="37A3F5C5">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sz w:val="21"/>
                <w:szCs w:val="21"/>
                <w:highlight w:val="none"/>
              </w:rPr>
            </w:pPr>
            <w:r>
              <w:rPr>
                <w:rFonts w:hint="eastAsia" w:ascii="宋体" w:hAnsi="宋体" w:cs="宋体"/>
                <w:bCs/>
                <w:color w:val="auto"/>
                <w:sz w:val="21"/>
                <w:szCs w:val="21"/>
                <w:highlight w:val="none"/>
              </w:rPr>
              <w:t>谈判及评审组织工作由采购代理机构负责，具体谈判、评审工作由依法组建的谈判小组负责，本项目谈判小组的构成：3人。</w:t>
            </w:r>
          </w:p>
        </w:tc>
      </w:tr>
      <w:tr w14:paraId="021E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5B78E177">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447" w:type="pct"/>
            <w:vAlign w:val="center"/>
          </w:tcPr>
          <w:p w14:paraId="1F10D5CD">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18.2</w:t>
            </w:r>
          </w:p>
        </w:tc>
        <w:tc>
          <w:tcPr>
            <w:tcW w:w="736" w:type="pct"/>
            <w:vAlign w:val="center"/>
          </w:tcPr>
          <w:p w14:paraId="43AD7C99">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谈判时间、地点、人员</w:t>
            </w:r>
          </w:p>
        </w:tc>
        <w:tc>
          <w:tcPr>
            <w:tcW w:w="3462" w:type="pct"/>
          </w:tcPr>
          <w:p w14:paraId="72C8F910">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18.2.1 谈判时间：首次响应文件提交截止时间后。</w:t>
            </w:r>
          </w:p>
          <w:p w14:paraId="6768E38C">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18.2.2 谈判地点：</w:t>
            </w:r>
            <w:r>
              <w:rPr>
                <w:rFonts w:hint="eastAsia" w:ascii="宋体" w:hAnsi="宋体" w:cs="宋体"/>
                <w:bCs/>
                <w:color w:val="auto"/>
                <w:sz w:val="21"/>
                <w:szCs w:val="21"/>
                <w:highlight w:val="none"/>
              </w:rPr>
              <w:t>“广西政府采购云平台”在线谈判。谈判小组将通过“广西政府采购云平台”在线要求供应商澄清（说明或者更正）、参与谈判、提交最后报价等，响应文件提交后直至评审结束前，供应商应保持“广西政府采购云平台”登录并实时在线，确保及时收到相关信息并应答。否则，其不利后果由供应商自行承担</w:t>
            </w:r>
            <w:r>
              <w:rPr>
                <w:rFonts w:hint="eastAsia" w:ascii="宋体" w:hAnsi="宋体" w:cs="宋体"/>
                <w:color w:val="auto"/>
                <w:kern w:val="0"/>
                <w:sz w:val="21"/>
                <w:szCs w:val="21"/>
                <w:highlight w:val="none"/>
              </w:rPr>
              <w:t>。</w:t>
            </w:r>
          </w:p>
          <w:p w14:paraId="2745D20C">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18.2.3 谈判参加人员：供应商法定代表人或相应的委托代理人参加谈判。</w:t>
            </w:r>
          </w:p>
          <w:p w14:paraId="0E2CD714">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sz w:val="21"/>
                <w:szCs w:val="21"/>
                <w:highlight w:val="none"/>
              </w:rPr>
            </w:pPr>
            <w:r>
              <w:rPr>
                <w:rFonts w:hint="eastAsia" w:ascii="宋体" w:hAnsi="宋体" w:cs="宋体"/>
                <w:color w:val="auto"/>
                <w:kern w:val="0"/>
                <w:sz w:val="21"/>
                <w:szCs w:val="21"/>
                <w:highlight w:val="none"/>
              </w:rPr>
              <w:t>18.2.4 首次响应文件提交截止时间后，登录“广西政府采购云平台”在线解密开启</w:t>
            </w:r>
            <w:r>
              <w:rPr>
                <w:rFonts w:hint="eastAsia" w:ascii="宋体" w:hAnsi="宋体" w:cs="宋体"/>
                <w:bCs/>
                <w:color w:val="auto"/>
                <w:sz w:val="21"/>
                <w:szCs w:val="21"/>
                <w:highlight w:val="none"/>
              </w:rPr>
              <w:t>。</w:t>
            </w:r>
          </w:p>
        </w:tc>
      </w:tr>
      <w:tr w14:paraId="1A69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355" w:type="pct"/>
            <w:vAlign w:val="center"/>
          </w:tcPr>
          <w:p w14:paraId="102E0EED">
            <w:pPr>
              <w:spacing w:line="320" w:lineRule="exact"/>
              <w:ind w:firstLine="0" w:firstLineChars="0"/>
              <w:jc w:val="center"/>
              <w:rPr>
                <w:rFonts w:hint="eastAsia"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12</w:t>
            </w:r>
          </w:p>
        </w:tc>
        <w:tc>
          <w:tcPr>
            <w:tcW w:w="447" w:type="pct"/>
            <w:vAlign w:val="center"/>
          </w:tcPr>
          <w:p w14:paraId="627A3CE5">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19.2</w:t>
            </w:r>
          </w:p>
        </w:tc>
        <w:tc>
          <w:tcPr>
            <w:tcW w:w="736" w:type="pct"/>
            <w:vAlign w:val="center"/>
          </w:tcPr>
          <w:p w14:paraId="3851C38F">
            <w:pPr>
              <w:spacing w:line="320" w:lineRule="exact"/>
              <w:ind w:left="34" w:leftChars="14"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评审办法</w:t>
            </w:r>
          </w:p>
        </w:tc>
        <w:tc>
          <w:tcPr>
            <w:tcW w:w="3462" w:type="pct"/>
            <w:vAlign w:val="center"/>
          </w:tcPr>
          <w:p w14:paraId="54DA635B">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具体详见第四章“评审办法”。</w:t>
            </w:r>
          </w:p>
        </w:tc>
      </w:tr>
      <w:tr w14:paraId="765B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126E0F35">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w:t>
            </w:r>
          </w:p>
        </w:tc>
        <w:tc>
          <w:tcPr>
            <w:tcW w:w="447" w:type="pct"/>
            <w:vAlign w:val="center"/>
          </w:tcPr>
          <w:p w14:paraId="1FB18F4F">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26</w:t>
            </w:r>
          </w:p>
        </w:tc>
        <w:tc>
          <w:tcPr>
            <w:tcW w:w="736" w:type="pct"/>
            <w:vAlign w:val="center"/>
          </w:tcPr>
          <w:p w14:paraId="26D60782">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信用查询</w:t>
            </w:r>
          </w:p>
        </w:tc>
        <w:tc>
          <w:tcPr>
            <w:tcW w:w="3462" w:type="pct"/>
            <w:vAlign w:val="center"/>
          </w:tcPr>
          <w:p w14:paraId="3DBE7A19">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7FB605AF">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（1）查询渠道：“信用中国”网站</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www.creditchina.gov.cn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、中国政府采购网</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www.ccgp.gov.cn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等；</w:t>
            </w:r>
          </w:p>
          <w:p w14:paraId="6A7E36C2">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（2）查询截止时间：成交通知书发出前；</w:t>
            </w:r>
          </w:p>
          <w:p w14:paraId="2D149015">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（3）信用信息查询记录和证据留存方式：在查询网站中直接打印查询记录，打印材料作为采购活动资料保存；</w:t>
            </w:r>
          </w:p>
          <w:p w14:paraId="67B4DDCA">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kern w:val="0"/>
                <w:sz w:val="21"/>
                <w:szCs w:val="21"/>
                <w:highlight w:val="none"/>
              </w:rPr>
            </w:pPr>
            <w:r>
              <w:rPr>
                <w:rFonts w:hint="eastAsia" w:ascii="宋体" w:hAnsi="宋体" w:cs="宋体"/>
                <w:bCs/>
                <w:color w:val="auto"/>
                <w:sz w:val="21"/>
                <w:szCs w:val="21"/>
                <w:highlight w:val="none"/>
              </w:rPr>
              <w:t>（4）信用信息使用规则：对在“信用中国”网站</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www.creditchina.gov.cn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、中国政府采购网</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www.ccgp.gov.cn</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等渠道列入失信被执行人、重大税收违法失信主体、政府采购严重违法失信行为记录名单及其他不符合《中华人民共和国政府采购法》第二十二条规定条件的供应商，取消其成交候选人资格。</w:t>
            </w:r>
          </w:p>
        </w:tc>
      </w:tr>
      <w:tr w14:paraId="514B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D08EEBE">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14</w:t>
            </w:r>
          </w:p>
        </w:tc>
        <w:tc>
          <w:tcPr>
            <w:tcW w:w="447" w:type="pct"/>
            <w:vAlign w:val="center"/>
          </w:tcPr>
          <w:p w14:paraId="75D51607">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w:t>
            </w:r>
          </w:p>
        </w:tc>
        <w:tc>
          <w:tcPr>
            <w:tcW w:w="736" w:type="pct"/>
            <w:vAlign w:val="center"/>
          </w:tcPr>
          <w:p w14:paraId="1DA140FE">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成交公告</w:t>
            </w:r>
          </w:p>
          <w:p w14:paraId="1DF4C697">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及成交通知书</w:t>
            </w:r>
          </w:p>
        </w:tc>
        <w:tc>
          <w:tcPr>
            <w:tcW w:w="3462" w:type="pct"/>
          </w:tcPr>
          <w:p w14:paraId="314BDF74">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27.1采购代理机构于评审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06C6E9A4">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rPr>
              <w:t>27.2中小企</w:t>
            </w:r>
            <w:r>
              <w:rPr>
                <w:rFonts w:hint="eastAsia" w:ascii="宋体" w:hAnsi="宋体" w:eastAsia="宋体" w:cs="宋体"/>
                <w:bCs/>
                <w:color w:val="auto"/>
                <w:sz w:val="21"/>
                <w:szCs w:val="21"/>
                <w:highlight w:val="none"/>
              </w:rPr>
              <w:t>业在政府采购活动过程中，请根据自己的真实情况出具《中小企业声明函》。采购人或采购代理机构在公告成交结果时，同时公告其《中小企业声明函》，接受社会监督。</w:t>
            </w:r>
          </w:p>
          <w:p w14:paraId="3E5C8D02">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27</w:t>
            </w:r>
            <w:r>
              <w:rPr>
                <w:rFonts w:hint="eastAsia" w:ascii="宋体" w:hAnsi="宋体" w:eastAsia="宋体" w:cs="宋体"/>
                <w:bCs/>
                <w:color w:val="auto"/>
                <w:sz w:val="21"/>
                <w:szCs w:val="21"/>
                <w:highlight w:val="none"/>
              </w:rPr>
              <w:t>.3采购人、采购代理机构应当随</w:t>
            </w:r>
            <w:r>
              <w:rPr>
                <w:rFonts w:hint="eastAsia" w:ascii="宋体" w:hAnsi="宋体" w:cs="宋体"/>
                <w:bCs/>
                <w:color w:val="auto"/>
                <w:sz w:val="21"/>
                <w:szCs w:val="21"/>
                <w:highlight w:val="none"/>
                <w:lang w:val="en-US" w:eastAsia="zh-CN"/>
              </w:rPr>
              <w:t>成交</w:t>
            </w:r>
            <w:r>
              <w:rPr>
                <w:rFonts w:hint="eastAsia" w:ascii="宋体" w:hAnsi="宋体" w:eastAsia="宋体" w:cs="宋体"/>
                <w:bCs/>
                <w:color w:val="auto"/>
                <w:sz w:val="21"/>
                <w:szCs w:val="21"/>
                <w:highlight w:val="none"/>
              </w:rPr>
              <w:t>结果公开</w:t>
            </w:r>
            <w:r>
              <w:rPr>
                <w:rFonts w:hint="eastAsia" w:ascii="宋体" w:hAnsi="宋体" w:cs="宋体"/>
                <w:bCs/>
                <w:color w:val="auto"/>
                <w:sz w:val="21"/>
                <w:szCs w:val="21"/>
                <w:highlight w:val="none"/>
                <w:lang w:val="en-US" w:eastAsia="zh-CN"/>
              </w:rPr>
              <w:t>成交</w:t>
            </w:r>
            <w:r>
              <w:rPr>
                <w:rFonts w:hint="eastAsia" w:ascii="宋体" w:hAnsi="宋体" w:eastAsia="宋体" w:cs="宋体"/>
                <w:bCs/>
                <w:color w:val="auto"/>
                <w:sz w:val="21"/>
                <w:szCs w:val="21"/>
                <w:highlight w:val="none"/>
              </w:rPr>
              <w:t>供应商的《关于符合本国产品标准的声明函》或有关证明文件。</w:t>
            </w:r>
          </w:p>
          <w:p w14:paraId="202BCAB9">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kern w:val="0"/>
                <w:sz w:val="21"/>
                <w:szCs w:val="21"/>
                <w:highlight w:val="none"/>
              </w:rPr>
            </w:pPr>
            <w:r>
              <w:rPr>
                <w:rFonts w:hint="eastAsia" w:ascii="宋体" w:hAnsi="宋体" w:eastAsia="宋体" w:cs="宋体"/>
                <w:bCs/>
                <w:color w:val="auto"/>
                <w:sz w:val="21"/>
                <w:szCs w:val="21"/>
                <w:highlight w:val="none"/>
              </w:rPr>
              <w:t>27.</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在发布成交公告的同时，采购代理机构通过“广西政</w:t>
            </w:r>
            <w:r>
              <w:rPr>
                <w:rFonts w:hint="eastAsia" w:ascii="宋体" w:hAnsi="宋体" w:cs="宋体"/>
                <w:bCs/>
                <w:color w:val="auto"/>
                <w:sz w:val="21"/>
                <w:szCs w:val="21"/>
                <w:highlight w:val="none"/>
              </w:rPr>
              <w:t>府采购云平台”向成交供应商发出电子成交通知书，供应商应自行登录平台查看。</w:t>
            </w:r>
          </w:p>
        </w:tc>
      </w:tr>
      <w:tr w14:paraId="71FE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355" w:type="pct"/>
            <w:vAlign w:val="center"/>
          </w:tcPr>
          <w:p w14:paraId="5FCC5BD4">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447" w:type="pct"/>
            <w:vAlign w:val="center"/>
          </w:tcPr>
          <w:p w14:paraId="5C9E7245">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28.1</w:t>
            </w:r>
          </w:p>
        </w:tc>
        <w:tc>
          <w:tcPr>
            <w:tcW w:w="736" w:type="pct"/>
            <w:vAlign w:val="center"/>
          </w:tcPr>
          <w:p w14:paraId="0C6064EF">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履约保证金金额</w:t>
            </w:r>
          </w:p>
        </w:tc>
        <w:tc>
          <w:tcPr>
            <w:tcW w:w="3462" w:type="pct"/>
            <w:vAlign w:val="center"/>
          </w:tcPr>
          <w:p w14:paraId="77667192">
            <w:pPr>
              <w:keepNext w:val="0"/>
              <w:keepLines w:val="0"/>
              <w:pageBreakBefore w:val="0"/>
              <w:widowControl w:val="0"/>
              <w:kinsoku/>
              <w:wordWrap/>
              <w:overflowPunct/>
              <w:topLinePunct w:val="0"/>
              <w:autoSpaceDE/>
              <w:autoSpaceDN/>
              <w:bidi w:val="0"/>
              <w:adjustRightInd/>
              <w:snapToGrid w:val="0"/>
              <w:spacing w:line="460" w:lineRule="exact"/>
              <w:ind w:firstLine="0" w:firstLineChars="0"/>
              <w:textAlignment w:val="auto"/>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本项目不收取履约保证金。</w:t>
            </w:r>
          </w:p>
        </w:tc>
      </w:tr>
      <w:tr w14:paraId="7A1F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55" w:type="pct"/>
            <w:vAlign w:val="center"/>
          </w:tcPr>
          <w:p w14:paraId="4CFB3650">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16</w:t>
            </w:r>
          </w:p>
        </w:tc>
        <w:tc>
          <w:tcPr>
            <w:tcW w:w="447" w:type="pct"/>
            <w:vAlign w:val="center"/>
          </w:tcPr>
          <w:p w14:paraId="3CF11E0E">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29.1</w:t>
            </w:r>
          </w:p>
        </w:tc>
        <w:tc>
          <w:tcPr>
            <w:tcW w:w="736" w:type="pct"/>
            <w:vAlign w:val="center"/>
          </w:tcPr>
          <w:p w14:paraId="687E02AC">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签订合同时间</w:t>
            </w:r>
          </w:p>
        </w:tc>
        <w:tc>
          <w:tcPr>
            <w:tcW w:w="3462" w:type="pct"/>
            <w:vAlign w:val="center"/>
          </w:tcPr>
          <w:p w14:paraId="077A0D2E">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成交通知书发出之日起8个工作日内。成交供应商应按规定与采购人签订合同。</w:t>
            </w:r>
          </w:p>
          <w:p w14:paraId="6F4A74AB">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根据《桂林市大数据和行政审批局 桂林市财政局 桂林市住房和城乡建设局 桂林市交通运输局 桂林市水利局关于进一步优化招标采购评标机制加强异常低价监督处置的通知》（市数审〔2025〕11号）规定，对报价触发异常低价投标审查程序后仍</w:t>
            </w:r>
            <w:r>
              <w:rPr>
                <w:rFonts w:hint="eastAsia" w:ascii="宋体" w:hAnsi="宋体" w:cs="宋体"/>
                <w:bCs/>
                <w:color w:val="auto"/>
                <w:sz w:val="21"/>
                <w:szCs w:val="21"/>
                <w:highlight w:val="none"/>
                <w:lang w:val="en-US" w:eastAsia="zh-CN"/>
              </w:rPr>
              <w:t>成交</w:t>
            </w:r>
            <w:r>
              <w:rPr>
                <w:rFonts w:hint="eastAsia" w:ascii="宋体" w:hAnsi="宋体" w:cs="宋体"/>
                <w:color w:val="auto"/>
                <w:kern w:val="0"/>
                <w:sz w:val="21"/>
                <w:szCs w:val="21"/>
                <w:highlight w:val="none"/>
              </w:rPr>
              <w:t>的供应商无正当理由拒不签订政府采购合同的，由财政部门依法追究其法律责任。</w:t>
            </w:r>
          </w:p>
        </w:tc>
      </w:tr>
      <w:tr w14:paraId="62D5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355" w:type="pct"/>
            <w:vAlign w:val="center"/>
          </w:tcPr>
          <w:p w14:paraId="7913D2FE">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17</w:t>
            </w:r>
          </w:p>
        </w:tc>
        <w:tc>
          <w:tcPr>
            <w:tcW w:w="447" w:type="pct"/>
            <w:vAlign w:val="center"/>
          </w:tcPr>
          <w:p w14:paraId="07EC5FC7">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29.3</w:t>
            </w:r>
          </w:p>
        </w:tc>
        <w:tc>
          <w:tcPr>
            <w:tcW w:w="736" w:type="pct"/>
            <w:vAlign w:val="center"/>
          </w:tcPr>
          <w:p w14:paraId="1470B9F1">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合同公告</w:t>
            </w:r>
          </w:p>
        </w:tc>
        <w:tc>
          <w:tcPr>
            <w:tcW w:w="3462" w:type="pct"/>
            <w:vAlign w:val="center"/>
          </w:tcPr>
          <w:p w14:paraId="2B6C36F0">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政府采购合同双方自签订之日起2个工作日内在省级以上人民政府财政部门指定媒体上公告。</w:t>
            </w:r>
          </w:p>
        </w:tc>
      </w:tr>
      <w:tr w14:paraId="6E35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0A4E74F4">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18</w:t>
            </w:r>
          </w:p>
        </w:tc>
        <w:tc>
          <w:tcPr>
            <w:tcW w:w="447" w:type="pct"/>
            <w:vAlign w:val="center"/>
          </w:tcPr>
          <w:p w14:paraId="5966627F">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30.1</w:t>
            </w:r>
          </w:p>
        </w:tc>
        <w:tc>
          <w:tcPr>
            <w:tcW w:w="736" w:type="pct"/>
            <w:vAlign w:val="center"/>
          </w:tcPr>
          <w:p w14:paraId="2516EA10">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采购代理服务费</w:t>
            </w:r>
          </w:p>
        </w:tc>
        <w:tc>
          <w:tcPr>
            <w:tcW w:w="3462" w:type="pct"/>
          </w:tcPr>
          <w:p w14:paraId="39933AE9">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本项目采购代理服务费按本须知第30.2条“采购代理服务收费标准”中“货物采购”收费标准计算（不足人民币6000元的，按6000元计），成交供应商应当在</w:t>
            </w:r>
            <w:r>
              <w:rPr>
                <w:rFonts w:ascii="宋体" w:hAnsi="宋体" w:cs="宋体"/>
                <w:color w:val="auto"/>
                <w:kern w:val="0"/>
                <w:sz w:val="21"/>
                <w:szCs w:val="21"/>
                <w:highlight w:val="none"/>
              </w:rPr>
              <w:t>成交通知书发出前</w:t>
            </w:r>
            <w:r>
              <w:rPr>
                <w:rFonts w:hint="eastAsia" w:ascii="宋体" w:hAnsi="宋体" w:cs="宋体"/>
                <w:color w:val="auto"/>
                <w:kern w:val="0"/>
                <w:sz w:val="21"/>
                <w:szCs w:val="21"/>
                <w:highlight w:val="none"/>
              </w:rPr>
              <w:t>向采购代理机构一次性支付采购代理服务费，否则，其不利后果由成交供应商承担</w:t>
            </w:r>
            <w:r>
              <w:rPr>
                <w:rFonts w:hint="eastAsia" w:ascii="宋体" w:hAnsi="宋体" w:cs="宋体"/>
                <w:color w:val="auto"/>
                <w:kern w:val="0"/>
                <w:sz w:val="21"/>
                <w:szCs w:val="21"/>
                <w:highlight w:val="none"/>
                <w:lang w:eastAsia="zh-CN"/>
              </w:rPr>
              <w:t>。</w:t>
            </w:r>
          </w:p>
        </w:tc>
      </w:tr>
      <w:tr w14:paraId="4045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Align w:val="center"/>
          </w:tcPr>
          <w:p w14:paraId="7E38D07B">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w:t>
            </w:r>
          </w:p>
        </w:tc>
        <w:tc>
          <w:tcPr>
            <w:tcW w:w="447" w:type="pct"/>
            <w:vAlign w:val="center"/>
          </w:tcPr>
          <w:p w14:paraId="21018EE8">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32</w:t>
            </w:r>
          </w:p>
        </w:tc>
        <w:tc>
          <w:tcPr>
            <w:tcW w:w="736" w:type="pct"/>
            <w:vAlign w:val="center"/>
          </w:tcPr>
          <w:p w14:paraId="221D3D0B">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解释权</w:t>
            </w:r>
          </w:p>
        </w:tc>
        <w:tc>
          <w:tcPr>
            <w:tcW w:w="3462" w:type="pct"/>
          </w:tcPr>
          <w:p w14:paraId="3D617F6D">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本竞争性谈判文件是根据《中华人民共和国政府采购法》、《中华人民共和国政府采购法实施条例》、《政府采购非招标采购方式管理办法》和政府采购管理有关规定编制，本竞争性谈判文件的解释权属于采购代理机构。</w:t>
            </w:r>
          </w:p>
        </w:tc>
      </w:tr>
      <w:tr w14:paraId="299C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55" w:type="pct"/>
            <w:vAlign w:val="center"/>
          </w:tcPr>
          <w:p w14:paraId="18A17B3F">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w:t>
            </w:r>
          </w:p>
        </w:tc>
        <w:tc>
          <w:tcPr>
            <w:tcW w:w="447" w:type="pct"/>
            <w:vAlign w:val="center"/>
          </w:tcPr>
          <w:p w14:paraId="2B05B8F9">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34</w:t>
            </w:r>
          </w:p>
        </w:tc>
        <w:tc>
          <w:tcPr>
            <w:tcW w:w="736" w:type="pct"/>
            <w:vAlign w:val="center"/>
          </w:tcPr>
          <w:p w14:paraId="0AC32103">
            <w:pPr>
              <w:spacing w:line="320" w:lineRule="exact"/>
              <w:ind w:firstLine="0" w:firstLineChars="0"/>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监督管理机构</w:t>
            </w:r>
          </w:p>
        </w:tc>
        <w:tc>
          <w:tcPr>
            <w:tcW w:w="3462" w:type="pct"/>
            <w:vAlign w:val="center"/>
          </w:tcPr>
          <w:p w14:paraId="06706514">
            <w:pPr>
              <w:keepNext w:val="0"/>
              <w:keepLines w:val="0"/>
              <w:pageBreakBefore w:val="0"/>
              <w:widowControl w:val="0"/>
              <w:kinsoku/>
              <w:wordWrap/>
              <w:overflowPunct/>
              <w:topLinePunct w:val="0"/>
              <w:autoSpaceDE/>
              <w:autoSpaceDN/>
              <w:bidi w:val="0"/>
              <w:adjustRightInd/>
              <w:spacing w:line="460" w:lineRule="exact"/>
              <w:ind w:firstLine="0" w:firstLineChars="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兴安县财政局； 联系电话：0773-6220651 </w:t>
            </w:r>
          </w:p>
        </w:tc>
      </w:tr>
    </w:tbl>
    <w:p w14:paraId="6B8567FF">
      <w:pPr>
        <w:spacing w:line="380" w:lineRule="exact"/>
        <w:ind w:firstLine="0" w:firstLineChars="0"/>
        <w:jc w:val="center"/>
        <w:rPr>
          <w:rFonts w:hint="eastAsia" w:ascii="宋体" w:hAnsi="宋体" w:cs="宋体"/>
          <w:b/>
          <w:color w:val="auto"/>
          <w:kern w:val="0"/>
          <w:sz w:val="28"/>
          <w:szCs w:val="28"/>
          <w:highlight w:val="none"/>
        </w:rPr>
      </w:pPr>
      <w:r>
        <w:rPr>
          <w:color w:val="auto"/>
          <w:kern w:val="0"/>
          <w:szCs w:val="20"/>
          <w:highlight w:val="none"/>
        </w:rPr>
        <w:br w:type="page"/>
      </w:r>
      <w:r>
        <w:rPr>
          <w:rFonts w:hint="eastAsia" w:ascii="宋体" w:hAnsi="宋体" w:cs="宋体"/>
          <w:b/>
          <w:color w:val="auto"/>
          <w:kern w:val="0"/>
          <w:sz w:val="28"/>
          <w:szCs w:val="28"/>
          <w:highlight w:val="none"/>
        </w:rPr>
        <w:t>一、总则</w:t>
      </w:r>
    </w:p>
    <w:p w14:paraId="36571EE5">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1.适应范围</w:t>
      </w:r>
    </w:p>
    <w:p w14:paraId="302982E3">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 项目名称及项目编号：</w:t>
      </w:r>
    </w:p>
    <w:p w14:paraId="0DE346EB">
      <w:pPr>
        <w:spacing w:line="400" w:lineRule="exact"/>
        <w:ind w:firstLine="42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s="宋体"/>
          <w:color w:val="auto"/>
          <w:sz w:val="21"/>
          <w:szCs w:val="24"/>
          <w:highlight w:val="none"/>
          <w:lang w:eastAsia="zh-CN"/>
        </w:rPr>
        <w:t>2026年兴安县八一建军节慰问品采购</w:t>
      </w:r>
    </w:p>
    <w:p w14:paraId="75C5C887">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项目编号：GLZC2026-J1-250047-YZLZ</w:t>
      </w:r>
    </w:p>
    <w:p w14:paraId="700F32D0">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代理编号：</w:t>
      </w:r>
      <w:r>
        <w:rPr>
          <w:rFonts w:hint="eastAsia" w:ascii="宋体" w:hAnsi="宋体" w:cs="宋体"/>
          <w:color w:val="auto"/>
          <w:sz w:val="21"/>
          <w:szCs w:val="21"/>
          <w:highlight w:val="none"/>
          <w:lang w:eastAsia="zh-CN"/>
        </w:rPr>
        <w:t>YZLGL2026-J1-019-XAZC</w:t>
      </w:r>
    </w:p>
    <w:p w14:paraId="28308CE9">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 本竞争性谈判文件（以下简称谈判文件）适用于本谈判项目的谈判、评审、合同履约、验收、付款等行为（法律、法规另有规定的，从其规定）。</w:t>
      </w:r>
    </w:p>
    <w:p w14:paraId="0D1D8EDA">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2.定义</w:t>
      </w:r>
    </w:p>
    <w:p w14:paraId="1304A9F2">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2.1“供应商”：是指符合本次采购项目的供应商资格并提交响应文件、参加谈判的供应商。如果该供应商在本次谈判中成交，即成为“成交供应商”。</w:t>
      </w:r>
    </w:p>
    <w:p w14:paraId="328AB350">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2.2“</w:t>
      </w:r>
      <w:r>
        <w:rPr>
          <w:rFonts w:ascii="宋体" w:hAnsi="宋体" w:cs="宋体"/>
          <w:color w:val="auto"/>
          <w:kern w:val="0"/>
          <w:sz w:val="21"/>
          <w:szCs w:val="21"/>
          <w:highlight w:val="none"/>
        </w:rPr>
        <w:t>货物</w:t>
      </w:r>
      <w:r>
        <w:rPr>
          <w:rFonts w:hint="eastAsia" w:ascii="宋体" w:hAnsi="宋体" w:cs="宋体"/>
          <w:color w:val="auto"/>
          <w:kern w:val="0"/>
          <w:sz w:val="21"/>
          <w:szCs w:val="21"/>
          <w:highlight w:val="none"/>
        </w:rPr>
        <w:t>”：系</w:t>
      </w:r>
      <w:r>
        <w:rPr>
          <w:rFonts w:ascii="宋体" w:hAnsi="宋体" w:cs="宋体"/>
          <w:color w:val="auto"/>
          <w:kern w:val="0"/>
          <w:sz w:val="21"/>
          <w:szCs w:val="21"/>
          <w:highlight w:val="none"/>
        </w:rPr>
        <w:t>指各种形态和种类的物品，包括原材料、燃料、设备、产品等</w:t>
      </w:r>
      <w:r>
        <w:rPr>
          <w:rFonts w:hint="eastAsia" w:ascii="宋体" w:hAnsi="宋体" w:cs="宋体"/>
          <w:color w:val="auto"/>
          <w:kern w:val="0"/>
          <w:sz w:val="21"/>
          <w:szCs w:val="21"/>
          <w:highlight w:val="none"/>
        </w:rPr>
        <w:t>。</w:t>
      </w:r>
    </w:p>
    <w:p w14:paraId="1551FA80">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2.3“服务”：系指按谈判文件规定，供应商须承担的安装、调试、技术协助、校准、培训、技术指导以及其他类似的义务。</w:t>
      </w:r>
    </w:p>
    <w:p w14:paraId="759B121D">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2.4 “项目”：系指供应商按谈判文件规定向采购人提供的货物和服务。</w:t>
      </w:r>
    </w:p>
    <w:p w14:paraId="1D957170">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2.5“书面形式”：包括信函、传真、电报等。</w:t>
      </w:r>
    </w:p>
    <w:p w14:paraId="4F5D1485">
      <w:pPr>
        <w:adjustRightInd w:val="0"/>
        <w:snapToGrid w:val="0"/>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2.6“响应文件”：本项目实行全流程电子化采购，供应商通过“广西政府采购云平台”参与电子竞标。响应文件特指供应商按本谈判文件规定提交的电子响应文件（包括因特殊情况无法解密或解密失败提交的电子备份响应文件）。</w:t>
      </w:r>
    </w:p>
    <w:p w14:paraId="426F8B44">
      <w:pPr>
        <w:adjustRightInd w:val="0"/>
        <w:snapToGrid w:val="0"/>
        <w:spacing w:line="400" w:lineRule="exact"/>
        <w:ind w:firstLine="422"/>
        <w:jc w:val="left"/>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2.7供应商为其他组织或者自然人时，本谈判文件规定的法定代表人指负责人或者自然人。本谈判文件所称负责人是指参加竞标的其他组织营业执照或者执业许可证等证照上的负责人，本谈判文件所称自然人指参与竞标的自然人本人，且应具备独立承担民事责任能力，自然人应当为年满18岁以上成年人（十六周岁以上的未成年人，以自己的劳动收入为主要生活来源的，视为完全民事行为能力人）</w:t>
      </w:r>
    </w:p>
    <w:p w14:paraId="60359231">
      <w:pPr>
        <w:adjustRightInd w:val="0"/>
        <w:snapToGrid w:val="0"/>
        <w:spacing w:line="400" w:lineRule="exact"/>
        <w:ind w:firstLine="422"/>
        <w:jc w:val="left"/>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2.8实质性要求：“采购需求”中所有条款以及谈判文件要求“必须提供”的条款均属于实质性要求，若有任意一项负偏离，响应文件按无效处理。</w:t>
      </w:r>
    </w:p>
    <w:p w14:paraId="7F8B2090">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3.供应商资格</w:t>
      </w:r>
    </w:p>
    <w:p w14:paraId="2BF10A67">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356B25E6">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3.2落实政府采购政策需满足的资格要求：无。</w:t>
      </w:r>
    </w:p>
    <w:p w14:paraId="32249D97">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3.3本项目的特定资格要求：</w:t>
      </w:r>
      <w:r>
        <w:rPr>
          <w:rFonts w:hint="eastAsia" w:ascii="宋体" w:hAnsi="宋体" w:cs="宋体"/>
          <w:bCs/>
          <w:color w:val="auto"/>
          <w:sz w:val="21"/>
          <w:szCs w:val="21"/>
          <w:highlight w:val="none"/>
        </w:rPr>
        <w:t>无</w:t>
      </w:r>
      <w:r>
        <w:rPr>
          <w:rFonts w:hint="eastAsia" w:ascii="宋体" w:hAnsi="宋体" w:cs="宋体"/>
          <w:color w:val="auto"/>
          <w:sz w:val="21"/>
          <w:szCs w:val="21"/>
          <w:highlight w:val="none"/>
        </w:rPr>
        <w:t>。</w:t>
      </w:r>
    </w:p>
    <w:p w14:paraId="3303646A">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资格条件特别说明：</w:t>
      </w:r>
    </w:p>
    <w:p w14:paraId="70D31C33">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7A585FCA">
      <w:pPr>
        <w:spacing w:line="400" w:lineRule="exact"/>
        <w:ind w:firstLine="420"/>
        <w:rPr>
          <w:rFonts w:hint="eastAsia" w:ascii="宋体" w:hAnsi="宋体" w:cs="宋体"/>
          <w:color w:val="auto"/>
          <w:sz w:val="21"/>
          <w:szCs w:val="24"/>
          <w:highlight w:val="none"/>
        </w:rPr>
      </w:pPr>
      <w:r>
        <w:rPr>
          <w:rFonts w:hint="eastAsia" w:ascii="宋体" w:hAnsi="宋体" w:cs="宋体"/>
          <w:color w:val="auto"/>
          <w:sz w:val="21"/>
          <w:szCs w:val="24"/>
          <w:highlight w:val="none"/>
        </w:rPr>
        <w:t>（2）对在“信用中国”网站</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www.creditchina.gov.cn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 xml:space="preserve"> 、中国政府采购网</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www.ccgp.gov.cn</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被列入失信被执行人、重大税收违法失信主体、政府采购严重违法失信行为记录名单及其他不符合《中华人民共和国政府采购法》第二十二条规定条件的供应商，不得参与政府采购活动。</w:t>
      </w:r>
    </w:p>
    <w:p w14:paraId="2663A9A3">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4.参与电子竞标的准备工作</w:t>
      </w:r>
    </w:p>
    <w:p w14:paraId="2C775750">
      <w:pPr>
        <w:tabs>
          <w:tab w:val="left" w:pos="163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w:t>
      </w:r>
      <w:r>
        <w:rPr>
          <w:rFonts w:hint="eastAsia" w:ascii="宋体" w:hAnsi="宋体" w:cs="宋体"/>
          <w:bCs/>
          <w:color w:val="auto"/>
          <w:sz w:val="21"/>
          <w:szCs w:val="21"/>
          <w:highlight w:val="none"/>
        </w:rPr>
        <w:t>以便供应商采用CA证书对其响应文件进行电子签章或电子签名</w:t>
      </w:r>
      <w:r>
        <w:rPr>
          <w:rFonts w:hint="eastAsia" w:ascii="宋体" w:hAnsi="宋体" w:cs="宋体"/>
          <w:color w:val="auto"/>
          <w:kern w:val="0"/>
          <w:sz w:val="21"/>
          <w:szCs w:val="21"/>
          <w:highlight w:val="none"/>
        </w:rPr>
        <w:t>；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7B5B051D">
      <w:pPr>
        <w:tabs>
          <w:tab w:val="left" w:pos="163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4.2电子竞标具体操作流程参考《政府采购项目电子交易管理操作指南-供应商》（详见桂林市政府采购网—采购资讯—重要通知）；如遇平台技术问题详询95763或</w:t>
      </w:r>
      <w:r>
        <w:rPr>
          <w:rFonts w:hint="eastAsia" w:ascii="宋体" w:hAnsi="宋体" w:cs="宋体"/>
          <w:bCs/>
          <w:color w:val="auto"/>
          <w:sz w:val="21"/>
          <w:szCs w:val="21"/>
          <w:highlight w:val="none"/>
        </w:rPr>
        <w:t>0771-3381253</w:t>
      </w:r>
      <w:r>
        <w:rPr>
          <w:rFonts w:hint="eastAsia" w:ascii="宋体" w:hAnsi="宋体" w:cs="宋体"/>
          <w:color w:val="auto"/>
          <w:kern w:val="0"/>
          <w:sz w:val="21"/>
          <w:szCs w:val="21"/>
          <w:highlight w:val="none"/>
        </w:rPr>
        <w:t>。</w:t>
      </w:r>
    </w:p>
    <w:p w14:paraId="0E1AD0A6">
      <w:pPr>
        <w:tabs>
          <w:tab w:val="left" w:pos="163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4.3不论谈判结果如何，供应商均应自行承担所有与谈判有关的全部费用。</w:t>
      </w:r>
    </w:p>
    <w:p w14:paraId="799E5F3C">
      <w:pPr>
        <w:tabs>
          <w:tab w:val="left" w:pos="163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5.联合体要求：</w:t>
      </w:r>
    </w:p>
    <w:p w14:paraId="77BFC217">
      <w:pPr>
        <w:snapToGrid w:val="0"/>
        <w:spacing w:line="400" w:lineRule="exact"/>
        <w:ind w:firstLine="420"/>
        <w:jc w:val="left"/>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本项目不接受联合体参与谈判。</w:t>
      </w:r>
    </w:p>
    <w:p w14:paraId="61156DA7">
      <w:pPr>
        <w:tabs>
          <w:tab w:val="left" w:pos="2190"/>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6.质疑和投诉</w:t>
      </w:r>
      <w:r>
        <w:rPr>
          <w:rFonts w:hint="eastAsia" w:ascii="宋体" w:hAnsi="宋体" w:cs="宋体"/>
          <w:b/>
          <w:color w:val="auto"/>
          <w:kern w:val="0"/>
          <w:sz w:val="21"/>
          <w:szCs w:val="21"/>
          <w:highlight w:val="none"/>
        </w:rPr>
        <w:tab/>
      </w:r>
    </w:p>
    <w:p w14:paraId="72D9A3F2">
      <w:pPr>
        <w:tabs>
          <w:tab w:val="left" w:pos="2190"/>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6.1供应商认为谈判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color w:val="auto"/>
          <w:sz w:val="21"/>
          <w:szCs w:val="21"/>
          <w:highlight w:val="none"/>
        </w:rPr>
        <w:t>（“质疑函”格式见附表1）</w:t>
      </w:r>
      <w:r>
        <w:rPr>
          <w:rFonts w:hint="eastAsia" w:ascii="宋体" w:hAnsi="宋体" w:cs="宋体"/>
          <w:color w:val="auto"/>
          <w:sz w:val="21"/>
          <w:szCs w:val="21"/>
          <w:highlight w:val="none"/>
        </w:rPr>
        <w:t>。否则，采购代理机构有权拒收。</w:t>
      </w:r>
    </w:p>
    <w:p w14:paraId="20BB4BF6">
      <w:pPr>
        <w:tabs>
          <w:tab w:val="left" w:pos="2190"/>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13F1104E">
      <w:pPr>
        <w:tabs>
          <w:tab w:val="left" w:pos="2190"/>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1419A5E0">
      <w:pPr>
        <w:tabs>
          <w:tab w:val="left" w:pos="2190"/>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6.2供应商对采购代理机构的质疑答复不满意或者采购代理机构未在规定的时间内作出答复的，可以在答复期满后十五个工作日内向兴安县政府采购监督管理机构投诉</w:t>
      </w:r>
      <w:r>
        <w:rPr>
          <w:rFonts w:hint="eastAsia" w:ascii="宋体" w:hAnsi="宋体" w:cs="宋体"/>
          <w:b/>
          <w:color w:val="auto"/>
          <w:sz w:val="21"/>
          <w:szCs w:val="21"/>
          <w:highlight w:val="none"/>
        </w:rPr>
        <w:t>（“投诉书”格式见附表2）</w:t>
      </w:r>
      <w:r>
        <w:rPr>
          <w:rFonts w:hint="eastAsia" w:ascii="宋体" w:hAnsi="宋体" w:cs="宋体"/>
          <w:color w:val="auto"/>
          <w:sz w:val="21"/>
          <w:szCs w:val="21"/>
          <w:highlight w:val="none"/>
        </w:rPr>
        <w:t>。</w:t>
      </w:r>
    </w:p>
    <w:p w14:paraId="49CD77D4">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sz w:val="21"/>
          <w:szCs w:val="21"/>
          <w:highlight w:val="none"/>
        </w:rPr>
        <w:t>6.3质疑、投诉应当采用书面形式，质疑书、投诉书实行实名制，均应明确阐述谈判文件、谈判过程或成交结果中使自己合法权益受到损害的实质性内容，并提供必要的证明材料</w:t>
      </w:r>
      <w:r>
        <w:rPr>
          <w:rFonts w:hint="eastAsia" w:ascii="宋体" w:hAnsi="宋体" w:cs="宋体"/>
          <w:color w:val="auto"/>
          <w:kern w:val="0"/>
          <w:sz w:val="21"/>
          <w:szCs w:val="21"/>
          <w:highlight w:val="none"/>
        </w:rPr>
        <w:t>。</w:t>
      </w:r>
    </w:p>
    <w:p w14:paraId="147F3EE8">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1361A996">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（1）供应商的姓名或者名称、地址、邮编、联系人及联系电话；</w:t>
      </w:r>
    </w:p>
    <w:p w14:paraId="19C64EA8">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（2）质疑项目的名称、编号；</w:t>
      </w:r>
    </w:p>
    <w:p w14:paraId="10B2B012">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（3）具体、明确的质疑事项和与质疑事项相关的请求；</w:t>
      </w:r>
    </w:p>
    <w:p w14:paraId="475481CA">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（4）事实依据；</w:t>
      </w:r>
    </w:p>
    <w:p w14:paraId="52FD1588">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（5）必要的法律依据；</w:t>
      </w:r>
    </w:p>
    <w:p w14:paraId="09DFD187">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（6）提出质疑的日期。</w:t>
      </w:r>
    </w:p>
    <w:p w14:paraId="62818613">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供应商为自然人的，应当由本人签字；供应商为法人或者其他组织的，应当由法定代表人、主要负责人，或者其授权代表签字或者盖章，并加盖公章。</w:t>
      </w:r>
    </w:p>
    <w:p w14:paraId="369D8CCA">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接收质疑函方式：以书面形式</w:t>
      </w:r>
    </w:p>
    <w:p w14:paraId="58FDF112">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质疑联系部门及联系方式：云之龙咨询集团有限公司桂林分公司，联系人：李贞，</w:t>
      </w:r>
      <w:r>
        <w:rPr>
          <w:rFonts w:ascii="宋体" w:hAnsi="宋体" w:cs="宋体"/>
          <w:color w:val="auto"/>
          <w:kern w:val="0"/>
          <w:sz w:val="21"/>
          <w:szCs w:val="21"/>
          <w:highlight w:val="none"/>
        </w:rPr>
        <w:t>联系电话</w:t>
      </w:r>
      <w:r>
        <w:rPr>
          <w:rFonts w:hint="eastAsia" w:ascii="宋体" w:hAnsi="宋体" w:cs="宋体"/>
          <w:color w:val="auto"/>
          <w:kern w:val="0"/>
          <w:sz w:val="21"/>
          <w:szCs w:val="21"/>
          <w:highlight w:val="none"/>
        </w:rPr>
        <w:t>：</w:t>
      </w:r>
      <w:r>
        <w:rPr>
          <w:rFonts w:ascii="宋体" w:hAnsi="宋体" w:cs="宋体"/>
          <w:color w:val="auto"/>
          <w:kern w:val="0"/>
          <w:sz w:val="21"/>
          <w:szCs w:val="21"/>
          <w:highlight w:val="none"/>
        </w:rPr>
        <w:t>0773-2887388  2887399</w:t>
      </w:r>
      <w:r>
        <w:rPr>
          <w:rFonts w:hint="eastAsia" w:ascii="宋体" w:hAnsi="宋体" w:cs="宋体"/>
          <w:color w:val="auto"/>
          <w:kern w:val="0"/>
          <w:sz w:val="21"/>
          <w:szCs w:val="21"/>
          <w:highlight w:val="none"/>
        </w:rPr>
        <w:t>。</w:t>
      </w:r>
    </w:p>
    <w:p w14:paraId="3BA1FDB3">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通讯地址：广西桂林市临桂区西城北路2号耀辉•美好家园2幢12层1号房。</w:t>
      </w:r>
    </w:p>
    <w:p w14:paraId="3D671484">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业务时间：工作日每日上午</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时00分到12时00分，下午</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时00分到</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时00分。业务时间以外、双休日和法定节假日不办理业务。</w:t>
      </w:r>
    </w:p>
    <w:p w14:paraId="0124D0B4">
      <w:pPr>
        <w:tabs>
          <w:tab w:val="left" w:pos="2190"/>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7.转包与分包</w:t>
      </w:r>
    </w:p>
    <w:p w14:paraId="15679BE8">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7.1 本项目不允许转包。</w:t>
      </w:r>
    </w:p>
    <w:p w14:paraId="4CEC9146">
      <w:pPr>
        <w:spacing w:line="400" w:lineRule="exact"/>
        <w:ind w:firstLine="420"/>
        <w:rPr>
          <w:rFonts w:hint="eastAsia" w:ascii="宋体" w:hAnsi="宋体" w:cs="宋体"/>
          <w:color w:val="auto"/>
          <w:sz w:val="21"/>
          <w:szCs w:val="24"/>
          <w:highlight w:val="none"/>
        </w:rPr>
      </w:pPr>
      <w:r>
        <w:rPr>
          <w:rFonts w:hint="eastAsia" w:ascii="宋体" w:hAnsi="宋体" w:cs="宋体"/>
          <w:color w:val="auto"/>
          <w:kern w:val="0"/>
          <w:sz w:val="21"/>
          <w:szCs w:val="21"/>
          <w:highlight w:val="none"/>
        </w:rPr>
        <w:t>7.2 本项目不可以分包。</w:t>
      </w:r>
    </w:p>
    <w:p w14:paraId="6683C3C7">
      <w:pPr>
        <w:tabs>
          <w:tab w:val="left" w:pos="163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8.特别说明</w:t>
      </w:r>
    </w:p>
    <w:p w14:paraId="6704E511">
      <w:pPr>
        <w:tabs>
          <w:tab w:val="left" w:pos="2190"/>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8.1提供相同品牌产品的不同供应商参加同一合同项下谈判的，以其中通过资格审查、符合性审查且最后报价最低的参加评审，最后报价相同的，由采购人自主选择确定一个参加评审的供应商；如为非单一产品采购项目，多家供应商提供的核心产品品牌相同的，视为提供相同品牌产品。</w:t>
      </w:r>
    </w:p>
    <w:p w14:paraId="6D7AECDE">
      <w:pPr>
        <w:tabs>
          <w:tab w:val="left" w:pos="2190"/>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8.2关联供应商不得参加同一合同项下政府采购活动，否则响应文件将被视为无效：</w:t>
      </w:r>
    </w:p>
    <w:p w14:paraId="2B8DB387">
      <w:pPr>
        <w:tabs>
          <w:tab w:val="left" w:pos="2190"/>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（1）单位负责人为同一人或者存在直接控股、管理关系的不同供应商，不得参加同一合同项下的政府采购活动。</w:t>
      </w:r>
    </w:p>
    <w:p w14:paraId="148382B2">
      <w:pPr>
        <w:tabs>
          <w:tab w:val="left" w:pos="2190"/>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（2）为本采购项目提供整体设计、规范编制或者项目管理、监理、检测等服务的供应商，不得再参加本次采购活动。</w:t>
      </w:r>
    </w:p>
    <w:p w14:paraId="7D99BB64">
      <w:pPr>
        <w:tabs>
          <w:tab w:val="left" w:pos="2190"/>
        </w:tabs>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（3）生产厂商授权给供应商后自己不得参加同一合同项下的政府采购活动；生产厂商对同一品牌同一型号的货物，仅能委托一个代理商参加谈判。</w:t>
      </w:r>
    </w:p>
    <w:p w14:paraId="7A159BB9">
      <w:pPr>
        <w:tabs>
          <w:tab w:val="left" w:pos="2190"/>
        </w:tabs>
        <w:spacing w:line="400" w:lineRule="exact"/>
        <w:ind w:firstLine="420"/>
        <w:rPr>
          <w:rFonts w:hint="eastAsia" w:ascii="宋体" w:hAnsi="宋体" w:eastAsia="宋体" w:cs="宋体"/>
          <w:color w:val="auto"/>
          <w:kern w:val="0"/>
          <w:sz w:val="21"/>
          <w:szCs w:val="24"/>
          <w:highlight w:val="none"/>
        </w:rPr>
      </w:pPr>
      <w:r>
        <w:rPr>
          <w:rFonts w:hint="eastAsia" w:ascii="宋体" w:hAnsi="宋体" w:eastAsia="宋体" w:cs="宋体"/>
          <w:color w:val="auto"/>
          <w:kern w:val="0"/>
          <w:sz w:val="21"/>
          <w:szCs w:val="24"/>
          <w:highlight w:val="none"/>
          <w:lang w:val="en-US" w:eastAsia="zh-CN"/>
        </w:rPr>
        <w:t>8.3</w:t>
      </w:r>
      <w:r>
        <w:rPr>
          <w:rFonts w:hint="eastAsia" w:ascii="宋体" w:hAnsi="宋体" w:eastAsia="宋体" w:cs="宋体"/>
          <w:color w:val="auto"/>
          <w:kern w:val="0"/>
          <w:sz w:val="21"/>
          <w:szCs w:val="24"/>
          <w:highlight w:val="none"/>
        </w:rPr>
        <w:t>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A040770">
      <w:pPr>
        <w:tabs>
          <w:tab w:val="left" w:pos="2190"/>
        </w:tabs>
        <w:spacing w:line="400" w:lineRule="exact"/>
        <w:ind w:firstLine="420"/>
        <w:rPr>
          <w:rFonts w:hint="eastAsia" w:ascii="宋体" w:hAnsi="宋体" w:eastAsia="宋体" w:cs="宋体"/>
          <w:color w:val="auto"/>
          <w:kern w:val="0"/>
          <w:sz w:val="21"/>
          <w:szCs w:val="24"/>
          <w:highlight w:val="none"/>
        </w:rPr>
      </w:pPr>
      <w:r>
        <w:rPr>
          <w:rFonts w:hint="eastAsia" w:ascii="宋体" w:hAnsi="宋体" w:eastAsia="宋体" w:cs="宋体"/>
          <w:color w:val="auto"/>
          <w:kern w:val="0"/>
          <w:sz w:val="21"/>
          <w:szCs w:val="24"/>
          <w:highlight w:val="none"/>
        </w:rPr>
        <w:t>产品在中国境内生产的组件成本占比应当达到规定比例，计算公式为：</w:t>
      </w:r>
    </w:p>
    <w:p w14:paraId="779E17A5">
      <w:pPr>
        <w:widowControl/>
        <w:shd w:val="clear" w:color="auto" w:fill="FFFFFF"/>
        <w:spacing w:before="30" w:after="30" w:line="360" w:lineRule="auto"/>
        <w:jc w:val="center"/>
        <w:rPr>
          <w:rFonts w:ascii="宋体" w:hAnsi="宋体" w:cs="宋体"/>
          <w:color w:val="auto"/>
          <w:kern w:val="0"/>
          <w:sz w:val="24"/>
          <w:highlight w:val="none"/>
        </w:rPr>
      </w:pPr>
      <w:r>
        <w:rPr>
          <w:rFonts w:ascii="宋体" w:hAnsi="宋体" w:cs="宋体"/>
          <w:color w:val="auto"/>
          <w:kern w:val="0"/>
          <w:sz w:val="24"/>
          <w:highlight w:val="none"/>
        </w:rPr>
        <w:fldChar w:fldCharType="begin"/>
      </w:r>
      <w:r>
        <w:rPr>
          <w:rFonts w:ascii="宋体" w:hAnsi="宋体" w:cs="宋体"/>
          <w:color w:val="auto"/>
          <w:kern w:val="0"/>
          <w:sz w:val="24"/>
          <w:highlight w:val="none"/>
        </w:rPr>
        <w:instrText xml:space="preserve"> INCLUDEPICTURE "https://www.gov.cn/zhengce/content/202509/W020250930645245947614.png" \* MERGEFORMATINET </w:instrText>
      </w:r>
      <w:r>
        <w:rPr>
          <w:rFonts w:ascii="宋体" w:hAnsi="宋体" w:cs="宋体"/>
          <w:color w:val="auto"/>
          <w:kern w:val="0"/>
          <w:sz w:val="24"/>
          <w:highlight w:val="none"/>
        </w:rPr>
        <w:fldChar w:fldCharType="separate"/>
      </w:r>
      <w:r>
        <w:rPr>
          <w:rFonts w:ascii="宋体" w:hAnsi="宋体" w:cs="宋体"/>
          <w:color w:val="auto"/>
          <w:kern w:val="0"/>
          <w:sz w:val="24"/>
          <w:highlight w:val="none"/>
        </w:rPr>
        <w:drawing>
          <wp:inline distT="0" distB="0" distL="114300" distR="114300">
            <wp:extent cx="4827905" cy="762635"/>
            <wp:effectExtent l="0" t="0" r="317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r:link="rId25"/>
                    <a:stretch>
                      <a:fillRect/>
                    </a:stretch>
                  </pic:blipFill>
                  <pic:spPr>
                    <a:xfrm>
                      <a:off x="0" y="0"/>
                      <a:ext cx="4827905" cy="762635"/>
                    </a:xfrm>
                    <a:prstGeom prst="rect">
                      <a:avLst/>
                    </a:prstGeom>
                    <a:noFill/>
                    <a:ln>
                      <a:noFill/>
                    </a:ln>
                  </pic:spPr>
                </pic:pic>
              </a:graphicData>
            </a:graphic>
          </wp:inline>
        </w:drawing>
      </w:r>
      <w:r>
        <w:rPr>
          <w:rFonts w:ascii="宋体" w:hAnsi="宋体" w:cs="宋体"/>
          <w:color w:val="auto"/>
          <w:kern w:val="0"/>
          <w:sz w:val="24"/>
          <w:highlight w:val="none"/>
        </w:rPr>
        <w:fldChar w:fldCharType="end"/>
      </w:r>
    </w:p>
    <w:p w14:paraId="06FE0B7B">
      <w:pPr>
        <w:tabs>
          <w:tab w:val="left" w:pos="2190"/>
        </w:tabs>
        <w:spacing w:line="400" w:lineRule="exact"/>
        <w:ind w:firstLine="420"/>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5B0B2EF2">
      <w:pPr>
        <w:tabs>
          <w:tab w:val="left" w:pos="2190"/>
        </w:tabs>
        <w:spacing w:line="400" w:lineRule="exact"/>
        <w:ind w:firstLine="420"/>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政府采购活动中既有本国产品又有非本国产品参与竞争的，依法对本国产品给予价格评审优惠，对本国产品的报价给予20%的价格扣除，用扣除后的价格参与评审。</w:t>
      </w:r>
    </w:p>
    <w:p w14:paraId="5714DBC5">
      <w:pPr>
        <w:tabs>
          <w:tab w:val="left" w:pos="2190"/>
        </w:tabs>
        <w:spacing w:line="400" w:lineRule="exact"/>
        <w:ind w:firstLine="420"/>
        <w:rPr>
          <w:rFonts w:hint="eastAsia" w:ascii="宋体" w:hAnsi="宋体" w:eastAsia="宋体" w:cs="宋体"/>
          <w:color w:val="auto"/>
          <w:kern w:val="0"/>
          <w:sz w:val="21"/>
          <w:szCs w:val="24"/>
          <w:highlight w:val="none"/>
          <w:lang w:val="en-US" w:eastAsia="zh-CN"/>
        </w:rPr>
      </w:pPr>
      <w:r>
        <w:rPr>
          <w:rFonts w:hint="eastAsia" w:ascii="宋体" w:hAnsi="宋体" w:eastAsia="宋体" w:cs="宋体"/>
          <w:color w:val="auto"/>
          <w:kern w:val="0"/>
          <w:sz w:val="21"/>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5194786">
      <w:pPr>
        <w:tabs>
          <w:tab w:val="left" w:pos="2190"/>
        </w:tabs>
        <w:spacing w:line="400" w:lineRule="exact"/>
        <w:ind w:firstLine="562"/>
        <w:jc w:val="center"/>
        <w:rPr>
          <w:rFonts w:hint="eastAsia" w:ascii="宋体" w:hAnsi="宋体" w:cs="宋体"/>
          <w:b/>
          <w:color w:val="auto"/>
          <w:kern w:val="0"/>
          <w:sz w:val="28"/>
          <w:szCs w:val="28"/>
          <w:highlight w:val="none"/>
        </w:rPr>
      </w:pPr>
    </w:p>
    <w:p w14:paraId="1C41C8FE">
      <w:pPr>
        <w:tabs>
          <w:tab w:val="left" w:pos="2190"/>
        </w:tabs>
        <w:spacing w:line="400" w:lineRule="exact"/>
        <w:ind w:firstLine="562"/>
        <w:jc w:val="cente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二、谈判文件</w:t>
      </w:r>
    </w:p>
    <w:p w14:paraId="6AB82B63">
      <w:pPr>
        <w:tabs>
          <w:tab w:val="left" w:pos="2190"/>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9.谈判文件的构成</w:t>
      </w:r>
    </w:p>
    <w:p w14:paraId="08730C4A">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（1）竞争性谈判公告；</w:t>
      </w:r>
    </w:p>
    <w:p w14:paraId="65D705D9">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（2）供应商须知；</w:t>
      </w:r>
    </w:p>
    <w:p w14:paraId="01B49304">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（3）采购需求；</w:t>
      </w:r>
    </w:p>
    <w:p w14:paraId="692B7A79">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（4）评审办法；</w:t>
      </w:r>
    </w:p>
    <w:p w14:paraId="1CA08393">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（5）政府采购合同（合同主要条款及格式）；</w:t>
      </w:r>
    </w:p>
    <w:p w14:paraId="5293B71F">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（6）响应文件（格式）。</w:t>
      </w:r>
    </w:p>
    <w:p w14:paraId="3CC5D091">
      <w:pPr>
        <w:tabs>
          <w:tab w:val="left" w:pos="2190"/>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10.谈判文件的澄清与修改</w:t>
      </w:r>
    </w:p>
    <w:p w14:paraId="240CA618">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10.1提交首次响应文件截止之日前，采购代理机构可以对已发出的谈判文件进行必要澄清或者修改，澄清或者修改的内容可能影响响应文件编制的，采购代理机构应当在提交首次响应文件提交截止时间三个工作日前在本项目竞争性谈判公告发布的同一媒体上发布更正公告，不足三个工作日的，应当顺延首次响应文件提交截止时间。</w:t>
      </w:r>
    </w:p>
    <w:p w14:paraId="552E8589">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0BD0D364">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10.3澄清或者修改的内容为谈判文件的组成部分。当澄清或者修改通知就同一内容的表述不一致时，以最后发出的书面文件为准。</w:t>
      </w:r>
    </w:p>
    <w:p w14:paraId="17EFFB38">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10.4 谈判文件的澄清或者修改都应该通过本项目采购代理机构以法定形式发布，采购人非通过本机构，不得擅自澄清、答复、修改或补充谈判文件。</w:t>
      </w:r>
    </w:p>
    <w:p w14:paraId="4AFF39DC">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10.5 采购代理机构可以视采购具体情况，延长响应文件提交截止时间和谈判时间，并在本项目竞争性谈判公告发布的同一媒体上发布变更公告。</w:t>
      </w:r>
    </w:p>
    <w:p w14:paraId="5EDDA2C4">
      <w:pPr>
        <w:tabs>
          <w:tab w:val="left" w:pos="2190"/>
        </w:tabs>
        <w:spacing w:line="380" w:lineRule="exact"/>
        <w:ind w:firstLine="435" w:firstLineChars="0"/>
        <w:rPr>
          <w:rFonts w:hint="eastAsia" w:ascii="宋体" w:hAnsi="宋体" w:cs="宋体"/>
          <w:color w:val="auto"/>
          <w:kern w:val="0"/>
          <w:sz w:val="21"/>
          <w:szCs w:val="21"/>
          <w:highlight w:val="none"/>
        </w:rPr>
      </w:pPr>
    </w:p>
    <w:p w14:paraId="7589FED2">
      <w:pPr>
        <w:tabs>
          <w:tab w:val="left" w:pos="2190"/>
        </w:tabs>
        <w:spacing w:line="380" w:lineRule="exact"/>
        <w:ind w:firstLine="435" w:firstLineChars="0"/>
        <w:jc w:val="cente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三、响应文件的编制</w:t>
      </w:r>
    </w:p>
    <w:p w14:paraId="4D54760D">
      <w:pPr>
        <w:tabs>
          <w:tab w:val="left" w:pos="2190"/>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11.响应文件（以下简称响应文件）的组成及要求</w:t>
      </w:r>
    </w:p>
    <w:p w14:paraId="743DA0D2">
      <w:pPr>
        <w:tabs>
          <w:tab w:val="left" w:pos="1305"/>
        </w:tabs>
        <w:spacing w:line="400" w:lineRule="exact"/>
        <w:ind w:firstLine="422"/>
        <w:rPr>
          <w:rFonts w:hint="eastAsia" w:ascii="宋体" w:hAnsi="宋体" w:cs="宋体"/>
          <w:color w:val="auto"/>
          <w:kern w:val="0"/>
          <w:sz w:val="21"/>
          <w:szCs w:val="21"/>
          <w:highlight w:val="none"/>
        </w:rPr>
      </w:pPr>
      <w:r>
        <w:rPr>
          <w:rFonts w:hint="eastAsia" w:ascii="宋体" w:hAnsi="宋体" w:cs="宋体"/>
          <w:b/>
          <w:color w:val="auto"/>
          <w:kern w:val="0"/>
          <w:sz w:val="21"/>
          <w:szCs w:val="21"/>
          <w:highlight w:val="none"/>
        </w:rPr>
        <w:t>11.1响应文件组成【格式见第六章“响应文件（格式）”】</w:t>
      </w:r>
    </w:p>
    <w:p w14:paraId="03FAE7C7">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11.1.1资格性响应证明材料：</w:t>
      </w:r>
    </w:p>
    <w:p w14:paraId="67D3F358">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sz w:val="21"/>
          <w:szCs w:val="21"/>
          <w:highlight w:val="none"/>
        </w:rPr>
        <w:t>（1）供应商相应的法定代表人身份证正反两面复印件</w:t>
      </w:r>
      <w:r>
        <w:rPr>
          <w:rFonts w:hint="eastAsia" w:ascii="宋体" w:hAnsi="宋体" w:cs="宋体"/>
          <w:b/>
          <w:color w:val="auto"/>
          <w:sz w:val="21"/>
          <w:szCs w:val="21"/>
          <w:highlight w:val="none"/>
        </w:rPr>
        <w:t>（必须提供）；</w:t>
      </w:r>
    </w:p>
    <w:p w14:paraId="684CC356">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sz w:val="21"/>
          <w:szCs w:val="21"/>
          <w:highlight w:val="none"/>
        </w:rPr>
        <w:t>（2）供应商的授权委托书、委托代理人</w:t>
      </w:r>
      <w:r>
        <w:rPr>
          <w:rFonts w:hint="eastAsia" w:ascii="宋体" w:hAnsi="宋体" w:cs="宋体"/>
          <w:color w:val="auto"/>
          <w:sz w:val="21"/>
          <w:szCs w:val="24"/>
          <w:highlight w:val="none"/>
        </w:rPr>
        <w:t>身份证正反面</w:t>
      </w:r>
      <w:r>
        <w:rPr>
          <w:rFonts w:hint="eastAsia" w:ascii="宋体" w:hAnsi="宋体" w:cs="宋体"/>
          <w:color w:val="auto"/>
          <w:sz w:val="21"/>
          <w:szCs w:val="21"/>
          <w:highlight w:val="none"/>
        </w:rPr>
        <w:t>复印件</w:t>
      </w:r>
      <w:r>
        <w:rPr>
          <w:rFonts w:hint="eastAsia" w:ascii="宋体" w:hAnsi="宋体" w:cs="宋体"/>
          <w:b/>
          <w:color w:val="auto"/>
          <w:sz w:val="21"/>
          <w:szCs w:val="21"/>
          <w:highlight w:val="none"/>
        </w:rPr>
        <w:t>（委托代理时必须提供）；</w:t>
      </w:r>
    </w:p>
    <w:p w14:paraId="0DDB11B5">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（3）供应商的法人或者其他组织营业执照等证明文件复印件</w:t>
      </w:r>
      <w:r>
        <w:rPr>
          <w:rFonts w:hint="eastAsia" w:ascii="宋体" w:hAnsi="宋体" w:cs="宋体"/>
          <w:b/>
          <w:color w:val="auto"/>
          <w:sz w:val="21"/>
          <w:szCs w:val="21"/>
          <w:highlight w:val="none"/>
        </w:rPr>
        <w:t>（必须提供，自然人除外）；</w:t>
      </w:r>
    </w:p>
    <w:p w14:paraId="09B9AAFB">
      <w:pPr>
        <w:tabs>
          <w:tab w:val="left" w:pos="1305"/>
        </w:tabs>
        <w:spacing w:line="400" w:lineRule="exact"/>
        <w:ind w:firstLine="422"/>
        <w:rPr>
          <w:rFonts w:hint="eastAsia" w:ascii="宋体" w:hAnsi="宋体" w:eastAsia="宋体" w:cs="宋体"/>
          <w:b/>
          <w:bCs w:val="0"/>
          <w:color w:val="auto"/>
          <w:sz w:val="21"/>
          <w:szCs w:val="21"/>
          <w:highlight w:val="none"/>
          <w:lang w:eastAsia="zh-CN"/>
        </w:rPr>
      </w:pPr>
      <w:r>
        <w:rPr>
          <w:rFonts w:hint="eastAsia" w:ascii="宋体" w:hAnsi="宋体" w:cs="宋体"/>
          <w:b/>
          <w:color w:val="auto"/>
          <w:sz w:val="21"/>
          <w:szCs w:val="21"/>
          <w:highlight w:val="none"/>
        </w:rPr>
        <w:t>注：①法人包括企业法人、机关法人、事业单位法人和社会团</w:t>
      </w:r>
      <w:r>
        <w:rPr>
          <w:rFonts w:hint="eastAsia" w:ascii="宋体" w:hAnsi="宋体" w:cs="宋体"/>
          <w:b/>
          <w:bCs w:val="0"/>
          <w:color w:val="auto"/>
          <w:sz w:val="21"/>
          <w:szCs w:val="21"/>
          <w:highlight w:val="none"/>
        </w:rPr>
        <w:t>体法人；其他组织主要包括合伙企业、非企业专业服务机构、个体工商户、农村承包经营户。②如供应商为企业（包括合伙企业）</w:t>
      </w:r>
      <w:r>
        <w:rPr>
          <w:rFonts w:hint="eastAsia"/>
          <w:b/>
          <w:bCs w:val="0"/>
          <w:color w:val="auto"/>
          <w:highlight w:val="none"/>
          <w:lang w:val="en-US" w:eastAsia="zh-CN"/>
        </w:rPr>
        <w:t>的</w:t>
      </w:r>
      <w:r>
        <w:rPr>
          <w:rFonts w:hint="eastAsia" w:ascii="宋体" w:hAnsi="宋体" w:cs="宋体"/>
          <w:b/>
          <w:bCs w:val="0"/>
          <w:color w:val="auto"/>
          <w:sz w:val="21"/>
          <w:szCs w:val="21"/>
          <w:highlight w:val="none"/>
        </w:rPr>
        <w:t>，应提供市场监督管理部门（或行政审批部门）注册的有效“企业法人营业执照”或“营业执照”；供应商为事业单位</w:t>
      </w:r>
      <w:r>
        <w:rPr>
          <w:rFonts w:hint="eastAsia" w:ascii="宋体" w:hAnsi="宋体" w:cs="宋体"/>
          <w:b/>
          <w:bCs w:val="0"/>
          <w:color w:val="auto"/>
          <w:sz w:val="21"/>
          <w:szCs w:val="21"/>
          <w:highlight w:val="none"/>
          <w:lang w:val="en-US" w:eastAsia="zh-CN"/>
        </w:rPr>
        <w:t>的</w:t>
      </w:r>
      <w:r>
        <w:rPr>
          <w:rFonts w:hint="eastAsia" w:ascii="宋体" w:hAnsi="宋体" w:cs="宋体"/>
          <w:b/>
          <w:bCs w:val="0"/>
          <w:color w:val="auto"/>
          <w:sz w:val="21"/>
          <w:szCs w:val="21"/>
          <w:highlight w:val="none"/>
        </w:rPr>
        <w:t>，应提供有效的“事业单位法人证书”；供应商为非企业专业服务机构的，应提供执业许可证等证明文件；供应商为个体工商户</w:t>
      </w:r>
      <w:r>
        <w:rPr>
          <w:rFonts w:hint="eastAsia"/>
          <w:b/>
          <w:bCs w:val="0"/>
          <w:color w:val="auto"/>
          <w:highlight w:val="none"/>
          <w:lang w:val="en-US" w:eastAsia="zh-CN"/>
        </w:rPr>
        <w:t>的</w:t>
      </w:r>
      <w:r>
        <w:rPr>
          <w:rFonts w:hint="eastAsia" w:ascii="宋体" w:hAnsi="宋体" w:cs="宋体"/>
          <w:b/>
          <w:bCs w:val="0"/>
          <w:color w:val="auto"/>
          <w:sz w:val="21"/>
          <w:szCs w:val="21"/>
          <w:highlight w:val="none"/>
        </w:rPr>
        <w:t>，应提供有效的营业执照</w:t>
      </w:r>
      <w:r>
        <w:rPr>
          <w:rFonts w:hint="eastAsia" w:ascii="宋体" w:hAnsi="宋体" w:cs="宋体"/>
          <w:b/>
          <w:bCs w:val="0"/>
          <w:color w:val="auto"/>
          <w:sz w:val="21"/>
          <w:szCs w:val="21"/>
          <w:highlight w:val="none"/>
          <w:lang w:val="en-US" w:eastAsia="zh-CN"/>
        </w:rPr>
        <w:t>；</w:t>
      </w:r>
      <w:r>
        <w:rPr>
          <w:rFonts w:hint="eastAsia" w:ascii="宋体" w:hAnsi="宋体" w:eastAsia="宋体" w:cs="宋体"/>
          <w:b/>
          <w:bCs/>
          <w:color w:val="auto"/>
          <w:sz w:val="21"/>
          <w:szCs w:val="21"/>
          <w:highlight w:val="none"/>
          <w:lang w:eastAsia="zh-CN"/>
        </w:rPr>
        <w:t>③</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为企业法人的分支机构(分公司)的，应当提供其有效的分支机构(分公司)营业执照复印件和总部/总公司的授权书原件</w:t>
      </w:r>
      <w:r>
        <w:rPr>
          <w:rFonts w:hint="eastAsia" w:ascii="宋体" w:hAnsi="宋体" w:cs="宋体"/>
          <w:b/>
          <w:bCs/>
          <w:color w:val="auto"/>
          <w:sz w:val="21"/>
          <w:szCs w:val="21"/>
          <w:highlight w:val="none"/>
          <w:lang w:eastAsia="zh-CN"/>
        </w:rPr>
        <w:t>的扫描件</w:t>
      </w:r>
      <w:r>
        <w:rPr>
          <w:rFonts w:hint="eastAsia" w:ascii="宋体" w:hAnsi="宋体" w:eastAsia="宋体" w:cs="宋体"/>
          <w:b/>
          <w:bCs/>
          <w:color w:val="auto"/>
          <w:sz w:val="21"/>
          <w:szCs w:val="21"/>
          <w:highlight w:val="none"/>
        </w:rPr>
        <w:t>（格式自拟）</w:t>
      </w:r>
      <w:r>
        <w:rPr>
          <w:rFonts w:hint="eastAsia" w:ascii="宋体" w:hAnsi="宋体" w:eastAsia="宋体" w:cs="宋体"/>
          <w:b/>
          <w:bCs/>
          <w:color w:val="auto"/>
          <w:sz w:val="21"/>
          <w:szCs w:val="21"/>
          <w:highlight w:val="none"/>
          <w:lang w:eastAsia="zh-CN"/>
        </w:rPr>
        <w:t>。</w:t>
      </w:r>
    </w:p>
    <w:p w14:paraId="6B771DE7">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（4）供应商财务状况报告</w:t>
      </w:r>
      <w:r>
        <w:rPr>
          <w:rFonts w:hint="eastAsia" w:ascii="宋体" w:hAnsi="宋体" w:cs="宋体"/>
          <w:b/>
          <w:bCs/>
          <w:color w:val="auto"/>
          <w:sz w:val="21"/>
          <w:szCs w:val="21"/>
          <w:highlight w:val="none"/>
        </w:rPr>
        <w:t>（必须提供）</w:t>
      </w:r>
      <w:r>
        <w:rPr>
          <w:rFonts w:hint="eastAsia" w:ascii="宋体" w:hAnsi="宋体" w:cs="宋体"/>
          <w:color w:val="auto"/>
          <w:sz w:val="21"/>
          <w:szCs w:val="21"/>
          <w:highlight w:val="none"/>
        </w:rPr>
        <w:t>；</w:t>
      </w:r>
    </w:p>
    <w:p w14:paraId="21DC2FB5">
      <w:pPr>
        <w:tabs>
          <w:tab w:val="left" w:pos="1305"/>
        </w:tabs>
        <w:spacing w:line="400" w:lineRule="exact"/>
        <w:ind w:firstLine="422"/>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注：供应商必须提供202</w:t>
      </w:r>
      <w:r>
        <w:rPr>
          <w:rFonts w:hint="eastAsia" w:ascii="宋体" w:hAnsi="宋体" w:cs="宋体"/>
          <w:b/>
          <w:bCs/>
          <w:color w:val="auto"/>
          <w:sz w:val="21"/>
          <w:szCs w:val="21"/>
          <w:highlight w:val="none"/>
          <w:lang w:val="en-US" w:eastAsia="zh-CN"/>
        </w:rPr>
        <w:t>5</w:t>
      </w:r>
      <w:r>
        <w:rPr>
          <w:rFonts w:hint="eastAsia" w:ascii="宋体" w:hAnsi="宋体" w:cs="宋体"/>
          <w:b/>
          <w:bCs/>
          <w:color w:val="auto"/>
          <w:sz w:val="21"/>
          <w:szCs w:val="21"/>
          <w:highlight w:val="none"/>
        </w:rPr>
        <w:t>年度内的财务报表复印件，或者202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rPr>
        <w:t>年1月以来银行出具的资信证明，或者中国人民银行征信中心出具的信用报告（企业参与投标的提供企业信用报告，自然人参与谈判的提供个人信用报告，供应商属于成立时间在规定年度之后的法人或其他组织，需提供成立之日起至响应文件提交截止时间前的月报表或银行出具的资信证明或者中国人民银行征信中心出具的企业信用报告；资信证明应在有效期内）。</w:t>
      </w:r>
    </w:p>
    <w:p w14:paraId="63394A4C">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（5）供应商依法缴纳税收的相关材料</w:t>
      </w:r>
      <w:r>
        <w:rPr>
          <w:rFonts w:hint="eastAsia" w:ascii="宋体" w:hAnsi="宋体" w:cs="宋体"/>
          <w:b/>
          <w:bCs/>
          <w:color w:val="auto"/>
          <w:sz w:val="21"/>
          <w:szCs w:val="21"/>
          <w:highlight w:val="none"/>
        </w:rPr>
        <w:t>（必须提供）</w:t>
      </w:r>
      <w:r>
        <w:rPr>
          <w:rFonts w:hint="eastAsia" w:ascii="宋体" w:hAnsi="宋体" w:cs="宋体"/>
          <w:color w:val="auto"/>
          <w:sz w:val="21"/>
          <w:szCs w:val="21"/>
          <w:highlight w:val="none"/>
        </w:rPr>
        <w:t>；</w:t>
      </w:r>
    </w:p>
    <w:p w14:paraId="0CB769C9">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b/>
          <w:bCs/>
          <w:color w:val="auto"/>
          <w:sz w:val="21"/>
          <w:szCs w:val="21"/>
          <w:highlight w:val="none"/>
        </w:rPr>
        <w:t>注：供应商必须提供202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rPr>
        <w:t>年1</w:t>
      </w:r>
      <w:r>
        <w:rPr>
          <w:rFonts w:hint="eastAsia" w:ascii="宋体" w:hAnsi="宋体" w:cs="宋体"/>
          <w:b/>
          <w:bCs/>
          <w:color w:val="auto"/>
          <w:sz w:val="21"/>
          <w:szCs w:val="21"/>
          <w:highlight w:val="none"/>
          <w:lang w:val="en-US" w:eastAsia="zh-CN"/>
        </w:rPr>
        <w:t>月</w:t>
      </w:r>
      <w:r>
        <w:rPr>
          <w:rFonts w:hint="eastAsia" w:ascii="宋体" w:hAnsi="宋体" w:cs="宋体"/>
          <w:b/>
          <w:bCs/>
          <w:color w:val="auto"/>
          <w:sz w:val="21"/>
          <w:szCs w:val="21"/>
          <w:highlight w:val="none"/>
        </w:rPr>
        <w:t>以来任意1个月的依法缴纳税收的证明材料复印件；依法免税的供应商，必须提供符合免税条件的证明材料。从成立之日起到响应文件提交截止时间止不足要求月数的，则无需提交。</w:t>
      </w:r>
    </w:p>
    <w:p w14:paraId="7CA7127F">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（6）供应商依法缴纳社会保障资金的相关材料</w:t>
      </w:r>
      <w:r>
        <w:rPr>
          <w:rFonts w:hint="eastAsia" w:ascii="宋体" w:hAnsi="宋体" w:cs="宋体"/>
          <w:b/>
          <w:bCs/>
          <w:color w:val="auto"/>
          <w:sz w:val="21"/>
          <w:szCs w:val="21"/>
          <w:highlight w:val="none"/>
        </w:rPr>
        <w:t>（必须提供）</w:t>
      </w:r>
      <w:r>
        <w:rPr>
          <w:rFonts w:hint="eastAsia" w:ascii="宋体" w:hAnsi="宋体" w:cs="宋体"/>
          <w:color w:val="auto"/>
          <w:sz w:val="21"/>
          <w:szCs w:val="21"/>
          <w:highlight w:val="none"/>
        </w:rPr>
        <w:t>；</w:t>
      </w:r>
    </w:p>
    <w:p w14:paraId="7C3BD8E3">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b/>
          <w:bCs/>
          <w:color w:val="auto"/>
          <w:sz w:val="21"/>
          <w:szCs w:val="21"/>
          <w:highlight w:val="none"/>
        </w:rPr>
        <w:t>注：供应商必须提供202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rPr>
        <w:t>年1月以来任意1个月的依法缴纳社会保障资金的缴费证明材料（如：专用收据、社会保险缴纳清单或者社保部门的证明）复印件；依法不需要缴纳社会保障资金的供应商，必须提供相应文件证明不需要缴纳社会保障资金。从成立之日起到响应文件提交截止时间止不足要求月数的，则无需提交。</w:t>
      </w:r>
    </w:p>
    <w:p w14:paraId="223D054E">
      <w:pPr>
        <w:tabs>
          <w:tab w:val="left" w:pos="1305"/>
        </w:tabs>
        <w:spacing w:line="400" w:lineRule="exact"/>
        <w:ind w:firstLine="420"/>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（7）供应商参加政府采购活动前3年内在经营活动中没有重大违法记录及有关信用信息的书面声明</w:t>
      </w:r>
      <w:r>
        <w:rPr>
          <w:rFonts w:hint="eastAsia" w:ascii="宋体" w:hAnsi="宋体" w:cs="宋体"/>
          <w:b/>
          <w:color w:val="auto"/>
          <w:kern w:val="0"/>
          <w:sz w:val="21"/>
          <w:szCs w:val="21"/>
          <w:highlight w:val="none"/>
        </w:rPr>
        <w:t>（必须提供）；</w:t>
      </w:r>
    </w:p>
    <w:p w14:paraId="327FB549">
      <w:pPr>
        <w:tabs>
          <w:tab w:val="left" w:pos="1305"/>
        </w:tabs>
        <w:spacing w:line="400" w:lineRule="exact"/>
        <w:ind w:firstLine="420"/>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（8）供应商参加本项目无围标串标行为的承诺函</w:t>
      </w:r>
      <w:r>
        <w:rPr>
          <w:rFonts w:hint="eastAsia" w:ascii="宋体" w:hAnsi="宋体" w:cs="宋体"/>
          <w:b/>
          <w:color w:val="auto"/>
          <w:kern w:val="0"/>
          <w:sz w:val="21"/>
          <w:szCs w:val="21"/>
          <w:highlight w:val="none"/>
        </w:rPr>
        <w:t>（必须提供）。</w:t>
      </w:r>
    </w:p>
    <w:p w14:paraId="1E3A12AF">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11.1.2符合性响应证明材料：</w:t>
      </w:r>
    </w:p>
    <w:p w14:paraId="4EF7875C">
      <w:pPr>
        <w:tabs>
          <w:tab w:val="left" w:pos="1305"/>
        </w:tabs>
        <w:spacing w:line="400" w:lineRule="exact"/>
        <w:ind w:firstLine="420"/>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（1）响应函</w:t>
      </w:r>
      <w:r>
        <w:rPr>
          <w:rFonts w:hint="eastAsia" w:ascii="宋体" w:hAnsi="宋体" w:cs="宋体"/>
          <w:b/>
          <w:color w:val="auto"/>
          <w:kern w:val="0"/>
          <w:sz w:val="21"/>
          <w:szCs w:val="21"/>
          <w:highlight w:val="none"/>
        </w:rPr>
        <w:t>（必须提供）；</w:t>
      </w:r>
    </w:p>
    <w:p w14:paraId="39F04DA3">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（2）谈判报价表</w:t>
      </w:r>
      <w:r>
        <w:rPr>
          <w:rFonts w:hint="eastAsia" w:ascii="宋体" w:hAnsi="宋体" w:cs="宋体"/>
          <w:b/>
          <w:bCs/>
          <w:color w:val="auto"/>
          <w:kern w:val="0"/>
          <w:sz w:val="21"/>
          <w:szCs w:val="21"/>
          <w:highlight w:val="none"/>
        </w:rPr>
        <w:t>（必须提供）</w:t>
      </w:r>
      <w:r>
        <w:rPr>
          <w:rFonts w:hint="eastAsia" w:ascii="宋体" w:hAnsi="宋体" w:cs="宋体"/>
          <w:color w:val="auto"/>
          <w:kern w:val="0"/>
          <w:sz w:val="21"/>
          <w:szCs w:val="21"/>
          <w:highlight w:val="none"/>
        </w:rPr>
        <w:t>；</w:t>
      </w:r>
    </w:p>
    <w:p w14:paraId="7DE43EE2">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（3）技术响应承诺书</w:t>
      </w:r>
      <w:r>
        <w:rPr>
          <w:rFonts w:hint="eastAsia" w:ascii="宋体" w:hAnsi="宋体" w:cs="宋体"/>
          <w:b/>
          <w:bCs/>
          <w:color w:val="auto"/>
          <w:kern w:val="0"/>
          <w:sz w:val="21"/>
          <w:szCs w:val="21"/>
          <w:highlight w:val="none"/>
        </w:rPr>
        <w:t>（必须提供）</w:t>
      </w:r>
      <w:r>
        <w:rPr>
          <w:rFonts w:hint="eastAsia" w:ascii="宋体" w:hAnsi="宋体" w:cs="宋体"/>
          <w:color w:val="auto"/>
          <w:kern w:val="0"/>
          <w:sz w:val="21"/>
          <w:szCs w:val="21"/>
          <w:highlight w:val="none"/>
        </w:rPr>
        <w:t>；</w:t>
      </w:r>
    </w:p>
    <w:p w14:paraId="760878AE">
      <w:pPr>
        <w:tabs>
          <w:tab w:val="left" w:pos="1305"/>
        </w:tabs>
        <w:spacing w:line="400" w:lineRule="exact"/>
        <w:ind w:firstLine="420"/>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（4）商务要求响应承诺书</w:t>
      </w:r>
      <w:r>
        <w:rPr>
          <w:rFonts w:hint="eastAsia" w:ascii="宋体" w:hAnsi="宋体" w:cs="宋体"/>
          <w:b/>
          <w:bCs/>
          <w:color w:val="auto"/>
          <w:kern w:val="0"/>
          <w:sz w:val="21"/>
          <w:szCs w:val="21"/>
          <w:highlight w:val="none"/>
        </w:rPr>
        <w:t>（必须提供）</w:t>
      </w:r>
      <w:r>
        <w:rPr>
          <w:rFonts w:hint="eastAsia" w:ascii="宋体" w:hAnsi="宋体" w:cs="宋体"/>
          <w:b/>
          <w:color w:val="auto"/>
          <w:kern w:val="0"/>
          <w:sz w:val="21"/>
          <w:szCs w:val="21"/>
          <w:highlight w:val="none"/>
        </w:rPr>
        <w:t>。</w:t>
      </w:r>
    </w:p>
    <w:p w14:paraId="7B9CC154">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11.1.3其他有效证明材料：</w:t>
      </w:r>
    </w:p>
    <w:p w14:paraId="28A064C7">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（1）节能、环保产品相关证明材料复印件</w:t>
      </w:r>
      <w:r>
        <w:rPr>
          <w:rFonts w:hint="eastAsia" w:ascii="宋体" w:hAnsi="宋体" w:eastAsia="宋体" w:cs="宋体"/>
          <w:b/>
          <w:bCs/>
          <w:color w:val="auto"/>
          <w:kern w:val="0"/>
          <w:sz w:val="21"/>
          <w:szCs w:val="21"/>
          <w:highlight w:val="none"/>
          <w:lang w:val="en-US" w:eastAsia="zh-CN" w:bidi="ar-SA"/>
        </w:rPr>
        <w:t>（如有，请提供）</w:t>
      </w:r>
      <w:r>
        <w:rPr>
          <w:rFonts w:hint="eastAsia" w:ascii="宋体" w:hAnsi="宋体" w:cs="宋体"/>
          <w:color w:val="auto"/>
          <w:kern w:val="0"/>
          <w:sz w:val="21"/>
          <w:szCs w:val="21"/>
          <w:highlight w:val="none"/>
        </w:rPr>
        <w:t>；</w:t>
      </w:r>
    </w:p>
    <w:p w14:paraId="5B10D35E">
      <w:pPr>
        <w:pStyle w:val="24"/>
        <w:spacing w:line="360" w:lineRule="exact"/>
        <w:ind w:firstLine="420" w:firstLineChars="200"/>
        <w:rPr>
          <w:rFonts w:hint="eastAsia" w:ascii="宋体" w:hAnsi="宋体" w:eastAsia="宋体" w:cs="Times New Roman"/>
          <w:color w:val="auto"/>
          <w:szCs w:val="21"/>
          <w:highlight w:val="none"/>
          <w:lang w:val="en-US" w:eastAsia="zh-CN"/>
        </w:rPr>
      </w:pPr>
      <w:r>
        <w:rPr>
          <w:rFonts w:hint="eastAsia" w:ascii="宋体" w:hAnsi="宋体" w:cs="宋体"/>
          <w:color w:val="auto"/>
          <w:kern w:val="0"/>
          <w:sz w:val="21"/>
          <w:szCs w:val="21"/>
          <w:highlight w:val="none"/>
        </w:rPr>
        <w:t>（2）</w:t>
      </w:r>
      <w:r>
        <w:rPr>
          <w:rFonts w:ascii="宋体" w:hAnsi="宋体" w:cs="宋体"/>
          <w:color w:val="auto"/>
          <w:sz w:val="21"/>
          <w:szCs w:val="21"/>
          <w:highlight w:val="none"/>
        </w:rPr>
        <w:t>供应商</w:t>
      </w:r>
      <w:r>
        <w:rPr>
          <w:rFonts w:hint="eastAsia" w:ascii="宋体" w:hAnsi="宋体" w:cs="宋体"/>
          <w:color w:val="auto"/>
          <w:sz w:val="21"/>
          <w:szCs w:val="21"/>
          <w:highlight w:val="none"/>
          <w:lang w:val="en-US" w:eastAsia="zh-CN"/>
        </w:rPr>
        <w:t>属于中小</w:t>
      </w:r>
      <w:r>
        <w:rPr>
          <w:rFonts w:ascii="宋体" w:hAnsi="宋体" w:cs="宋体"/>
          <w:color w:val="auto"/>
          <w:sz w:val="21"/>
          <w:szCs w:val="21"/>
          <w:highlight w:val="none"/>
        </w:rPr>
        <w:t>企业的相关有效证明材料</w:t>
      </w:r>
      <w:r>
        <w:rPr>
          <w:rFonts w:hint="eastAsia" w:ascii="宋体" w:hAnsi="宋体" w:eastAsia="宋体" w:cs="宋体"/>
          <w:b/>
          <w:bCs/>
          <w:color w:val="auto"/>
          <w:kern w:val="0"/>
          <w:sz w:val="21"/>
          <w:szCs w:val="21"/>
          <w:highlight w:val="none"/>
          <w:lang w:val="en-US" w:eastAsia="zh-CN" w:bidi="ar-SA"/>
        </w:rPr>
        <w:t>（如有，请提供）</w:t>
      </w:r>
      <w:r>
        <w:rPr>
          <w:rFonts w:hint="eastAsia" w:ascii="宋体" w:hAnsi="宋体" w:eastAsia="宋体" w:cs="Times New Roman"/>
          <w:b/>
          <w:bCs/>
          <w:color w:val="auto"/>
          <w:szCs w:val="21"/>
          <w:highlight w:val="none"/>
          <w:lang w:val="en-US" w:eastAsia="zh-CN"/>
        </w:rPr>
        <w:t>；</w:t>
      </w:r>
    </w:p>
    <w:p w14:paraId="52AE2566">
      <w:pPr>
        <w:tabs>
          <w:tab w:val="left" w:pos="1305"/>
        </w:tabs>
        <w:spacing w:line="400" w:lineRule="exact"/>
        <w:ind w:firstLine="42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注：①供应商提供的货物全部由符合政策要求中小企业制造，响应文件中提供《中小企业声明函》；②属于监狱企业的，提供由省级以上监狱管理局、戒毒管理局（含新疆生产建设兵团）出具的属于监狱企业的证明文件；③符合条件的残疾人福利性单位在参加政府采购活动时，提供《残疾人福利性单位声明函》，并对声明的真实性负责；</w:t>
      </w:r>
    </w:p>
    <w:p w14:paraId="62983C90">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《关于符合本国产品标准的声明函》或者财政部会同有关部门规定的有关证明文件</w:t>
      </w:r>
      <w:r>
        <w:rPr>
          <w:rFonts w:hint="eastAsia" w:ascii="宋体" w:hAnsi="宋体" w:cs="宋体"/>
          <w:color w:val="auto"/>
          <w:kern w:val="0"/>
          <w:sz w:val="21"/>
          <w:szCs w:val="21"/>
          <w:highlight w:val="none"/>
        </w:rPr>
        <w:t>（如有，请提供）</w:t>
      </w:r>
      <w:r>
        <w:rPr>
          <w:rFonts w:hint="eastAsia" w:ascii="宋体" w:hAnsi="宋体"/>
          <w:color w:val="auto"/>
          <w:szCs w:val="21"/>
          <w:highlight w:val="none"/>
          <w:lang w:eastAsia="zh-CN"/>
        </w:rPr>
        <w:t>；</w:t>
      </w:r>
    </w:p>
    <w:p w14:paraId="771E05AE">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）供应商可结合本项目的评审办法视自身情况自行提交相关证明材料（如有，请提供）。</w:t>
      </w:r>
    </w:p>
    <w:p w14:paraId="7C0E8A0E">
      <w:pPr>
        <w:spacing w:line="400" w:lineRule="exact"/>
        <w:ind w:firstLine="422"/>
        <w:rPr>
          <w:rFonts w:hint="eastAsia" w:ascii="宋体" w:hAnsi="宋体"/>
          <w:b/>
          <w:color w:val="auto"/>
          <w:sz w:val="21"/>
          <w:szCs w:val="21"/>
          <w:highlight w:val="none"/>
        </w:rPr>
      </w:pPr>
      <w:r>
        <w:rPr>
          <w:rFonts w:hint="eastAsia" w:ascii="宋体" w:hAnsi="宋体"/>
          <w:b/>
          <w:color w:val="auto"/>
          <w:sz w:val="21"/>
          <w:szCs w:val="21"/>
          <w:highlight w:val="none"/>
        </w:rPr>
        <w:t>供应商提供的以上</w:t>
      </w:r>
      <w:r>
        <w:rPr>
          <w:rFonts w:hint="eastAsia" w:ascii="宋体" w:hAnsi="宋体" w:cs="宋体"/>
          <w:b/>
          <w:color w:val="auto"/>
          <w:kern w:val="0"/>
          <w:sz w:val="21"/>
          <w:szCs w:val="21"/>
          <w:highlight w:val="none"/>
        </w:rPr>
        <w:t>资格性响应证明材料、符合性响应证明材料、其他有效证明材料</w:t>
      </w:r>
      <w:r>
        <w:rPr>
          <w:rFonts w:hint="eastAsia" w:ascii="宋体" w:hAnsi="宋体"/>
          <w:b/>
          <w:color w:val="auto"/>
          <w:sz w:val="21"/>
          <w:szCs w:val="21"/>
          <w:highlight w:val="none"/>
        </w:rPr>
        <w:t>必须真实有效。属于“必须提供”的材料应加盖供应商电子签章，否则，响应文件按无效处理；其中属于“必须提供”的材料在“第六章 响应文件（格式）”中有要求法定代表人或相应的委托代理人在规定位置签字（或电子签名）的，必须按要求签字（或电子签名），否则，响应文件按无效处理。</w:t>
      </w:r>
    </w:p>
    <w:p w14:paraId="79101158">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11.2供应商应按竞争性谈判文件第六章“响应文件（格式）”编制响应文件。</w:t>
      </w:r>
    </w:p>
    <w:p w14:paraId="003607C4">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12.响应文件的语言及计量</w:t>
      </w:r>
    </w:p>
    <w:p w14:paraId="2D05831B">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14:paraId="3C9F8D44">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12.2 响应计量单位，谈判文件已有明确规定的，使用谈判文件规定的计量单位；谈判文件没有规定的，必须采用中华人民共和国法定计量单位（货币单位：人民币元），否则视同未响应。</w:t>
      </w:r>
    </w:p>
    <w:p w14:paraId="11EF819E">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13.谈判报价及采购预算金额</w:t>
      </w:r>
    </w:p>
    <w:p w14:paraId="50B29873">
      <w:pPr>
        <w:tabs>
          <w:tab w:val="left" w:pos="1305"/>
        </w:tabs>
        <w:spacing w:line="400" w:lineRule="exact"/>
        <w:ind w:firstLine="422"/>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13.1“谈判报价表”中标的名称、数量、单位、单价、合计金额必须如实填写</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rPr>
        <w:t>其中，</w:t>
      </w:r>
      <w:r>
        <w:rPr>
          <w:rFonts w:hint="eastAsia" w:ascii="宋体" w:hAnsi="宋体" w:cs="宋体"/>
          <w:b/>
          <w:bCs/>
          <w:color w:val="auto"/>
          <w:kern w:val="0"/>
          <w:sz w:val="21"/>
          <w:szCs w:val="21"/>
          <w:highlight w:val="none"/>
          <w:lang w:eastAsia="zh-CN"/>
        </w:rPr>
        <w:t>就</w:t>
      </w:r>
      <w:r>
        <w:rPr>
          <w:rFonts w:hint="eastAsia" w:ascii="宋体" w:hAnsi="宋体" w:cs="宋体"/>
          <w:b/>
          <w:bCs/>
          <w:color w:val="auto"/>
          <w:kern w:val="0"/>
          <w:sz w:val="21"/>
          <w:szCs w:val="21"/>
          <w:highlight w:val="none"/>
        </w:rPr>
        <w:t>所竞</w:t>
      </w:r>
      <w:r>
        <w:rPr>
          <w:rFonts w:hint="eastAsia" w:ascii="宋体" w:hAnsi="宋体" w:cs="宋体"/>
          <w:b/>
          <w:bCs/>
          <w:color w:val="auto"/>
          <w:kern w:val="0"/>
          <w:sz w:val="21"/>
          <w:szCs w:val="21"/>
          <w:highlight w:val="none"/>
          <w:lang w:eastAsia="zh-CN"/>
        </w:rPr>
        <w:t>标的“</w:t>
      </w:r>
      <w:r>
        <w:rPr>
          <w:rFonts w:hint="eastAsia" w:ascii="宋体" w:hAnsi="宋体" w:cs="宋体"/>
          <w:b/>
          <w:bCs/>
          <w:color w:val="auto"/>
          <w:kern w:val="0"/>
          <w:sz w:val="21"/>
          <w:szCs w:val="21"/>
          <w:highlight w:val="none"/>
        </w:rPr>
        <w:t>夏凉被</w:t>
      </w:r>
      <w:r>
        <w:rPr>
          <w:rFonts w:hint="eastAsia" w:ascii="宋体" w:hAnsi="宋体" w:cs="宋体"/>
          <w:b/>
          <w:bCs/>
          <w:color w:val="auto"/>
          <w:kern w:val="0"/>
          <w:sz w:val="21"/>
          <w:szCs w:val="21"/>
          <w:highlight w:val="none"/>
          <w:lang w:eastAsia="zh-CN"/>
        </w:rPr>
        <w:t>”、“台式</w:t>
      </w:r>
      <w:r>
        <w:rPr>
          <w:rFonts w:hint="eastAsia" w:ascii="宋体" w:hAnsi="宋体" w:cs="宋体"/>
          <w:b/>
          <w:bCs/>
          <w:color w:val="auto"/>
          <w:kern w:val="0"/>
          <w:sz w:val="21"/>
          <w:szCs w:val="21"/>
          <w:highlight w:val="none"/>
        </w:rPr>
        <w:t>风扇</w:t>
      </w:r>
      <w:r>
        <w:rPr>
          <w:rFonts w:hint="eastAsia" w:ascii="宋体" w:hAnsi="宋体" w:cs="宋体"/>
          <w:b/>
          <w:bCs/>
          <w:color w:val="auto"/>
          <w:kern w:val="0"/>
          <w:sz w:val="21"/>
          <w:szCs w:val="21"/>
          <w:highlight w:val="none"/>
          <w:lang w:eastAsia="zh-CN"/>
        </w:rPr>
        <w:t>”须同时填报</w:t>
      </w:r>
      <w:r>
        <w:rPr>
          <w:rFonts w:hint="eastAsia" w:ascii="宋体" w:hAnsi="宋体" w:cs="宋体"/>
          <w:b/>
          <w:bCs/>
          <w:color w:val="auto"/>
          <w:kern w:val="0"/>
          <w:sz w:val="21"/>
          <w:szCs w:val="21"/>
          <w:highlight w:val="none"/>
        </w:rPr>
        <w:t>生产厂家（或制造商）、品牌、规格型号</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lang w:val="en-US" w:eastAsia="zh-CN"/>
        </w:rPr>
        <w:t>如</w:t>
      </w:r>
      <w:r>
        <w:rPr>
          <w:rFonts w:hint="eastAsia" w:ascii="宋体" w:hAnsi="宋体" w:cs="宋体"/>
          <w:b/>
          <w:bCs/>
          <w:color w:val="auto"/>
          <w:kern w:val="0"/>
          <w:sz w:val="21"/>
          <w:szCs w:val="21"/>
          <w:highlight w:val="none"/>
        </w:rPr>
        <w:t>有缺漏的，响应文件按无效处理。慰问信无品牌规格型号的，则无需填写。</w:t>
      </w:r>
    </w:p>
    <w:p w14:paraId="1FFD1A9A">
      <w:pPr>
        <w:tabs>
          <w:tab w:val="left" w:pos="1305"/>
        </w:tabs>
        <w:spacing w:line="400" w:lineRule="exact"/>
        <w:ind w:firstLine="422"/>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13.2供应商必须就“采购需求”中的所有内容作完整唯一报价，响应文件只允许有一个报价方案，不接受有选择的或有条件的报价，否则响应文件按无效处理。</w:t>
      </w:r>
    </w:p>
    <w:p w14:paraId="37C3EB93">
      <w:pPr>
        <w:tabs>
          <w:tab w:val="left" w:pos="1305"/>
        </w:tabs>
        <w:spacing w:line="400" w:lineRule="exact"/>
        <w:ind w:firstLine="420"/>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13.3采购预算金额（人民币）：</w:t>
      </w:r>
      <w:r>
        <w:rPr>
          <w:rFonts w:hint="eastAsia" w:ascii="宋体" w:hAnsi="宋体" w:cs="宋体"/>
          <w:b/>
          <w:bCs/>
          <w:color w:val="auto"/>
          <w:sz w:val="21"/>
          <w:szCs w:val="21"/>
          <w:highlight w:val="none"/>
          <w:lang w:eastAsia="zh-CN"/>
        </w:rPr>
        <w:t>玖拾捌万元整（¥980000.00）</w:t>
      </w:r>
      <w:r>
        <w:rPr>
          <w:rFonts w:hint="eastAsia" w:ascii="宋体" w:hAnsi="宋体" w:cs="宋体"/>
          <w:b/>
          <w:bCs/>
          <w:color w:val="auto"/>
          <w:kern w:val="0"/>
          <w:sz w:val="21"/>
          <w:szCs w:val="21"/>
          <w:highlight w:val="none"/>
        </w:rPr>
        <w:t>。报价超采购预算金额的，响应文件作无效处理。</w:t>
      </w:r>
    </w:p>
    <w:p w14:paraId="290DFA6F">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13.4</w:t>
      </w:r>
      <w:r>
        <w:rPr>
          <w:rFonts w:hint="eastAsia" w:ascii="宋体" w:hAnsi="宋体"/>
          <w:color w:val="auto"/>
          <w:sz w:val="21"/>
          <w:szCs w:val="21"/>
          <w:highlight w:val="none"/>
        </w:rPr>
        <w:t>供应商谈判报价应包括本次采购范围内货物价款、货物随配标准附件、包装、运输、装卸、保险、税金、货到位以及安装、安装所需辅材、调试、检验、售后服务、培训、保修</w:t>
      </w:r>
      <w:r>
        <w:rPr>
          <w:rFonts w:hint="eastAsia" w:ascii="宋体" w:hAnsi="宋体"/>
          <w:color w:val="auto"/>
          <w:kern w:val="0"/>
          <w:sz w:val="21"/>
          <w:szCs w:val="21"/>
          <w:highlight w:val="none"/>
          <w:lang w:eastAsia="zh-CN"/>
        </w:rPr>
        <w:t>（质保）</w:t>
      </w:r>
      <w:r>
        <w:rPr>
          <w:rFonts w:hint="eastAsia" w:ascii="宋体" w:hAnsi="宋体"/>
          <w:color w:val="auto"/>
          <w:sz w:val="21"/>
          <w:szCs w:val="21"/>
          <w:highlight w:val="none"/>
        </w:rPr>
        <w:t>、验收及其他所有成本费用的总和，供应商应综合考虑在报价中。</w:t>
      </w:r>
    </w:p>
    <w:p w14:paraId="4B498ED6">
      <w:pPr>
        <w:tabs>
          <w:tab w:val="left" w:pos="1305"/>
        </w:tabs>
        <w:spacing w:line="400" w:lineRule="exact"/>
        <w:ind w:firstLine="420"/>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13.5</w:t>
      </w:r>
      <w:r>
        <w:rPr>
          <w:rFonts w:hint="eastAsia" w:ascii="宋体" w:hAnsi="宋体"/>
          <w:color w:val="auto"/>
          <w:kern w:val="0"/>
          <w:sz w:val="21"/>
          <w:szCs w:val="21"/>
          <w:highlight w:val="none"/>
        </w:rPr>
        <w:t>未书面退出谈判的供应商必须在规定时间内登录</w:t>
      </w:r>
      <w:r>
        <w:rPr>
          <w:rFonts w:hint="eastAsia" w:ascii="宋体" w:hAnsi="宋体" w:cs="宋体"/>
          <w:bCs/>
          <w:color w:val="auto"/>
          <w:sz w:val="21"/>
          <w:szCs w:val="21"/>
          <w:highlight w:val="none"/>
        </w:rPr>
        <w:t>“广西政府采购云平台”</w:t>
      </w:r>
      <w:r>
        <w:rPr>
          <w:rFonts w:hint="eastAsia" w:ascii="宋体" w:hAnsi="宋体"/>
          <w:color w:val="auto"/>
          <w:kern w:val="0"/>
          <w:sz w:val="21"/>
          <w:szCs w:val="21"/>
          <w:highlight w:val="none"/>
        </w:rPr>
        <w:t>在线提交最后报价，其最后报价不得超出采购预算；谈判过程中谈判文件未作实质性变动的，最后报价不得超过首次报价</w:t>
      </w:r>
      <w:r>
        <w:rPr>
          <w:rFonts w:hint="eastAsia" w:ascii="宋体" w:hAnsi="宋体" w:cs="宋体"/>
          <w:color w:val="auto"/>
          <w:kern w:val="0"/>
          <w:sz w:val="21"/>
          <w:szCs w:val="21"/>
          <w:highlight w:val="none"/>
        </w:rPr>
        <w:t xml:space="preserve">。 </w:t>
      </w:r>
    </w:p>
    <w:p w14:paraId="16F43ABD">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14.响应文件有效期</w:t>
      </w:r>
    </w:p>
    <w:p w14:paraId="722A6CD2">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p w14:paraId="7F994658">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15.电子响应文件的制作、加密要求</w:t>
      </w:r>
    </w:p>
    <w:p w14:paraId="127BC97F">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color w:val="auto"/>
          <w:sz w:val="21"/>
          <w:szCs w:val="24"/>
          <w:highlight w:val="none"/>
        </w:rPr>
        <w:t>。</w:t>
      </w:r>
    </w:p>
    <w:p w14:paraId="678FDDB3">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15.2供应商下载或获取竞争性谈判文件后，登录“广西政府采购云平台电子投标客户端”，按照本谈判文件规定的响应文件格式、顺序以及“广西政府采购云平台”的要求，通过“广西政府采购云平台电子投标客户端”编制电子响应文件。</w:t>
      </w:r>
    </w:p>
    <w:p w14:paraId="5A7AE118">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15.3</w:t>
      </w:r>
      <w:r>
        <w:rPr>
          <w:rFonts w:hint="eastAsia" w:ascii="宋体" w:hAnsi="宋体"/>
          <w:color w:val="auto"/>
          <w:sz w:val="21"/>
          <w:szCs w:val="24"/>
          <w:highlight w:val="none"/>
        </w:rPr>
        <w:t>供应商</w:t>
      </w:r>
      <w:r>
        <w:rPr>
          <w:rFonts w:ascii="宋体" w:hAnsi="宋体"/>
          <w:color w:val="auto"/>
          <w:sz w:val="21"/>
          <w:szCs w:val="24"/>
          <w:highlight w:val="none"/>
        </w:rPr>
        <w:t>应按“</w:t>
      </w:r>
      <w:r>
        <w:rPr>
          <w:rFonts w:hint="eastAsia" w:ascii="宋体" w:hAnsi="宋体"/>
          <w:color w:val="auto"/>
          <w:sz w:val="21"/>
          <w:szCs w:val="24"/>
          <w:highlight w:val="none"/>
        </w:rPr>
        <w:t>广西政府采购云平台</w:t>
      </w:r>
      <w:r>
        <w:rPr>
          <w:rFonts w:ascii="宋体" w:hAnsi="宋体"/>
          <w:color w:val="auto"/>
          <w:sz w:val="21"/>
          <w:szCs w:val="24"/>
          <w:highlight w:val="none"/>
        </w:rPr>
        <w:t>电子投标客户端”载明的“标书关联”功能进行电子</w:t>
      </w:r>
      <w:r>
        <w:rPr>
          <w:rFonts w:hint="eastAsia" w:ascii="宋体" w:hAnsi="宋体"/>
          <w:color w:val="auto"/>
          <w:sz w:val="21"/>
          <w:szCs w:val="24"/>
          <w:highlight w:val="none"/>
        </w:rPr>
        <w:t>响应</w:t>
      </w:r>
      <w:r>
        <w:rPr>
          <w:rFonts w:ascii="宋体" w:hAnsi="宋体"/>
          <w:color w:val="auto"/>
          <w:sz w:val="21"/>
          <w:szCs w:val="24"/>
          <w:highlight w:val="none"/>
        </w:rPr>
        <w:t>文件的关联定位，以便</w:t>
      </w:r>
      <w:r>
        <w:rPr>
          <w:rFonts w:hint="eastAsia" w:ascii="宋体" w:hAnsi="宋体"/>
          <w:color w:val="auto"/>
          <w:sz w:val="21"/>
          <w:szCs w:val="24"/>
          <w:highlight w:val="none"/>
        </w:rPr>
        <w:t>谈判小组</w:t>
      </w:r>
      <w:r>
        <w:rPr>
          <w:rFonts w:ascii="宋体" w:hAnsi="宋体"/>
          <w:color w:val="auto"/>
          <w:sz w:val="21"/>
          <w:szCs w:val="24"/>
          <w:highlight w:val="none"/>
        </w:rPr>
        <w:t>在评审时点击相应评审项可直接定位到该评审内容；如</w:t>
      </w:r>
      <w:r>
        <w:rPr>
          <w:rFonts w:hint="eastAsia" w:ascii="宋体" w:hAnsi="宋体"/>
          <w:color w:val="auto"/>
          <w:sz w:val="21"/>
          <w:szCs w:val="24"/>
          <w:highlight w:val="none"/>
        </w:rPr>
        <w:t>供应商</w:t>
      </w:r>
      <w:r>
        <w:rPr>
          <w:rFonts w:ascii="宋体" w:hAnsi="宋体"/>
          <w:color w:val="auto"/>
          <w:sz w:val="21"/>
          <w:szCs w:val="24"/>
          <w:highlight w:val="none"/>
        </w:rPr>
        <w:t>的电子</w:t>
      </w:r>
      <w:r>
        <w:rPr>
          <w:rFonts w:hint="eastAsia" w:ascii="宋体" w:hAnsi="宋体"/>
          <w:color w:val="auto"/>
          <w:sz w:val="21"/>
          <w:szCs w:val="24"/>
          <w:highlight w:val="none"/>
        </w:rPr>
        <w:t>响应</w:t>
      </w:r>
      <w:r>
        <w:rPr>
          <w:rFonts w:ascii="宋体" w:hAnsi="宋体"/>
          <w:color w:val="auto"/>
          <w:sz w:val="21"/>
          <w:szCs w:val="24"/>
          <w:highlight w:val="none"/>
        </w:rPr>
        <w:t>文件未能关联定位相应内容，或者关联定位的内容与该评审项不符，导致</w:t>
      </w:r>
      <w:r>
        <w:rPr>
          <w:rFonts w:hint="eastAsia" w:ascii="宋体" w:hAnsi="宋体"/>
          <w:color w:val="auto"/>
          <w:sz w:val="21"/>
          <w:szCs w:val="24"/>
          <w:highlight w:val="none"/>
        </w:rPr>
        <w:t>谈判小组</w:t>
      </w:r>
      <w:r>
        <w:rPr>
          <w:rFonts w:ascii="宋体" w:hAnsi="宋体"/>
          <w:color w:val="auto"/>
          <w:sz w:val="21"/>
          <w:szCs w:val="24"/>
          <w:highlight w:val="none"/>
        </w:rPr>
        <w:t>无法查询并做出对</w:t>
      </w:r>
      <w:r>
        <w:rPr>
          <w:rFonts w:hint="eastAsia" w:ascii="宋体" w:hAnsi="宋体"/>
          <w:color w:val="auto"/>
          <w:sz w:val="21"/>
          <w:szCs w:val="24"/>
          <w:highlight w:val="none"/>
        </w:rPr>
        <w:t>供应商</w:t>
      </w:r>
      <w:r>
        <w:rPr>
          <w:rFonts w:ascii="宋体" w:hAnsi="宋体"/>
          <w:color w:val="auto"/>
          <w:sz w:val="21"/>
          <w:szCs w:val="24"/>
          <w:highlight w:val="none"/>
        </w:rPr>
        <w:t>不利的评审，相关后果由</w:t>
      </w:r>
      <w:r>
        <w:rPr>
          <w:rFonts w:hint="eastAsia" w:ascii="宋体" w:hAnsi="宋体"/>
          <w:color w:val="auto"/>
          <w:sz w:val="21"/>
          <w:szCs w:val="24"/>
          <w:highlight w:val="none"/>
        </w:rPr>
        <w:t>供应商</w:t>
      </w:r>
      <w:r>
        <w:rPr>
          <w:rFonts w:ascii="宋体" w:hAnsi="宋体"/>
          <w:color w:val="auto"/>
          <w:sz w:val="21"/>
          <w:szCs w:val="24"/>
          <w:highlight w:val="none"/>
        </w:rPr>
        <w:t>自行承担。</w:t>
      </w:r>
    </w:p>
    <w:p w14:paraId="5A83DF4C">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15.4电子响应文件不得涂改，若有修改错漏处，须由法定代表人或委托代理人签字（或者电子签名）。因响应文件字迹潦草、表达不清、内容不完整、编排混乱导致响应文件被误读、漏读，或者在竞争性谈判文件规定的部位查找不到相关内容，</w:t>
      </w:r>
      <w:r>
        <w:rPr>
          <w:rFonts w:ascii="宋体" w:hAnsi="宋体"/>
          <w:color w:val="auto"/>
          <w:sz w:val="21"/>
          <w:szCs w:val="24"/>
          <w:highlight w:val="none"/>
        </w:rPr>
        <w:t>导致</w:t>
      </w:r>
      <w:r>
        <w:rPr>
          <w:rFonts w:hint="eastAsia" w:ascii="宋体" w:hAnsi="宋体"/>
          <w:color w:val="auto"/>
          <w:sz w:val="21"/>
          <w:szCs w:val="24"/>
          <w:highlight w:val="none"/>
        </w:rPr>
        <w:t>谈判小组</w:t>
      </w:r>
      <w:r>
        <w:rPr>
          <w:rFonts w:ascii="宋体" w:hAnsi="宋体"/>
          <w:color w:val="auto"/>
          <w:sz w:val="21"/>
          <w:szCs w:val="24"/>
          <w:highlight w:val="none"/>
        </w:rPr>
        <w:t>做出对</w:t>
      </w:r>
      <w:r>
        <w:rPr>
          <w:rFonts w:hint="eastAsia" w:ascii="宋体" w:hAnsi="宋体"/>
          <w:color w:val="auto"/>
          <w:sz w:val="21"/>
          <w:szCs w:val="24"/>
          <w:highlight w:val="none"/>
        </w:rPr>
        <w:t>供应商</w:t>
      </w:r>
      <w:r>
        <w:rPr>
          <w:rFonts w:ascii="宋体" w:hAnsi="宋体"/>
          <w:color w:val="auto"/>
          <w:sz w:val="21"/>
          <w:szCs w:val="24"/>
          <w:highlight w:val="none"/>
        </w:rPr>
        <w:t>不利的评审</w:t>
      </w:r>
      <w:r>
        <w:rPr>
          <w:rFonts w:hint="eastAsia" w:ascii="宋体" w:hAnsi="宋体"/>
          <w:color w:val="auto"/>
          <w:sz w:val="21"/>
          <w:szCs w:val="24"/>
          <w:highlight w:val="none"/>
        </w:rPr>
        <w:t>的，</w:t>
      </w:r>
      <w:r>
        <w:rPr>
          <w:rFonts w:hint="eastAsia" w:ascii="宋体" w:hAnsi="宋体" w:cs="宋体"/>
          <w:color w:val="auto"/>
          <w:sz w:val="21"/>
          <w:szCs w:val="24"/>
          <w:highlight w:val="none"/>
        </w:rPr>
        <w:t>其后果由供应商自行承担</w:t>
      </w:r>
      <w:r>
        <w:rPr>
          <w:rFonts w:hint="eastAsia" w:ascii="宋体" w:hAnsi="宋体" w:cs="宋体"/>
          <w:color w:val="auto"/>
          <w:sz w:val="21"/>
          <w:szCs w:val="21"/>
          <w:highlight w:val="none"/>
        </w:rPr>
        <w:t>。</w:t>
      </w:r>
    </w:p>
    <w:p w14:paraId="173739AD">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15.5供应商编制、生成电子响应文件后应当加密响应文件。供应商未按规定编制并加密的响应文件，“广西政府采购云平台”将予以拒收。</w:t>
      </w:r>
    </w:p>
    <w:p w14:paraId="2C30B24C">
      <w:pPr>
        <w:snapToGrid w:val="0"/>
        <w:spacing w:line="400" w:lineRule="exact"/>
        <w:ind w:firstLine="420"/>
        <w:jc w:val="left"/>
        <w:rPr>
          <w:rFonts w:hint="eastAsia" w:ascii="宋体" w:hAnsi="宋体" w:cs="宋体"/>
          <w:b/>
          <w:color w:val="auto"/>
          <w:kern w:val="0"/>
          <w:sz w:val="21"/>
          <w:szCs w:val="21"/>
          <w:highlight w:val="none"/>
        </w:rPr>
      </w:pPr>
      <w:r>
        <w:rPr>
          <w:rFonts w:hint="eastAsia" w:ascii="宋体" w:hAnsi="宋体" w:cs="宋体"/>
          <w:color w:val="auto"/>
          <w:kern w:val="0"/>
          <w:sz w:val="21"/>
          <w:szCs w:val="21"/>
          <w:highlight w:val="none"/>
        </w:rPr>
        <w:t>15.6</w:t>
      </w:r>
      <w:r>
        <w:rPr>
          <w:rFonts w:hint="eastAsia" w:ascii="宋体" w:hAnsi="宋体" w:cs="宋体"/>
          <w:b/>
          <w:color w:val="auto"/>
          <w:kern w:val="0"/>
          <w:sz w:val="21"/>
          <w:szCs w:val="21"/>
          <w:highlight w:val="none"/>
        </w:rPr>
        <w:t>供应商公章及签字</w:t>
      </w:r>
    </w:p>
    <w:p w14:paraId="24B4ED4D">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15.6.1本竞争性谈判文件中描述供应商的“公章”是指根据我国对公章的管理规定，用供应商法定主体行为名称制作的印章，除本竞争性谈判文件有特殊规定外，供应商的其他形式印章均不能代替公章。</w:t>
      </w:r>
    </w:p>
    <w:p w14:paraId="19F2380E">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15.6.2本竞争性谈判文件中描述供应商的“签字”是指供应商的法定代表人或者委托代理人亲自在文件规定签字处亲笔写上个人的名字的行为，其他形式均不能代替亲笔签字。</w:t>
      </w:r>
    </w:p>
    <w:p w14:paraId="492E2DEE">
      <w:pPr>
        <w:snapToGrid w:val="0"/>
        <w:spacing w:line="400" w:lineRule="exact"/>
        <w:ind w:firstLine="420"/>
        <w:jc w:val="left"/>
        <w:rPr>
          <w:rFonts w:hint="eastAsia" w:ascii="宋体" w:hAnsi="宋体" w:cs="宋体"/>
          <w:color w:val="auto"/>
          <w:sz w:val="21"/>
          <w:szCs w:val="24"/>
          <w:highlight w:val="none"/>
        </w:rPr>
      </w:pPr>
      <w:r>
        <w:rPr>
          <w:rFonts w:hint="eastAsia" w:ascii="宋体" w:hAnsi="宋体" w:cs="宋体"/>
          <w:color w:val="auto"/>
          <w:sz w:val="21"/>
          <w:szCs w:val="24"/>
          <w:highlight w:val="none"/>
        </w:rPr>
        <w:t>15.6.3本竞争性谈判文件所称的“电子签章”、“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p w14:paraId="78D27BDE">
      <w:pPr>
        <w:snapToGrid w:val="0"/>
        <w:spacing w:line="400" w:lineRule="exact"/>
        <w:ind w:firstLine="422"/>
        <w:jc w:val="left"/>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16.首次响应文件的提交、撤回、修改</w:t>
      </w:r>
    </w:p>
    <w:p w14:paraId="69829F11">
      <w:pPr>
        <w:spacing w:line="400" w:lineRule="exact"/>
        <w:ind w:firstLine="420"/>
        <w:rPr>
          <w:rFonts w:hint="eastAsia"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eastAsia" w:ascii="宋体" w:hAnsi="宋体" w:cs="宋体"/>
          <w:bCs/>
          <w:color w:val="auto"/>
          <w:sz w:val="21"/>
          <w:szCs w:val="21"/>
          <w:highlight w:val="none"/>
          <w:lang w:eastAsia="zh-CN"/>
        </w:rPr>
        <w:t>2026年</w:t>
      </w:r>
      <w:r>
        <w:rPr>
          <w:rFonts w:hint="eastAsia" w:ascii="宋体" w:hAnsi="宋体" w:cs="宋体"/>
          <w:bCs/>
          <w:color w:val="auto"/>
          <w:sz w:val="21"/>
          <w:szCs w:val="21"/>
          <w:highlight w:val="none"/>
          <w:lang w:val="en-US" w:eastAsia="zh-CN"/>
        </w:rPr>
        <w:t>7</w:t>
      </w:r>
      <w:r>
        <w:rPr>
          <w:rFonts w:hint="eastAsia" w:ascii="宋体" w:hAnsi="宋体" w:cs="宋体"/>
          <w:bCs/>
          <w:color w:val="auto"/>
          <w:sz w:val="21"/>
          <w:szCs w:val="21"/>
          <w:highlight w:val="none"/>
          <w:lang w:eastAsia="zh-CN"/>
        </w:rPr>
        <w:t>月</w:t>
      </w:r>
      <w:r>
        <w:rPr>
          <w:rFonts w:hint="eastAsia" w:ascii="宋体" w:hAnsi="宋体" w:cs="宋体"/>
          <w:bCs/>
          <w:color w:val="auto"/>
          <w:sz w:val="21"/>
          <w:szCs w:val="21"/>
          <w:highlight w:val="none"/>
          <w:lang w:val="en-US" w:eastAsia="zh-CN"/>
        </w:rPr>
        <w:t>13</w:t>
      </w:r>
      <w:r>
        <w:rPr>
          <w:rFonts w:hint="eastAsia" w:ascii="宋体" w:hAnsi="宋体" w:cs="宋体"/>
          <w:bCs/>
          <w:color w:val="auto"/>
          <w:sz w:val="21"/>
          <w:szCs w:val="21"/>
          <w:highlight w:val="none"/>
          <w:lang w:eastAsia="zh-CN"/>
        </w:rPr>
        <w:t>日</w:t>
      </w:r>
      <w:r>
        <w:rPr>
          <w:rFonts w:hint="eastAsia" w:ascii="宋体" w:hAnsi="宋体" w:cs="宋体"/>
          <w:color w:val="auto"/>
          <w:sz w:val="21"/>
          <w:szCs w:val="21"/>
          <w:highlight w:val="none"/>
        </w:rPr>
        <w:t>上午9时30分</w:t>
      </w:r>
      <w:r>
        <w:rPr>
          <w:rFonts w:hint="eastAsia" w:ascii="宋体" w:hAnsi="宋体" w:cs="宋体"/>
          <w:bCs/>
          <w:color w:val="auto"/>
          <w:sz w:val="21"/>
          <w:szCs w:val="21"/>
          <w:highlight w:val="none"/>
        </w:rPr>
        <w:t>（北京时间）</w:t>
      </w:r>
    </w:p>
    <w:p w14:paraId="723EDD0D">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1E539093">
      <w:pPr>
        <w:adjustRightInd w:val="0"/>
        <w:snapToGrid w:val="0"/>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响应文件提交截止时间前未成功将电子响应文件上传“广西政府采购云平台”的，视为未提交响应文件。</w:t>
      </w:r>
    </w:p>
    <w:p w14:paraId="4BF14252">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16.4除竞争性谈判文件另有规定外，供应商所提交的响应文件不予退还。</w:t>
      </w:r>
    </w:p>
    <w:p w14:paraId="7F6230D6">
      <w:pPr>
        <w:tabs>
          <w:tab w:val="left" w:pos="1305"/>
        </w:tabs>
        <w:spacing w:line="400" w:lineRule="exact"/>
        <w:ind w:firstLine="422"/>
        <w:rPr>
          <w:rFonts w:hint="eastAsia" w:ascii="宋体" w:hAnsi="宋体" w:cs="宋体"/>
          <w:color w:val="auto"/>
          <w:sz w:val="18"/>
          <w:szCs w:val="18"/>
          <w:highlight w:val="none"/>
        </w:rPr>
      </w:pPr>
      <w:r>
        <w:rPr>
          <w:rFonts w:hint="eastAsia" w:ascii="宋体" w:hAnsi="宋体" w:cs="宋体"/>
          <w:b/>
          <w:color w:val="auto"/>
          <w:kern w:val="0"/>
          <w:sz w:val="21"/>
          <w:szCs w:val="21"/>
          <w:highlight w:val="none"/>
        </w:rPr>
        <w:t>17.响应文件的解密</w:t>
      </w:r>
    </w:p>
    <w:p w14:paraId="0DA18C63">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响应文件提交截止时间后，采购代理机构开启解密响应文件操作，“广西政府采购云平台”向各供应商发出电子加密响应文件解密通知，由供应商在系统发出解密通知后30分钟内自行使用加密时的CA通过“项目采购-开标评标”功能对响应文件进行解密。若供应商在上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政府采购云平台”操作规范上传至“政府采购云平台”，电子备份响应文件上传成功后，供应商原上传的“电子加密响应文件”自动失效。若供应商在规定时间内无法解密或解密失败且未在规定的时间内提供电子备份响应文件的（包含提供的电子备份响应文件无效或无法解密的情况），视为供应商放弃谈判。</w:t>
      </w:r>
    </w:p>
    <w:p w14:paraId="35667D04">
      <w:pPr>
        <w:tabs>
          <w:tab w:val="left" w:pos="1305"/>
        </w:tabs>
        <w:spacing w:line="380" w:lineRule="exact"/>
        <w:ind w:firstLine="420"/>
        <w:rPr>
          <w:rFonts w:hint="eastAsia" w:ascii="宋体" w:hAnsi="宋体" w:cs="宋体"/>
          <w:color w:val="auto"/>
          <w:kern w:val="0"/>
          <w:sz w:val="21"/>
          <w:szCs w:val="21"/>
          <w:highlight w:val="none"/>
        </w:rPr>
      </w:pPr>
    </w:p>
    <w:p w14:paraId="42DBFE1D">
      <w:pPr>
        <w:tabs>
          <w:tab w:val="left" w:pos="1305"/>
        </w:tabs>
        <w:spacing w:line="400" w:lineRule="exact"/>
        <w:ind w:firstLine="562"/>
        <w:jc w:val="cente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四、竞争性谈判（简称谈判）与评审</w:t>
      </w:r>
    </w:p>
    <w:p w14:paraId="50FBDAA2">
      <w:pPr>
        <w:tabs>
          <w:tab w:val="center" w:pos="4411"/>
          <w:tab w:val="left" w:pos="5475"/>
        </w:tabs>
        <w:spacing w:line="400" w:lineRule="exact"/>
        <w:ind w:firstLine="422"/>
        <w:jc w:val="left"/>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18.谈判小组组成及谈判时间、地点、人员</w:t>
      </w:r>
    </w:p>
    <w:p w14:paraId="37D68483">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18.1 谈判小组组成：</w:t>
      </w:r>
    </w:p>
    <w:p w14:paraId="2D76DCEE">
      <w:pPr>
        <w:tabs>
          <w:tab w:val="left" w:pos="1140"/>
        </w:tabs>
        <w:spacing w:line="400" w:lineRule="exact"/>
        <w:ind w:firstLine="420"/>
        <w:rPr>
          <w:rFonts w:hint="eastAsia" w:ascii="宋体" w:hAnsi="宋体" w:cs="宋体"/>
          <w:color w:val="auto"/>
          <w:kern w:val="0"/>
          <w:sz w:val="21"/>
          <w:szCs w:val="21"/>
          <w:highlight w:val="none"/>
        </w:rPr>
      </w:pPr>
      <w:r>
        <w:rPr>
          <w:rFonts w:hint="eastAsia" w:ascii="宋体" w:hAnsi="宋体" w:cs="宋体"/>
          <w:bCs/>
          <w:color w:val="auto"/>
          <w:sz w:val="21"/>
          <w:szCs w:val="21"/>
          <w:highlight w:val="none"/>
        </w:rPr>
        <w:t>谈判及评审组织工作由采购代理机构负责，具体谈判、评审工作由依法组建的谈判小组负责，本项目谈判小组的构成：3人</w:t>
      </w:r>
      <w:r>
        <w:rPr>
          <w:rFonts w:hint="eastAsia" w:ascii="宋体" w:hAnsi="宋体" w:cs="宋体"/>
          <w:color w:val="auto"/>
          <w:sz w:val="21"/>
          <w:szCs w:val="21"/>
          <w:highlight w:val="none"/>
        </w:rPr>
        <w:t>。</w:t>
      </w:r>
    </w:p>
    <w:p w14:paraId="1DEE7A7C">
      <w:pPr>
        <w:tabs>
          <w:tab w:val="left" w:pos="1305"/>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18.2 谈判时间、地点、人员：</w:t>
      </w:r>
    </w:p>
    <w:p w14:paraId="3E34D6F8">
      <w:pPr>
        <w:tabs>
          <w:tab w:val="left" w:pos="1140"/>
        </w:tabs>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18.2.1 谈判时间：首次响应文件提交截止时间后。</w:t>
      </w:r>
    </w:p>
    <w:p w14:paraId="1221747D">
      <w:pPr>
        <w:tabs>
          <w:tab w:val="left" w:pos="1140"/>
        </w:tabs>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18.2.2 谈判地点：“广西政府采购云平台”在线谈判。谈判小组将通过“广西政府采购云平台”在线要求供应商澄清（说明或者更正）、参与谈判、提交最后报价等，响应文件提交后直至评审结束前，供应商应保持“广西政府采购云平台”登录并实时在线，确保及时收到相关信息并应答。否则，其不利后果由供应商自行承担。</w:t>
      </w:r>
    </w:p>
    <w:p w14:paraId="6538D8B6">
      <w:pPr>
        <w:tabs>
          <w:tab w:val="left" w:pos="1140"/>
        </w:tabs>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18.2.3 谈判参加人员：供应商法定代表人或相应的委托代理人参加谈判。</w:t>
      </w:r>
    </w:p>
    <w:p w14:paraId="1163DABC">
      <w:pPr>
        <w:tabs>
          <w:tab w:val="left" w:pos="1140"/>
        </w:tabs>
        <w:spacing w:line="400" w:lineRule="exact"/>
        <w:ind w:firstLine="420"/>
        <w:rPr>
          <w:rFonts w:hint="eastAsia" w:ascii="宋体" w:hAnsi="宋体" w:cs="宋体"/>
          <w:bCs/>
          <w:color w:val="auto"/>
          <w:sz w:val="21"/>
          <w:szCs w:val="21"/>
          <w:highlight w:val="none"/>
        </w:rPr>
      </w:pPr>
      <w:r>
        <w:rPr>
          <w:rFonts w:hint="eastAsia" w:ascii="宋体" w:hAnsi="宋体" w:cs="宋体"/>
          <w:bCs/>
          <w:color w:val="auto"/>
          <w:sz w:val="21"/>
          <w:szCs w:val="21"/>
          <w:highlight w:val="none"/>
        </w:rPr>
        <w:t>18.2.4 首次响应文件提交截止时间后，登录“广西政府采购云平台”在线解密开启。</w:t>
      </w:r>
    </w:p>
    <w:p w14:paraId="6E0244B3">
      <w:pPr>
        <w:tabs>
          <w:tab w:val="left" w:pos="1140"/>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19.评审原则和评审办法</w:t>
      </w:r>
    </w:p>
    <w:p w14:paraId="6871F320">
      <w:pPr>
        <w:tabs>
          <w:tab w:val="left" w:pos="114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0"/>
          <w:highlight w:val="none"/>
        </w:rPr>
        <w:t>19.1</w:t>
      </w:r>
      <w:r>
        <w:rPr>
          <w:rFonts w:hint="eastAsia" w:ascii="宋体" w:hAnsi="宋体" w:cs="宋体"/>
          <w:color w:val="auto"/>
          <w:kern w:val="0"/>
          <w:sz w:val="21"/>
          <w:szCs w:val="21"/>
          <w:highlight w:val="none"/>
        </w:rPr>
        <w:t>谈判小组必须坚持公平、公正、科学和择优的原则。</w:t>
      </w:r>
    </w:p>
    <w:p w14:paraId="769DBC8E">
      <w:pPr>
        <w:tabs>
          <w:tab w:val="left" w:pos="114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sz w:val="21"/>
          <w:szCs w:val="21"/>
          <w:highlight w:val="none"/>
        </w:rPr>
        <w:t>19.2评审办法：具体详见“第四章 评审办法”。</w:t>
      </w:r>
    </w:p>
    <w:p w14:paraId="0F9D8452">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19.3谈判小组应按谈判文件进行评审，不得擅自更改评审办法。</w:t>
      </w:r>
    </w:p>
    <w:p w14:paraId="7538EC18">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19.4在评审过程中，谈判小组任何人不得对某个供应商发表任何倾向性意见，不得向其他谈判小组成员明示或者暗示自己的评审意见。</w:t>
      </w:r>
    </w:p>
    <w:p w14:paraId="7063DBDF">
      <w:pPr>
        <w:tabs>
          <w:tab w:val="left" w:pos="114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19.5谈判小组成员对需要共同认定的事项存在争议的，按照少数服从多数的原则作出结论。持不同意见的谈判小组成员应当在评审报告上签署不同意见并说明理由，否则视为同意。</w:t>
      </w:r>
    </w:p>
    <w:p w14:paraId="17FE824A">
      <w:pPr>
        <w:tabs>
          <w:tab w:val="left" w:pos="1140"/>
        </w:tabs>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20.评审程序及谈判要求</w:t>
      </w:r>
    </w:p>
    <w:p w14:paraId="2E458175">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20.1谈判小组成员的通讯工具或相关电子设备交由桂林市公共资源交易中心统一保管后到达评标室，采购代理机构核实谈判小组成员身份，告知回避要求，宣布评审工作纪律和程序，推选谈判小组组长。</w:t>
      </w:r>
    </w:p>
    <w:p w14:paraId="4B174E00">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20.2 谈判小组应当审查供应商的响应文件并作出评价；要求供应商解释或者澄清其响应文件；编写评审报告；告知采购人、采购代理机构在评审过程中发现的供应商的违法违规行为。</w:t>
      </w:r>
    </w:p>
    <w:p w14:paraId="40D7200A">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20.3 谈判小组依据法律法规和竞争性谈判文件的规定，</w:t>
      </w:r>
      <w:r>
        <w:rPr>
          <w:rFonts w:hint="eastAsia" w:ascii="宋体" w:hAnsi="宋体" w:cs="宋体"/>
          <w:color w:val="auto"/>
          <w:kern w:val="0"/>
          <w:sz w:val="21"/>
          <w:szCs w:val="20"/>
          <w:highlight w:val="none"/>
        </w:rPr>
        <w:t>首先对响应文件进行资格性审查，</w:t>
      </w:r>
      <w:r>
        <w:rPr>
          <w:rFonts w:hint="eastAsia" w:ascii="宋体" w:hAnsi="宋体" w:cs="宋体"/>
          <w:color w:val="auto"/>
          <w:kern w:val="0"/>
          <w:sz w:val="21"/>
          <w:szCs w:val="21"/>
          <w:highlight w:val="none"/>
        </w:rPr>
        <w:t>以确定供应商是否具备本项目供应商资格；再对通过资格性审查的供应商响应文件的有效性、完整性和对谈判文件的响应程度进行符合性审查，以确定是否对谈判文件的实质性要求做出响应。</w:t>
      </w:r>
    </w:p>
    <w:p w14:paraId="5693229D">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20.4谈判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5C881B9E">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20.4.1查询渠道：《国家企业信用信息公示系统》（网址：</w:t>
      </w:r>
      <w:r>
        <w:rPr>
          <w:rFonts w:hint="eastAsia" w:ascii="宋体" w:hAnsi="宋体"/>
          <w:color w:val="auto"/>
          <w:sz w:val="21"/>
          <w:szCs w:val="21"/>
          <w:highlight w:val="none"/>
        </w:rPr>
        <w:t>www.gsxt.gov.cn/index.html</w:t>
      </w:r>
      <w:r>
        <w:rPr>
          <w:rFonts w:hint="eastAsia" w:ascii="宋体" w:hAnsi="宋体" w:cs="宋体"/>
          <w:color w:val="auto"/>
          <w:kern w:val="0"/>
          <w:sz w:val="21"/>
          <w:szCs w:val="21"/>
          <w:highlight w:val="none"/>
        </w:rPr>
        <w:t>）</w:t>
      </w:r>
    </w:p>
    <w:p w14:paraId="4571560B">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20.4.2审查流程：</w:t>
      </w:r>
    </w:p>
    <w:p w14:paraId="1AA4D8B2">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（1）进入《国家企业信用信息公示系统》（网址：www.gsxt.gov.cn/index.html），输入企业名称，进入企业信息主页面；</w:t>
      </w:r>
    </w:p>
    <w:p w14:paraId="06067682">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（2）查看主页“股东及出资信息”栏，或年报中的“股东及出资信息”栏信息；</w:t>
      </w:r>
    </w:p>
    <w:p w14:paraId="69250B88">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（3）将各供应商的股东及出资信息进行比对，得出审查结论；</w:t>
      </w:r>
    </w:p>
    <w:p w14:paraId="4418BFCC">
      <w:pPr>
        <w:snapToGrid w:val="0"/>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（4）将相关资料作为评审资料打印存档。</w:t>
      </w:r>
    </w:p>
    <w:p w14:paraId="22023186">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6447BA5B">
      <w:pPr>
        <w:spacing w:line="400" w:lineRule="exact"/>
        <w:ind w:firstLine="422"/>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20.</w:t>
      </w:r>
      <w:r>
        <w:rPr>
          <w:rFonts w:hint="eastAsia" w:ascii="宋体" w:hAnsi="宋体" w:eastAsia="宋体" w:cs="宋体"/>
          <w:b/>
          <w:color w:val="auto"/>
          <w:kern w:val="0"/>
          <w:sz w:val="21"/>
          <w:szCs w:val="21"/>
          <w:highlight w:val="none"/>
          <w:lang w:val="en-US" w:eastAsia="zh-CN"/>
        </w:rPr>
        <w:t>5</w:t>
      </w:r>
      <w:r>
        <w:rPr>
          <w:rFonts w:hint="eastAsia" w:ascii="宋体" w:hAnsi="宋体" w:cs="宋体"/>
          <w:b/>
          <w:color w:val="auto"/>
          <w:kern w:val="0"/>
          <w:sz w:val="21"/>
          <w:szCs w:val="21"/>
          <w:highlight w:val="none"/>
        </w:rPr>
        <w:t>谈判小组在对供应商进行资格性审查时</w:t>
      </w:r>
      <w:r>
        <w:rPr>
          <w:rFonts w:hint="eastAsia" w:ascii="宋体" w:hAnsi="宋体" w:eastAsia="宋体" w:cs="宋体"/>
          <w:b/>
          <w:color w:val="auto"/>
          <w:kern w:val="0"/>
          <w:sz w:val="21"/>
          <w:szCs w:val="21"/>
          <w:highlight w:val="none"/>
        </w:rPr>
        <w:t>，对</w:t>
      </w:r>
      <w:r>
        <w:rPr>
          <w:rFonts w:hint="eastAsia" w:ascii="宋体" w:hAnsi="宋体" w:eastAsia="宋体" w:cs="宋体"/>
          <w:b/>
          <w:color w:val="auto"/>
          <w:kern w:val="0"/>
          <w:sz w:val="21"/>
          <w:szCs w:val="21"/>
          <w:highlight w:val="none"/>
          <w:lang w:val="en-US" w:eastAsia="zh-CN"/>
        </w:rPr>
        <w:t>供应商</w:t>
      </w:r>
      <w:r>
        <w:rPr>
          <w:rFonts w:hint="eastAsia" w:ascii="宋体" w:hAnsi="宋体" w:eastAsia="宋体" w:cs="宋体"/>
          <w:b/>
          <w:color w:val="auto"/>
          <w:kern w:val="0"/>
          <w:sz w:val="21"/>
          <w:szCs w:val="21"/>
          <w:highlight w:val="none"/>
        </w:rPr>
        <w:t>进行信用查询。</w:t>
      </w:r>
    </w:p>
    <w:p w14:paraId="5D6A4F98">
      <w:pPr>
        <w:spacing w:line="400" w:lineRule="exact"/>
        <w:ind w:firstLine="422"/>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（1）查询渠道：“信用中国”网站（www.creditchina.gov.cn）、中国政府采购网（www.ccgp.gov.cn）链接入口。</w:t>
      </w:r>
    </w:p>
    <w:p w14:paraId="05A12FFC">
      <w:pPr>
        <w:spacing w:line="400" w:lineRule="exact"/>
        <w:ind w:firstLine="422"/>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（2）信用查询截止时点：资格审查结束前。</w:t>
      </w:r>
    </w:p>
    <w:p w14:paraId="6058B076">
      <w:pPr>
        <w:spacing w:line="400" w:lineRule="exact"/>
        <w:ind w:firstLine="422"/>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（3）查询记录和证据留存方式：在查询网站中直接查询</w:t>
      </w:r>
      <w:r>
        <w:rPr>
          <w:rFonts w:hint="eastAsia" w:ascii="宋体" w:hAnsi="宋体" w:eastAsia="宋体" w:cs="宋体"/>
          <w:b/>
          <w:color w:val="auto"/>
          <w:kern w:val="0"/>
          <w:sz w:val="21"/>
          <w:szCs w:val="21"/>
          <w:highlight w:val="none"/>
          <w:lang w:val="en-US" w:eastAsia="zh-CN"/>
        </w:rPr>
        <w:t>网页</w:t>
      </w:r>
      <w:r>
        <w:rPr>
          <w:rFonts w:hint="eastAsia" w:ascii="宋体" w:hAnsi="宋体" w:eastAsia="宋体" w:cs="宋体"/>
          <w:b/>
          <w:color w:val="auto"/>
          <w:kern w:val="0"/>
          <w:sz w:val="21"/>
          <w:szCs w:val="21"/>
          <w:highlight w:val="none"/>
        </w:rPr>
        <w:t>作为评审资料保存。</w:t>
      </w:r>
    </w:p>
    <w:p w14:paraId="094DC63D">
      <w:pPr>
        <w:spacing w:line="400" w:lineRule="exact"/>
        <w:ind w:firstLine="422"/>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46EE0A93">
      <w:pPr>
        <w:spacing w:line="400" w:lineRule="exact"/>
        <w:ind w:firstLine="420"/>
        <w:rPr>
          <w:rFonts w:hint="eastAsia" w:ascii="宋体" w:hAnsi="宋体" w:cs="宋体"/>
          <w:color w:val="auto"/>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谈判小组在对响应文件的有效性、完整性和响应程度进行审查时，可以要求供应商对</w:t>
      </w:r>
      <w:r>
        <w:rPr>
          <w:rFonts w:hint="eastAsia" w:ascii="宋体" w:hAnsi="宋体" w:cs="宋体"/>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广西政府采购云平台”采用在线书面形式，澄清、说明或者补正应当加盖供应商电子签章或者由法定代表人或其委托代理人签字（或者电子签名）。</w:t>
      </w:r>
    </w:p>
    <w:p w14:paraId="48520871">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根据谈判文件规定的程序、评定成交的标准等事项与实质性响应竞争性谈判文件要求的供应商进行谈判。未实质性响应谈判文件的响应文件按无效处理，谈判小组应当告知有关供应商。</w:t>
      </w:r>
    </w:p>
    <w:p w14:paraId="212DB44F">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谈判小组所有成员应当按已确定的谈判顺序集中与单一供应商分别进行谈判，并给予所有实质性响应竞争性谈判文件要求的供应商平等的谈判机会。</w:t>
      </w:r>
    </w:p>
    <w:p w14:paraId="24C38068">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谈判中，谈判小组不得透露与谈判有关的其他供应商的技术资料、价格和其他信息。</w:t>
      </w:r>
    </w:p>
    <w:p w14:paraId="2AA26D54">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采购代理机构（谈判小组）对谈判过程和重要谈判内容进行记录，谈判双方在记录上签字（或电子签名）确认</w:t>
      </w:r>
      <w:r>
        <w:rPr>
          <w:rFonts w:hint="eastAsia" w:ascii="宋体" w:hAnsi="宋体" w:cs="宋体"/>
          <w:color w:val="auto"/>
          <w:sz w:val="21"/>
          <w:szCs w:val="21"/>
          <w:highlight w:val="none"/>
        </w:rPr>
        <w:t>或加盖供应商电子签章</w:t>
      </w:r>
      <w:r>
        <w:rPr>
          <w:rFonts w:hint="eastAsia" w:ascii="宋体" w:hAnsi="宋体" w:cs="宋体"/>
          <w:color w:val="auto"/>
          <w:kern w:val="0"/>
          <w:sz w:val="21"/>
          <w:szCs w:val="21"/>
          <w:highlight w:val="none"/>
        </w:rPr>
        <w:t>。</w:t>
      </w:r>
    </w:p>
    <w:p w14:paraId="717C9D5A">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7</w:t>
      </w:r>
      <w:r>
        <w:rPr>
          <w:rFonts w:hint="eastAsia" w:ascii="宋体" w:hAnsi="宋体" w:cs="宋体"/>
          <w:color w:val="auto"/>
          <w:kern w:val="0"/>
          <w:sz w:val="21"/>
          <w:szCs w:val="21"/>
          <w:highlight w:val="none"/>
        </w:rPr>
        <w:t>在谈判过程中，谈判小组可以根据谈判文件和谈判情况实质性变动采购需求中的技术、服务要求以及合同草案条款，但不得变动谈判文件中的其他内容。实质性变动的内容，须经采购人代表确认。</w:t>
      </w:r>
    </w:p>
    <w:p w14:paraId="1EE29979">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对谈判文件作出的实质性变动是谈判文件的有效组成部分，谈判小组应当及时通过“广西政府采购云平台”以书面形式同时通知所有参加谈判的供应商。</w:t>
      </w:r>
    </w:p>
    <w:p w14:paraId="38CB741C">
      <w:pPr>
        <w:spacing w:line="400" w:lineRule="exact"/>
        <w:ind w:firstLine="422"/>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20.</w:t>
      </w:r>
      <w:r>
        <w:rPr>
          <w:rFonts w:hint="eastAsia" w:ascii="宋体" w:hAnsi="宋体" w:cs="宋体"/>
          <w:b/>
          <w:bCs/>
          <w:color w:val="auto"/>
          <w:kern w:val="0"/>
          <w:sz w:val="21"/>
          <w:szCs w:val="21"/>
          <w:highlight w:val="none"/>
          <w:lang w:val="en-US" w:eastAsia="zh-CN"/>
        </w:rPr>
        <w:t>8</w:t>
      </w:r>
      <w:r>
        <w:rPr>
          <w:rFonts w:hint="eastAsia" w:ascii="宋体" w:hAnsi="宋体" w:cs="宋体"/>
          <w:b/>
          <w:bCs/>
          <w:color w:val="auto"/>
          <w:kern w:val="0"/>
          <w:sz w:val="21"/>
          <w:szCs w:val="21"/>
          <w:highlight w:val="none"/>
        </w:rPr>
        <w:t>供应商必须按照谈判文件的变动情况和谈判小组的要求重新提交响应文件，并应当加盖供应商电子签章或者由法定代表人或其委托代理人签字（或者电子签名）。逾时不交的，视同放弃谈判，其响应文件按无效处理。</w:t>
      </w:r>
    </w:p>
    <w:p w14:paraId="44E3F826">
      <w:pPr>
        <w:widowControl/>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9</w:t>
      </w:r>
      <w:r>
        <w:rPr>
          <w:rFonts w:hint="eastAsia" w:ascii="宋体" w:hAnsi="宋体" w:cs="宋体"/>
          <w:color w:val="auto"/>
          <w:kern w:val="0"/>
          <w:sz w:val="21"/>
          <w:szCs w:val="21"/>
          <w:highlight w:val="none"/>
        </w:rPr>
        <w:t>最后报价</w:t>
      </w:r>
    </w:p>
    <w:p w14:paraId="29ADDBEA">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9</w:t>
      </w:r>
      <w:r>
        <w:rPr>
          <w:rFonts w:hint="eastAsia" w:ascii="宋体" w:hAnsi="宋体" w:cs="宋体"/>
          <w:color w:val="auto"/>
          <w:kern w:val="0"/>
          <w:sz w:val="21"/>
          <w:szCs w:val="21"/>
          <w:highlight w:val="none"/>
        </w:rPr>
        <w:t>.1谈判文件能够详细列明采购标的的技术、服务要求的，谈判结束后，谈判小组应当要求所有实质性响应的供应商在规定时间内通过“广西政府采购云平台”在线提交最后报价，提交最后报价的供应商不得少于3家；谈判文件不能详细列明采购标的的技术、服务要求的，需由供应商提供最终设计方案或解决方案的，谈判结束后，谈判小组应当按照少数服从多数的原则投票推荐3家以上（含3家）供应商的设计方案或者解决方案，并要求其在规定时间内通过“广西政府采购云平台”在线提交最后报价。</w:t>
      </w:r>
    </w:p>
    <w:p w14:paraId="548B9583">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9</w:t>
      </w:r>
      <w:r>
        <w:rPr>
          <w:rFonts w:hint="eastAsia" w:ascii="宋体" w:hAnsi="宋体" w:cs="宋体"/>
          <w:color w:val="auto"/>
          <w:kern w:val="0"/>
          <w:sz w:val="21"/>
          <w:szCs w:val="21"/>
          <w:highlight w:val="none"/>
        </w:rPr>
        <w:t>.2</w:t>
      </w:r>
      <w:r>
        <w:rPr>
          <w:rFonts w:ascii="宋体" w:hAnsi="宋体" w:cs="宋体"/>
          <w:color w:val="auto"/>
          <w:kern w:val="0"/>
          <w:sz w:val="21"/>
          <w:szCs w:val="21"/>
          <w:highlight w:val="none"/>
        </w:rPr>
        <w:t>在采购过程中符合竞争要求的供应商或者报价未超过</w:t>
      </w:r>
      <w:r>
        <w:rPr>
          <w:rFonts w:hint="eastAsia" w:ascii="宋体" w:hAnsi="宋体" w:cs="宋体"/>
          <w:color w:val="auto"/>
          <w:kern w:val="0"/>
          <w:sz w:val="21"/>
          <w:szCs w:val="21"/>
          <w:highlight w:val="none"/>
        </w:rPr>
        <w:t>采购预算</w:t>
      </w:r>
      <w:r>
        <w:rPr>
          <w:rFonts w:ascii="宋体" w:hAnsi="宋体" w:cs="宋体"/>
          <w:color w:val="auto"/>
          <w:kern w:val="0"/>
          <w:sz w:val="21"/>
          <w:szCs w:val="21"/>
          <w:highlight w:val="none"/>
        </w:rPr>
        <w:t>的供应商不足3家的</w:t>
      </w:r>
      <w:r>
        <w:rPr>
          <w:rFonts w:hint="eastAsia" w:ascii="宋体" w:hAnsi="宋体" w:cs="宋体"/>
          <w:color w:val="auto"/>
          <w:kern w:val="0"/>
          <w:sz w:val="21"/>
          <w:szCs w:val="21"/>
          <w:highlight w:val="none"/>
        </w:rPr>
        <w:t>，采购人或者采购代理机构应当终止竞争性谈判采购活动。</w:t>
      </w:r>
    </w:p>
    <w:p w14:paraId="7FCEB8AC">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9</w:t>
      </w:r>
      <w:r>
        <w:rPr>
          <w:rFonts w:hint="eastAsia" w:ascii="宋体" w:hAnsi="宋体" w:cs="宋体"/>
          <w:color w:val="auto"/>
          <w:kern w:val="0"/>
          <w:sz w:val="21"/>
          <w:szCs w:val="21"/>
          <w:highlight w:val="none"/>
        </w:rPr>
        <w:t>.3最后报价是供应商响应文件的有效组成部分。</w:t>
      </w:r>
    </w:p>
    <w:p w14:paraId="2E3DFA9D">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w:t>
      </w:r>
      <w:r>
        <w:rPr>
          <w:rFonts w:hint="eastAsia" w:ascii="宋体" w:hAnsi="宋体" w:cs="宋体"/>
          <w:color w:val="auto"/>
          <w:kern w:val="0"/>
          <w:sz w:val="21"/>
          <w:szCs w:val="21"/>
          <w:highlight w:val="none"/>
          <w:lang w:val="en-US" w:eastAsia="zh-CN"/>
        </w:rPr>
        <w:t>10</w:t>
      </w:r>
      <w:r>
        <w:rPr>
          <w:rFonts w:hint="eastAsia" w:ascii="宋体" w:hAnsi="宋体" w:cs="宋体"/>
          <w:color w:val="auto"/>
          <w:kern w:val="0"/>
          <w:sz w:val="21"/>
          <w:szCs w:val="21"/>
          <w:highlight w:val="none"/>
        </w:rPr>
        <w:t>已提交响应文件的供应商，在提交最后报价之前，可以根据谈判情况书面退出谈判。</w:t>
      </w:r>
    </w:p>
    <w:p w14:paraId="74A9EA44">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未书面退出谈判的供应商必须在规定时间内通过“广西政府采购云平台”在线提交最后报价；谈判过程中谈判文件未作实质性变动的，</w:t>
      </w:r>
      <w:r>
        <w:rPr>
          <w:rFonts w:hint="eastAsia" w:ascii="宋体" w:hAnsi="宋体"/>
          <w:color w:val="auto"/>
          <w:sz w:val="21"/>
          <w:szCs w:val="21"/>
          <w:highlight w:val="none"/>
        </w:rPr>
        <w:t>最后报价不得超过首次报价</w:t>
      </w:r>
      <w:r>
        <w:rPr>
          <w:rFonts w:hint="eastAsia" w:ascii="宋体" w:hAnsi="宋体" w:cs="宋体"/>
          <w:color w:val="auto"/>
          <w:kern w:val="0"/>
          <w:sz w:val="21"/>
          <w:szCs w:val="21"/>
          <w:highlight w:val="none"/>
        </w:rPr>
        <w:t>。</w:t>
      </w:r>
    </w:p>
    <w:p w14:paraId="5D46F69E">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w:t>
      </w:r>
      <w:r>
        <w:rPr>
          <w:rFonts w:hint="eastAsia" w:ascii="宋体" w:hAnsi="宋体" w:cs="宋体"/>
          <w:color w:val="auto"/>
          <w:kern w:val="0"/>
          <w:sz w:val="21"/>
          <w:szCs w:val="21"/>
          <w:highlight w:val="none"/>
          <w:lang w:val="en-US" w:eastAsia="zh-CN"/>
        </w:rPr>
        <w:t>0</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11</w:t>
      </w:r>
      <w:r>
        <w:rPr>
          <w:rFonts w:hint="eastAsia" w:ascii="宋体" w:hAnsi="宋体" w:cs="宋体"/>
          <w:color w:val="auto"/>
          <w:kern w:val="0"/>
          <w:sz w:val="21"/>
          <w:szCs w:val="21"/>
          <w:highlight w:val="none"/>
        </w:rPr>
        <w:t>异常低价评审</w:t>
      </w:r>
    </w:p>
    <w:p w14:paraId="5768AFAE">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eastAsia="zh-CN"/>
        </w:rPr>
        <w:t>谈判小组</w:t>
      </w:r>
      <w:r>
        <w:rPr>
          <w:rFonts w:hint="eastAsia" w:ascii="宋体" w:hAnsi="宋体" w:cs="宋体"/>
          <w:color w:val="auto"/>
          <w:kern w:val="0"/>
          <w:sz w:val="21"/>
          <w:szCs w:val="21"/>
          <w:highlight w:val="none"/>
        </w:rPr>
        <w:t>在评审中发现下列情形之一的，应当启动异常低价投标审查程序：</w:t>
      </w:r>
    </w:p>
    <w:p w14:paraId="6A37D341">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①</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低于全部通过符合性审查投标人</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平均值65%的，即</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＜全部通过符合性审查投标人</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平均值×65%；</w:t>
      </w:r>
    </w:p>
    <w:p w14:paraId="6D74F31F">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②</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低于通过符合性审查的次低报价投标人</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65%的，即</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＜通过符合性审查的次低报价投标人</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×65%；</w:t>
      </w:r>
    </w:p>
    <w:p w14:paraId="12EF052A">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③</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低于采购项目最高限价65%的，即</w:t>
      </w:r>
      <w:r>
        <w:rPr>
          <w:rFonts w:hint="eastAsia" w:ascii="宋体" w:hAnsi="宋体" w:cs="宋体"/>
          <w:color w:val="auto"/>
          <w:kern w:val="0"/>
          <w:sz w:val="21"/>
          <w:szCs w:val="21"/>
          <w:highlight w:val="none"/>
          <w:lang w:eastAsia="zh-CN"/>
        </w:rPr>
        <w:t>报价</w:t>
      </w:r>
      <w:r>
        <w:rPr>
          <w:rFonts w:hint="eastAsia" w:ascii="宋体" w:hAnsi="宋体" w:cs="宋体"/>
          <w:color w:val="auto"/>
          <w:kern w:val="0"/>
          <w:sz w:val="21"/>
          <w:szCs w:val="21"/>
          <w:highlight w:val="none"/>
        </w:rPr>
        <w:t>＜采购项目最高限价×65%；</w:t>
      </w:r>
    </w:p>
    <w:p w14:paraId="6673FC80">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④</w:t>
      </w:r>
      <w:r>
        <w:rPr>
          <w:rFonts w:hint="eastAsia" w:ascii="宋体" w:hAnsi="宋体" w:cs="宋体"/>
          <w:color w:val="auto"/>
          <w:kern w:val="0"/>
          <w:sz w:val="21"/>
          <w:szCs w:val="21"/>
          <w:highlight w:val="none"/>
          <w:lang w:eastAsia="zh-CN"/>
        </w:rPr>
        <w:t>谈判小组</w:t>
      </w:r>
      <w:r>
        <w:rPr>
          <w:rFonts w:hint="eastAsia" w:ascii="宋体" w:hAnsi="宋体" w:cs="宋体"/>
          <w:color w:val="auto"/>
          <w:kern w:val="0"/>
          <w:sz w:val="21"/>
          <w:szCs w:val="21"/>
          <w:highlight w:val="none"/>
        </w:rPr>
        <w:t>基于专业判断，认为投标人报价过低，有可能影响产品质量或者不能诚信履约的其他情形。</w:t>
      </w:r>
    </w:p>
    <w:p w14:paraId="3EEA3FF2">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w:t>
      </w:r>
      <w:r>
        <w:rPr>
          <w:rFonts w:hint="eastAsia" w:ascii="宋体" w:hAnsi="宋体" w:cs="宋体"/>
          <w:color w:val="auto"/>
          <w:kern w:val="0"/>
          <w:sz w:val="21"/>
          <w:szCs w:val="21"/>
          <w:highlight w:val="none"/>
          <w:lang w:eastAsia="zh-CN"/>
        </w:rPr>
        <w:t>谈判小组</w:t>
      </w:r>
      <w:r>
        <w:rPr>
          <w:rFonts w:hint="eastAsia" w:ascii="宋体" w:hAnsi="宋体" w:cs="宋体"/>
          <w:color w:val="auto"/>
          <w:kern w:val="0"/>
          <w:sz w:val="21"/>
          <w:szCs w:val="21"/>
          <w:highlight w:val="none"/>
        </w:rPr>
        <w:t>启动异常低价投标审查后，属于前述第①项至第④项情形的，应当要求相关投标人在评审现场合理的时间内对投标价格作出解释，提供项目具体成本测算等与报价合理性相关的书面说明及必要的证明材料，包括但不限于原材料成本、人工成本、制造费用等，给予相关投标人的合理时间一般不少于30分钟。其中，属于第③项情形，投标人已随投标文件一并提交相关书面说明及必要的证明材料的，可不再重复提交。</w:t>
      </w:r>
    </w:p>
    <w:p w14:paraId="53853F6F">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eastAsia="zh-CN"/>
        </w:rPr>
        <w:t>谈判小组</w:t>
      </w:r>
      <w:r>
        <w:rPr>
          <w:rFonts w:hint="eastAsia" w:ascii="宋体" w:hAnsi="宋体" w:cs="宋体"/>
          <w:color w:val="auto"/>
          <w:kern w:val="0"/>
          <w:sz w:val="21"/>
          <w:szCs w:val="21"/>
          <w:highlight w:val="none"/>
        </w:rPr>
        <w:t>依据专业经验，参考同类项目中标（成交）价格、类似产品市场价格水平、行业人工费用标准、国家有关部门指导行业协会发布的行业平均成本等情况，对报价合理性进行判断。投标人不能提供书面说明、证明材料，或者提供的书面说明、证明材料不能证明其报价合理性的，</w:t>
      </w:r>
      <w:r>
        <w:rPr>
          <w:rFonts w:hint="eastAsia" w:ascii="宋体" w:hAnsi="宋体" w:cs="宋体"/>
          <w:color w:val="auto"/>
          <w:kern w:val="0"/>
          <w:sz w:val="21"/>
          <w:szCs w:val="21"/>
          <w:highlight w:val="none"/>
          <w:lang w:eastAsia="zh-CN"/>
        </w:rPr>
        <w:t>谈判小组</w:t>
      </w:r>
      <w:r>
        <w:rPr>
          <w:rFonts w:hint="eastAsia" w:ascii="宋体" w:hAnsi="宋体" w:cs="宋体"/>
          <w:color w:val="auto"/>
          <w:kern w:val="0"/>
          <w:sz w:val="21"/>
          <w:szCs w:val="21"/>
          <w:highlight w:val="none"/>
        </w:rPr>
        <w:t>应当将其作为无效投标处理。</w:t>
      </w:r>
    </w:p>
    <w:p w14:paraId="202E63DC">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采购人、采购代理机构应当为</w:t>
      </w:r>
      <w:r>
        <w:rPr>
          <w:rFonts w:hint="eastAsia" w:ascii="宋体" w:hAnsi="宋体" w:cs="宋体"/>
          <w:color w:val="auto"/>
          <w:kern w:val="0"/>
          <w:sz w:val="21"/>
          <w:szCs w:val="21"/>
          <w:highlight w:val="none"/>
          <w:lang w:eastAsia="zh-CN"/>
        </w:rPr>
        <w:t>谈判小组</w:t>
      </w:r>
      <w:r>
        <w:rPr>
          <w:rFonts w:hint="eastAsia" w:ascii="宋体" w:hAnsi="宋体" w:cs="宋体"/>
          <w:color w:val="auto"/>
          <w:kern w:val="0"/>
          <w:sz w:val="21"/>
          <w:szCs w:val="21"/>
          <w:highlight w:val="none"/>
        </w:rPr>
        <w:t>在评审现场及时获取同类项目中标（成交）价格、类似产品市场价格水平、行业人工费用标准、国家有关部门指导行业协会发布的行业平均成本等相关信息资料提供便利。</w:t>
      </w:r>
      <w:r>
        <w:rPr>
          <w:rFonts w:hint="eastAsia" w:ascii="宋体" w:hAnsi="宋体" w:cs="宋体"/>
          <w:color w:val="auto"/>
          <w:kern w:val="0"/>
          <w:sz w:val="21"/>
          <w:szCs w:val="21"/>
          <w:highlight w:val="none"/>
          <w:lang w:eastAsia="zh-CN"/>
        </w:rPr>
        <w:t>谈判小组</w:t>
      </w:r>
      <w:r>
        <w:rPr>
          <w:rFonts w:hint="eastAsia" w:ascii="宋体" w:hAnsi="宋体" w:cs="宋体"/>
          <w:color w:val="auto"/>
          <w:kern w:val="0"/>
          <w:sz w:val="21"/>
          <w:szCs w:val="21"/>
          <w:highlight w:val="none"/>
        </w:rPr>
        <w:t>借助互联网等渠道查询相关信息的，应当严格遵守评审工作纪律，不得实施影响评审公正的行为。</w:t>
      </w:r>
    </w:p>
    <w:p w14:paraId="39D7B991">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异常低价投标审查的启动原因、审查意见和审查结果应当在评审报告中记录，并随投标人提供的相关书面说明及证明材料，以及</w:t>
      </w:r>
      <w:r>
        <w:rPr>
          <w:rFonts w:hint="eastAsia" w:ascii="宋体" w:hAnsi="宋体" w:cs="宋体"/>
          <w:color w:val="auto"/>
          <w:kern w:val="0"/>
          <w:sz w:val="21"/>
          <w:szCs w:val="21"/>
          <w:highlight w:val="none"/>
          <w:lang w:eastAsia="zh-CN"/>
        </w:rPr>
        <w:t>谈判小组</w:t>
      </w:r>
      <w:r>
        <w:rPr>
          <w:rFonts w:hint="eastAsia" w:ascii="宋体" w:hAnsi="宋体" w:cs="宋体"/>
          <w:color w:val="auto"/>
          <w:kern w:val="0"/>
          <w:sz w:val="21"/>
          <w:szCs w:val="21"/>
          <w:highlight w:val="none"/>
        </w:rPr>
        <w:t>有关互联网浏览、查询历史一并归档。</w:t>
      </w:r>
    </w:p>
    <w:p w14:paraId="4E91217E">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20.1</w:t>
      </w:r>
      <w:r>
        <w:rPr>
          <w:rFonts w:hint="eastAsia" w:ascii="宋体" w:hAnsi="宋体" w:cs="宋体"/>
          <w:color w:val="auto"/>
          <w:kern w:val="0"/>
          <w:sz w:val="21"/>
          <w:szCs w:val="21"/>
          <w:highlight w:val="none"/>
          <w:lang w:val="en-US" w:eastAsia="zh-CN"/>
        </w:rPr>
        <w:t>2</w:t>
      </w:r>
      <w:r>
        <w:rPr>
          <w:rFonts w:ascii="宋体" w:hAnsi="宋体" w:cs="宋体"/>
          <w:color w:val="auto"/>
          <w:kern w:val="0"/>
          <w:sz w:val="21"/>
          <w:szCs w:val="21"/>
          <w:highlight w:val="none"/>
        </w:rPr>
        <w:t>评审报告</w:t>
      </w:r>
    </w:p>
    <w:p w14:paraId="008F38A4">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ascii="宋体" w:hAnsi="宋体" w:cs="宋体"/>
          <w:color w:val="auto"/>
          <w:kern w:val="0"/>
          <w:sz w:val="21"/>
          <w:szCs w:val="21"/>
          <w:highlight w:val="none"/>
        </w:rPr>
        <w:t>谈判小组应当从质量和服务均能满足</w:t>
      </w:r>
      <w:r>
        <w:rPr>
          <w:rFonts w:hint="eastAsia" w:ascii="宋体" w:hAnsi="宋体" w:cs="宋体"/>
          <w:color w:val="auto"/>
          <w:kern w:val="0"/>
          <w:sz w:val="21"/>
          <w:szCs w:val="21"/>
          <w:highlight w:val="none"/>
        </w:rPr>
        <w:t>谈判</w:t>
      </w:r>
      <w:r>
        <w:rPr>
          <w:rFonts w:ascii="宋体" w:hAnsi="宋体" w:cs="宋体"/>
          <w:color w:val="auto"/>
          <w:kern w:val="0"/>
          <w:sz w:val="21"/>
          <w:szCs w:val="21"/>
          <w:highlight w:val="none"/>
        </w:rPr>
        <w:t>文件</w:t>
      </w:r>
      <w:r>
        <w:rPr>
          <w:rFonts w:hint="eastAsia" w:ascii="宋体" w:hAnsi="宋体" w:cs="宋体"/>
          <w:color w:val="auto"/>
          <w:kern w:val="0"/>
          <w:sz w:val="21"/>
          <w:szCs w:val="21"/>
          <w:highlight w:val="none"/>
        </w:rPr>
        <w:t>全部</w:t>
      </w:r>
      <w:r>
        <w:rPr>
          <w:rFonts w:ascii="宋体" w:hAnsi="宋体" w:cs="宋体"/>
          <w:color w:val="auto"/>
          <w:kern w:val="0"/>
          <w:sz w:val="21"/>
          <w:szCs w:val="21"/>
          <w:highlight w:val="none"/>
        </w:rPr>
        <w:t>实质性响应要求的供应商中，按</w:t>
      </w:r>
      <w:r>
        <w:rPr>
          <w:rFonts w:hint="eastAsia" w:ascii="宋体" w:hAnsi="宋体" w:cs="宋体"/>
          <w:color w:val="auto"/>
          <w:kern w:val="0"/>
          <w:sz w:val="21"/>
          <w:szCs w:val="21"/>
          <w:highlight w:val="none"/>
        </w:rPr>
        <w:t>照评审报价由低到高的顺序</w:t>
      </w:r>
      <w:r>
        <w:rPr>
          <w:rFonts w:ascii="宋体" w:hAnsi="宋体" w:cs="宋体"/>
          <w:color w:val="auto"/>
          <w:kern w:val="0"/>
          <w:sz w:val="21"/>
          <w:szCs w:val="21"/>
          <w:highlight w:val="none"/>
        </w:rPr>
        <w:t>提出3名以上</w:t>
      </w:r>
      <w:r>
        <w:rPr>
          <w:rFonts w:hint="eastAsia" w:ascii="宋体" w:hAnsi="宋体" w:cs="宋体"/>
          <w:color w:val="auto"/>
          <w:kern w:val="0"/>
          <w:sz w:val="21"/>
          <w:szCs w:val="21"/>
          <w:highlight w:val="none"/>
        </w:rPr>
        <w:t>（含3名）</w:t>
      </w:r>
      <w:r>
        <w:rPr>
          <w:rFonts w:ascii="宋体" w:hAnsi="宋体" w:cs="宋体"/>
          <w:color w:val="auto"/>
          <w:kern w:val="0"/>
          <w:sz w:val="21"/>
          <w:szCs w:val="21"/>
          <w:highlight w:val="none"/>
        </w:rPr>
        <w:t>成交候选人，并编写评审报告。</w:t>
      </w:r>
    </w:p>
    <w:p w14:paraId="22DF8D55">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20.1</w:t>
      </w: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在评审过程中出现法律法规和谈判文件均没有明确规定的情形时，由谈判小组现场协商解决，协商不一致的，由全体谈判小组投票表决，以得票率二分之一以上专家的意见为准。</w:t>
      </w:r>
    </w:p>
    <w:p w14:paraId="762C1FCC">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20.1</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采购代理机构发现谈判小组有明显的违规倾向或歧视现象，或不按评审办法进行，或其他不正常行为的，应当及时制止。如制止无效，应及时向兴安县政府采购监督管理机构报告。</w:t>
      </w:r>
    </w:p>
    <w:p w14:paraId="4FC1EF24">
      <w:pPr>
        <w:spacing w:line="400" w:lineRule="exact"/>
        <w:ind w:firstLine="422"/>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21.</w:t>
      </w:r>
      <w:r>
        <w:rPr>
          <w:rFonts w:hint="eastAsia" w:ascii="宋体" w:hAnsi="宋体" w:cs="宋体"/>
          <w:b/>
          <w:color w:val="auto"/>
          <w:kern w:val="0"/>
          <w:sz w:val="21"/>
          <w:szCs w:val="20"/>
          <w:highlight w:val="none"/>
        </w:rPr>
        <w:t>确定成交候选人原则</w:t>
      </w:r>
    </w:p>
    <w:p w14:paraId="52C7081D">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r>
        <w:rPr>
          <w:rFonts w:hint="eastAsia" w:ascii="宋体" w:hAnsi="宋体"/>
          <w:color w:val="auto"/>
          <w:sz w:val="21"/>
          <w:szCs w:val="21"/>
          <w:highlight w:val="none"/>
        </w:rPr>
        <w:t>采购人应当在收到评审报告后5个工作日内，从评审报告提出的成交候选人中，根据质量和服务均能满足采购文件实质性响应要求且最后</w:t>
      </w:r>
      <w:r>
        <w:rPr>
          <w:rFonts w:hint="eastAsia" w:ascii="宋体" w:hAnsi="宋体"/>
          <w:color w:val="auto"/>
          <w:sz w:val="21"/>
          <w:szCs w:val="21"/>
          <w:highlight w:val="none"/>
          <w:lang w:val="en-US" w:eastAsia="zh-CN"/>
        </w:rPr>
        <w:t>评审</w:t>
      </w:r>
      <w:r>
        <w:rPr>
          <w:rFonts w:hint="eastAsia" w:ascii="宋体" w:hAnsi="宋体"/>
          <w:color w:val="auto"/>
          <w:sz w:val="21"/>
          <w:szCs w:val="21"/>
          <w:highlight w:val="none"/>
        </w:rPr>
        <w:t>报价最低的原则确定成交供应商。采购人逾期未确定成交供应商且不提出异议的，视为确定评审报告提出的最后</w:t>
      </w:r>
      <w:r>
        <w:rPr>
          <w:rFonts w:hint="eastAsia" w:ascii="宋体" w:hAnsi="宋体"/>
          <w:color w:val="auto"/>
          <w:sz w:val="21"/>
          <w:szCs w:val="21"/>
          <w:highlight w:val="none"/>
          <w:lang w:val="en-US" w:eastAsia="zh-CN"/>
        </w:rPr>
        <w:t>评审</w:t>
      </w:r>
      <w:r>
        <w:rPr>
          <w:rFonts w:hint="eastAsia" w:ascii="宋体" w:hAnsi="宋体"/>
          <w:color w:val="auto"/>
          <w:sz w:val="21"/>
          <w:szCs w:val="21"/>
          <w:highlight w:val="none"/>
        </w:rPr>
        <w:t>报价最低的供应商为成交供应商。</w:t>
      </w:r>
    </w:p>
    <w:p w14:paraId="1C216A2A">
      <w:pPr>
        <w:widowControl/>
        <w:tabs>
          <w:tab w:val="left" w:pos="540"/>
        </w:tabs>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（2）成交供应商拒绝与采购人签订合同的，采购人可以按照评审报告推荐的成交候选人名单排序，确定下一候选人为成交供应商，也可以重新开展政府采购活动。</w:t>
      </w:r>
    </w:p>
    <w:p w14:paraId="656104A0">
      <w:pPr>
        <w:snapToGrid w:val="0"/>
        <w:spacing w:line="400" w:lineRule="exact"/>
        <w:ind w:firstLine="422"/>
        <w:outlineLvl w:val="4"/>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22.属于下列情况之一者，响应文件无效：</w:t>
      </w:r>
    </w:p>
    <w:p w14:paraId="5FDEE3D8">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（1）未按谈判文件规定完整提交响应文件或未按规定要求签字、签章的，或未提供授权委托书（委托代理的）；</w:t>
      </w:r>
    </w:p>
    <w:p w14:paraId="7FB94A28">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（2）超越了行政审批的经营范围的；</w:t>
      </w:r>
    </w:p>
    <w:p w14:paraId="19A0A8FA">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（3）不具备谈判文件规定的资格要求的</w:t>
      </w:r>
      <w:r>
        <w:rPr>
          <w:rFonts w:hint="eastAsia" w:ascii="宋体" w:hAnsi="宋体" w:cs="宋体"/>
          <w:color w:val="auto"/>
          <w:kern w:val="0"/>
          <w:sz w:val="21"/>
          <w:szCs w:val="24"/>
          <w:highlight w:val="none"/>
        </w:rPr>
        <w:t>；或未按本谈判文件规定提供资格性响应证明材料中的任意一项材料的；或提供的资格性响应证明材料中的任意一项材料无效的；</w:t>
      </w:r>
    </w:p>
    <w:p w14:paraId="7737A986">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w:t>
      </w:r>
      <w:r>
        <w:rPr>
          <w:rFonts w:hint="eastAsia" w:ascii="宋体" w:hAnsi="宋体" w:cs="宋体"/>
          <w:color w:val="auto"/>
          <w:kern w:val="0"/>
          <w:sz w:val="21"/>
          <w:szCs w:val="24"/>
          <w:highlight w:val="none"/>
        </w:rPr>
        <w:t>未按本谈判文件规定提供符合性响应证明材料中的任意一项材料的；或提供的符合性响应证明材料中的任意一项材料无效的；</w:t>
      </w:r>
    </w:p>
    <w:p w14:paraId="280B2014">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（5）响应文件未按谈判文件的内容和要求编制，或提供虚假材料的；</w:t>
      </w:r>
    </w:p>
    <w:p w14:paraId="20C9029C">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（6）响应文件有效期不能满足谈判文件要求的；</w:t>
      </w:r>
    </w:p>
    <w:p w14:paraId="010AA4C1">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w:t>
      </w:r>
      <w:r>
        <w:rPr>
          <w:rFonts w:hint="eastAsia" w:ascii="宋体" w:hAnsi="宋体" w:cs="宋体"/>
          <w:color w:val="auto"/>
          <w:kern w:val="0"/>
          <w:sz w:val="21"/>
          <w:szCs w:val="24"/>
          <w:highlight w:val="none"/>
        </w:rPr>
        <w:t>供应商</w:t>
      </w:r>
      <w:r>
        <w:rPr>
          <w:rFonts w:hint="eastAsia" w:ascii="宋体" w:hAnsi="宋体" w:cs="宋体"/>
          <w:color w:val="auto"/>
          <w:kern w:val="0"/>
          <w:sz w:val="21"/>
          <w:szCs w:val="21"/>
          <w:highlight w:val="none"/>
        </w:rPr>
        <w:t>未就“采购需求”中的所有内容作完整唯一报价的或有选择式有条件的报价的</w:t>
      </w:r>
      <w:r>
        <w:rPr>
          <w:rFonts w:hint="eastAsia" w:ascii="宋体" w:hAnsi="宋体" w:cs="宋体"/>
          <w:color w:val="auto"/>
          <w:kern w:val="0"/>
          <w:sz w:val="21"/>
          <w:szCs w:val="24"/>
          <w:highlight w:val="none"/>
        </w:rPr>
        <w:t>；或未在谈判小组规定的时间内提交最后报价的；或谈判文件未作实质性变动，供应商最后报价高于首次报价的；</w:t>
      </w:r>
    </w:p>
    <w:p w14:paraId="3F182B61">
      <w:pPr>
        <w:snapToGrid w:val="0"/>
        <w:spacing w:line="400" w:lineRule="exact"/>
        <w:ind w:firstLine="420"/>
        <w:outlineLvl w:val="4"/>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（8）</w:t>
      </w:r>
      <w:r>
        <w:rPr>
          <w:rFonts w:hint="eastAsia" w:ascii="宋体" w:hAnsi="宋体" w:cs="宋体"/>
          <w:color w:val="auto"/>
          <w:kern w:val="0"/>
          <w:sz w:val="21"/>
          <w:szCs w:val="21"/>
          <w:highlight w:val="none"/>
        </w:rPr>
        <w:t>未在谈判小组规定的时间内参与谈判或重新提交响应文件的；</w:t>
      </w:r>
    </w:p>
    <w:p w14:paraId="09403229">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（9）未满足谈判文件实质性要求的；或者响应文件有采购人不能接受的附加条件的；</w:t>
      </w:r>
    </w:p>
    <w:p w14:paraId="7F169400">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0"/>
          <w:highlight w:val="none"/>
        </w:rPr>
        <w:t>（10）</w:t>
      </w:r>
      <w:r>
        <w:rPr>
          <w:rFonts w:hint="eastAsia" w:ascii="宋体" w:hAnsi="宋体" w:cs="宋体"/>
          <w:color w:val="auto"/>
          <w:kern w:val="0"/>
          <w:sz w:val="21"/>
          <w:szCs w:val="21"/>
          <w:highlight w:val="none"/>
        </w:rPr>
        <w:t>不符合法律、法规和谈判文件规定的其他实质性要求和条件的；</w:t>
      </w:r>
    </w:p>
    <w:p w14:paraId="443F41F3">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（11）供应商为联合体的。</w:t>
      </w:r>
    </w:p>
    <w:p w14:paraId="625389F8">
      <w:pPr>
        <w:snapToGrid w:val="0"/>
        <w:spacing w:line="400" w:lineRule="exact"/>
        <w:ind w:firstLine="422"/>
        <w:outlineLvl w:val="4"/>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供应商有下列情形之一的，视为串通参与谈判，响应文件将被视为无效：</w:t>
      </w:r>
    </w:p>
    <w:p w14:paraId="750A3638">
      <w:pPr>
        <w:snapToGrid w:val="0"/>
        <w:spacing w:line="400" w:lineRule="exact"/>
        <w:ind w:firstLine="420"/>
        <w:outlineLvl w:val="4"/>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（1）不同供应商的响应文件由同一单位或者个人编制的；</w:t>
      </w:r>
    </w:p>
    <w:p w14:paraId="36303D15">
      <w:pPr>
        <w:snapToGrid w:val="0"/>
        <w:spacing w:line="400" w:lineRule="exact"/>
        <w:ind w:firstLine="420"/>
        <w:outlineLvl w:val="4"/>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（2）不同供应商委托同一单位或者个人办理谈判事宜的；</w:t>
      </w:r>
    </w:p>
    <w:p w14:paraId="510A2E0C">
      <w:pPr>
        <w:snapToGrid w:val="0"/>
        <w:spacing w:line="400" w:lineRule="exact"/>
        <w:ind w:firstLine="420"/>
        <w:outlineLvl w:val="4"/>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（3）不同的供应商的响应文件载明的项目管理员为同一个人的；</w:t>
      </w:r>
    </w:p>
    <w:p w14:paraId="57D63A1D">
      <w:pPr>
        <w:snapToGrid w:val="0"/>
        <w:spacing w:line="400" w:lineRule="exact"/>
        <w:ind w:firstLine="420"/>
        <w:outlineLvl w:val="4"/>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（4）不同供应商的响应文件异常一致或最后报价呈规律性差异的； </w:t>
      </w:r>
    </w:p>
    <w:p w14:paraId="5EAA56A8">
      <w:pPr>
        <w:snapToGrid w:val="0"/>
        <w:spacing w:line="400" w:lineRule="exact"/>
        <w:ind w:firstLine="420"/>
        <w:outlineLvl w:val="4"/>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（5）不同供应商的响应文件相互混装的。</w:t>
      </w:r>
    </w:p>
    <w:p w14:paraId="5EEEEB51">
      <w:pPr>
        <w:snapToGrid w:val="0"/>
        <w:spacing w:line="400" w:lineRule="exact"/>
        <w:ind w:firstLine="422"/>
        <w:outlineLvl w:val="4"/>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23.出现下列情形之一的，采购人或者采购代理机构应当终止竞争性谈判采购活动，发布项目终止公告并说明原因，重新开展采购活动：</w:t>
      </w:r>
    </w:p>
    <w:p w14:paraId="19895BED">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（1）因情况变化，不再符合规定的竞争性谈判采购方式适用情形的；</w:t>
      </w:r>
    </w:p>
    <w:p w14:paraId="2208DCF3">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（2）出现影响采购公正的违法、违规行为的；</w:t>
      </w:r>
    </w:p>
    <w:p w14:paraId="27B41321">
      <w:pPr>
        <w:widowControl/>
        <w:spacing w:line="400" w:lineRule="exact"/>
        <w:ind w:firstLine="42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（3）在采购过程中符合要求的供应商或者报价未超过采购预算的供应商不足3家的。</w:t>
      </w:r>
    </w:p>
    <w:p w14:paraId="6367F98C">
      <w:pPr>
        <w:snapToGrid w:val="0"/>
        <w:spacing w:line="400" w:lineRule="exact"/>
        <w:ind w:firstLine="422"/>
        <w:outlineLvl w:val="4"/>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3794878D">
      <w:pPr>
        <w:snapToGrid w:val="0"/>
        <w:spacing w:line="400" w:lineRule="exact"/>
        <w:ind w:firstLine="422"/>
        <w:outlineLvl w:val="4"/>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25.谈判过程的监控</w:t>
      </w:r>
    </w:p>
    <w:p w14:paraId="4F981E17">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本项目谈判过程实行全程录音、录像监控，供应商在谈判过程中所进行的试图影响谈判结果的不公正活动，可能导致其</w:t>
      </w:r>
      <w:r>
        <w:rPr>
          <w:rFonts w:hint="eastAsia" w:ascii="宋体" w:hAnsi="宋体" w:cs="宋体"/>
          <w:color w:val="auto"/>
          <w:kern w:val="0"/>
          <w:sz w:val="21"/>
          <w:szCs w:val="21"/>
          <w:highlight w:val="none"/>
        </w:rPr>
        <w:t>响应</w:t>
      </w:r>
      <w:r>
        <w:rPr>
          <w:rFonts w:hint="eastAsia" w:ascii="宋体" w:hAnsi="宋体" w:cs="宋体"/>
          <w:color w:val="auto"/>
          <w:kern w:val="0"/>
          <w:sz w:val="21"/>
          <w:szCs w:val="20"/>
          <w:highlight w:val="none"/>
        </w:rPr>
        <w:t>被拒绝。</w:t>
      </w:r>
    </w:p>
    <w:p w14:paraId="6B25DD72">
      <w:pPr>
        <w:snapToGrid w:val="0"/>
        <w:spacing w:line="400" w:lineRule="exact"/>
        <w:ind w:firstLine="422"/>
        <w:outlineLvl w:val="4"/>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 xml:space="preserve">26. 信用查询 </w:t>
      </w:r>
    </w:p>
    <w:p w14:paraId="2AB1DFE3">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3FE246F6">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等；</w:t>
      </w:r>
    </w:p>
    <w:p w14:paraId="51E93E87">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75965872">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70D5A3E0">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（4）信用信息使用规则：对在“信用中国”网站</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www.creditchina.gov.cn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、中国政府采购网</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www.ccgp.gov.cn</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 xml:space="preserve">等渠道列入失信被执行人、重大税收违法失信主体、政府采购严重违法失信行为记录名单及其他不符合《中华人民共和国政府采购法》第二十二条规定条件的供应商，取消其成交候选人资格。    </w:t>
      </w:r>
    </w:p>
    <w:p w14:paraId="7A24B68B">
      <w:pPr>
        <w:spacing w:line="400" w:lineRule="exact"/>
        <w:ind w:firstLine="422"/>
        <w:rPr>
          <w:rFonts w:hint="eastAsia" w:ascii="宋体" w:hAnsi="宋体" w:cs="宋体"/>
          <w:b/>
          <w:color w:val="auto"/>
          <w:kern w:val="0"/>
          <w:sz w:val="21"/>
          <w:szCs w:val="20"/>
          <w:highlight w:val="none"/>
        </w:rPr>
      </w:pPr>
      <w:r>
        <w:rPr>
          <w:rFonts w:hint="eastAsia" w:ascii="宋体" w:hAnsi="宋体" w:cs="宋体"/>
          <w:b/>
          <w:color w:val="auto"/>
          <w:kern w:val="0"/>
          <w:sz w:val="21"/>
          <w:szCs w:val="20"/>
          <w:highlight w:val="none"/>
        </w:rPr>
        <w:t>27</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成交公告及成交通知书</w:t>
      </w:r>
    </w:p>
    <w:p w14:paraId="44F31396">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27.1 采购代理机构于评审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261ACD69">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27.2中小企业在政府采购活动过程中，请根据自己的真实情况出具《中小企业声明函》。采购人或采购代理机构在公告成交结果时，同时公告其《中小企业声明函》，接受社会监督。</w:t>
      </w:r>
    </w:p>
    <w:p w14:paraId="458856EA">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eastAsia="宋体" w:cs="宋体"/>
          <w:bCs/>
          <w:color w:val="auto"/>
          <w:sz w:val="21"/>
          <w:szCs w:val="21"/>
          <w:highlight w:val="none"/>
          <w:lang w:val="en-US" w:eastAsia="zh-CN"/>
        </w:rPr>
        <w:t>27</w:t>
      </w:r>
      <w:r>
        <w:rPr>
          <w:rFonts w:hint="eastAsia" w:ascii="宋体" w:hAnsi="宋体" w:eastAsia="宋体" w:cs="宋体"/>
          <w:bCs/>
          <w:color w:val="auto"/>
          <w:sz w:val="21"/>
          <w:szCs w:val="21"/>
          <w:highlight w:val="none"/>
        </w:rPr>
        <w:t>.3采购人、采购代理机构应当随</w:t>
      </w:r>
      <w:r>
        <w:rPr>
          <w:rFonts w:hint="eastAsia" w:ascii="宋体" w:hAnsi="宋体" w:cs="宋体"/>
          <w:bCs/>
          <w:color w:val="auto"/>
          <w:sz w:val="21"/>
          <w:szCs w:val="21"/>
          <w:highlight w:val="none"/>
          <w:lang w:val="en-US" w:eastAsia="zh-CN"/>
        </w:rPr>
        <w:t>成交</w:t>
      </w:r>
      <w:r>
        <w:rPr>
          <w:rFonts w:hint="eastAsia" w:ascii="宋体" w:hAnsi="宋体" w:eastAsia="宋体" w:cs="宋体"/>
          <w:bCs/>
          <w:color w:val="auto"/>
          <w:sz w:val="21"/>
          <w:szCs w:val="21"/>
          <w:highlight w:val="none"/>
        </w:rPr>
        <w:t>结果公开</w:t>
      </w:r>
      <w:r>
        <w:rPr>
          <w:rFonts w:hint="eastAsia" w:ascii="宋体" w:hAnsi="宋体" w:cs="宋体"/>
          <w:bCs/>
          <w:color w:val="auto"/>
          <w:sz w:val="21"/>
          <w:szCs w:val="21"/>
          <w:highlight w:val="none"/>
          <w:lang w:val="en-US" w:eastAsia="zh-CN"/>
        </w:rPr>
        <w:t>成交</w:t>
      </w:r>
      <w:r>
        <w:rPr>
          <w:rFonts w:hint="eastAsia" w:ascii="宋体" w:hAnsi="宋体" w:eastAsia="宋体" w:cs="宋体"/>
          <w:bCs/>
          <w:color w:val="auto"/>
          <w:sz w:val="21"/>
          <w:szCs w:val="21"/>
          <w:highlight w:val="none"/>
        </w:rPr>
        <w:t>供应商的《关于符合本国产品标准的声明函》或有关证明文件。</w:t>
      </w:r>
    </w:p>
    <w:p w14:paraId="6D084F4C">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在发布成交公告的同时，采购代理机构通过“广西政府采购云平台”向成交供应商发出电子成交通知书，供应商应自行登录平台查看。</w:t>
      </w:r>
    </w:p>
    <w:p w14:paraId="5008D552">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采购代理机构无义务向未成交的供应商解释未成交原因和退还响应文件。</w:t>
      </w:r>
    </w:p>
    <w:p w14:paraId="53143C71">
      <w:pPr>
        <w:spacing w:line="340" w:lineRule="exact"/>
        <w:ind w:left="3" w:firstLine="0" w:firstLineChars="0"/>
        <w:jc w:val="center"/>
        <w:rPr>
          <w:rFonts w:hint="eastAsia" w:ascii="宋体" w:hAnsi="宋体" w:cs="宋体"/>
          <w:b/>
          <w:color w:val="auto"/>
          <w:kern w:val="0"/>
          <w:sz w:val="28"/>
          <w:szCs w:val="28"/>
          <w:highlight w:val="none"/>
        </w:rPr>
      </w:pPr>
    </w:p>
    <w:p w14:paraId="7C4AF1CB">
      <w:pPr>
        <w:spacing w:line="340" w:lineRule="exact"/>
        <w:ind w:left="3" w:firstLine="0" w:firstLineChars="0"/>
        <w:jc w:val="cente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五、签订合同</w:t>
      </w:r>
    </w:p>
    <w:p w14:paraId="74FE9ECA">
      <w:pPr>
        <w:spacing w:line="400" w:lineRule="exact"/>
        <w:ind w:firstLine="42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28</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履约保证金</w:t>
      </w:r>
    </w:p>
    <w:p w14:paraId="0BF2C2DA">
      <w:pPr>
        <w:snapToGrid w:val="0"/>
        <w:spacing w:line="340" w:lineRule="exact"/>
        <w:ind w:firstLine="411" w:firstLineChars="196"/>
        <w:outlineLvl w:val="4"/>
        <w:rPr>
          <w:rFonts w:hint="eastAsia" w:ascii="宋体" w:hAnsi="宋体" w:cs="宋体"/>
          <w:bCs/>
          <w:color w:val="auto"/>
          <w:kern w:val="0"/>
          <w:sz w:val="21"/>
          <w:szCs w:val="21"/>
          <w:highlight w:val="none"/>
        </w:rPr>
      </w:pPr>
      <w:r>
        <w:rPr>
          <w:rFonts w:hint="eastAsia" w:ascii="宋体" w:hAnsi="宋体" w:cs="宋体"/>
          <w:bCs/>
          <w:color w:val="auto"/>
          <w:kern w:val="0"/>
          <w:sz w:val="21"/>
          <w:szCs w:val="24"/>
          <w:highlight w:val="none"/>
        </w:rPr>
        <w:t>本项目不收取履约保证金。</w:t>
      </w:r>
    </w:p>
    <w:p w14:paraId="46F96513">
      <w:pPr>
        <w:snapToGrid w:val="0"/>
        <w:spacing w:line="400" w:lineRule="exact"/>
        <w:ind w:firstLine="422"/>
        <w:outlineLvl w:val="4"/>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29.签订合同</w:t>
      </w:r>
    </w:p>
    <w:p w14:paraId="624E386A">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29.1 签订合同时间：成交通知书发出之日起8个工作日内。成交供应商应按规定与采购人签订合同。</w:t>
      </w:r>
    </w:p>
    <w:p w14:paraId="1769EBCC">
      <w:pPr>
        <w:snapToGrid w:val="0"/>
        <w:spacing w:line="400" w:lineRule="exact"/>
        <w:ind w:firstLine="420"/>
        <w:outlineLvl w:val="4"/>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根据《桂林市大数据和行政审批局 桂林市财政局 桂林市住房和城乡建设局 桂林市交通运输局 桂林市水利局关于进一步优化招标采购评标机制加强异常低价监督处置的通知》（市数审</w:t>
      </w:r>
      <w:r>
        <w:rPr>
          <w:rFonts w:hint="eastAsia" w:ascii="宋体" w:hAnsi="宋体" w:eastAsia="宋体" w:cs="宋体"/>
          <w:color w:val="auto"/>
          <w:kern w:val="0"/>
          <w:sz w:val="21"/>
          <w:szCs w:val="21"/>
          <w:highlight w:val="none"/>
          <w:lang w:eastAsia="zh-CN"/>
        </w:rPr>
        <w:t>〔2025〕11号</w:t>
      </w:r>
      <w:r>
        <w:rPr>
          <w:rFonts w:hint="eastAsia" w:ascii="宋体" w:hAnsi="宋体" w:eastAsia="宋体" w:cs="宋体"/>
          <w:color w:val="auto"/>
          <w:kern w:val="0"/>
          <w:sz w:val="21"/>
          <w:szCs w:val="21"/>
          <w:highlight w:val="none"/>
        </w:rPr>
        <w:t>）规定，对报价触发异常低价投标审查程序后仍</w:t>
      </w:r>
      <w:r>
        <w:rPr>
          <w:rFonts w:hint="eastAsia" w:ascii="宋体" w:hAnsi="宋体" w:cs="宋体"/>
          <w:bCs/>
          <w:color w:val="auto"/>
          <w:sz w:val="21"/>
          <w:szCs w:val="21"/>
          <w:highlight w:val="none"/>
          <w:lang w:val="en-US" w:eastAsia="zh-CN"/>
        </w:rPr>
        <w:t>成交</w:t>
      </w:r>
      <w:r>
        <w:rPr>
          <w:rFonts w:hint="eastAsia" w:ascii="宋体" w:hAnsi="宋体" w:eastAsia="宋体" w:cs="宋体"/>
          <w:color w:val="auto"/>
          <w:kern w:val="0"/>
          <w:sz w:val="21"/>
          <w:szCs w:val="21"/>
          <w:highlight w:val="none"/>
        </w:rPr>
        <w:t>的供应商无正当理由拒不签订政府采购合同的，由财政部门依法追究其法律责任。</w:t>
      </w:r>
    </w:p>
    <w:p w14:paraId="5F866294">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29.2 如成交供应商有下列情形之一，情节严重的，由财政部门将其列入不良行为记录名单，在一至三年内禁止参加政府采购活动，并予以通报。采购人可从谈判小组推荐的成交候选人中按顺序重新确定成交供应商或重新组织采购。拒绝签订政府采购合同的成交供应商不得参加对该项目重新开展的采购活动。</w:t>
      </w:r>
    </w:p>
    <w:p w14:paraId="2AEAEEE9">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（1）成交后不与采购人签订合同的（不可抗力除外）；或采购文件规定应当提交履约保证金而未按规定提交的。</w:t>
      </w:r>
    </w:p>
    <w:p w14:paraId="28156340">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（2）将成交项目转让给他人，或者在响应文件中未说明，且未经采购人同意，将成交项目分包给他人的；</w:t>
      </w:r>
    </w:p>
    <w:p w14:paraId="691A4CB5">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（3）拒绝履行合同义务的。</w:t>
      </w:r>
    </w:p>
    <w:p w14:paraId="6011EDBD">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29.3 合同公告：政府采购合同双方自签订之日起2个工作日内在省级以上人民政府财政部门指定媒体上公告。</w:t>
      </w:r>
    </w:p>
    <w:p w14:paraId="6B65C6E1">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29.4采购人应妥善保管政府采购项目合同验收书（格式见附表3）及相关材料。</w:t>
      </w:r>
    </w:p>
    <w:p w14:paraId="6EB6AB6A">
      <w:pPr>
        <w:spacing w:line="340" w:lineRule="exact"/>
        <w:ind w:firstLineChars="0"/>
        <w:rPr>
          <w:rFonts w:hint="eastAsia" w:ascii="宋体" w:hAnsi="宋体"/>
          <w:color w:val="auto"/>
          <w:sz w:val="21"/>
          <w:szCs w:val="24"/>
          <w:highlight w:val="none"/>
        </w:rPr>
      </w:pPr>
    </w:p>
    <w:p w14:paraId="3149AD86">
      <w:pPr>
        <w:spacing w:line="340" w:lineRule="exact"/>
        <w:ind w:left="2940" w:firstLine="0" w:firstLineChars="0"/>
        <w:rPr>
          <w:rFonts w:hint="eastAsia" w:ascii="宋体" w:hAnsi="宋体"/>
          <w:color w:val="auto"/>
          <w:sz w:val="21"/>
          <w:szCs w:val="24"/>
          <w:highlight w:val="none"/>
        </w:rPr>
      </w:pPr>
    </w:p>
    <w:p w14:paraId="02683118">
      <w:pPr>
        <w:spacing w:line="340" w:lineRule="exact"/>
        <w:ind w:left="3" w:firstLine="0" w:firstLineChars="0"/>
        <w:jc w:val="cente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六、其他事项</w:t>
      </w:r>
    </w:p>
    <w:p w14:paraId="300D2570">
      <w:pPr>
        <w:spacing w:line="400" w:lineRule="exact"/>
        <w:ind w:firstLine="42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30</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p>
    <w:p w14:paraId="5BFC589B">
      <w:pPr>
        <w:snapToGrid w:val="0"/>
        <w:spacing w:line="400" w:lineRule="exact"/>
        <w:ind w:firstLine="420"/>
        <w:outlineLvl w:val="4"/>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30.1本项目采购代理服务费按本须知第30.2条“采购代理服务收费标准”中“货物采购”收费标准计算（不足人民币6000元的，按6000元计），成交供应商应当在</w:t>
      </w:r>
      <w:r>
        <w:rPr>
          <w:rFonts w:ascii="宋体" w:hAnsi="宋体" w:cs="宋体"/>
          <w:color w:val="auto"/>
          <w:kern w:val="0"/>
          <w:sz w:val="21"/>
          <w:szCs w:val="21"/>
          <w:highlight w:val="none"/>
        </w:rPr>
        <w:t>成交通知书发出前</w:t>
      </w:r>
      <w:r>
        <w:rPr>
          <w:rFonts w:hint="eastAsia" w:ascii="宋体" w:hAnsi="宋体" w:cs="宋体"/>
          <w:color w:val="auto"/>
          <w:kern w:val="0"/>
          <w:sz w:val="21"/>
          <w:szCs w:val="21"/>
          <w:highlight w:val="none"/>
        </w:rPr>
        <w:t>向采购代理机构一次性支付采购代理服务费，否则，其不利后果由成交供应商承担。</w:t>
      </w:r>
    </w:p>
    <w:p w14:paraId="7916DDC0">
      <w:pPr>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30.2代理服务收费标准：</w:t>
      </w:r>
    </w:p>
    <w:tbl>
      <w:tblPr>
        <w:tblStyle w:val="4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1858"/>
        <w:gridCol w:w="2012"/>
        <w:gridCol w:w="2315"/>
      </w:tblGrid>
      <w:tr w14:paraId="6112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08" w:type="dxa"/>
          </w:tcPr>
          <w:p w14:paraId="395B4CC8">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mc:AlternateContent>
                <mc:Choice Requires="wps">
                  <w:drawing>
                    <wp:anchor distT="0" distB="0" distL="114300" distR="114300" simplePos="0" relativeHeight="251665408" behindDoc="0" locked="0" layoutInCell="1" allowOverlap="1">
                      <wp:simplePos x="0" y="0"/>
                      <wp:positionH relativeFrom="column">
                        <wp:posOffset>-40005</wp:posOffset>
                      </wp:positionH>
                      <wp:positionV relativeFrom="paragraph">
                        <wp:posOffset>188595</wp:posOffset>
                      </wp:positionV>
                      <wp:extent cx="1804670" cy="214630"/>
                      <wp:effectExtent l="635" t="4445" r="4445" b="9525"/>
                      <wp:wrapNone/>
                      <wp:docPr id="13" name="直线 106"/>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6" o:spid="_x0000_s1026" o:spt="20" style="position:absolute;left:0pt;margin-left:-3.15pt;margin-top:14.85pt;height:16.9pt;width:142.1pt;z-index:251665408;mso-width-relative:page;mso-height-relative:page;" filled="f" stroked="t" coordsize="21600,21600" o:gfxdata="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6nwUrYAAAACAEAAA8AAAAAAAAAAQAgAAAAIgAAAGRycy9kb3ducmV2LnhtbFBLAQIUABQAAAAI&#10;AIdO4kCdfPTY7QEAAOUDAAAOAAAAAAAAAAEAIAAAACcBAABkcnMvZTJvRG9jLnhtbFBLBQYAAAAA&#10;BgAGAFkBAACGBQAAAAA=&#10;">
                      <v:fill on="f" focussize="0,0"/>
                      <v:stroke color="#000000" joinstyle="round"/>
                      <v:imagedata o:title=""/>
                      <o:lock v:ext="edit" aspectratio="f"/>
                    </v:line>
                  </w:pict>
                </mc:Fallback>
              </mc:AlternateContent>
            </w:r>
            <w:r>
              <w:rPr>
                <w:rFonts w:hint="eastAsia" w:ascii="宋体" w:hAnsi="宋体" w:cs="宋体"/>
                <w:color w:val="auto"/>
                <w:kern w:val="0"/>
                <w:sz w:val="21"/>
                <w:szCs w:val="20"/>
                <w:highlight w:val="none"/>
              </w:rPr>
              <mc:AlternateContent>
                <mc:Choice Requires="wps">
                  <w:drawing>
                    <wp:anchor distT="0" distB="0" distL="114300" distR="114300" simplePos="0" relativeHeight="251664384" behindDoc="0" locked="0" layoutInCell="1" allowOverlap="1">
                      <wp:simplePos x="0" y="0"/>
                      <wp:positionH relativeFrom="column">
                        <wp:posOffset>296545</wp:posOffset>
                      </wp:positionH>
                      <wp:positionV relativeFrom="paragraph">
                        <wp:posOffset>10795</wp:posOffset>
                      </wp:positionV>
                      <wp:extent cx="1424940" cy="392430"/>
                      <wp:effectExtent l="1270" t="4445" r="2540" b="22225"/>
                      <wp:wrapNone/>
                      <wp:docPr id="1" name="直线 105"/>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5" o:spid="_x0000_s1026" o:spt="20" style="position:absolute;left:0pt;margin-left:23.35pt;margin-top:0.85pt;height:30.9pt;width:112.2pt;z-index:251664384;mso-width-relative:page;mso-height-relative:page;" filled="f" stroked="t" coordsize="21600,21600" o:gfxdata="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yP&#10;lXzWAAAABwEAAA8AAAAAAAAAAQAgAAAAIgAAAGRycy9kb3ducmV2LnhtbFBLAQIUABQAAAAIAIdO&#10;4kB5+KxK7AEAAOQDAAAOAAAAAAAAAAEAIAAAACUBAABkcnMvZTJvRG9jLnhtbFBLBQYAAAAABgAG&#10;AFkBAACDBQAAAAA=&#10;">
                      <v:fill on="f" focussize="0,0"/>
                      <v:stroke color="#000000" joinstyle="round"/>
                      <v:imagedata o:title=""/>
                      <o:lock v:ext="edit" aspectratio="f"/>
                    </v:line>
                  </w:pict>
                </mc:Fallback>
              </mc:AlternateContent>
            </w:r>
            <w:r>
              <w:rPr>
                <w:rFonts w:hint="eastAsia" w:ascii="宋体" w:hAnsi="宋体" w:cs="宋体"/>
                <w:color w:val="auto"/>
                <w:kern w:val="0"/>
                <w:sz w:val="21"/>
                <w:szCs w:val="20"/>
                <w:highlight w:val="none"/>
              </w:rPr>
              <w:t>费率           服务类型</w:t>
            </w:r>
          </w:p>
          <w:p w14:paraId="2A6FCBCB">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lang w:eastAsia="zh-CN"/>
              </w:rPr>
              <w:t>成交</w:t>
            </w:r>
            <w:r>
              <w:rPr>
                <w:rFonts w:hint="eastAsia" w:ascii="宋体" w:hAnsi="宋体" w:cs="宋体"/>
                <w:color w:val="auto"/>
                <w:kern w:val="0"/>
                <w:sz w:val="21"/>
                <w:szCs w:val="20"/>
                <w:highlight w:val="none"/>
              </w:rPr>
              <w:t>金额</w:t>
            </w:r>
          </w:p>
        </w:tc>
        <w:tc>
          <w:tcPr>
            <w:tcW w:w="1858" w:type="dxa"/>
            <w:vAlign w:val="center"/>
          </w:tcPr>
          <w:p w14:paraId="0E7D72C5">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货物采购</w:t>
            </w:r>
          </w:p>
        </w:tc>
        <w:tc>
          <w:tcPr>
            <w:tcW w:w="2012" w:type="dxa"/>
            <w:vAlign w:val="center"/>
          </w:tcPr>
          <w:p w14:paraId="6F731C9C">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服务采购</w:t>
            </w:r>
          </w:p>
        </w:tc>
        <w:tc>
          <w:tcPr>
            <w:tcW w:w="2315" w:type="dxa"/>
            <w:vAlign w:val="center"/>
          </w:tcPr>
          <w:p w14:paraId="2C3DB7C6">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工程采购</w:t>
            </w:r>
          </w:p>
        </w:tc>
      </w:tr>
      <w:tr w14:paraId="48C5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2908" w:type="dxa"/>
          </w:tcPr>
          <w:p w14:paraId="0916AD6F">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100万元以下</w:t>
            </w:r>
          </w:p>
        </w:tc>
        <w:tc>
          <w:tcPr>
            <w:tcW w:w="1858" w:type="dxa"/>
          </w:tcPr>
          <w:p w14:paraId="1553B4E2">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012" w:type="dxa"/>
          </w:tcPr>
          <w:p w14:paraId="25FAD487">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315" w:type="dxa"/>
          </w:tcPr>
          <w:p w14:paraId="5B596092">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1.0%</w:t>
            </w:r>
          </w:p>
        </w:tc>
      </w:tr>
      <w:tr w14:paraId="6756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908" w:type="dxa"/>
          </w:tcPr>
          <w:p w14:paraId="0592D069">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100～500万元</w:t>
            </w:r>
          </w:p>
        </w:tc>
        <w:tc>
          <w:tcPr>
            <w:tcW w:w="1858" w:type="dxa"/>
          </w:tcPr>
          <w:p w14:paraId="1AB90191">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1.1%</w:t>
            </w:r>
          </w:p>
        </w:tc>
        <w:tc>
          <w:tcPr>
            <w:tcW w:w="2012" w:type="dxa"/>
          </w:tcPr>
          <w:p w14:paraId="5EBD3B9E">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0.8%</w:t>
            </w:r>
          </w:p>
        </w:tc>
        <w:tc>
          <w:tcPr>
            <w:tcW w:w="2315" w:type="dxa"/>
          </w:tcPr>
          <w:p w14:paraId="243039FE">
            <w:pPr>
              <w:spacing w:line="340" w:lineRule="exact"/>
              <w:ind w:left="25" w:firstLine="0"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0.7%</w:t>
            </w:r>
          </w:p>
        </w:tc>
      </w:tr>
      <w:tr w14:paraId="1B32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1C16014B">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500～1000万元</w:t>
            </w:r>
          </w:p>
        </w:tc>
        <w:tc>
          <w:tcPr>
            <w:tcW w:w="1858" w:type="dxa"/>
          </w:tcPr>
          <w:p w14:paraId="1AB38166">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0.8%</w:t>
            </w:r>
          </w:p>
        </w:tc>
        <w:tc>
          <w:tcPr>
            <w:tcW w:w="2012" w:type="dxa"/>
          </w:tcPr>
          <w:p w14:paraId="19CC2C02">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0.45%</w:t>
            </w:r>
          </w:p>
        </w:tc>
        <w:tc>
          <w:tcPr>
            <w:tcW w:w="2315" w:type="dxa"/>
          </w:tcPr>
          <w:p w14:paraId="0099E9A0">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0.55%</w:t>
            </w:r>
          </w:p>
        </w:tc>
      </w:tr>
      <w:tr w14:paraId="17B8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50A399ED">
            <w:pPr>
              <w:spacing w:line="340" w:lineRule="exact"/>
              <w:ind w:left="25" w:firstLine="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1000～5000万元</w:t>
            </w:r>
          </w:p>
        </w:tc>
        <w:tc>
          <w:tcPr>
            <w:tcW w:w="1858" w:type="dxa"/>
          </w:tcPr>
          <w:p w14:paraId="53EF7758">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0.5%</w:t>
            </w:r>
          </w:p>
        </w:tc>
        <w:tc>
          <w:tcPr>
            <w:tcW w:w="2012" w:type="dxa"/>
          </w:tcPr>
          <w:p w14:paraId="424421EC">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315" w:type="dxa"/>
          </w:tcPr>
          <w:p w14:paraId="718FF0D6">
            <w:pPr>
              <w:spacing w:line="340" w:lineRule="exact"/>
              <w:ind w:left="25" w:firstLine="0" w:firstLineChars="0"/>
              <w:jc w:val="center"/>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0.35%</w:t>
            </w:r>
          </w:p>
        </w:tc>
      </w:tr>
    </w:tbl>
    <w:p w14:paraId="3F6C11F0">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注：代理服务收费按差额定率累进法计算</w:t>
      </w:r>
      <w:r>
        <w:rPr>
          <w:rFonts w:hint="eastAsia" w:ascii="宋体" w:hAnsi="宋体" w:cs="宋体"/>
          <w:color w:val="auto"/>
          <w:kern w:val="0"/>
          <w:sz w:val="21"/>
          <w:szCs w:val="21"/>
          <w:highlight w:val="none"/>
        </w:rPr>
        <w:t>。</w:t>
      </w:r>
    </w:p>
    <w:p w14:paraId="6F1E9EC7">
      <w:pPr>
        <w:spacing w:line="400" w:lineRule="exact"/>
        <w:ind w:firstLine="42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31.采购代理机构银行账户（用于缴纳采购代理服务费）：</w:t>
      </w:r>
    </w:p>
    <w:p w14:paraId="4670C624">
      <w:pPr>
        <w:spacing w:line="40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 xml:space="preserve">开户名称：云之龙咨询集团有限公司桂林分公司  </w:t>
      </w:r>
    </w:p>
    <w:p w14:paraId="496ADC58">
      <w:pPr>
        <w:spacing w:line="40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开户银行：中信银行股份有限公司南宁</w:t>
      </w:r>
      <w:r>
        <w:rPr>
          <w:rFonts w:hint="eastAsia" w:ascii="宋体" w:hAnsi="宋体"/>
          <w:color w:val="auto"/>
          <w:sz w:val="21"/>
          <w:szCs w:val="21"/>
          <w:highlight w:val="none"/>
          <w:lang w:eastAsia="zh-CN"/>
        </w:rPr>
        <w:t>园湖</w:t>
      </w:r>
      <w:r>
        <w:rPr>
          <w:rFonts w:hint="eastAsia" w:ascii="宋体" w:hAnsi="宋体"/>
          <w:color w:val="auto"/>
          <w:sz w:val="21"/>
          <w:szCs w:val="21"/>
          <w:highlight w:val="none"/>
        </w:rPr>
        <w:t>支行</w:t>
      </w:r>
    </w:p>
    <w:p w14:paraId="3A2AAA6F">
      <w:pPr>
        <w:spacing w:line="40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银行账号：</w:t>
      </w:r>
      <w:r>
        <w:rPr>
          <w:rFonts w:ascii="宋体" w:hAnsi="宋体"/>
          <w:color w:val="auto"/>
          <w:sz w:val="21"/>
          <w:szCs w:val="21"/>
          <w:highlight w:val="none"/>
        </w:rPr>
        <w:t>8113001014300158041</w:t>
      </w:r>
    </w:p>
    <w:p w14:paraId="3DDCD66D">
      <w:pPr>
        <w:spacing w:line="400" w:lineRule="exact"/>
        <w:ind w:firstLine="422"/>
        <w:rPr>
          <w:rFonts w:hint="eastAsia" w:ascii="宋体" w:hAnsi="宋体" w:cs="宋体"/>
          <w:color w:val="auto"/>
          <w:kern w:val="0"/>
          <w:sz w:val="21"/>
          <w:szCs w:val="21"/>
          <w:highlight w:val="none"/>
        </w:rPr>
      </w:pPr>
      <w:r>
        <w:rPr>
          <w:rFonts w:hint="eastAsia" w:ascii="宋体" w:hAnsi="宋体" w:cs="宋体"/>
          <w:b/>
          <w:color w:val="auto"/>
          <w:kern w:val="0"/>
          <w:sz w:val="21"/>
          <w:szCs w:val="24"/>
          <w:highlight w:val="none"/>
        </w:rPr>
        <w:t>32.解释权：</w:t>
      </w:r>
      <w:r>
        <w:rPr>
          <w:rFonts w:hint="eastAsia" w:ascii="宋体" w:hAnsi="宋体" w:cs="宋体"/>
          <w:color w:val="auto"/>
          <w:kern w:val="0"/>
          <w:sz w:val="21"/>
          <w:szCs w:val="21"/>
          <w:highlight w:val="none"/>
        </w:rPr>
        <w:t>本竞争性谈判文件是根据《中华人民共和国政府采购法》、《中华人民共和国政府采购法实施条例》、《政府采购非招标采购方式管理办法》和政府采购管理有关规定编制，本竞争性谈判文件的解释权属于采购代理机构。</w:t>
      </w:r>
    </w:p>
    <w:p w14:paraId="23757DCA">
      <w:pPr>
        <w:spacing w:line="400" w:lineRule="exact"/>
        <w:ind w:firstLine="42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33.广西线上“政采贷”政策详见附表4。</w:t>
      </w:r>
    </w:p>
    <w:p w14:paraId="7EC1354B">
      <w:pPr>
        <w:spacing w:line="400" w:lineRule="exact"/>
        <w:ind w:firstLine="422"/>
        <w:rPr>
          <w:rFonts w:hint="eastAsia" w:ascii="宋体" w:hAnsi="宋体" w:cs="宋体"/>
          <w:b/>
          <w:color w:val="auto"/>
          <w:kern w:val="0"/>
          <w:sz w:val="21"/>
          <w:szCs w:val="24"/>
          <w:highlight w:val="none"/>
        </w:rPr>
      </w:pPr>
      <w:r>
        <w:rPr>
          <w:rFonts w:hint="eastAsia" w:ascii="宋体" w:hAnsi="宋体" w:cs="宋体"/>
          <w:b/>
          <w:color w:val="auto"/>
          <w:kern w:val="0"/>
          <w:sz w:val="21"/>
          <w:szCs w:val="24"/>
          <w:highlight w:val="none"/>
        </w:rPr>
        <w:t>34.监督管理机构：</w:t>
      </w:r>
      <w:r>
        <w:rPr>
          <w:rFonts w:hint="eastAsia" w:ascii="宋体" w:hAnsi="宋体" w:cs="宋体"/>
          <w:color w:val="auto"/>
          <w:kern w:val="0"/>
          <w:sz w:val="21"/>
          <w:szCs w:val="21"/>
          <w:highlight w:val="none"/>
        </w:rPr>
        <w:t>兴安县财政局； 联系电话：0773-6220651</w:t>
      </w:r>
      <w:r>
        <w:rPr>
          <w:color w:val="auto"/>
          <w:sz w:val="21"/>
          <w:szCs w:val="21"/>
          <w:highlight w:val="none"/>
        </w:rPr>
        <w:br w:type="page"/>
      </w:r>
      <w:r>
        <w:rPr>
          <w:rFonts w:hint="eastAsia"/>
          <w:color w:val="auto"/>
          <w:highlight w:val="none"/>
        </w:rPr>
        <w:t>附表1：</w:t>
      </w:r>
    </w:p>
    <w:p w14:paraId="194C3C1C">
      <w:pPr>
        <w:spacing w:line="460" w:lineRule="exact"/>
        <w:ind w:firstLine="0" w:firstLineChars="0"/>
        <w:jc w:val="center"/>
        <w:rPr>
          <w:rFonts w:hint="eastAsia" w:ascii="宋体" w:hAnsi="宋体" w:cs="宋体"/>
          <w:color w:val="auto"/>
          <w:sz w:val="44"/>
          <w:szCs w:val="24"/>
          <w:highlight w:val="none"/>
        </w:rPr>
      </w:pPr>
      <w:r>
        <w:rPr>
          <w:rFonts w:hint="eastAsia" w:ascii="宋体" w:hAnsi="宋体" w:cs="宋体"/>
          <w:color w:val="auto"/>
          <w:sz w:val="44"/>
          <w:szCs w:val="24"/>
          <w:highlight w:val="none"/>
        </w:rPr>
        <w:t>质疑函（格式）</w:t>
      </w:r>
    </w:p>
    <w:p w14:paraId="00A272C4">
      <w:pPr>
        <w:snapToGrid w:val="0"/>
        <w:spacing w:line="360" w:lineRule="exact"/>
        <w:ind w:firstLine="422"/>
        <w:rPr>
          <w:rFonts w:hint="eastAsia" w:ascii="宋体" w:hAnsi="宋体" w:cs="宋体"/>
          <w:b/>
          <w:bCs/>
          <w:color w:val="auto"/>
          <w:sz w:val="21"/>
          <w:szCs w:val="20"/>
          <w:highlight w:val="none"/>
        </w:rPr>
      </w:pPr>
      <w:r>
        <w:rPr>
          <w:rFonts w:hint="eastAsia" w:ascii="宋体" w:hAnsi="宋体" w:cs="宋体"/>
          <w:b/>
          <w:bCs/>
          <w:color w:val="auto"/>
          <w:sz w:val="21"/>
          <w:szCs w:val="20"/>
          <w:highlight w:val="none"/>
        </w:rPr>
        <w:t>一、质疑供应商基本信息：</w:t>
      </w:r>
    </w:p>
    <w:p w14:paraId="1780DF84">
      <w:pPr>
        <w:snapToGrid w:val="0"/>
        <w:spacing w:line="36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质疑供应商：</w:t>
      </w:r>
      <w:r>
        <w:rPr>
          <w:rFonts w:hint="eastAsia" w:ascii="宋体" w:hAnsi="宋体" w:cs="宋体"/>
          <w:bCs/>
          <w:color w:val="auto"/>
          <w:sz w:val="21"/>
          <w:szCs w:val="20"/>
          <w:highlight w:val="none"/>
          <w:u w:val="single"/>
        </w:rPr>
        <w:t xml:space="preserve">                                                                 </w:t>
      </w:r>
    </w:p>
    <w:p w14:paraId="470648A1">
      <w:pPr>
        <w:snapToGrid w:val="0"/>
        <w:spacing w:line="36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776FC657">
      <w:pPr>
        <w:snapToGrid w:val="0"/>
        <w:spacing w:line="36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联系人：联系电话：</w:t>
      </w:r>
      <w:r>
        <w:rPr>
          <w:rFonts w:hint="eastAsia" w:ascii="宋体" w:hAnsi="宋体" w:cs="宋体"/>
          <w:bCs/>
          <w:color w:val="auto"/>
          <w:sz w:val="21"/>
          <w:szCs w:val="20"/>
          <w:highlight w:val="none"/>
          <w:u w:val="single"/>
        </w:rPr>
        <w:t xml:space="preserve">                                                                 </w:t>
      </w:r>
    </w:p>
    <w:p w14:paraId="0D74BDBB">
      <w:pPr>
        <w:snapToGrid w:val="0"/>
        <w:spacing w:line="36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授权代表：</w:t>
      </w:r>
      <w:r>
        <w:rPr>
          <w:rFonts w:hint="eastAsia" w:ascii="宋体" w:hAnsi="宋体" w:cs="宋体"/>
          <w:bCs/>
          <w:color w:val="auto"/>
          <w:sz w:val="21"/>
          <w:szCs w:val="20"/>
          <w:highlight w:val="none"/>
          <w:u w:val="single"/>
        </w:rPr>
        <w:t xml:space="preserve">                                                                 </w:t>
      </w:r>
    </w:p>
    <w:p w14:paraId="02A5DB86">
      <w:pPr>
        <w:snapToGrid w:val="0"/>
        <w:spacing w:line="36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263EB78C">
      <w:pPr>
        <w:snapToGrid w:val="0"/>
        <w:spacing w:line="36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79A21CC8">
      <w:pPr>
        <w:snapToGrid w:val="0"/>
        <w:spacing w:line="360" w:lineRule="exact"/>
        <w:ind w:firstLine="422"/>
        <w:rPr>
          <w:rFonts w:hint="eastAsia" w:ascii="宋体" w:hAnsi="宋体" w:cs="宋体"/>
          <w:b/>
          <w:bCs/>
          <w:color w:val="auto"/>
          <w:sz w:val="21"/>
          <w:szCs w:val="20"/>
          <w:highlight w:val="none"/>
        </w:rPr>
      </w:pPr>
      <w:r>
        <w:rPr>
          <w:rFonts w:hint="eastAsia" w:ascii="宋体" w:hAnsi="宋体" w:cs="宋体"/>
          <w:b/>
          <w:bCs/>
          <w:color w:val="auto"/>
          <w:sz w:val="21"/>
          <w:szCs w:val="20"/>
          <w:highlight w:val="none"/>
        </w:rPr>
        <w:t>二、质疑项目基本情况：</w:t>
      </w:r>
    </w:p>
    <w:p w14:paraId="109DD3DF">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项目的名称：</w:t>
      </w:r>
      <w:r>
        <w:rPr>
          <w:rFonts w:hint="eastAsia" w:ascii="宋体" w:hAnsi="宋体" w:cs="宋体"/>
          <w:bCs/>
          <w:color w:val="auto"/>
          <w:sz w:val="21"/>
          <w:szCs w:val="20"/>
          <w:highlight w:val="none"/>
          <w:u w:val="single"/>
        </w:rPr>
        <w:t xml:space="preserve">                                                                 </w:t>
      </w:r>
    </w:p>
    <w:p w14:paraId="0B04700B">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项目的编号：</w:t>
      </w:r>
      <w:r>
        <w:rPr>
          <w:rFonts w:hint="eastAsia" w:ascii="宋体" w:hAnsi="宋体" w:cs="宋体"/>
          <w:bCs/>
          <w:color w:val="auto"/>
          <w:sz w:val="21"/>
          <w:szCs w:val="20"/>
          <w:highlight w:val="none"/>
          <w:u w:val="single"/>
        </w:rPr>
        <w:t xml:space="preserve">                                                                 </w:t>
      </w:r>
    </w:p>
    <w:p w14:paraId="2252D2A3">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采购人名称：</w:t>
      </w:r>
      <w:r>
        <w:rPr>
          <w:rFonts w:hint="eastAsia" w:ascii="宋体" w:hAnsi="宋体" w:cs="宋体"/>
          <w:bCs/>
          <w:color w:val="auto"/>
          <w:sz w:val="21"/>
          <w:szCs w:val="20"/>
          <w:highlight w:val="none"/>
          <w:u w:val="single"/>
        </w:rPr>
        <w:t xml:space="preserve">                                                                 </w:t>
      </w:r>
    </w:p>
    <w:p w14:paraId="340B5D87">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质疑事项：</w:t>
      </w:r>
      <w:r>
        <w:rPr>
          <w:rFonts w:hint="eastAsia" w:ascii="宋体" w:hAnsi="宋体" w:cs="宋体"/>
          <w:bCs/>
          <w:color w:val="auto"/>
          <w:sz w:val="21"/>
          <w:szCs w:val="20"/>
          <w:highlight w:val="none"/>
          <w:u w:val="single"/>
        </w:rPr>
        <w:t xml:space="preserve">                                                                 </w:t>
      </w:r>
    </w:p>
    <w:p w14:paraId="7E6FE397">
      <w:pPr>
        <w:spacing w:line="360" w:lineRule="exact"/>
        <w:ind w:left="29" w:leftChars="12" w:firstLine="441" w:firstLineChars="147"/>
        <w:rPr>
          <w:rFonts w:hint="eastAsia"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谈判文件   谈判文件获取日期：</w:t>
      </w:r>
      <w:r>
        <w:rPr>
          <w:rFonts w:hint="eastAsia" w:ascii="宋体" w:hAnsi="宋体" w:cs="宋体"/>
          <w:bCs/>
          <w:color w:val="auto"/>
          <w:sz w:val="21"/>
          <w:szCs w:val="20"/>
          <w:highlight w:val="none"/>
          <w:u w:val="single"/>
        </w:rPr>
        <w:t xml:space="preserve">                                                                 </w:t>
      </w:r>
    </w:p>
    <w:p w14:paraId="0BF009C9">
      <w:pPr>
        <w:spacing w:line="360" w:lineRule="exact"/>
        <w:ind w:left="29" w:leftChars="12" w:firstLine="441" w:firstLineChars="147"/>
        <w:rPr>
          <w:rFonts w:hint="eastAsia"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采购过程   </w:t>
      </w:r>
    </w:p>
    <w:p w14:paraId="69E91157">
      <w:pPr>
        <w:spacing w:line="360" w:lineRule="exact"/>
        <w:ind w:left="29" w:leftChars="12" w:firstLine="441" w:firstLineChars="147"/>
        <w:rPr>
          <w:rFonts w:hint="eastAsia" w:ascii="宋体" w:hAnsi="宋体" w:cs="宋体"/>
          <w:bCs/>
          <w:color w:val="auto"/>
          <w:sz w:val="21"/>
          <w:szCs w:val="20"/>
          <w:highlight w:val="none"/>
          <w:u w:val="singl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成交结果   </w:t>
      </w:r>
    </w:p>
    <w:p w14:paraId="64ADCA36">
      <w:pPr>
        <w:spacing w:line="360" w:lineRule="exact"/>
        <w:ind w:left="29" w:leftChars="12"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三、质疑事项具体内容</w:t>
      </w:r>
    </w:p>
    <w:p w14:paraId="656D23D9">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质疑事项1：</w:t>
      </w:r>
    </w:p>
    <w:p w14:paraId="54340FDD">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事实依据：</w:t>
      </w:r>
      <w:r>
        <w:rPr>
          <w:rFonts w:hint="eastAsia" w:ascii="宋体" w:hAnsi="宋体" w:cs="宋体"/>
          <w:bCs/>
          <w:color w:val="auto"/>
          <w:sz w:val="21"/>
          <w:szCs w:val="20"/>
          <w:highlight w:val="none"/>
          <w:u w:val="single"/>
        </w:rPr>
        <w:t xml:space="preserve">                                                                 </w:t>
      </w:r>
    </w:p>
    <w:p w14:paraId="3C90C9BF">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法律依据：</w:t>
      </w:r>
      <w:r>
        <w:rPr>
          <w:rFonts w:hint="eastAsia" w:ascii="宋体" w:hAnsi="宋体" w:cs="宋体"/>
          <w:bCs/>
          <w:color w:val="auto"/>
          <w:sz w:val="21"/>
          <w:szCs w:val="20"/>
          <w:highlight w:val="none"/>
          <w:u w:val="single"/>
        </w:rPr>
        <w:t xml:space="preserve">                                                                 </w:t>
      </w:r>
    </w:p>
    <w:p w14:paraId="5E633C8C">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质疑事项2</w:t>
      </w:r>
    </w:p>
    <w:p w14:paraId="797E3C16">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w:t>
      </w:r>
    </w:p>
    <w:p w14:paraId="085087F0">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四、与质疑事项相关的质疑请求：</w:t>
      </w:r>
    </w:p>
    <w:p w14:paraId="0CBD7E6D">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bCs/>
          <w:color w:val="auto"/>
          <w:sz w:val="21"/>
          <w:szCs w:val="20"/>
          <w:highlight w:val="none"/>
          <w:u w:val="single"/>
        </w:rPr>
        <w:t xml:space="preserve">                                                                 </w:t>
      </w:r>
    </w:p>
    <w:p w14:paraId="0122D02A">
      <w:pPr>
        <w:spacing w:line="360" w:lineRule="exact"/>
        <w:ind w:left="29" w:leftChars="12" w:firstLine="308" w:firstLineChars="147"/>
        <w:rPr>
          <w:rFonts w:hint="eastAsia" w:ascii="宋体" w:hAnsi="宋体" w:cs="宋体"/>
          <w:color w:val="auto"/>
          <w:sz w:val="21"/>
          <w:szCs w:val="21"/>
          <w:highlight w:val="none"/>
        </w:rPr>
      </w:pPr>
    </w:p>
    <w:p w14:paraId="528F49CD">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签字（签章）：                                       公章：</w:t>
      </w:r>
    </w:p>
    <w:p w14:paraId="2B532836">
      <w:pPr>
        <w:spacing w:line="360" w:lineRule="exact"/>
        <w:ind w:left="29" w:leftChars="12" w:firstLine="308" w:firstLineChars="147"/>
        <w:rPr>
          <w:rFonts w:hint="eastAsia" w:ascii="宋体" w:hAnsi="宋体" w:cs="宋体"/>
          <w:color w:val="auto"/>
          <w:sz w:val="21"/>
          <w:szCs w:val="21"/>
          <w:highlight w:val="none"/>
        </w:rPr>
      </w:pPr>
    </w:p>
    <w:p w14:paraId="2E32A297">
      <w:pPr>
        <w:spacing w:line="36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日期：</w:t>
      </w:r>
    </w:p>
    <w:p w14:paraId="090DEC4F">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说明：</w:t>
      </w:r>
    </w:p>
    <w:p w14:paraId="1B5AC4FD">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1.供应商提出质疑时，应提交质疑函和必要的证明材料。</w:t>
      </w:r>
    </w:p>
    <w:p w14:paraId="424BD52C">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B8C52A9">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3.质疑函的质疑事项应具体、明确，并有必要的事实依据和法律依据。</w:t>
      </w:r>
    </w:p>
    <w:p w14:paraId="0F6F7C11">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4.质疑函的质疑请求应与质疑事项相关。</w:t>
      </w:r>
    </w:p>
    <w:p w14:paraId="63D72650">
      <w:pPr>
        <w:snapToGrid w:val="0"/>
        <w:spacing w:line="340" w:lineRule="exact"/>
        <w:ind w:firstLine="0" w:firstLineChars="0"/>
        <w:rPr>
          <w:rFonts w:hint="eastAsia" w:ascii="宋体" w:hAnsi="宋体" w:cs="宋体"/>
          <w:b/>
          <w:color w:val="auto"/>
          <w:sz w:val="21"/>
          <w:szCs w:val="21"/>
          <w:highlight w:val="none"/>
        </w:rPr>
      </w:pPr>
      <w:r>
        <w:rPr>
          <w:rFonts w:hint="eastAsia" w:ascii="宋体" w:hAnsi="宋体" w:cs="宋体"/>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2B015E4D">
      <w:pPr>
        <w:snapToGrid w:val="0"/>
        <w:spacing w:line="340" w:lineRule="exact"/>
        <w:ind w:firstLine="0" w:firstLineChars="0"/>
        <w:rPr>
          <w:rFonts w:hint="eastAsia" w:ascii="宋体" w:hAnsi="宋体" w:cs="宋体"/>
          <w:color w:val="auto"/>
          <w:szCs w:val="24"/>
          <w:highlight w:val="none"/>
        </w:rPr>
      </w:pPr>
      <w:r>
        <w:rPr>
          <w:rFonts w:hint="eastAsia" w:ascii="宋体" w:hAnsi="宋体" w:cs="宋体"/>
          <w:color w:val="auto"/>
          <w:szCs w:val="24"/>
          <w:highlight w:val="none"/>
        </w:rPr>
        <w:t>附表2：</w:t>
      </w:r>
    </w:p>
    <w:p w14:paraId="78838DB9">
      <w:pPr>
        <w:spacing w:line="240" w:lineRule="auto"/>
        <w:ind w:left="2940" w:firstLine="0" w:firstLineChars="0"/>
        <w:rPr>
          <w:color w:val="auto"/>
          <w:sz w:val="21"/>
          <w:szCs w:val="24"/>
          <w:highlight w:val="none"/>
        </w:rPr>
      </w:pPr>
    </w:p>
    <w:p w14:paraId="409470FA">
      <w:pPr>
        <w:spacing w:line="460" w:lineRule="exact"/>
        <w:ind w:firstLine="0" w:firstLineChars="0"/>
        <w:jc w:val="center"/>
        <w:rPr>
          <w:rFonts w:hint="eastAsia" w:ascii="宋体" w:hAnsi="宋体" w:cs="宋体"/>
          <w:color w:val="auto"/>
          <w:sz w:val="44"/>
          <w:szCs w:val="24"/>
          <w:highlight w:val="none"/>
        </w:rPr>
      </w:pPr>
      <w:r>
        <w:rPr>
          <w:rFonts w:hint="eastAsia" w:ascii="宋体" w:hAnsi="宋体" w:cs="宋体"/>
          <w:color w:val="auto"/>
          <w:sz w:val="44"/>
          <w:szCs w:val="24"/>
          <w:highlight w:val="none"/>
        </w:rPr>
        <w:t>投诉书（格式）</w:t>
      </w:r>
    </w:p>
    <w:p w14:paraId="61AC83B9">
      <w:pPr>
        <w:snapToGrid w:val="0"/>
        <w:spacing w:line="400" w:lineRule="exact"/>
        <w:ind w:firstLine="422"/>
        <w:rPr>
          <w:rFonts w:hint="eastAsia" w:ascii="宋体" w:hAnsi="宋体" w:cs="宋体"/>
          <w:b/>
          <w:bCs/>
          <w:color w:val="auto"/>
          <w:sz w:val="21"/>
          <w:szCs w:val="20"/>
          <w:highlight w:val="none"/>
        </w:rPr>
      </w:pPr>
    </w:p>
    <w:p w14:paraId="5096B47E">
      <w:pPr>
        <w:snapToGrid w:val="0"/>
        <w:spacing w:line="400" w:lineRule="exact"/>
        <w:ind w:firstLine="422"/>
        <w:rPr>
          <w:rFonts w:hint="eastAsia" w:ascii="宋体" w:hAnsi="宋体" w:cs="宋体"/>
          <w:b/>
          <w:bCs/>
          <w:color w:val="auto"/>
          <w:sz w:val="21"/>
          <w:szCs w:val="20"/>
          <w:highlight w:val="none"/>
        </w:rPr>
      </w:pPr>
      <w:r>
        <w:rPr>
          <w:rFonts w:hint="eastAsia" w:ascii="宋体" w:hAnsi="宋体" w:cs="宋体"/>
          <w:b/>
          <w:bCs/>
          <w:color w:val="auto"/>
          <w:sz w:val="21"/>
          <w:szCs w:val="20"/>
          <w:highlight w:val="none"/>
        </w:rPr>
        <w:t>一、投诉相关主体基本情况：</w:t>
      </w:r>
    </w:p>
    <w:p w14:paraId="1AD31935">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供应商：</w:t>
      </w:r>
      <w:r>
        <w:rPr>
          <w:rFonts w:hint="eastAsia" w:ascii="宋体" w:hAnsi="宋体" w:cs="宋体"/>
          <w:bCs/>
          <w:color w:val="auto"/>
          <w:sz w:val="21"/>
          <w:szCs w:val="20"/>
          <w:highlight w:val="none"/>
          <w:u w:val="single"/>
        </w:rPr>
        <w:t xml:space="preserve">                                                                 </w:t>
      </w:r>
    </w:p>
    <w:p w14:paraId="7202393C">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4C9482A0">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法定代表人/主要负责人：</w:t>
      </w:r>
      <w:r>
        <w:rPr>
          <w:rFonts w:hint="eastAsia" w:ascii="宋体" w:hAnsi="宋体" w:cs="宋体"/>
          <w:bCs/>
          <w:color w:val="auto"/>
          <w:sz w:val="21"/>
          <w:szCs w:val="20"/>
          <w:highlight w:val="none"/>
          <w:u w:val="single"/>
        </w:rPr>
        <w:t xml:space="preserve">                                                                 </w:t>
      </w:r>
    </w:p>
    <w:p w14:paraId="428F3108">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6C8C68B1">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授权代表：联系电话：</w:t>
      </w:r>
      <w:r>
        <w:rPr>
          <w:rFonts w:hint="eastAsia" w:ascii="宋体" w:hAnsi="宋体" w:cs="宋体"/>
          <w:bCs/>
          <w:color w:val="auto"/>
          <w:sz w:val="21"/>
          <w:szCs w:val="20"/>
          <w:highlight w:val="none"/>
          <w:u w:val="single"/>
        </w:rPr>
        <w:t xml:space="preserve">                                                                 </w:t>
      </w:r>
    </w:p>
    <w:p w14:paraId="62DB8BBE">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2F3EAF50">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被投诉人1：</w:t>
      </w:r>
    </w:p>
    <w:p w14:paraId="3B51CBAE">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5F3F9DDC">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联系人：联系电话：</w:t>
      </w:r>
      <w:r>
        <w:rPr>
          <w:rFonts w:hint="eastAsia" w:ascii="宋体" w:hAnsi="宋体" w:cs="宋体"/>
          <w:bCs/>
          <w:color w:val="auto"/>
          <w:sz w:val="21"/>
          <w:szCs w:val="20"/>
          <w:highlight w:val="none"/>
          <w:u w:val="single"/>
        </w:rPr>
        <w:t xml:space="preserve">                                                                 </w:t>
      </w:r>
    </w:p>
    <w:p w14:paraId="515F21FA">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被投诉人2：</w:t>
      </w:r>
    </w:p>
    <w:p w14:paraId="56EBCCFD">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w:t>
      </w:r>
    </w:p>
    <w:p w14:paraId="0A2BDEA8">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相关供应商：</w:t>
      </w:r>
      <w:r>
        <w:rPr>
          <w:rFonts w:hint="eastAsia" w:ascii="宋体" w:hAnsi="宋体" w:cs="宋体"/>
          <w:bCs/>
          <w:color w:val="auto"/>
          <w:sz w:val="21"/>
          <w:szCs w:val="20"/>
          <w:highlight w:val="none"/>
          <w:u w:val="single"/>
        </w:rPr>
        <w:t xml:space="preserve">                                                                      </w:t>
      </w:r>
    </w:p>
    <w:p w14:paraId="1C919D4C">
      <w:pPr>
        <w:snapToGrid w:val="0"/>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地址：邮编：</w:t>
      </w:r>
      <w:r>
        <w:rPr>
          <w:rFonts w:hint="eastAsia" w:ascii="宋体" w:hAnsi="宋体" w:cs="宋体"/>
          <w:bCs/>
          <w:color w:val="auto"/>
          <w:sz w:val="21"/>
          <w:szCs w:val="20"/>
          <w:highlight w:val="none"/>
          <w:u w:val="single"/>
        </w:rPr>
        <w:t xml:space="preserve">                                                                       </w:t>
      </w:r>
    </w:p>
    <w:p w14:paraId="0C427C3E">
      <w:pPr>
        <w:snapToGrid w:val="0"/>
        <w:spacing w:line="40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bCs/>
          <w:color w:val="auto"/>
          <w:sz w:val="21"/>
          <w:szCs w:val="20"/>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bCs/>
          <w:color w:val="auto"/>
          <w:sz w:val="21"/>
          <w:szCs w:val="20"/>
          <w:highlight w:val="none"/>
          <w:u w:val="single"/>
        </w:rPr>
        <w:t xml:space="preserve">                                                                 </w:t>
      </w:r>
    </w:p>
    <w:p w14:paraId="10AC60B2">
      <w:pPr>
        <w:snapToGrid w:val="0"/>
        <w:spacing w:line="400" w:lineRule="exact"/>
        <w:ind w:firstLine="422"/>
        <w:rPr>
          <w:rFonts w:hint="eastAsia" w:ascii="宋体" w:hAnsi="宋体" w:cs="宋体"/>
          <w:b/>
          <w:bCs/>
          <w:color w:val="auto"/>
          <w:sz w:val="21"/>
          <w:szCs w:val="20"/>
          <w:highlight w:val="none"/>
        </w:rPr>
      </w:pPr>
      <w:r>
        <w:rPr>
          <w:rFonts w:hint="eastAsia" w:ascii="宋体" w:hAnsi="宋体" w:cs="宋体"/>
          <w:b/>
          <w:bCs/>
          <w:color w:val="auto"/>
          <w:sz w:val="21"/>
          <w:szCs w:val="20"/>
          <w:highlight w:val="none"/>
        </w:rPr>
        <w:t>二、投诉项目基本情况：</w:t>
      </w:r>
    </w:p>
    <w:p w14:paraId="78C95784">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项目的名称：</w:t>
      </w:r>
      <w:r>
        <w:rPr>
          <w:rFonts w:hint="eastAsia" w:ascii="宋体" w:hAnsi="宋体" w:cs="宋体"/>
          <w:bCs/>
          <w:color w:val="auto"/>
          <w:sz w:val="21"/>
          <w:szCs w:val="20"/>
          <w:highlight w:val="none"/>
          <w:u w:val="single"/>
        </w:rPr>
        <w:t xml:space="preserve">                                                                 </w:t>
      </w:r>
    </w:p>
    <w:p w14:paraId="2EE572B4">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项目的编号：</w:t>
      </w:r>
      <w:r>
        <w:rPr>
          <w:rFonts w:hint="eastAsia" w:ascii="宋体" w:hAnsi="宋体" w:cs="宋体"/>
          <w:bCs/>
          <w:color w:val="auto"/>
          <w:sz w:val="21"/>
          <w:szCs w:val="20"/>
          <w:highlight w:val="none"/>
          <w:u w:val="single"/>
        </w:rPr>
        <w:t xml:space="preserve">                                                                 </w:t>
      </w:r>
    </w:p>
    <w:p w14:paraId="27A42744">
      <w:pPr>
        <w:spacing w:line="400" w:lineRule="exact"/>
        <w:ind w:left="29" w:leftChars="12" w:firstLine="413" w:firstLineChars="197"/>
        <w:rPr>
          <w:rFonts w:hint="eastAsia" w:ascii="宋体" w:hAnsi="宋体" w:cs="宋体"/>
          <w:bCs/>
          <w:color w:val="auto"/>
          <w:sz w:val="21"/>
          <w:szCs w:val="20"/>
          <w:highlight w:val="none"/>
          <w:u w:val="single"/>
        </w:rPr>
      </w:pPr>
      <w:r>
        <w:rPr>
          <w:rFonts w:hint="eastAsia" w:ascii="宋体" w:hAnsi="宋体" w:cs="宋体"/>
          <w:color w:val="auto"/>
          <w:sz w:val="21"/>
          <w:szCs w:val="21"/>
          <w:highlight w:val="none"/>
        </w:rPr>
        <w:t>采购人名称：</w:t>
      </w:r>
      <w:r>
        <w:rPr>
          <w:rFonts w:hint="eastAsia" w:ascii="宋体" w:hAnsi="宋体" w:cs="宋体"/>
          <w:bCs/>
          <w:color w:val="auto"/>
          <w:sz w:val="21"/>
          <w:szCs w:val="20"/>
          <w:highlight w:val="none"/>
          <w:u w:val="single"/>
        </w:rPr>
        <w:t xml:space="preserve">                                                                 </w:t>
      </w:r>
    </w:p>
    <w:p w14:paraId="5F6BE574">
      <w:pPr>
        <w:spacing w:line="400" w:lineRule="exact"/>
        <w:ind w:left="29" w:leftChars="12" w:firstLine="413" w:firstLineChars="197"/>
        <w:rPr>
          <w:rFonts w:hint="eastAsia" w:ascii="宋体" w:hAnsi="宋体" w:cs="宋体"/>
          <w:bCs/>
          <w:color w:val="auto"/>
          <w:sz w:val="21"/>
          <w:szCs w:val="20"/>
          <w:highlight w:val="none"/>
          <w:u w:val="single"/>
        </w:rPr>
      </w:pPr>
      <w:r>
        <w:rPr>
          <w:rFonts w:hint="eastAsia" w:ascii="宋体" w:hAnsi="宋体" w:cs="宋体"/>
          <w:color w:val="auto"/>
          <w:sz w:val="21"/>
          <w:szCs w:val="21"/>
          <w:highlight w:val="none"/>
        </w:rPr>
        <w:t>代理机构名称：</w:t>
      </w:r>
      <w:r>
        <w:rPr>
          <w:rFonts w:hint="eastAsia" w:ascii="宋体" w:hAnsi="宋体" w:cs="宋体"/>
          <w:bCs/>
          <w:color w:val="auto"/>
          <w:sz w:val="21"/>
          <w:szCs w:val="20"/>
          <w:highlight w:val="none"/>
          <w:u w:val="single"/>
        </w:rPr>
        <w:t xml:space="preserve">                                                                 </w:t>
      </w:r>
    </w:p>
    <w:p w14:paraId="17631EC2">
      <w:pPr>
        <w:spacing w:line="400" w:lineRule="exact"/>
        <w:ind w:left="29" w:leftChars="12" w:firstLine="413" w:firstLineChars="197"/>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采购文件公告：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公告期限：</w:t>
      </w:r>
      <w:r>
        <w:rPr>
          <w:rFonts w:hint="eastAsia" w:ascii="宋体" w:hAnsi="宋体" w:cs="宋体"/>
          <w:bCs/>
          <w:color w:val="auto"/>
          <w:sz w:val="21"/>
          <w:szCs w:val="20"/>
          <w:highlight w:val="none"/>
          <w:u w:val="single"/>
        </w:rPr>
        <w:t xml:space="preserve">                                                                 </w:t>
      </w:r>
    </w:p>
    <w:p w14:paraId="1E524AC8">
      <w:pPr>
        <w:spacing w:line="400" w:lineRule="exact"/>
        <w:ind w:left="29" w:leftChars="12" w:firstLine="413" w:firstLineChars="197"/>
        <w:rPr>
          <w:rFonts w:hint="eastAsia" w:ascii="宋体" w:hAnsi="宋体" w:cs="宋体"/>
          <w:b/>
          <w:color w:val="auto"/>
          <w:sz w:val="21"/>
          <w:szCs w:val="21"/>
          <w:highlight w:val="none"/>
        </w:rPr>
      </w:pPr>
      <w:r>
        <w:rPr>
          <w:rFonts w:hint="eastAsia" w:ascii="宋体" w:hAnsi="宋体" w:cs="宋体"/>
          <w:bCs/>
          <w:color w:val="auto"/>
          <w:sz w:val="21"/>
          <w:szCs w:val="20"/>
          <w:highlight w:val="none"/>
        </w:rPr>
        <w:t>采购结果公告：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公告期限：</w:t>
      </w:r>
      <w:r>
        <w:rPr>
          <w:rFonts w:hint="eastAsia" w:ascii="宋体" w:hAnsi="宋体" w:cs="宋体"/>
          <w:bCs/>
          <w:color w:val="auto"/>
          <w:sz w:val="21"/>
          <w:szCs w:val="20"/>
          <w:highlight w:val="none"/>
          <w:u w:val="single"/>
        </w:rPr>
        <w:t xml:space="preserve">                                                                                                                             </w:t>
      </w:r>
    </w:p>
    <w:p w14:paraId="401F0446">
      <w:pPr>
        <w:spacing w:line="400" w:lineRule="exact"/>
        <w:ind w:left="29" w:leftChars="12"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三、质疑基本情况</w:t>
      </w:r>
    </w:p>
    <w:p w14:paraId="0D9E7C9F">
      <w:pPr>
        <w:spacing w:line="400" w:lineRule="exact"/>
        <w:ind w:left="29" w:leftChars="12" w:firstLine="833" w:firstLineChars="397"/>
        <w:rPr>
          <w:rFonts w:hint="eastAsia" w:ascii="宋体" w:hAnsi="宋体" w:cs="宋体"/>
          <w:color w:val="auto"/>
          <w:sz w:val="21"/>
          <w:szCs w:val="21"/>
          <w:highlight w:val="none"/>
        </w:rPr>
      </w:pPr>
      <w:r>
        <w:rPr>
          <w:rFonts w:hint="eastAsia" w:ascii="宋体" w:hAnsi="宋体" w:cs="宋体"/>
          <w:color w:val="auto"/>
          <w:sz w:val="21"/>
          <w:szCs w:val="21"/>
          <w:highlight w:val="none"/>
        </w:rPr>
        <w:t>投诉人于</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年</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月</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日，向提出质疑，质疑事项为：</w:t>
      </w:r>
      <w:r>
        <w:rPr>
          <w:rFonts w:hint="eastAsia" w:ascii="宋体" w:hAnsi="宋体" w:cs="宋体"/>
          <w:bCs/>
          <w:color w:val="auto"/>
          <w:sz w:val="21"/>
          <w:szCs w:val="20"/>
          <w:highlight w:val="none"/>
          <w:u w:val="single"/>
        </w:rPr>
        <w:t xml:space="preserve">                                    </w:t>
      </w:r>
    </w:p>
    <w:p w14:paraId="687BD8B7">
      <w:pPr>
        <w:spacing w:line="400" w:lineRule="exact"/>
        <w:ind w:firstLine="0" w:firstLineChars="0"/>
        <w:rPr>
          <w:rFonts w:hint="eastAsia" w:ascii="宋体" w:hAnsi="宋体" w:cs="宋体"/>
          <w:bCs/>
          <w:color w:val="auto"/>
          <w:sz w:val="21"/>
          <w:szCs w:val="20"/>
          <w:highlight w:val="none"/>
          <w:u w:val="single"/>
        </w:rPr>
      </w:pPr>
    </w:p>
    <w:p w14:paraId="31BF826F">
      <w:pPr>
        <w:spacing w:line="400" w:lineRule="exact"/>
        <w:ind w:firstLine="0" w:firstLineChars="0"/>
        <w:rPr>
          <w:rFonts w:hint="eastAsia" w:ascii="宋体" w:hAnsi="宋体" w:cs="宋体"/>
          <w:bCs/>
          <w:color w:val="auto"/>
          <w:sz w:val="21"/>
          <w:szCs w:val="20"/>
          <w:highlight w:val="none"/>
          <w:u w:val="single"/>
        </w:rPr>
      </w:pPr>
    </w:p>
    <w:p w14:paraId="78A5AD99">
      <w:pPr>
        <w:spacing w:line="400" w:lineRule="exact"/>
        <w:ind w:firstLine="0" w:firstLineChars="0"/>
        <w:rPr>
          <w:rFonts w:hint="eastAsia" w:ascii="宋体" w:hAnsi="宋体" w:cs="宋体"/>
          <w:color w:val="auto"/>
          <w:sz w:val="21"/>
          <w:szCs w:val="21"/>
          <w:highlight w:val="none"/>
        </w:rPr>
      </w:pPr>
      <w:r>
        <w:rPr>
          <w:rFonts w:hint="eastAsia" w:ascii="宋体" w:hAnsi="宋体" w:cs="宋体"/>
          <w:bCs/>
          <w:color w:val="auto"/>
          <w:sz w:val="21"/>
          <w:szCs w:val="20"/>
          <w:highlight w:val="none"/>
          <w:u w:val="single"/>
        </w:rPr>
        <w:t>采购人/代理机构</w:t>
      </w:r>
      <w:r>
        <w:rPr>
          <w:rFonts w:hint="eastAsia" w:ascii="宋体" w:hAnsi="宋体" w:cs="宋体"/>
          <w:bCs/>
          <w:color w:val="auto"/>
          <w:sz w:val="21"/>
          <w:szCs w:val="20"/>
          <w:highlight w:val="none"/>
        </w:rPr>
        <w:t>于</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年</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月</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日，</w:t>
      </w:r>
      <w:r>
        <w:rPr>
          <w:rFonts w:hint="eastAsia" w:ascii="宋体" w:hAnsi="宋体" w:cs="宋体"/>
          <w:bCs/>
          <w:color w:val="auto"/>
          <w:sz w:val="21"/>
          <w:szCs w:val="20"/>
          <w:highlight w:val="none"/>
        </w:rPr>
        <w:t xml:space="preserve">就质疑事项作出了答复/没有在法定期限内作出答复。                                                                                             </w:t>
      </w:r>
    </w:p>
    <w:p w14:paraId="24A0782D">
      <w:pPr>
        <w:spacing w:line="400" w:lineRule="exact"/>
        <w:ind w:left="29" w:leftChars="12"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四、投诉事项具体内容</w:t>
      </w:r>
    </w:p>
    <w:p w14:paraId="51A54E59">
      <w:pPr>
        <w:spacing w:line="400" w:lineRule="exact"/>
        <w:ind w:left="29" w:leftChars="12" w:firstLine="413" w:firstLineChars="197"/>
        <w:rPr>
          <w:rFonts w:hint="eastAsia" w:ascii="宋体" w:hAnsi="宋体" w:cs="宋体"/>
          <w:bCs/>
          <w:color w:val="auto"/>
          <w:sz w:val="21"/>
          <w:szCs w:val="20"/>
          <w:highlight w:val="none"/>
          <w:u w:val="single"/>
        </w:rPr>
      </w:pPr>
      <w:r>
        <w:rPr>
          <w:rFonts w:hint="eastAsia" w:ascii="宋体" w:hAnsi="宋体" w:cs="宋体"/>
          <w:color w:val="auto"/>
          <w:sz w:val="21"/>
          <w:szCs w:val="21"/>
          <w:highlight w:val="none"/>
        </w:rPr>
        <w:t>投诉事项1：</w:t>
      </w:r>
    </w:p>
    <w:p w14:paraId="0B44F676">
      <w:pPr>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事实依据：</w:t>
      </w:r>
      <w:r>
        <w:rPr>
          <w:rFonts w:hint="eastAsia" w:ascii="宋体" w:hAnsi="宋体" w:cs="宋体"/>
          <w:bCs/>
          <w:color w:val="auto"/>
          <w:sz w:val="21"/>
          <w:szCs w:val="20"/>
          <w:highlight w:val="none"/>
          <w:u w:val="single"/>
        </w:rPr>
        <w:t xml:space="preserve">                               </w:t>
      </w:r>
    </w:p>
    <w:p w14:paraId="1F24D937">
      <w:pPr>
        <w:spacing w:line="400" w:lineRule="exact"/>
        <w:ind w:left="29" w:leftChars="12" w:firstLine="413" w:firstLineChars="197"/>
        <w:rPr>
          <w:rFonts w:hint="eastAsia" w:ascii="宋体" w:hAnsi="宋体" w:cs="宋体"/>
          <w:color w:val="auto"/>
          <w:sz w:val="21"/>
          <w:szCs w:val="21"/>
          <w:highlight w:val="none"/>
        </w:rPr>
      </w:pPr>
    </w:p>
    <w:p w14:paraId="269F56D5">
      <w:pPr>
        <w:spacing w:line="400" w:lineRule="exact"/>
        <w:ind w:firstLine="420"/>
        <w:rPr>
          <w:rFonts w:hint="eastAsia" w:ascii="宋体" w:hAnsi="宋体" w:cs="宋体"/>
          <w:bCs/>
          <w:color w:val="auto"/>
          <w:sz w:val="21"/>
          <w:szCs w:val="20"/>
          <w:highlight w:val="none"/>
          <w:u w:val="single"/>
        </w:rPr>
      </w:pPr>
      <w:r>
        <w:rPr>
          <w:rFonts w:hint="eastAsia" w:ascii="宋体" w:hAnsi="宋体" w:cs="宋体"/>
          <w:bCs/>
          <w:color w:val="auto"/>
          <w:sz w:val="21"/>
          <w:szCs w:val="20"/>
          <w:highlight w:val="none"/>
        </w:rPr>
        <w:t>法律依据：</w:t>
      </w:r>
      <w:r>
        <w:rPr>
          <w:rFonts w:hint="eastAsia" w:ascii="宋体" w:hAnsi="宋体" w:cs="宋体"/>
          <w:bCs/>
          <w:color w:val="auto"/>
          <w:sz w:val="21"/>
          <w:szCs w:val="20"/>
          <w:highlight w:val="none"/>
          <w:u w:val="single"/>
        </w:rPr>
        <w:t xml:space="preserve">                               </w:t>
      </w:r>
    </w:p>
    <w:p w14:paraId="03BF2E26">
      <w:pPr>
        <w:spacing w:line="400" w:lineRule="exact"/>
        <w:ind w:left="29" w:leftChars="12" w:firstLine="308" w:firstLineChars="147"/>
        <w:rPr>
          <w:rFonts w:hint="eastAsia" w:ascii="宋体" w:hAnsi="宋体" w:cs="宋体"/>
          <w:bCs/>
          <w:color w:val="auto"/>
          <w:sz w:val="21"/>
          <w:szCs w:val="20"/>
          <w:highlight w:val="none"/>
          <w:u w:val="single"/>
        </w:rPr>
      </w:pPr>
    </w:p>
    <w:p w14:paraId="7DD949F9">
      <w:pPr>
        <w:spacing w:line="400" w:lineRule="exact"/>
        <w:ind w:left="29" w:leftChars="12" w:firstLine="413" w:firstLineChars="197"/>
        <w:rPr>
          <w:rFonts w:hint="eastAsia" w:ascii="宋体" w:hAnsi="宋体" w:cs="宋体"/>
          <w:bCs/>
          <w:color w:val="auto"/>
          <w:sz w:val="21"/>
          <w:szCs w:val="20"/>
          <w:highlight w:val="none"/>
        </w:rPr>
      </w:pPr>
      <w:r>
        <w:rPr>
          <w:rFonts w:hint="eastAsia" w:ascii="宋体" w:hAnsi="宋体" w:cs="宋体"/>
          <w:color w:val="auto"/>
          <w:sz w:val="21"/>
          <w:szCs w:val="21"/>
          <w:highlight w:val="none"/>
        </w:rPr>
        <w:t xml:space="preserve">投诉事项2  </w:t>
      </w:r>
    </w:p>
    <w:p w14:paraId="469EC33E">
      <w:pPr>
        <w:spacing w:line="400" w:lineRule="exact"/>
        <w:ind w:left="29" w:leftChars="12" w:firstLine="413" w:firstLineChars="197"/>
        <w:rPr>
          <w:rFonts w:hint="eastAsia" w:ascii="宋体" w:hAnsi="宋体" w:cs="宋体"/>
          <w:bCs/>
          <w:color w:val="auto"/>
          <w:sz w:val="21"/>
          <w:szCs w:val="20"/>
          <w:highlight w:val="none"/>
        </w:rPr>
      </w:pPr>
      <w:r>
        <w:rPr>
          <w:rFonts w:hint="eastAsia" w:ascii="宋体" w:hAnsi="宋体" w:cs="宋体"/>
          <w:bCs/>
          <w:color w:val="auto"/>
          <w:sz w:val="21"/>
          <w:szCs w:val="20"/>
          <w:highlight w:val="none"/>
        </w:rPr>
        <w:t>……</w:t>
      </w:r>
    </w:p>
    <w:p w14:paraId="2A2B95A4">
      <w:pPr>
        <w:spacing w:line="400" w:lineRule="exact"/>
        <w:ind w:left="29" w:leftChars="12" w:firstLine="413" w:firstLineChars="196"/>
        <w:rPr>
          <w:rFonts w:hint="eastAsia" w:ascii="宋体" w:hAnsi="宋体" w:cs="宋体"/>
          <w:b/>
          <w:color w:val="auto"/>
          <w:sz w:val="21"/>
          <w:szCs w:val="21"/>
          <w:highlight w:val="none"/>
        </w:rPr>
      </w:pPr>
      <w:r>
        <w:rPr>
          <w:rFonts w:hint="eastAsia" w:ascii="宋体" w:hAnsi="宋体" w:cs="宋体"/>
          <w:b/>
          <w:color w:val="auto"/>
          <w:sz w:val="21"/>
          <w:szCs w:val="21"/>
          <w:highlight w:val="none"/>
        </w:rPr>
        <w:t>五、与投诉事项相关的投诉请求：</w:t>
      </w:r>
    </w:p>
    <w:p w14:paraId="765060A6">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bCs/>
          <w:color w:val="auto"/>
          <w:sz w:val="21"/>
          <w:szCs w:val="20"/>
          <w:highlight w:val="none"/>
          <w:u w:val="single"/>
        </w:rPr>
        <w:t xml:space="preserve">                               </w:t>
      </w:r>
    </w:p>
    <w:p w14:paraId="7A7148C9">
      <w:pPr>
        <w:spacing w:line="400" w:lineRule="exact"/>
        <w:ind w:left="29" w:leftChars="12" w:firstLine="308" w:firstLineChars="147"/>
        <w:rPr>
          <w:rFonts w:hint="eastAsia" w:ascii="宋体" w:hAnsi="宋体" w:cs="宋体"/>
          <w:color w:val="auto"/>
          <w:sz w:val="21"/>
          <w:szCs w:val="21"/>
          <w:highlight w:val="none"/>
        </w:rPr>
      </w:pPr>
    </w:p>
    <w:p w14:paraId="422CA956">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签字（签章）：</w:t>
      </w:r>
      <w:r>
        <w:rPr>
          <w:rFonts w:hint="eastAsia" w:ascii="宋体" w:hAnsi="宋体" w:cs="宋体"/>
          <w:bCs/>
          <w:color w:val="auto"/>
          <w:sz w:val="21"/>
          <w:szCs w:val="20"/>
          <w:highlight w:val="none"/>
          <w:u w:val="single"/>
        </w:rPr>
        <w:t xml:space="preserve">                               </w:t>
      </w:r>
      <w:r>
        <w:rPr>
          <w:rFonts w:hint="eastAsia" w:ascii="宋体" w:hAnsi="宋体" w:cs="宋体"/>
          <w:color w:val="auto"/>
          <w:sz w:val="21"/>
          <w:szCs w:val="21"/>
          <w:highlight w:val="none"/>
        </w:rPr>
        <w:t xml:space="preserve">          公章：</w:t>
      </w:r>
      <w:r>
        <w:rPr>
          <w:rFonts w:hint="eastAsia" w:ascii="宋体" w:hAnsi="宋体" w:cs="宋体"/>
          <w:bCs/>
          <w:color w:val="auto"/>
          <w:sz w:val="21"/>
          <w:szCs w:val="20"/>
          <w:highlight w:val="none"/>
          <w:u w:val="single"/>
        </w:rPr>
        <w:t xml:space="preserve">                               </w:t>
      </w:r>
    </w:p>
    <w:p w14:paraId="40FA00B2">
      <w:pPr>
        <w:spacing w:line="400" w:lineRule="exact"/>
        <w:ind w:left="29" w:leftChars="12" w:firstLine="308" w:firstLineChars="147"/>
        <w:rPr>
          <w:rFonts w:hint="eastAsia" w:ascii="宋体" w:hAnsi="宋体" w:cs="宋体"/>
          <w:color w:val="auto"/>
          <w:sz w:val="21"/>
          <w:szCs w:val="21"/>
          <w:highlight w:val="none"/>
        </w:rPr>
      </w:pPr>
    </w:p>
    <w:p w14:paraId="74BD91C3">
      <w:pPr>
        <w:spacing w:line="400" w:lineRule="exact"/>
        <w:ind w:left="29" w:leftChars="12" w:firstLine="413" w:firstLineChars="197"/>
        <w:rPr>
          <w:rFonts w:hint="eastAsia" w:ascii="宋体" w:hAnsi="宋体" w:cs="宋体"/>
          <w:color w:val="auto"/>
          <w:sz w:val="21"/>
          <w:szCs w:val="21"/>
          <w:highlight w:val="none"/>
        </w:rPr>
      </w:pPr>
      <w:r>
        <w:rPr>
          <w:rFonts w:hint="eastAsia" w:ascii="宋体" w:hAnsi="宋体" w:cs="宋体"/>
          <w:color w:val="auto"/>
          <w:sz w:val="21"/>
          <w:szCs w:val="21"/>
          <w:highlight w:val="none"/>
        </w:rPr>
        <w:t>日期：</w:t>
      </w:r>
      <w:r>
        <w:rPr>
          <w:rFonts w:hint="eastAsia" w:ascii="宋体" w:hAnsi="宋体" w:cs="宋体"/>
          <w:bCs/>
          <w:color w:val="auto"/>
          <w:sz w:val="21"/>
          <w:szCs w:val="20"/>
          <w:highlight w:val="none"/>
          <w:u w:val="single"/>
        </w:rPr>
        <w:t xml:space="preserve">                               </w:t>
      </w:r>
    </w:p>
    <w:p w14:paraId="6DCE64DE">
      <w:pPr>
        <w:spacing w:line="360" w:lineRule="exact"/>
        <w:ind w:left="29" w:leftChars="12" w:firstLine="413" w:firstLineChars="197"/>
        <w:rPr>
          <w:rFonts w:hint="eastAsia" w:ascii="宋体" w:hAnsi="宋体" w:cs="宋体"/>
          <w:color w:val="auto"/>
          <w:sz w:val="21"/>
          <w:szCs w:val="21"/>
          <w:highlight w:val="none"/>
        </w:rPr>
      </w:pPr>
    </w:p>
    <w:p w14:paraId="6F8588DD">
      <w:pPr>
        <w:snapToGrid w:val="0"/>
        <w:spacing w:line="340" w:lineRule="exact"/>
        <w:ind w:firstLine="0" w:firstLineChars="0"/>
        <w:rPr>
          <w:rFonts w:hint="eastAsia" w:ascii="宋体" w:hAnsi="宋体" w:cs="宋体"/>
          <w:b/>
          <w:color w:val="auto"/>
          <w:sz w:val="21"/>
          <w:szCs w:val="21"/>
          <w:highlight w:val="none"/>
        </w:rPr>
      </w:pPr>
    </w:p>
    <w:p w14:paraId="015EA19D">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说明：</w:t>
      </w:r>
    </w:p>
    <w:p w14:paraId="5294F854">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1.投诉人提起投诉时，应当提交投诉书和必要的证明材料，并按照被投诉人和与投诉事项有关的供应商数量提供投诉书副本。</w:t>
      </w:r>
    </w:p>
    <w:p w14:paraId="2220753C">
      <w:pPr>
        <w:spacing w:line="340" w:lineRule="exact"/>
        <w:ind w:left="29" w:leftChars="12" w:firstLine="310" w:firstLineChars="147"/>
        <w:rPr>
          <w:rFonts w:hint="eastAsia" w:ascii="宋体" w:hAnsi="宋体"/>
          <w:b/>
          <w:color w:val="auto"/>
          <w:sz w:val="21"/>
          <w:szCs w:val="20"/>
          <w:highlight w:val="none"/>
        </w:rPr>
      </w:pPr>
      <w:r>
        <w:rPr>
          <w:rFonts w:hint="eastAsia" w:ascii="宋体" w:hAnsi="宋体" w:cs="宋体"/>
          <w:b/>
          <w:color w:val="auto"/>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131A252">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3.投诉书应简要列明质疑事项，质疑函、质疑答复等作为附件材料提供。</w:t>
      </w:r>
    </w:p>
    <w:p w14:paraId="050C6E79">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4.投诉书的投诉事项应具体、明确，并有必要的事实依据和法律依据。</w:t>
      </w:r>
    </w:p>
    <w:p w14:paraId="41B0EE68">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5.投诉书的投诉请求应与投诉事项相关。</w:t>
      </w:r>
    </w:p>
    <w:p w14:paraId="03A6C13D">
      <w:pPr>
        <w:spacing w:line="340" w:lineRule="exact"/>
        <w:ind w:left="29" w:leftChars="12" w:firstLine="310" w:firstLineChars="147"/>
        <w:rPr>
          <w:rFonts w:hint="eastAsia" w:ascii="宋体" w:hAnsi="宋体" w:cs="宋体"/>
          <w:b/>
          <w:color w:val="auto"/>
          <w:sz w:val="21"/>
          <w:szCs w:val="21"/>
          <w:highlight w:val="none"/>
        </w:rPr>
      </w:pPr>
      <w:r>
        <w:rPr>
          <w:rFonts w:hint="eastAsia" w:ascii="宋体" w:hAnsi="宋体" w:cs="宋体"/>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52A83A30">
      <w:pPr>
        <w:spacing w:line="340" w:lineRule="exact"/>
        <w:ind w:left="29" w:leftChars="12" w:firstLine="310" w:firstLineChars="147"/>
        <w:rPr>
          <w:rFonts w:hint="eastAsia" w:ascii="宋体" w:hAnsi="宋体" w:cs="宋体"/>
          <w:b/>
          <w:color w:val="auto"/>
          <w:kern w:val="0"/>
          <w:sz w:val="21"/>
          <w:szCs w:val="21"/>
          <w:highlight w:val="none"/>
        </w:rPr>
      </w:pPr>
    </w:p>
    <w:p w14:paraId="2EB444D7">
      <w:pPr>
        <w:spacing w:line="340" w:lineRule="exact"/>
        <w:ind w:left="29" w:leftChars="12" w:firstLine="310" w:firstLineChars="147"/>
        <w:rPr>
          <w:rFonts w:hint="eastAsia" w:ascii="宋体" w:hAnsi="宋体"/>
          <w:b/>
          <w:color w:val="auto"/>
          <w:kern w:val="0"/>
          <w:sz w:val="21"/>
          <w:szCs w:val="21"/>
          <w:highlight w:val="none"/>
        </w:rPr>
      </w:pPr>
    </w:p>
    <w:p w14:paraId="5C3330C0">
      <w:pPr>
        <w:tabs>
          <w:tab w:val="center" w:pos="4410"/>
          <w:tab w:val="left" w:pos="6735"/>
        </w:tabs>
        <w:spacing w:line="480" w:lineRule="auto"/>
        <w:ind w:firstLine="0" w:firstLineChars="0"/>
        <w:jc w:val="center"/>
        <w:rPr>
          <w:rFonts w:hint="eastAsia" w:ascii="宋体" w:hAnsi="宋体"/>
          <w:b/>
          <w:color w:val="auto"/>
          <w:kern w:val="0"/>
          <w:sz w:val="32"/>
          <w:szCs w:val="32"/>
          <w:highlight w:val="none"/>
        </w:rPr>
      </w:pPr>
    </w:p>
    <w:p w14:paraId="79B8E7D2">
      <w:pPr>
        <w:tabs>
          <w:tab w:val="center" w:pos="4410"/>
          <w:tab w:val="left" w:pos="6735"/>
        </w:tabs>
        <w:spacing w:line="480" w:lineRule="auto"/>
        <w:ind w:firstLine="0" w:firstLineChars="0"/>
        <w:jc w:val="center"/>
        <w:rPr>
          <w:rFonts w:hint="eastAsia" w:ascii="宋体" w:hAnsi="宋体"/>
          <w:b/>
          <w:color w:val="auto"/>
          <w:kern w:val="0"/>
          <w:sz w:val="32"/>
          <w:szCs w:val="32"/>
          <w:highlight w:val="none"/>
        </w:rPr>
      </w:pPr>
    </w:p>
    <w:p w14:paraId="2FB2F2E7">
      <w:pPr>
        <w:tabs>
          <w:tab w:val="center" w:pos="4410"/>
          <w:tab w:val="left" w:pos="6735"/>
        </w:tabs>
        <w:spacing w:line="480" w:lineRule="auto"/>
        <w:ind w:firstLine="0" w:firstLineChars="0"/>
        <w:jc w:val="center"/>
        <w:rPr>
          <w:rFonts w:hint="eastAsia" w:ascii="宋体" w:hAnsi="宋体"/>
          <w:b/>
          <w:color w:val="auto"/>
          <w:kern w:val="0"/>
          <w:sz w:val="32"/>
          <w:szCs w:val="32"/>
          <w:highlight w:val="none"/>
        </w:rPr>
      </w:pPr>
    </w:p>
    <w:p w14:paraId="02702156">
      <w:pPr>
        <w:tabs>
          <w:tab w:val="center" w:pos="4410"/>
          <w:tab w:val="left" w:pos="6735"/>
        </w:tabs>
        <w:spacing w:line="480" w:lineRule="auto"/>
        <w:ind w:firstLine="0" w:firstLineChars="0"/>
        <w:jc w:val="center"/>
        <w:rPr>
          <w:rFonts w:hint="eastAsia" w:ascii="宋体" w:hAnsi="宋体"/>
          <w:b/>
          <w:color w:val="auto"/>
          <w:kern w:val="0"/>
          <w:sz w:val="32"/>
          <w:szCs w:val="32"/>
          <w:highlight w:val="none"/>
        </w:rPr>
      </w:pPr>
    </w:p>
    <w:p w14:paraId="6438F845">
      <w:pPr>
        <w:pStyle w:val="18"/>
        <w:rPr>
          <w:rFonts w:hint="eastAsia"/>
          <w:color w:val="auto"/>
          <w:highlight w:val="none"/>
          <w:lang w:val="en-US" w:bidi="ar-SA"/>
        </w:rPr>
      </w:pPr>
    </w:p>
    <w:p w14:paraId="272A9F9E">
      <w:pPr>
        <w:pStyle w:val="18"/>
        <w:rPr>
          <w:rFonts w:hint="eastAsia"/>
          <w:color w:val="auto"/>
          <w:highlight w:val="none"/>
          <w:lang w:val="en-US" w:bidi="ar-SA"/>
        </w:rPr>
      </w:pPr>
    </w:p>
    <w:p w14:paraId="4EFCC7E6">
      <w:pPr>
        <w:snapToGrid w:val="0"/>
        <w:spacing w:line="340" w:lineRule="exact"/>
        <w:ind w:firstLine="0" w:firstLineChars="0"/>
        <w:rPr>
          <w:rFonts w:hint="eastAsia" w:ascii="宋体" w:hAnsi="宋体" w:cs="宋体"/>
          <w:color w:val="auto"/>
          <w:szCs w:val="24"/>
          <w:highlight w:val="none"/>
        </w:rPr>
      </w:pPr>
    </w:p>
    <w:p w14:paraId="0D2C3537">
      <w:pPr>
        <w:snapToGrid w:val="0"/>
        <w:spacing w:line="340" w:lineRule="exact"/>
        <w:ind w:firstLine="0" w:firstLineChars="0"/>
        <w:rPr>
          <w:rFonts w:hint="eastAsia" w:ascii="宋体" w:hAnsi="宋体" w:cs="宋体"/>
          <w:color w:val="auto"/>
          <w:szCs w:val="24"/>
          <w:highlight w:val="none"/>
        </w:rPr>
      </w:pPr>
    </w:p>
    <w:p w14:paraId="3506F3E6">
      <w:pPr>
        <w:snapToGrid w:val="0"/>
        <w:spacing w:line="340" w:lineRule="exact"/>
        <w:ind w:firstLine="0" w:firstLineChars="0"/>
        <w:rPr>
          <w:rFonts w:hint="eastAsia" w:ascii="宋体" w:hAnsi="宋体" w:cs="宋体"/>
          <w:color w:val="auto"/>
          <w:szCs w:val="24"/>
          <w:highlight w:val="none"/>
        </w:rPr>
      </w:pPr>
      <w:r>
        <w:rPr>
          <w:rFonts w:hint="eastAsia" w:ascii="宋体" w:hAnsi="宋体" w:cs="宋体"/>
          <w:color w:val="auto"/>
          <w:szCs w:val="24"/>
          <w:highlight w:val="none"/>
        </w:rPr>
        <w:t>附表3：</w:t>
      </w:r>
    </w:p>
    <w:p w14:paraId="3CACC60C">
      <w:pPr>
        <w:spacing w:line="460" w:lineRule="exact"/>
        <w:ind w:firstLine="0" w:firstLineChars="0"/>
        <w:jc w:val="center"/>
        <w:rPr>
          <w:rFonts w:hint="eastAsia" w:ascii="宋体" w:hAnsi="宋体" w:cs="宋体"/>
          <w:color w:val="auto"/>
          <w:sz w:val="44"/>
          <w:szCs w:val="24"/>
          <w:highlight w:val="none"/>
        </w:rPr>
      </w:pPr>
      <w:r>
        <w:rPr>
          <w:rFonts w:hint="eastAsia" w:ascii="宋体" w:hAnsi="宋体" w:cs="宋体"/>
          <w:color w:val="auto"/>
          <w:sz w:val="44"/>
          <w:szCs w:val="24"/>
          <w:highlight w:val="none"/>
        </w:rPr>
        <w:t>桂林市政府采购项目合同验收书（格式）</w:t>
      </w:r>
    </w:p>
    <w:p w14:paraId="2A1321C6">
      <w:pPr>
        <w:widowControl/>
        <w:spacing w:line="600" w:lineRule="atLeast"/>
        <w:ind w:firstLine="0" w:firstLineChars="0"/>
        <w:jc w:val="center"/>
        <w:rPr>
          <w:rFonts w:hint="eastAsia" w:ascii="方正小标宋简体" w:hAnsi="仿宋" w:eastAsia="方正小标宋简体"/>
          <w:color w:val="auto"/>
          <w:kern w:val="0"/>
          <w:sz w:val="36"/>
          <w:szCs w:val="36"/>
          <w:highlight w:val="none"/>
        </w:rPr>
      </w:pPr>
    </w:p>
    <w:p w14:paraId="69AC9CF7">
      <w:pPr>
        <w:widowControl/>
        <w:spacing w:line="460" w:lineRule="exact"/>
        <w:ind w:firstLine="482" w:firstLineChars="0"/>
        <w:jc w:val="left"/>
        <w:rPr>
          <w:rFonts w:hint="eastAsia" w:ascii="宋体" w:hAnsi="宋体"/>
          <w:color w:val="auto"/>
          <w:kern w:val="0"/>
          <w:sz w:val="30"/>
          <w:szCs w:val="30"/>
          <w:highlight w:val="none"/>
        </w:rPr>
      </w:pPr>
      <w:r>
        <w:rPr>
          <w:rFonts w:hint="eastAsia" w:ascii="宋体" w:hAnsi="宋体" w:cs="仿宋"/>
          <w:color w:val="auto"/>
          <w:kern w:val="0"/>
          <w:szCs w:val="24"/>
          <w:highlight w:val="none"/>
        </w:rPr>
        <w:t>根据政府采购项目（</w:t>
      </w:r>
      <w:r>
        <w:rPr>
          <w:rFonts w:hint="eastAsia" w:ascii="宋体" w:hAnsi="宋体" w:cs="仿宋"/>
          <w:color w:val="auto"/>
          <w:kern w:val="0"/>
          <w:szCs w:val="24"/>
          <w:highlight w:val="none"/>
          <w:u w:val="single"/>
        </w:rPr>
        <w:t>采购合同编号：</w:t>
      </w:r>
      <w:r>
        <w:rPr>
          <w:rFonts w:ascii="宋体" w:hAnsi="宋体"/>
          <w:color w:val="auto"/>
          <w:kern w:val="0"/>
          <w:szCs w:val="24"/>
          <w:highlight w:val="none"/>
          <w:u w:val="single"/>
        </w:rPr>
        <w:softHyphen/>
      </w:r>
      <w:r>
        <w:rPr>
          <w:rFonts w:ascii="宋体" w:hAnsi="宋体"/>
          <w:color w:val="auto"/>
          <w:kern w:val="0"/>
          <w:szCs w:val="24"/>
          <w:highlight w:val="none"/>
          <w:u w:val="single"/>
        </w:rPr>
        <w:t>   </w:t>
      </w:r>
      <w:r>
        <w:rPr>
          <w:rFonts w:hint="eastAsia" w:ascii="宋体" w:hAnsi="宋体" w:cs="仿宋"/>
          <w:color w:val="auto"/>
          <w:kern w:val="0"/>
          <w:szCs w:val="24"/>
          <w:highlight w:val="none"/>
        </w:rPr>
        <w:t>）的约定，采购人对（</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项目名称</w:t>
      </w:r>
      <w:r>
        <w:rPr>
          <w:rFonts w:ascii="宋体" w:hAnsi="宋体"/>
          <w:color w:val="auto"/>
          <w:kern w:val="0"/>
          <w:szCs w:val="24"/>
          <w:highlight w:val="none"/>
          <w:u w:val="single"/>
        </w:rPr>
        <w:t>   </w:t>
      </w:r>
      <w:r>
        <w:rPr>
          <w:rFonts w:hint="eastAsia" w:ascii="宋体" w:hAnsi="宋体" w:cs="仿宋"/>
          <w:color w:val="auto"/>
          <w:kern w:val="0"/>
          <w:szCs w:val="24"/>
          <w:highlight w:val="none"/>
        </w:rPr>
        <w:t>）政府采购项目成交供应商（</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公司名称</w:t>
      </w:r>
      <w:r>
        <w:rPr>
          <w:rFonts w:ascii="宋体" w:hAnsi="宋体"/>
          <w:color w:val="auto"/>
          <w:kern w:val="0"/>
          <w:szCs w:val="24"/>
          <w:highlight w:val="none"/>
          <w:u w:val="single"/>
        </w:rPr>
        <w:t>         </w:t>
      </w:r>
      <w:r>
        <w:rPr>
          <w:rFonts w:hint="eastAsia" w:ascii="宋体" w:hAnsi="宋体" w:cs="仿宋"/>
          <w:color w:val="auto"/>
          <w:kern w:val="0"/>
          <w:szCs w:val="24"/>
          <w:highlight w:val="none"/>
        </w:rPr>
        <w:t>）</w:t>
      </w:r>
      <w:r>
        <w:rPr>
          <w:rFonts w:ascii="宋体" w:hAnsi="宋体"/>
          <w:color w:val="auto"/>
          <w:kern w:val="0"/>
          <w:szCs w:val="24"/>
          <w:highlight w:val="none"/>
        </w:rPr>
        <w:t> </w:t>
      </w:r>
      <w:r>
        <w:rPr>
          <w:rFonts w:hint="eastAsia" w:ascii="宋体" w:hAnsi="宋体" w:cs="仿宋"/>
          <w:color w:val="auto"/>
          <w:kern w:val="0"/>
          <w:szCs w:val="24"/>
          <w:highlight w:val="none"/>
        </w:rPr>
        <w:t>提供的货物进行了验收，验收情况如下：</w:t>
      </w:r>
    </w:p>
    <w:tbl>
      <w:tblPr>
        <w:tblStyle w:val="43"/>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15A8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71D8CB3A">
            <w:pPr>
              <w:widowControl/>
              <w:spacing w:line="320" w:lineRule="atLeast"/>
              <w:ind w:firstLine="5"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验收方式：</w:t>
            </w:r>
          </w:p>
        </w:tc>
        <w:tc>
          <w:tcPr>
            <w:tcW w:w="5806" w:type="dxa"/>
            <w:gridSpan w:val="5"/>
            <w:vAlign w:val="center"/>
          </w:tcPr>
          <w:p w14:paraId="34F6EE4B">
            <w:pPr>
              <w:widowControl/>
              <w:spacing w:line="320" w:lineRule="atLeast"/>
              <w:ind w:firstLine="480" w:firstLineChars="0"/>
              <w:jc w:val="center"/>
              <w:rPr>
                <w:rFonts w:ascii="宋体"/>
                <w:color w:val="auto"/>
                <w:kern w:val="0"/>
                <w:sz w:val="21"/>
                <w:szCs w:val="24"/>
                <w:highlight w:val="none"/>
              </w:rPr>
            </w:pP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自行验收</w:t>
            </w:r>
            <w:r>
              <w:rPr>
                <w:rFonts w:ascii="宋体"/>
                <w:color w:val="auto"/>
                <w:kern w:val="0"/>
                <w:sz w:val="21"/>
                <w:szCs w:val="24"/>
                <w:highlight w:val="none"/>
              </w:rPr>
              <w:t>        </w:t>
            </w: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委托验收</w:t>
            </w:r>
          </w:p>
        </w:tc>
      </w:tr>
      <w:tr w14:paraId="1C88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23690E13">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序号</w:t>
            </w:r>
          </w:p>
        </w:tc>
        <w:tc>
          <w:tcPr>
            <w:tcW w:w="2294" w:type="dxa"/>
            <w:vAlign w:val="center"/>
          </w:tcPr>
          <w:p w14:paraId="01FE020C">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名</w:t>
            </w:r>
            <w:r>
              <w:rPr>
                <w:rFonts w:ascii="宋体"/>
                <w:color w:val="auto"/>
                <w:kern w:val="0"/>
                <w:sz w:val="21"/>
                <w:szCs w:val="24"/>
                <w:highlight w:val="none"/>
              </w:rPr>
              <w:t> </w:t>
            </w:r>
            <w:r>
              <w:rPr>
                <w:rFonts w:hint="eastAsia" w:ascii="宋体" w:hAnsi="宋体" w:cs="宋体"/>
                <w:color w:val="auto"/>
                <w:kern w:val="0"/>
                <w:sz w:val="21"/>
                <w:szCs w:val="24"/>
                <w:highlight w:val="none"/>
              </w:rPr>
              <w:t>称</w:t>
            </w:r>
          </w:p>
        </w:tc>
        <w:tc>
          <w:tcPr>
            <w:tcW w:w="3441" w:type="dxa"/>
            <w:gridSpan w:val="2"/>
            <w:vAlign w:val="center"/>
          </w:tcPr>
          <w:p w14:paraId="50DF3EA1">
            <w:pPr>
              <w:widowControl/>
              <w:spacing w:line="320" w:lineRule="atLeast"/>
              <w:ind w:firstLine="2" w:firstLineChars="0"/>
              <w:jc w:val="center"/>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货物型号规格、标准及配置等</w:t>
            </w:r>
          </w:p>
          <w:p w14:paraId="569BCE73">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（或服务内容、标准）</w:t>
            </w:r>
          </w:p>
        </w:tc>
        <w:tc>
          <w:tcPr>
            <w:tcW w:w="998" w:type="dxa"/>
            <w:gridSpan w:val="2"/>
            <w:vAlign w:val="center"/>
          </w:tcPr>
          <w:p w14:paraId="03D90ED5">
            <w:pPr>
              <w:widowControl/>
              <w:spacing w:line="320" w:lineRule="atLeast"/>
              <w:ind w:firstLine="0"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数量</w:t>
            </w:r>
          </w:p>
        </w:tc>
        <w:tc>
          <w:tcPr>
            <w:tcW w:w="1367" w:type="dxa"/>
            <w:vAlign w:val="center"/>
          </w:tcPr>
          <w:p w14:paraId="44F7CC97">
            <w:pPr>
              <w:widowControl/>
              <w:spacing w:line="320" w:lineRule="atLeast"/>
              <w:ind w:firstLine="2"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金</w:t>
            </w:r>
            <w:r>
              <w:rPr>
                <w:rFonts w:ascii="宋体"/>
                <w:color w:val="auto"/>
                <w:kern w:val="0"/>
                <w:sz w:val="21"/>
                <w:szCs w:val="24"/>
                <w:highlight w:val="none"/>
              </w:rPr>
              <w:t> </w:t>
            </w:r>
            <w:r>
              <w:rPr>
                <w:rFonts w:hint="eastAsia" w:ascii="宋体" w:hAnsi="宋体" w:cs="宋体"/>
                <w:color w:val="auto"/>
                <w:kern w:val="0"/>
                <w:sz w:val="21"/>
                <w:szCs w:val="24"/>
                <w:highlight w:val="none"/>
              </w:rPr>
              <w:t>额</w:t>
            </w:r>
          </w:p>
        </w:tc>
      </w:tr>
      <w:tr w14:paraId="568C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4F16763B">
            <w:pPr>
              <w:widowControl/>
              <w:spacing w:line="320" w:lineRule="atLeast"/>
              <w:ind w:firstLine="5"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2CB559BC">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4E3438AB">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2E50BD07">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38FE77EF">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58B2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78E83583">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04D565FE">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4C5E5200">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3DA4CA7E">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202A4DB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2190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4F583593">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294" w:type="dxa"/>
            <w:vAlign w:val="center"/>
          </w:tcPr>
          <w:p w14:paraId="424A2C87">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441" w:type="dxa"/>
            <w:gridSpan w:val="2"/>
            <w:vAlign w:val="center"/>
          </w:tcPr>
          <w:p w14:paraId="5C5775E9">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998" w:type="dxa"/>
            <w:gridSpan w:val="2"/>
            <w:vAlign w:val="center"/>
          </w:tcPr>
          <w:p w14:paraId="73A1399B">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41501A30">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5159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0F6FDD03">
            <w:pPr>
              <w:widowControl/>
              <w:spacing w:line="320" w:lineRule="atLeast"/>
              <w:ind w:firstLine="5"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合</w:t>
            </w:r>
            <w:r>
              <w:rPr>
                <w:rFonts w:ascii="宋体"/>
                <w:color w:val="auto"/>
                <w:kern w:val="0"/>
                <w:sz w:val="21"/>
                <w:szCs w:val="24"/>
                <w:highlight w:val="none"/>
              </w:rPr>
              <w:t>       </w:t>
            </w:r>
            <w:r>
              <w:rPr>
                <w:rFonts w:hint="eastAsia" w:ascii="宋体" w:hAnsi="宋体" w:cs="宋体"/>
                <w:color w:val="auto"/>
                <w:kern w:val="0"/>
                <w:sz w:val="21"/>
                <w:szCs w:val="24"/>
                <w:highlight w:val="none"/>
              </w:rPr>
              <w:t>计</w:t>
            </w:r>
          </w:p>
        </w:tc>
        <w:tc>
          <w:tcPr>
            <w:tcW w:w="998" w:type="dxa"/>
            <w:gridSpan w:val="2"/>
            <w:vAlign w:val="center"/>
          </w:tcPr>
          <w:p w14:paraId="36C864BF">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1367" w:type="dxa"/>
            <w:vAlign w:val="center"/>
          </w:tcPr>
          <w:p w14:paraId="1CF1606D">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0028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669D2016">
            <w:pPr>
              <w:widowControl/>
              <w:spacing w:line="320" w:lineRule="atLeast"/>
              <w:ind w:firstLine="2"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合计大写金额：</w:t>
            </w:r>
            <w:r>
              <w:rPr>
                <w:rFonts w:ascii="宋体"/>
                <w:color w:val="auto"/>
                <w:kern w:val="0"/>
                <w:sz w:val="21"/>
                <w:szCs w:val="24"/>
                <w:highlight w:val="none"/>
              </w:rPr>
              <w:t>  </w:t>
            </w:r>
            <w:r>
              <w:rPr>
                <w:rFonts w:hint="eastAsia" w:ascii="宋体" w:hAnsi="宋体" w:cs="宋体"/>
                <w:color w:val="auto"/>
                <w:kern w:val="0"/>
                <w:sz w:val="21"/>
                <w:szCs w:val="24"/>
                <w:highlight w:val="none"/>
              </w:rPr>
              <w:t>仟</w:t>
            </w:r>
            <w:r>
              <w:rPr>
                <w:rFonts w:ascii="宋体"/>
                <w:color w:val="auto"/>
                <w:kern w:val="0"/>
                <w:sz w:val="21"/>
                <w:szCs w:val="24"/>
                <w:highlight w:val="none"/>
              </w:rPr>
              <w:t>   </w:t>
            </w:r>
            <w:r>
              <w:rPr>
                <w:rFonts w:hint="eastAsia" w:ascii="宋体" w:hAnsi="宋体" w:cs="宋体"/>
                <w:color w:val="auto"/>
                <w:kern w:val="0"/>
                <w:sz w:val="21"/>
                <w:szCs w:val="24"/>
                <w:highlight w:val="none"/>
              </w:rPr>
              <w:t>佰</w:t>
            </w:r>
            <w:r>
              <w:rPr>
                <w:rFonts w:ascii="宋体"/>
                <w:color w:val="auto"/>
                <w:kern w:val="0"/>
                <w:sz w:val="21"/>
                <w:szCs w:val="24"/>
                <w:highlight w:val="none"/>
              </w:rPr>
              <w:t>   </w:t>
            </w:r>
            <w:r>
              <w:rPr>
                <w:rFonts w:hint="eastAsia" w:ascii="宋体" w:hAnsi="宋体" w:cs="宋体"/>
                <w:color w:val="auto"/>
                <w:kern w:val="0"/>
                <w:sz w:val="21"/>
                <w:szCs w:val="24"/>
                <w:highlight w:val="none"/>
              </w:rPr>
              <w:t>拾</w:t>
            </w:r>
            <w:r>
              <w:rPr>
                <w:rFonts w:ascii="宋体"/>
                <w:color w:val="auto"/>
                <w:kern w:val="0"/>
                <w:sz w:val="21"/>
                <w:szCs w:val="24"/>
                <w:highlight w:val="none"/>
              </w:rPr>
              <w:t>   </w:t>
            </w:r>
            <w:r>
              <w:rPr>
                <w:rFonts w:hint="eastAsia" w:ascii="宋体" w:hAnsi="宋体" w:cs="宋体"/>
                <w:color w:val="auto"/>
                <w:kern w:val="0"/>
                <w:sz w:val="21"/>
                <w:szCs w:val="24"/>
                <w:highlight w:val="none"/>
              </w:rPr>
              <w:t>万</w:t>
            </w:r>
            <w:r>
              <w:rPr>
                <w:rFonts w:ascii="宋体"/>
                <w:color w:val="auto"/>
                <w:kern w:val="0"/>
                <w:sz w:val="21"/>
                <w:szCs w:val="24"/>
                <w:highlight w:val="none"/>
              </w:rPr>
              <w:t>   </w:t>
            </w:r>
            <w:r>
              <w:rPr>
                <w:rFonts w:hint="eastAsia" w:ascii="宋体" w:hAnsi="宋体" w:cs="宋体"/>
                <w:color w:val="auto"/>
                <w:kern w:val="0"/>
                <w:sz w:val="21"/>
                <w:szCs w:val="24"/>
                <w:highlight w:val="none"/>
              </w:rPr>
              <w:t>仟</w:t>
            </w:r>
            <w:r>
              <w:rPr>
                <w:rFonts w:ascii="宋体"/>
                <w:color w:val="auto"/>
                <w:kern w:val="0"/>
                <w:sz w:val="21"/>
                <w:szCs w:val="24"/>
                <w:highlight w:val="none"/>
              </w:rPr>
              <w:t>   </w:t>
            </w:r>
            <w:r>
              <w:rPr>
                <w:rFonts w:hint="eastAsia" w:ascii="宋体" w:hAnsi="宋体" w:cs="宋体"/>
                <w:color w:val="auto"/>
                <w:kern w:val="0"/>
                <w:sz w:val="21"/>
                <w:szCs w:val="24"/>
                <w:highlight w:val="none"/>
              </w:rPr>
              <w:t>佰</w:t>
            </w:r>
            <w:r>
              <w:rPr>
                <w:rFonts w:ascii="宋体"/>
                <w:color w:val="auto"/>
                <w:kern w:val="0"/>
                <w:sz w:val="21"/>
                <w:szCs w:val="24"/>
                <w:highlight w:val="none"/>
              </w:rPr>
              <w:t>   </w:t>
            </w:r>
            <w:r>
              <w:rPr>
                <w:rFonts w:hint="eastAsia" w:ascii="宋体" w:hAnsi="宋体" w:cs="宋体"/>
                <w:color w:val="auto"/>
                <w:kern w:val="0"/>
                <w:sz w:val="21"/>
                <w:szCs w:val="24"/>
                <w:highlight w:val="none"/>
              </w:rPr>
              <w:t>拾</w:t>
            </w:r>
            <w:r>
              <w:rPr>
                <w:rFonts w:ascii="宋体"/>
                <w:color w:val="auto"/>
                <w:kern w:val="0"/>
                <w:sz w:val="21"/>
                <w:szCs w:val="24"/>
                <w:highlight w:val="none"/>
              </w:rPr>
              <w:t>   </w:t>
            </w:r>
            <w:r>
              <w:rPr>
                <w:rFonts w:hint="eastAsia" w:ascii="宋体" w:hAnsi="宋体" w:cs="宋体"/>
                <w:color w:val="auto"/>
                <w:kern w:val="0"/>
                <w:sz w:val="21"/>
                <w:szCs w:val="24"/>
                <w:highlight w:val="none"/>
              </w:rPr>
              <w:t>元</w:t>
            </w:r>
          </w:p>
        </w:tc>
      </w:tr>
      <w:tr w14:paraId="6D13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02785324">
            <w:pPr>
              <w:widowControl/>
              <w:spacing w:line="320" w:lineRule="atLeast"/>
              <w:ind w:firstLine="2"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实际供货日期</w:t>
            </w:r>
          </w:p>
        </w:tc>
        <w:tc>
          <w:tcPr>
            <w:tcW w:w="3240" w:type="dxa"/>
            <w:gridSpan w:val="2"/>
            <w:vAlign w:val="center"/>
          </w:tcPr>
          <w:p w14:paraId="3E39B190">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700" w:type="dxa"/>
            <w:gridSpan w:val="2"/>
            <w:vAlign w:val="center"/>
          </w:tcPr>
          <w:p w14:paraId="3336C8BD">
            <w:pPr>
              <w:widowControl/>
              <w:spacing w:line="320" w:lineRule="atLeast"/>
              <w:ind w:firstLine="46" w:firstLineChars="0"/>
              <w:jc w:val="center"/>
              <w:rPr>
                <w:rFonts w:ascii="宋体"/>
                <w:color w:val="auto"/>
                <w:kern w:val="0"/>
                <w:sz w:val="21"/>
                <w:szCs w:val="24"/>
                <w:highlight w:val="none"/>
              </w:rPr>
            </w:pPr>
            <w:r>
              <w:rPr>
                <w:rFonts w:hint="eastAsia" w:ascii="宋体" w:hAnsi="宋体" w:cs="宋体"/>
                <w:color w:val="auto"/>
                <w:kern w:val="0"/>
                <w:sz w:val="21"/>
                <w:szCs w:val="24"/>
                <w:highlight w:val="none"/>
              </w:rPr>
              <w:t>合同交货验收日期</w:t>
            </w:r>
          </w:p>
        </w:tc>
        <w:tc>
          <w:tcPr>
            <w:tcW w:w="2160" w:type="dxa"/>
            <w:gridSpan w:val="2"/>
            <w:vAlign w:val="center"/>
          </w:tcPr>
          <w:p w14:paraId="1A1C0853">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3A6D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657B6BAB">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3240" w:type="dxa"/>
            <w:gridSpan w:val="2"/>
            <w:vAlign w:val="center"/>
          </w:tcPr>
          <w:p w14:paraId="2EF7FDA6">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700" w:type="dxa"/>
            <w:gridSpan w:val="2"/>
            <w:vAlign w:val="center"/>
          </w:tcPr>
          <w:p w14:paraId="59FA74E8">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c>
          <w:tcPr>
            <w:tcW w:w="2160" w:type="dxa"/>
            <w:gridSpan w:val="2"/>
            <w:vAlign w:val="center"/>
          </w:tcPr>
          <w:p w14:paraId="02A06075">
            <w:pPr>
              <w:widowControl/>
              <w:spacing w:line="320" w:lineRule="atLeast"/>
              <w:ind w:firstLine="480" w:firstLineChars="0"/>
              <w:jc w:val="left"/>
              <w:rPr>
                <w:rFonts w:ascii="宋体"/>
                <w:color w:val="auto"/>
                <w:kern w:val="0"/>
                <w:sz w:val="21"/>
                <w:szCs w:val="24"/>
                <w:highlight w:val="none"/>
              </w:rPr>
            </w:pPr>
            <w:r>
              <w:rPr>
                <w:rFonts w:ascii="宋体"/>
                <w:color w:val="auto"/>
                <w:kern w:val="0"/>
                <w:sz w:val="21"/>
                <w:szCs w:val="24"/>
                <w:highlight w:val="none"/>
              </w:rPr>
              <w:t> </w:t>
            </w:r>
          </w:p>
        </w:tc>
      </w:tr>
      <w:tr w14:paraId="7C9F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59FF6837">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验收具体内容</w:t>
            </w:r>
          </w:p>
        </w:tc>
        <w:tc>
          <w:tcPr>
            <w:tcW w:w="8100" w:type="dxa"/>
            <w:gridSpan w:val="6"/>
            <w:tcMar>
              <w:top w:w="0" w:type="dxa"/>
              <w:left w:w="108" w:type="dxa"/>
              <w:bottom w:w="0" w:type="dxa"/>
              <w:right w:w="108" w:type="dxa"/>
            </w:tcMar>
            <w:vAlign w:val="center"/>
          </w:tcPr>
          <w:p w14:paraId="6FAC2CF6">
            <w:pPr>
              <w:widowControl/>
              <w:spacing w:line="320" w:lineRule="atLeast"/>
              <w:ind w:firstLine="0" w:firstLineChars="0"/>
              <w:jc w:val="left"/>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（应按采购合同、采购文件、响应文件及验收方案等进行验收。可附件</w:t>
            </w:r>
            <w:r>
              <w:rPr>
                <w:rFonts w:hint="eastAsia" w:ascii="宋体" w:hAnsi="宋体" w:cs="宋体"/>
                <w:color w:val="auto"/>
                <w:kern w:val="0"/>
                <w:sz w:val="21"/>
                <w:szCs w:val="24"/>
                <w:highlight w:val="none"/>
                <w:lang w:eastAsia="zh-CN"/>
              </w:rPr>
              <w:t>）</w:t>
            </w:r>
          </w:p>
        </w:tc>
      </w:tr>
      <w:tr w14:paraId="513F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6DD62E17">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验收小组意见</w:t>
            </w:r>
          </w:p>
        </w:tc>
        <w:tc>
          <w:tcPr>
            <w:tcW w:w="8100" w:type="dxa"/>
            <w:gridSpan w:val="6"/>
            <w:vAlign w:val="center"/>
          </w:tcPr>
          <w:p w14:paraId="1EE1D203">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hint="eastAsia" w:ascii="宋体" w:hAnsi="宋体" w:cs="宋体"/>
                <w:color w:val="auto"/>
                <w:kern w:val="0"/>
                <w:sz w:val="21"/>
                <w:szCs w:val="24"/>
                <w:highlight w:val="none"/>
              </w:rPr>
              <w:t>验收结论性意见：</w:t>
            </w:r>
          </w:p>
          <w:p w14:paraId="23BF44AF">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p>
        </w:tc>
      </w:tr>
      <w:tr w14:paraId="091D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vAlign w:val="center"/>
          </w:tcPr>
          <w:p w14:paraId="434C9DCB">
            <w:pPr>
              <w:widowControl/>
              <w:spacing w:line="240" w:lineRule="auto"/>
              <w:ind w:firstLine="0" w:firstLineChars="0"/>
              <w:jc w:val="left"/>
              <w:rPr>
                <w:rFonts w:ascii="宋体"/>
                <w:color w:val="auto"/>
                <w:kern w:val="0"/>
                <w:sz w:val="21"/>
                <w:szCs w:val="24"/>
                <w:highlight w:val="none"/>
              </w:rPr>
            </w:pPr>
          </w:p>
        </w:tc>
        <w:tc>
          <w:tcPr>
            <w:tcW w:w="8100" w:type="dxa"/>
            <w:gridSpan w:val="6"/>
            <w:vAlign w:val="center"/>
          </w:tcPr>
          <w:p w14:paraId="0A87076B">
            <w:pPr>
              <w:widowControl/>
              <w:spacing w:line="320" w:lineRule="atLeast"/>
              <w:ind w:firstLine="96"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有异议的意见和说明理由：</w:t>
            </w:r>
          </w:p>
          <w:p w14:paraId="00BA28AD">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ascii="宋体" w:hAnsi="宋体" w:cs="宋体"/>
                <w:color w:val="auto"/>
                <w:kern w:val="0"/>
                <w:sz w:val="21"/>
                <w:szCs w:val="24"/>
                <w:highlight w:val="none"/>
              </w:rPr>
              <w:t xml:space="preserve">                              </w:t>
            </w:r>
            <w:r>
              <w:rPr>
                <w:rFonts w:hint="eastAsia" w:ascii="宋体" w:hAnsi="宋体" w:cs="宋体"/>
                <w:color w:val="auto"/>
                <w:kern w:val="0"/>
                <w:sz w:val="21"/>
                <w:szCs w:val="24"/>
                <w:highlight w:val="none"/>
              </w:rPr>
              <w:t>签字：</w:t>
            </w:r>
          </w:p>
        </w:tc>
      </w:tr>
      <w:tr w14:paraId="472A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5431F72A">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验收小组成员签字：</w:t>
            </w:r>
          </w:p>
        </w:tc>
      </w:tr>
      <w:tr w14:paraId="3574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50FBD2E5">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监督人员或其他相关人员签字：</w:t>
            </w:r>
          </w:p>
          <w:p w14:paraId="480E6852">
            <w:pPr>
              <w:widowControl/>
              <w:spacing w:line="320" w:lineRule="atLeast"/>
              <w:ind w:firstLine="74"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或受邀机构的意见（盖章）：</w:t>
            </w:r>
          </w:p>
        </w:tc>
      </w:tr>
      <w:tr w14:paraId="175E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6A19ED13">
            <w:pPr>
              <w:widowControl/>
              <w:spacing w:line="320" w:lineRule="atLeast"/>
              <w:ind w:firstLine="74"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成交供应商负责人签字或盖章：</w:t>
            </w:r>
          </w:p>
          <w:p w14:paraId="1FEC2C06">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联系电话：</w:t>
            </w:r>
            <w:r>
              <w:rPr>
                <w:rFonts w:ascii="宋体"/>
                <w:color w:val="auto"/>
                <w:kern w:val="0"/>
                <w:sz w:val="21"/>
                <w:szCs w:val="24"/>
                <w:highlight w:val="none"/>
              </w:rPr>
              <w:t>        </w:t>
            </w:r>
            <w:r>
              <w:rPr>
                <w:rFonts w:hint="eastAsia" w:ascii="宋体" w:hAnsi="宋体" w:cs="宋体"/>
                <w:color w:val="auto"/>
                <w:kern w:val="0"/>
                <w:sz w:val="21"/>
                <w:szCs w:val="24"/>
                <w:highlight w:val="none"/>
              </w:rPr>
              <w:t>年</w:t>
            </w:r>
            <w:r>
              <w:rPr>
                <w:rFonts w:ascii="宋体"/>
                <w:color w:val="auto"/>
                <w:kern w:val="0"/>
                <w:sz w:val="21"/>
                <w:szCs w:val="24"/>
                <w:highlight w:val="none"/>
              </w:rPr>
              <w:t> </w:t>
            </w:r>
            <w:r>
              <w:rPr>
                <w:rFonts w:hint="eastAsia" w:ascii="宋体" w:hAnsi="宋体" w:cs="宋体"/>
                <w:color w:val="auto"/>
                <w:kern w:val="0"/>
                <w:sz w:val="21"/>
                <w:szCs w:val="24"/>
                <w:highlight w:val="none"/>
              </w:rPr>
              <w:t>月</w:t>
            </w:r>
            <w:r>
              <w:rPr>
                <w:rFonts w:ascii="宋体"/>
                <w:color w:val="auto"/>
                <w:kern w:val="0"/>
                <w:sz w:val="21"/>
                <w:szCs w:val="24"/>
                <w:highlight w:val="none"/>
              </w:rPr>
              <w:t> </w:t>
            </w:r>
            <w:r>
              <w:rPr>
                <w:rFonts w:hint="eastAsia" w:ascii="宋体" w:hAnsi="宋体" w:cs="宋体"/>
                <w:color w:val="auto"/>
                <w:kern w:val="0"/>
                <w:sz w:val="21"/>
                <w:szCs w:val="24"/>
                <w:highlight w:val="none"/>
              </w:rPr>
              <w:t>日</w:t>
            </w:r>
          </w:p>
        </w:tc>
        <w:tc>
          <w:tcPr>
            <w:tcW w:w="4860" w:type="dxa"/>
            <w:gridSpan w:val="4"/>
            <w:vAlign w:val="center"/>
          </w:tcPr>
          <w:p w14:paraId="3E59959F">
            <w:pPr>
              <w:widowControl/>
              <w:spacing w:line="320" w:lineRule="atLeast"/>
              <w:ind w:firstLine="0" w:firstLineChars="0"/>
              <w:jc w:val="left"/>
              <w:rPr>
                <w:rFonts w:ascii="宋体"/>
                <w:color w:val="auto"/>
                <w:kern w:val="0"/>
                <w:sz w:val="21"/>
                <w:szCs w:val="24"/>
                <w:highlight w:val="none"/>
              </w:rPr>
            </w:pPr>
            <w:r>
              <w:rPr>
                <w:rFonts w:ascii="宋体"/>
                <w:color w:val="auto"/>
                <w:kern w:val="0"/>
                <w:sz w:val="21"/>
                <w:szCs w:val="24"/>
                <w:highlight w:val="none"/>
              </w:rPr>
              <w:t> </w:t>
            </w:r>
            <w:r>
              <w:rPr>
                <w:rFonts w:hint="eastAsia" w:ascii="宋体" w:hAnsi="宋体" w:cs="宋体"/>
                <w:color w:val="auto"/>
                <w:kern w:val="0"/>
                <w:sz w:val="21"/>
                <w:szCs w:val="24"/>
                <w:highlight w:val="none"/>
              </w:rPr>
              <w:t>采购人或受托机构的意见（盖章）：</w:t>
            </w:r>
          </w:p>
          <w:p w14:paraId="7EA94D9F">
            <w:pPr>
              <w:widowControl/>
              <w:spacing w:line="320" w:lineRule="atLeast"/>
              <w:ind w:firstLine="0" w:firstLineChars="0"/>
              <w:jc w:val="left"/>
              <w:rPr>
                <w:rFonts w:ascii="宋体"/>
                <w:color w:val="auto"/>
                <w:kern w:val="0"/>
                <w:sz w:val="21"/>
                <w:szCs w:val="24"/>
                <w:highlight w:val="none"/>
              </w:rPr>
            </w:pPr>
            <w:r>
              <w:rPr>
                <w:rFonts w:hint="eastAsia" w:ascii="宋体" w:hAnsi="宋体" w:cs="宋体"/>
                <w:color w:val="auto"/>
                <w:kern w:val="0"/>
                <w:sz w:val="21"/>
                <w:szCs w:val="24"/>
                <w:highlight w:val="none"/>
              </w:rPr>
              <w:t>联系电话：</w:t>
            </w:r>
            <w:r>
              <w:rPr>
                <w:rFonts w:ascii="宋体"/>
                <w:color w:val="auto"/>
                <w:kern w:val="0"/>
                <w:sz w:val="21"/>
                <w:szCs w:val="24"/>
                <w:highlight w:val="none"/>
              </w:rPr>
              <w:t>                 </w:t>
            </w:r>
            <w:r>
              <w:rPr>
                <w:rFonts w:hint="eastAsia" w:ascii="宋体" w:hAnsi="宋体" w:cs="宋体"/>
                <w:color w:val="auto"/>
                <w:kern w:val="0"/>
                <w:sz w:val="21"/>
                <w:szCs w:val="24"/>
                <w:highlight w:val="none"/>
              </w:rPr>
              <w:t>年</w:t>
            </w:r>
            <w:r>
              <w:rPr>
                <w:rFonts w:ascii="宋体"/>
                <w:color w:val="auto"/>
                <w:kern w:val="0"/>
                <w:sz w:val="21"/>
                <w:szCs w:val="24"/>
                <w:highlight w:val="none"/>
              </w:rPr>
              <w:t>   </w:t>
            </w:r>
            <w:r>
              <w:rPr>
                <w:rFonts w:hint="eastAsia" w:ascii="宋体" w:hAnsi="宋体" w:cs="宋体"/>
                <w:color w:val="auto"/>
                <w:kern w:val="0"/>
                <w:sz w:val="21"/>
                <w:szCs w:val="24"/>
                <w:highlight w:val="none"/>
              </w:rPr>
              <w:t>月</w:t>
            </w:r>
            <w:r>
              <w:rPr>
                <w:rFonts w:ascii="宋体"/>
                <w:color w:val="auto"/>
                <w:kern w:val="0"/>
                <w:sz w:val="21"/>
                <w:szCs w:val="24"/>
                <w:highlight w:val="none"/>
              </w:rPr>
              <w:t>   </w:t>
            </w:r>
            <w:r>
              <w:rPr>
                <w:rFonts w:hint="eastAsia" w:ascii="宋体" w:hAnsi="宋体" w:cs="宋体"/>
                <w:color w:val="auto"/>
                <w:kern w:val="0"/>
                <w:sz w:val="21"/>
                <w:szCs w:val="24"/>
                <w:highlight w:val="none"/>
              </w:rPr>
              <w:t>日</w:t>
            </w:r>
          </w:p>
        </w:tc>
      </w:tr>
    </w:tbl>
    <w:p w14:paraId="53EE991D">
      <w:pPr>
        <w:snapToGrid w:val="0"/>
        <w:spacing w:line="340" w:lineRule="exact"/>
        <w:ind w:firstLine="0" w:firstLineChars="0"/>
        <w:rPr>
          <w:rFonts w:hint="eastAsia" w:ascii="宋体" w:hAnsi="宋体" w:cs="宋体"/>
          <w:b/>
          <w:color w:val="auto"/>
          <w:szCs w:val="24"/>
          <w:highlight w:val="none"/>
        </w:rPr>
      </w:pPr>
    </w:p>
    <w:p w14:paraId="7BCF0C05">
      <w:pPr>
        <w:snapToGrid w:val="0"/>
        <w:spacing w:line="340" w:lineRule="exact"/>
        <w:ind w:firstLine="0" w:firstLineChars="0"/>
        <w:rPr>
          <w:rFonts w:hint="eastAsia" w:ascii="宋体" w:hAnsi="宋体" w:cs="宋体"/>
          <w:b/>
          <w:color w:val="auto"/>
          <w:szCs w:val="24"/>
          <w:highlight w:val="none"/>
        </w:rPr>
      </w:pPr>
    </w:p>
    <w:p w14:paraId="4FEB256C">
      <w:pPr>
        <w:pStyle w:val="22"/>
        <w:rPr>
          <w:color w:val="auto"/>
          <w:highlight w:val="none"/>
        </w:rPr>
      </w:pPr>
    </w:p>
    <w:p w14:paraId="13CB2B60">
      <w:pPr>
        <w:pStyle w:val="22"/>
        <w:rPr>
          <w:color w:val="auto"/>
          <w:highlight w:val="none"/>
        </w:rPr>
      </w:pPr>
    </w:p>
    <w:p w14:paraId="4E39927F">
      <w:pPr>
        <w:snapToGrid w:val="0"/>
        <w:spacing w:line="340" w:lineRule="exact"/>
        <w:ind w:firstLine="0" w:firstLineChars="0"/>
        <w:rPr>
          <w:rFonts w:hint="eastAsia" w:ascii="宋体" w:hAnsi="宋体" w:cs="宋体"/>
          <w:color w:val="auto"/>
          <w:szCs w:val="24"/>
          <w:highlight w:val="none"/>
        </w:rPr>
      </w:pPr>
    </w:p>
    <w:p w14:paraId="5AD7E655">
      <w:pPr>
        <w:snapToGrid w:val="0"/>
        <w:spacing w:line="340" w:lineRule="exact"/>
        <w:ind w:firstLine="0" w:firstLineChars="0"/>
        <w:rPr>
          <w:rFonts w:hint="eastAsia" w:ascii="宋体" w:hAnsi="宋体" w:cs="宋体"/>
          <w:color w:val="auto"/>
          <w:szCs w:val="24"/>
          <w:highlight w:val="none"/>
        </w:rPr>
      </w:pPr>
      <w:r>
        <w:rPr>
          <w:rFonts w:hint="eastAsia" w:ascii="宋体" w:hAnsi="宋体" w:cs="宋体"/>
          <w:color w:val="auto"/>
          <w:szCs w:val="24"/>
          <w:highlight w:val="none"/>
        </w:rPr>
        <w:t>附表4：</w:t>
      </w:r>
    </w:p>
    <w:p w14:paraId="082E7FA0">
      <w:pPr>
        <w:pStyle w:val="22"/>
        <w:rPr>
          <w:color w:val="auto"/>
          <w:highlight w:val="none"/>
        </w:rPr>
      </w:pPr>
    </w:p>
    <w:p w14:paraId="2BE73F59">
      <w:pPr>
        <w:pStyle w:val="22"/>
        <w:rPr>
          <w:color w:val="auto"/>
          <w:highlight w:val="none"/>
        </w:rPr>
      </w:pPr>
    </w:p>
    <w:p w14:paraId="589FE141">
      <w:pPr>
        <w:pStyle w:val="22"/>
        <w:rPr>
          <w:color w:val="auto"/>
          <w:highlight w:val="none"/>
        </w:rPr>
      </w:pPr>
    </w:p>
    <w:p w14:paraId="49CE4E80">
      <w:pPr>
        <w:pStyle w:val="22"/>
        <w:jc w:val="center"/>
        <w:rPr>
          <w:color w:val="auto"/>
          <w:highlight w:val="none"/>
        </w:rPr>
      </w:pPr>
      <w:r>
        <w:rPr>
          <w:rFonts w:hint="eastAsia"/>
          <w:color w:val="auto"/>
          <w:highlight w:val="none"/>
        </w:rPr>
        <w:drawing>
          <wp:inline distT="0" distB="0" distL="114300" distR="114300">
            <wp:extent cx="5509895" cy="6123940"/>
            <wp:effectExtent l="0" t="0" r="1460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5509895" cy="6123940"/>
                    </a:xfrm>
                    <a:prstGeom prst="rect">
                      <a:avLst/>
                    </a:prstGeom>
                    <a:noFill/>
                    <a:ln>
                      <a:noFill/>
                    </a:ln>
                  </pic:spPr>
                </pic:pic>
              </a:graphicData>
            </a:graphic>
          </wp:inline>
        </w:drawing>
      </w:r>
    </w:p>
    <w:p w14:paraId="3CB86A04">
      <w:pPr>
        <w:pStyle w:val="22"/>
        <w:jc w:val="center"/>
        <w:rPr>
          <w:color w:val="auto"/>
          <w:highlight w:val="none"/>
        </w:rPr>
      </w:pPr>
    </w:p>
    <w:p w14:paraId="11743133">
      <w:pPr>
        <w:pStyle w:val="22"/>
        <w:jc w:val="center"/>
        <w:rPr>
          <w:color w:val="auto"/>
          <w:highlight w:val="none"/>
        </w:rPr>
      </w:pPr>
    </w:p>
    <w:p w14:paraId="6432E79F">
      <w:pPr>
        <w:pStyle w:val="22"/>
        <w:jc w:val="center"/>
        <w:rPr>
          <w:color w:val="auto"/>
          <w:highlight w:val="none"/>
        </w:rPr>
      </w:pPr>
    </w:p>
    <w:p w14:paraId="5D9308BB">
      <w:pPr>
        <w:pStyle w:val="22"/>
        <w:jc w:val="center"/>
        <w:rPr>
          <w:color w:val="auto"/>
          <w:highlight w:val="none"/>
        </w:rPr>
      </w:pPr>
    </w:p>
    <w:p w14:paraId="52F19728">
      <w:pPr>
        <w:pStyle w:val="22"/>
        <w:jc w:val="center"/>
        <w:rPr>
          <w:color w:val="auto"/>
          <w:highlight w:val="none"/>
        </w:rPr>
      </w:pPr>
    </w:p>
    <w:p w14:paraId="27A0F798">
      <w:pPr>
        <w:pStyle w:val="22"/>
        <w:jc w:val="center"/>
        <w:rPr>
          <w:color w:val="auto"/>
          <w:highlight w:val="none"/>
        </w:rPr>
      </w:pPr>
    </w:p>
    <w:p w14:paraId="60101626">
      <w:pPr>
        <w:pStyle w:val="22"/>
        <w:jc w:val="center"/>
        <w:rPr>
          <w:color w:val="auto"/>
          <w:highlight w:val="none"/>
        </w:rPr>
      </w:pPr>
    </w:p>
    <w:p w14:paraId="3D84AAA7">
      <w:pPr>
        <w:pStyle w:val="22"/>
        <w:jc w:val="center"/>
        <w:rPr>
          <w:color w:val="auto"/>
          <w:highlight w:val="none"/>
        </w:rPr>
      </w:pPr>
    </w:p>
    <w:p w14:paraId="7484D85C">
      <w:pPr>
        <w:pStyle w:val="22"/>
        <w:jc w:val="center"/>
        <w:rPr>
          <w:color w:val="auto"/>
          <w:highlight w:val="none"/>
        </w:rPr>
      </w:pPr>
    </w:p>
    <w:p w14:paraId="4888A13E">
      <w:pPr>
        <w:pStyle w:val="22"/>
        <w:jc w:val="center"/>
        <w:rPr>
          <w:color w:val="auto"/>
          <w:highlight w:val="none"/>
        </w:rPr>
      </w:pPr>
    </w:p>
    <w:p w14:paraId="5DC66F3C">
      <w:pPr>
        <w:pStyle w:val="40"/>
        <w:rPr>
          <w:color w:val="auto"/>
          <w:highlight w:val="none"/>
        </w:rPr>
      </w:pPr>
      <w:bookmarkStart w:id="39" w:name="_Toc155531034"/>
      <w:r>
        <w:rPr>
          <w:rFonts w:hint="eastAsia"/>
          <w:color w:val="auto"/>
          <w:highlight w:val="none"/>
        </w:rPr>
        <w:t>第三章</w:t>
      </w:r>
      <w:bookmarkEnd w:id="0"/>
      <w:r>
        <w:rPr>
          <w:rFonts w:hint="eastAsia"/>
          <w:color w:val="auto"/>
          <w:highlight w:val="none"/>
        </w:rPr>
        <w:t>采购需求</w:t>
      </w:r>
      <w:bookmarkEnd w:id="39"/>
    </w:p>
    <w:p w14:paraId="2B47570F">
      <w:pPr>
        <w:adjustRightInd w:val="0"/>
        <w:spacing w:line="420" w:lineRule="exact"/>
        <w:ind w:firstLine="198" w:firstLineChars="82"/>
        <w:rPr>
          <w:rFonts w:hint="eastAsia" w:ascii="宋体" w:hAnsi="宋体"/>
          <w:b/>
          <w:color w:val="auto"/>
          <w:highlight w:val="none"/>
          <w:lang w:val="zh-CN"/>
        </w:rPr>
      </w:pPr>
      <w:r>
        <w:rPr>
          <w:rFonts w:hint="eastAsia" w:ascii="宋体" w:hAnsi="宋体"/>
          <w:b/>
          <w:color w:val="auto"/>
          <w:highlight w:val="none"/>
          <w:lang w:val="zh-CN"/>
        </w:rPr>
        <w:t>Ⅰ、说明：</w:t>
      </w:r>
    </w:p>
    <w:p w14:paraId="7DE84F0E">
      <w:pPr>
        <w:keepNext w:val="0"/>
        <w:keepLines w:val="0"/>
        <w:pageBreakBefore w:val="0"/>
        <w:widowControl w:val="0"/>
        <w:kinsoku/>
        <w:wordWrap/>
        <w:overflowPunct/>
        <w:topLinePunct w:val="0"/>
        <w:autoSpaceDE/>
        <w:autoSpaceDN/>
        <w:bidi w:val="0"/>
        <w:adjustRightInd w:val="0"/>
        <w:snapToGrid/>
        <w:spacing w:line="340" w:lineRule="exact"/>
        <w:ind w:firstLine="422"/>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一、本项目所要执行的政府采购政策：</w:t>
      </w:r>
    </w:p>
    <w:p w14:paraId="4EB3F410">
      <w:pPr>
        <w:keepNext w:val="0"/>
        <w:keepLines w:val="0"/>
        <w:pageBreakBefore w:val="0"/>
        <w:widowControl w:val="0"/>
        <w:kinsoku/>
        <w:wordWrap/>
        <w:overflowPunct/>
        <w:topLinePunct w:val="0"/>
        <w:autoSpaceDE/>
        <w:autoSpaceDN/>
        <w:bidi w:val="0"/>
        <w:snapToGrid/>
        <w:spacing w:line="340" w:lineRule="exact"/>
        <w:ind w:firstLine="405" w:firstLineChars="193"/>
        <w:textAlignment w:val="auto"/>
        <w:rPr>
          <w:rFonts w:hint="eastAsia" w:ascii="宋体" w:hAnsi="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kern w:val="0"/>
          <w:sz w:val="21"/>
          <w:szCs w:val="21"/>
          <w:highlight w:val="none"/>
        </w:rPr>
        <w:t>根据《政府采购促进中小企业发展管理办法》（财库[2020]46号）及《广西壮族自治区财政厅关于持续优化政府采购营商环境推动高质量发展的通知》（桂财采〔2024〕55号），本项目提供的货物全部由符合政策要求的小型或者微型企业制造，即货物由小型或者微型企业生产且使用该小型或者微型企业商号或者注册商标的，供应商的最后报价给予</w:t>
      </w:r>
      <w:r>
        <w:rPr>
          <w:rFonts w:ascii="宋体" w:hAnsi="宋体" w:cs="宋体"/>
          <w:color w:val="auto"/>
          <w:kern w:val="0"/>
          <w:sz w:val="21"/>
          <w:szCs w:val="21"/>
          <w:highlight w:val="none"/>
        </w:rPr>
        <w:t>20</w:t>
      </w:r>
      <w:r>
        <w:rPr>
          <w:rFonts w:hint="eastAsia" w:ascii="宋体" w:hAnsi="宋体" w:cs="宋体"/>
          <w:color w:val="auto"/>
          <w:kern w:val="0"/>
          <w:sz w:val="21"/>
          <w:szCs w:val="21"/>
          <w:highlight w:val="none"/>
        </w:rPr>
        <w:t>%的扣除。</w:t>
      </w:r>
      <w:r>
        <w:rPr>
          <w:rFonts w:hint="eastAsia" w:ascii="宋体" w:hAnsi="宋体"/>
          <w:color w:val="auto"/>
          <w:sz w:val="21"/>
          <w:szCs w:val="21"/>
          <w:highlight w:val="none"/>
        </w:rPr>
        <w:t>监狱企业、残疾人福利性单位属于小型、微型企业的，不重复享受政策。</w:t>
      </w:r>
    </w:p>
    <w:p w14:paraId="7FD9C351">
      <w:pPr>
        <w:keepNext w:val="0"/>
        <w:keepLines w:val="0"/>
        <w:pageBreakBefore w:val="0"/>
        <w:widowControl w:val="0"/>
        <w:kinsoku/>
        <w:wordWrap/>
        <w:overflowPunct/>
        <w:topLinePunct w:val="0"/>
        <w:autoSpaceDE/>
        <w:autoSpaceDN/>
        <w:bidi w:val="0"/>
        <w:snapToGrid/>
        <w:spacing w:line="340" w:lineRule="exact"/>
        <w:ind w:firstLine="42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2.根据财政部、司法部《关于政府采购支持监狱企业发展有关问题的通知》（财库[2014]68号），监狱企业视同小型、微型企业，享受预留份额、评审中价格扣除等政府采购政策。</w:t>
      </w:r>
      <w:r>
        <w:rPr>
          <w:rFonts w:hint="eastAsia" w:ascii="宋体" w:hAnsi="宋体" w:cs="宋体"/>
          <w:bCs/>
          <w:color w:val="auto"/>
          <w:sz w:val="21"/>
          <w:szCs w:val="21"/>
          <w:highlight w:val="none"/>
        </w:rPr>
        <w:t>监狱企业属于小型、微型企业的，不重复享受政策。</w:t>
      </w:r>
    </w:p>
    <w:p w14:paraId="65BB52DB">
      <w:pPr>
        <w:keepNext w:val="0"/>
        <w:keepLines w:val="0"/>
        <w:pageBreakBefore w:val="0"/>
        <w:widowControl w:val="0"/>
        <w:kinsoku/>
        <w:wordWrap/>
        <w:overflowPunct/>
        <w:topLinePunct w:val="0"/>
        <w:autoSpaceDE/>
        <w:autoSpaceDN/>
        <w:bidi w:val="0"/>
        <w:snapToGrid/>
        <w:spacing w:line="340" w:lineRule="exact"/>
        <w:ind w:firstLine="420"/>
        <w:textAlignment w:val="auto"/>
        <w:rPr>
          <w:rFonts w:hint="eastAsia" w:ascii="宋体" w:hAnsi="宋体" w:cs="宋体"/>
          <w:bCs/>
          <w:color w:val="auto"/>
          <w:sz w:val="21"/>
          <w:szCs w:val="21"/>
          <w:highlight w:val="none"/>
        </w:rPr>
      </w:pPr>
      <w:r>
        <w:rPr>
          <w:rFonts w:hint="eastAsia" w:ascii="宋体" w:hAnsi="宋体" w:cs="宋体"/>
          <w:color w:val="auto"/>
          <w:sz w:val="21"/>
          <w:szCs w:val="21"/>
          <w:highlight w:val="none"/>
        </w:rPr>
        <w:t>3.按照</w:t>
      </w:r>
      <w:r>
        <w:rPr>
          <w:rFonts w:hint="eastAsia" w:ascii="宋体" w:hAnsi="宋体" w:cs="宋体"/>
          <w:bCs/>
          <w:color w:val="auto"/>
          <w:sz w:val="21"/>
          <w:szCs w:val="21"/>
          <w:highlight w:val="none"/>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74E831F7">
      <w:pPr>
        <w:keepNext w:val="0"/>
        <w:keepLines w:val="0"/>
        <w:pageBreakBefore w:val="0"/>
        <w:widowControl w:val="0"/>
        <w:kinsoku/>
        <w:wordWrap/>
        <w:overflowPunct/>
        <w:topLinePunct w:val="0"/>
        <w:autoSpaceDE/>
        <w:autoSpaceDN/>
        <w:bidi w:val="0"/>
        <w:snapToGrid/>
        <w:spacing w:line="340" w:lineRule="exact"/>
        <w:ind w:firstLine="42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4.根据财政部、发展改革委、生态环境部、市场监管总局《关于调整优化节能产品、环境标志产品政府采购执行机制的通知》（财库〔2019〕9号）及《关于印发节能产品政府采购品目清单的通知》</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财库〔2019〕19号</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文件规定，台式计算机，便携式计算机、平板式微型计算机，液晶显示器，制冷压缩机（冷水机组、水源热泵机组、溴化锂吸收式冷水机组），空调机组[多联式空调（热泵）机组（制冷量＞14000W），单元式空气调节机（制冷量＞14000W）]，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的品目，属于政府强制采购节能产品。若采购货物属于以上品目清单的产品时，供应商提供的货物必须使用政府强制采购的节能产品，供应商于响应文件中必须提供由国家确定的认证机构出具的处于有效期之内的节能产品认证证书复印件（加盖供应商电子签章），否则响应文件作无效处理。本项目采购标的不涉及政府强制采购节能产品。</w:t>
      </w:r>
    </w:p>
    <w:p w14:paraId="0B1D608C">
      <w:pPr>
        <w:keepNext w:val="0"/>
        <w:keepLines w:val="0"/>
        <w:pageBreakBefore w:val="0"/>
        <w:widowControl w:val="0"/>
        <w:kinsoku/>
        <w:wordWrap/>
        <w:overflowPunct/>
        <w:topLinePunct w:val="0"/>
        <w:autoSpaceDE/>
        <w:autoSpaceDN/>
        <w:bidi w:val="0"/>
        <w:snapToGrid/>
        <w:spacing w:line="340" w:lineRule="exact"/>
        <w:ind w:firstLine="42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lang w:val="en-US" w:eastAsia="zh-CN"/>
        </w:rPr>
        <w:t>5.</w:t>
      </w:r>
      <w:r>
        <w:rPr>
          <w:rFonts w:hint="eastAsia" w:ascii="宋体" w:hAnsi="宋体" w:cs="宋体"/>
          <w:bCs/>
          <w:color w:val="auto"/>
          <w:sz w:val="21"/>
          <w:szCs w:val="21"/>
          <w:highlight w:val="none"/>
        </w:rPr>
        <w:t>根据《关于在政府采购活动中对有关美国企业采取相关措施的通知》（财库〔2026〕10号）的规定，供应商提供的产品不得为财库〔2026〕10号文件附件规定的46家美国企业（不包括在华美资企业）生产的产品</w:t>
      </w:r>
    </w:p>
    <w:p w14:paraId="3D34B291">
      <w:pPr>
        <w:keepNext w:val="0"/>
        <w:keepLines w:val="0"/>
        <w:pageBreakBefore w:val="0"/>
        <w:widowControl w:val="0"/>
        <w:kinsoku/>
        <w:wordWrap/>
        <w:overflowPunct/>
        <w:topLinePunct w:val="0"/>
        <w:autoSpaceDE/>
        <w:autoSpaceDN/>
        <w:bidi w:val="0"/>
        <w:snapToGrid/>
        <w:spacing w:line="340" w:lineRule="exact"/>
        <w:ind w:firstLine="42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lang w:val="en-US" w:eastAsia="zh-CN"/>
        </w:rPr>
        <w:t>6</w:t>
      </w:r>
      <w:r>
        <w:rPr>
          <w:rFonts w:hint="eastAsia" w:ascii="宋体" w:hAnsi="宋体" w:cs="宋体"/>
          <w:bCs/>
          <w:color w:val="auto"/>
          <w:sz w:val="21"/>
          <w:szCs w:val="21"/>
          <w:highlight w:val="none"/>
        </w:rPr>
        <w:t>.优先采购环境标志产品、节能产品。</w:t>
      </w:r>
    </w:p>
    <w:p w14:paraId="61D3B7EF">
      <w:pPr>
        <w:keepNext w:val="0"/>
        <w:keepLines w:val="0"/>
        <w:pageBreakBefore w:val="0"/>
        <w:widowControl w:val="0"/>
        <w:kinsoku/>
        <w:wordWrap/>
        <w:overflowPunct/>
        <w:topLinePunct w:val="0"/>
        <w:autoSpaceDE/>
        <w:autoSpaceDN/>
        <w:bidi w:val="0"/>
        <w:snapToGrid/>
        <w:spacing w:line="340" w:lineRule="exact"/>
        <w:ind w:firstLine="42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7</w:t>
      </w:r>
      <w:r>
        <w:rPr>
          <w:rFonts w:hint="eastAsia" w:ascii="宋体" w:hAnsi="宋体" w:cs="宋体"/>
          <w:bCs/>
          <w:color w:val="auto"/>
          <w:sz w:val="21"/>
          <w:szCs w:val="21"/>
          <w:highlight w:val="none"/>
        </w:rPr>
        <w:t>.</w:t>
      </w:r>
      <w:r>
        <w:rPr>
          <w:rFonts w:hint="eastAsia" w:ascii="宋体" w:hAnsi="宋体" w:eastAsia="宋体" w:cs="宋体"/>
          <w:bCs/>
          <w:color w:val="auto"/>
          <w:sz w:val="21"/>
          <w:szCs w:val="21"/>
          <w:highlight w:val="none"/>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8DF59BF">
      <w:pPr>
        <w:keepNext w:val="0"/>
        <w:keepLines w:val="0"/>
        <w:pageBreakBefore w:val="0"/>
        <w:widowControl w:val="0"/>
        <w:kinsoku/>
        <w:wordWrap/>
        <w:overflowPunct/>
        <w:topLinePunct w:val="0"/>
        <w:autoSpaceDE/>
        <w:autoSpaceDN/>
        <w:bidi w:val="0"/>
        <w:adjustRightInd w:val="0"/>
        <w:snapToGrid/>
        <w:spacing w:line="340" w:lineRule="exact"/>
        <w:ind w:firstLine="422"/>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二、采购需求中出现的品牌、型号或生产供应商仅起参考作用，不属于指定品牌、型号或生产供应商的情形。供应商可参照或选用其他相当的品牌、型号或生产供应商替代。</w:t>
      </w:r>
    </w:p>
    <w:p w14:paraId="2F3ECB6C">
      <w:pPr>
        <w:keepNext w:val="0"/>
        <w:keepLines w:val="0"/>
        <w:pageBreakBefore w:val="0"/>
        <w:widowControl w:val="0"/>
        <w:kinsoku/>
        <w:wordWrap/>
        <w:overflowPunct/>
        <w:topLinePunct w:val="0"/>
        <w:autoSpaceDE/>
        <w:autoSpaceDN/>
        <w:bidi w:val="0"/>
        <w:adjustRightInd w:val="0"/>
        <w:snapToGrid/>
        <w:spacing w:line="340" w:lineRule="exact"/>
        <w:ind w:firstLine="422"/>
        <w:textAlignment w:val="auto"/>
        <w:rPr>
          <w:color w:val="auto"/>
          <w:highlight w:val="none"/>
        </w:rPr>
      </w:pPr>
      <w:r>
        <w:rPr>
          <w:rFonts w:hint="eastAsia" w:ascii="宋体" w:hAnsi="宋体" w:eastAsia="宋体" w:cs="宋体"/>
          <w:b/>
          <w:color w:val="auto"/>
          <w:kern w:val="0"/>
          <w:sz w:val="21"/>
          <w:szCs w:val="21"/>
          <w:highlight w:val="none"/>
        </w:rPr>
        <w:t>三、谈判文件“采购需求”中所有条款以及谈判文件要求“必须提供”的条款均属于实质性要求，若有任意一项负偏离作响应文件无效处理。</w:t>
      </w:r>
    </w:p>
    <w:p w14:paraId="293EA38F">
      <w:pPr>
        <w:keepNext w:val="0"/>
        <w:keepLines w:val="0"/>
        <w:pageBreakBefore w:val="0"/>
        <w:widowControl w:val="0"/>
        <w:kinsoku/>
        <w:wordWrap/>
        <w:overflowPunct/>
        <w:topLinePunct w:val="0"/>
        <w:autoSpaceDE/>
        <w:autoSpaceDN/>
        <w:bidi w:val="0"/>
        <w:adjustRightInd w:val="0"/>
        <w:snapToGrid/>
        <w:spacing w:line="340" w:lineRule="exact"/>
        <w:ind w:firstLine="422"/>
        <w:textAlignment w:val="auto"/>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 w:val="21"/>
          <w:szCs w:val="21"/>
          <w:highlight w:val="none"/>
          <w:lang w:val="en-US" w:eastAsia="zh-CN"/>
        </w:rPr>
        <w:t>四、本项目政府采购预算金额为人民币</w:t>
      </w:r>
      <w:r>
        <w:rPr>
          <w:rFonts w:hint="eastAsia" w:ascii="宋体" w:hAnsi="宋体" w:cs="宋体"/>
          <w:b/>
          <w:color w:val="auto"/>
          <w:kern w:val="0"/>
          <w:sz w:val="21"/>
          <w:szCs w:val="21"/>
          <w:highlight w:val="none"/>
          <w:lang w:val="en-US" w:eastAsia="zh-CN"/>
        </w:rPr>
        <w:t>玖拾捌万元整（¥980000.00）</w:t>
      </w:r>
      <w:r>
        <w:rPr>
          <w:rFonts w:hint="eastAsia" w:ascii="宋体" w:hAnsi="宋体" w:eastAsia="宋体" w:cs="宋体"/>
          <w:b/>
          <w:color w:val="auto"/>
          <w:kern w:val="0"/>
          <w:sz w:val="21"/>
          <w:szCs w:val="21"/>
          <w:highlight w:val="none"/>
          <w:lang w:val="en-US" w:eastAsia="zh-CN"/>
        </w:rPr>
        <w:t>，报价超出采购预算金额的按响应无效处理。</w:t>
      </w:r>
    </w:p>
    <w:p w14:paraId="07B75C0B">
      <w:pPr>
        <w:adjustRightInd w:val="0"/>
        <w:spacing w:line="440" w:lineRule="exact"/>
        <w:ind w:firstLine="482"/>
        <w:rPr>
          <w:rFonts w:hint="eastAsia" w:ascii="宋体" w:hAnsi="宋体"/>
          <w:b/>
          <w:color w:val="auto"/>
          <w:highlight w:val="none"/>
        </w:rPr>
      </w:pPr>
      <w:r>
        <w:rPr>
          <w:rFonts w:ascii="宋体" w:hAnsi="宋体" w:cs="宋体"/>
          <w:b/>
          <w:color w:val="auto"/>
          <w:kern w:val="0"/>
          <w:szCs w:val="24"/>
          <w:highlight w:val="none"/>
        </w:rPr>
        <w:br w:type="page"/>
      </w:r>
      <w:r>
        <w:rPr>
          <w:rFonts w:hint="eastAsia" w:ascii="宋体" w:hAnsi="宋体"/>
          <w:b/>
          <w:color w:val="auto"/>
          <w:highlight w:val="none"/>
        </w:rPr>
        <w:t>Ⅱ.采购需求一览表：</w:t>
      </w:r>
    </w:p>
    <w:tbl>
      <w:tblPr>
        <w:tblStyle w:val="43"/>
        <w:tblpPr w:leftFromText="180" w:rightFromText="180" w:vertAnchor="text" w:tblpXSpec="center" w:tblpY="1"/>
        <w:tblOverlap w:val="never"/>
        <w:tblW w:w="503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4"/>
        <w:gridCol w:w="736"/>
        <w:gridCol w:w="285"/>
        <w:gridCol w:w="564"/>
        <w:gridCol w:w="4743"/>
        <w:gridCol w:w="1371"/>
        <w:gridCol w:w="1240"/>
      </w:tblGrid>
      <w:tr w14:paraId="4D1B85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14:paraId="05C13C1D">
            <w:pPr>
              <w:keepLines w:val="0"/>
              <w:pageBreakBefore w:val="0"/>
              <w:kinsoku/>
              <w:wordWrap/>
              <w:overflowPunct/>
              <w:topLinePunct w:val="0"/>
              <w:autoSpaceDE/>
              <w:autoSpaceDN/>
              <w:bidi w:val="0"/>
              <w:adjustRightInd w:val="0"/>
              <w:snapToGrid w:val="0"/>
              <w:spacing w:line="360" w:lineRule="exact"/>
              <w:ind w:firstLine="0" w:firstLineChars="0"/>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一、采购内容及技术要求</w:t>
            </w:r>
          </w:p>
        </w:tc>
      </w:tr>
      <w:tr w14:paraId="792E81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52E917F0">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项号</w:t>
            </w:r>
          </w:p>
        </w:tc>
        <w:tc>
          <w:tcPr>
            <w:tcW w:w="384" w:type="pct"/>
            <w:tcBorders>
              <w:top w:val="single" w:color="auto" w:sz="4" w:space="0"/>
              <w:left w:val="single" w:color="auto" w:sz="4" w:space="0"/>
              <w:bottom w:val="single" w:color="auto" w:sz="4" w:space="0"/>
              <w:right w:val="single" w:color="auto" w:sz="4" w:space="0"/>
            </w:tcBorders>
            <w:vAlign w:val="center"/>
          </w:tcPr>
          <w:p w14:paraId="1FD77CAB">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采购标的</w:t>
            </w:r>
          </w:p>
        </w:tc>
        <w:tc>
          <w:tcPr>
            <w:tcW w:w="442" w:type="pct"/>
            <w:gridSpan w:val="2"/>
            <w:tcBorders>
              <w:top w:val="single" w:color="auto" w:sz="4" w:space="0"/>
              <w:left w:val="single" w:color="auto" w:sz="4" w:space="0"/>
              <w:bottom w:val="single" w:color="auto" w:sz="4" w:space="0"/>
              <w:right w:val="single" w:color="auto" w:sz="4" w:space="0"/>
            </w:tcBorders>
            <w:vAlign w:val="center"/>
          </w:tcPr>
          <w:p w14:paraId="204D9E2E">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highlight w:val="none"/>
              </w:rPr>
            </w:pPr>
            <w:r>
              <w:rPr>
                <w:rFonts w:hint="eastAsia" w:ascii="宋体" w:hAnsi="宋体" w:cs="宋体"/>
                <w:b/>
                <w:color w:val="auto"/>
                <w:kern w:val="0"/>
                <w:sz w:val="21"/>
                <w:szCs w:val="21"/>
                <w:highlight w:val="none"/>
              </w:rPr>
              <w:t>标的所属行业</w:t>
            </w:r>
          </w:p>
        </w:tc>
        <w:tc>
          <w:tcPr>
            <w:tcW w:w="2474" w:type="pct"/>
            <w:tcBorders>
              <w:top w:val="single" w:color="auto" w:sz="4" w:space="0"/>
              <w:left w:val="single" w:color="auto" w:sz="4" w:space="0"/>
              <w:bottom w:val="single" w:color="auto" w:sz="4" w:space="0"/>
              <w:right w:val="single" w:color="auto" w:sz="4" w:space="0"/>
            </w:tcBorders>
            <w:vAlign w:val="center"/>
          </w:tcPr>
          <w:p w14:paraId="6948FCE7">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技术要求</w:t>
            </w:r>
          </w:p>
        </w:tc>
        <w:tc>
          <w:tcPr>
            <w:tcW w:w="715" w:type="pct"/>
            <w:tcBorders>
              <w:top w:val="single" w:color="auto" w:sz="4" w:space="0"/>
              <w:left w:val="single" w:color="auto" w:sz="4" w:space="0"/>
              <w:bottom w:val="single" w:color="auto" w:sz="4" w:space="0"/>
              <w:right w:val="single" w:color="auto" w:sz="4" w:space="0"/>
            </w:tcBorders>
            <w:vAlign w:val="center"/>
          </w:tcPr>
          <w:p w14:paraId="55812203">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数量</w:t>
            </w:r>
          </w:p>
        </w:tc>
        <w:tc>
          <w:tcPr>
            <w:tcW w:w="646" w:type="pct"/>
            <w:tcBorders>
              <w:top w:val="single" w:color="auto" w:sz="4" w:space="0"/>
              <w:left w:val="single" w:color="auto" w:sz="4" w:space="0"/>
              <w:bottom w:val="single" w:color="auto" w:sz="4" w:space="0"/>
              <w:right w:val="single" w:color="auto" w:sz="4" w:space="0"/>
            </w:tcBorders>
            <w:vAlign w:val="center"/>
          </w:tcPr>
          <w:p w14:paraId="4822E989">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宋体" w:hAnsi="宋体" w:eastAsia="宋体"/>
                <w:b/>
                <w:bCs/>
                <w:color w:val="auto"/>
                <w:sz w:val="21"/>
                <w:szCs w:val="21"/>
                <w:highlight w:val="none"/>
                <w:lang w:val="en-US" w:eastAsia="zh-CN"/>
              </w:rPr>
            </w:pPr>
            <w:r>
              <w:rPr>
                <w:rFonts w:hint="eastAsia" w:ascii="宋体" w:hAnsi="宋体"/>
                <w:b/>
                <w:bCs/>
                <w:color w:val="auto"/>
                <w:sz w:val="21"/>
                <w:szCs w:val="21"/>
                <w:highlight w:val="none"/>
              </w:rPr>
              <w:t>单位</w:t>
            </w:r>
          </w:p>
        </w:tc>
      </w:tr>
      <w:tr w14:paraId="46F07F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18318656">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1</w:t>
            </w:r>
          </w:p>
        </w:tc>
        <w:tc>
          <w:tcPr>
            <w:tcW w:w="384" w:type="pct"/>
            <w:tcBorders>
              <w:top w:val="single" w:color="auto" w:sz="4" w:space="0"/>
              <w:left w:val="single" w:color="auto" w:sz="4" w:space="0"/>
              <w:bottom w:val="single" w:color="auto" w:sz="4" w:space="0"/>
              <w:right w:val="single" w:color="auto" w:sz="4" w:space="0"/>
            </w:tcBorders>
            <w:vAlign w:val="center"/>
          </w:tcPr>
          <w:p w14:paraId="4797945E">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夏凉被</w:t>
            </w:r>
          </w:p>
        </w:tc>
        <w:tc>
          <w:tcPr>
            <w:tcW w:w="442" w:type="pct"/>
            <w:gridSpan w:val="2"/>
            <w:tcBorders>
              <w:top w:val="single" w:color="auto" w:sz="4" w:space="0"/>
              <w:left w:val="single" w:color="auto" w:sz="4" w:space="0"/>
              <w:bottom w:val="single" w:color="auto" w:sz="4" w:space="0"/>
              <w:right w:val="single" w:color="auto" w:sz="4" w:space="0"/>
            </w:tcBorders>
            <w:vAlign w:val="center"/>
          </w:tcPr>
          <w:p w14:paraId="175C53F0">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工业</w:t>
            </w:r>
          </w:p>
        </w:tc>
        <w:tc>
          <w:tcPr>
            <w:tcW w:w="2474" w:type="pct"/>
            <w:tcBorders>
              <w:top w:val="single" w:color="auto" w:sz="4" w:space="0"/>
              <w:left w:val="single" w:color="auto" w:sz="4" w:space="0"/>
              <w:bottom w:val="single" w:color="auto" w:sz="4" w:space="0"/>
              <w:right w:val="single" w:color="auto" w:sz="4" w:space="0"/>
            </w:tcBorders>
            <w:vAlign w:val="center"/>
          </w:tcPr>
          <w:p w14:paraId="6DFCB66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（一）总体要求</w:t>
            </w:r>
          </w:p>
          <w:p w14:paraId="6C82C9E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1.面料：100%棉</w:t>
            </w:r>
            <w:r>
              <w:rPr>
                <w:rFonts w:hint="eastAsia" w:ascii="宋体" w:hAnsi="宋体" w:cs="宋体"/>
                <w:b/>
                <w:bCs/>
                <w:color w:val="auto"/>
                <w:sz w:val="21"/>
                <w:szCs w:val="21"/>
                <w:highlight w:val="none"/>
                <w:lang w:val="en-US" w:eastAsia="zh-CN"/>
              </w:rPr>
              <w:t>。</w:t>
            </w:r>
            <w:r>
              <w:rPr>
                <w:rFonts w:hint="eastAsia" w:ascii="宋体" w:hAnsi="宋体" w:eastAsia="宋体" w:cs="宋体"/>
                <w:b/>
                <w:bCs/>
                <w:color w:val="auto"/>
                <w:sz w:val="21"/>
                <w:szCs w:val="21"/>
                <w:highlight w:val="none"/>
                <w:lang w:val="en-US" w:eastAsia="zh-CN"/>
              </w:rPr>
              <w:t>供应商于响应文件中必须提供所竞产品所采用面料</w:t>
            </w:r>
            <w:r>
              <w:rPr>
                <w:rFonts w:hint="eastAsia" w:ascii="宋体" w:hAnsi="宋体" w:cs="宋体"/>
                <w:b/>
                <w:bCs/>
                <w:color w:val="auto"/>
                <w:sz w:val="21"/>
                <w:szCs w:val="21"/>
                <w:highlight w:val="none"/>
                <w:lang w:val="en-US" w:eastAsia="zh-CN"/>
              </w:rPr>
              <w:t>满足本项要求的带有 CMA 标识检测报告复印件【检测方法采用《国家纺织产品基本安全技术规范》（GB18401-2010）或其他</w:t>
            </w:r>
            <w:r>
              <w:rPr>
                <w:rFonts w:hint="eastAsia" w:ascii="宋体" w:hAnsi="宋体" w:cs="宋体"/>
                <w:b/>
                <w:bCs/>
                <w:sz w:val="21"/>
                <w:szCs w:val="21"/>
              </w:rPr>
              <w:t>执行“检验检测机构资质认定能力项目库管理平台”中已入库</w:t>
            </w:r>
            <w:r>
              <w:rPr>
                <w:rFonts w:hint="eastAsia" w:ascii="宋体" w:hAnsi="宋体" w:cs="宋体"/>
                <w:b/>
                <w:bCs/>
                <w:color w:val="auto"/>
                <w:sz w:val="21"/>
                <w:szCs w:val="21"/>
                <w:highlight w:val="none"/>
                <w:lang w:val="en-US" w:eastAsia="zh-CN"/>
              </w:rPr>
              <w:t>标准】，并加盖供应商电子签章。</w:t>
            </w:r>
          </w:p>
          <w:p w14:paraId="7D8C8C7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2.填充物：100%聚酯纤维。供应商于响应文件中必须提供所竞产品所采用填充物</w:t>
            </w:r>
            <w:r>
              <w:rPr>
                <w:rFonts w:hint="eastAsia" w:ascii="宋体" w:hAnsi="宋体" w:cs="宋体"/>
                <w:b/>
                <w:bCs/>
                <w:color w:val="auto"/>
                <w:sz w:val="21"/>
                <w:szCs w:val="21"/>
                <w:highlight w:val="none"/>
                <w:lang w:val="en-US" w:eastAsia="zh-CN"/>
              </w:rPr>
              <w:t>满足本项要求的带有 CMA 标识检测报告复印件</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检测方法采用</w:t>
            </w:r>
            <w:r>
              <w:rPr>
                <w:rFonts w:hint="eastAsia" w:ascii="宋体" w:hAnsi="宋体" w:eastAsia="宋体" w:cs="宋体"/>
                <w:b/>
                <w:bCs/>
                <w:color w:val="auto"/>
                <w:sz w:val="21"/>
                <w:szCs w:val="21"/>
                <w:highlight w:val="none"/>
                <w:lang w:val="en-US" w:eastAsia="zh-CN"/>
              </w:rPr>
              <w:t>《纺织品 定量化学分析 第24部分：聚酯纤维与某些其他纤维的混合物（苯酚/四氯乙烷法）》（GB/T 2910.24-2009）</w:t>
            </w:r>
            <w:r>
              <w:rPr>
                <w:rFonts w:hint="eastAsia" w:ascii="宋体" w:hAnsi="宋体" w:cs="宋体"/>
                <w:b/>
                <w:bCs/>
                <w:color w:val="auto"/>
                <w:sz w:val="21"/>
                <w:szCs w:val="21"/>
                <w:highlight w:val="none"/>
                <w:lang w:val="en-US" w:eastAsia="zh-CN"/>
              </w:rPr>
              <w:t>或其他</w:t>
            </w:r>
            <w:r>
              <w:rPr>
                <w:rFonts w:hint="eastAsia" w:ascii="宋体" w:hAnsi="宋体" w:cs="宋体"/>
                <w:b/>
                <w:bCs/>
                <w:sz w:val="21"/>
                <w:szCs w:val="21"/>
              </w:rPr>
              <w:t>执行“检验检测机构资质认定能力项目库管理平台”中已入库</w:t>
            </w:r>
            <w:r>
              <w:rPr>
                <w:rFonts w:hint="eastAsia" w:ascii="宋体" w:hAnsi="宋体" w:cs="宋体"/>
                <w:b/>
                <w:bCs/>
                <w:color w:val="auto"/>
                <w:sz w:val="21"/>
                <w:szCs w:val="21"/>
                <w:highlight w:val="none"/>
                <w:lang w:val="en-US" w:eastAsia="zh-CN"/>
              </w:rPr>
              <w:t>标准</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，并加盖供应商电子签章。</w:t>
            </w:r>
            <w:bookmarkStart w:id="50" w:name="_GoBack"/>
            <w:bookmarkEnd w:id="50"/>
          </w:p>
          <w:p w14:paraId="0151AE9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3.尺寸：</w:t>
            </w:r>
            <w:r>
              <w:rPr>
                <w:rFonts w:hint="eastAsia" w:ascii="宋体" w:hAnsi="宋体" w:cs="宋体"/>
                <w:b/>
                <w:bCs/>
                <w:color w:val="auto"/>
                <w:sz w:val="21"/>
                <w:szCs w:val="21"/>
                <w:highlight w:val="none"/>
                <w:lang w:val="en-US" w:eastAsia="zh-CN"/>
              </w:rPr>
              <w:t>≥</w:t>
            </w:r>
            <w:r>
              <w:rPr>
                <w:rFonts w:hint="eastAsia" w:ascii="宋体" w:hAnsi="宋体" w:eastAsia="宋体" w:cs="宋体"/>
                <w:b/>
                <w:bCs/>
                <w:color w:val="auto"/>
                <w:sz w:val="21"/>
                <w:szCs w:val="21"/>
                <w:highlight w:val="none"/>
                <w:lang w:val="en-US" w:eastAsia="zh-CN"/>
              </w:rPr>
              <w:t>200cm×150cm。</w:t>
            </w:r>
          </w:p>
          <w:p w14:paraId="2CF57BB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4.重量：填充物100g/m²，允许偏差±5%。</w:t>
            </w:r>
          </w:p>
          <w:p w14:paraId="0C7F719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5.工艺：精密机缝，针线均匀，转角处加固处理。</w:t>
            </w:r>
          </w:p>
          <w:p w14:paraId="16B1FA3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.耐干摩擦色牢度≥4级，耐湿摩擦色牢度≥3级。</w:t>
            </w:r>
          </w:p>
          <w:p w14:paraId="15D7472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val="en-US" w:eastAsia="zh-CN"/>
              </w:rPr>
              <w:t>.水洗尺寸变化率：+2.0%-5.0%。</w:t>
            </w:r>
          </w:p>
          <w:p w14:paraId="49A5D80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val="en-US" w:eastAsia="zh-CN"/>
              </w:rPr>
              <w:t>.产品执行《床上用品》</w:t>
            </w:r>
            <w:r>
              <w:rPr>
                <w:rFonts w:hint="eastAsia" w:ascii="宋体" w:hAnsi="宋体" w:cs="宋体"/>
                <w:b/>
                <w:bCs/>
                <w:color w:val="auto"/>
                <w:sz w:val="21"/>
                <w:szCs w:val="21"/>
                <w:highlight w:val="none"/>
                <w:lang w:val="en-US" w:eastAsia="zh-CN"/>
              </w:rPr>
              <w:t>（</w:t>
            </w:r>
            <w:r>
              <w:rPr>
                <w:rFonts w:hint="eastAsia" w:ascii="宋体" w:hAnsi="宋体" w:eastAsia="宋体" w:cs="宋体"/>
                <w:b/>
                <w:bCs/>
                <w:color w:val="auto"/>
                <w:sz w:val="21"/>
                <w:szCs w:val="21"/>
                <w:highlight w:val="none"/>
                <w:lang w:val="en-US" w:eastAsia="zh-CN"/>
              </w:rPr>
              <w:t>GB/T 22796-2021</w:t>
            </w:r>
            <w:r>
              <w:rPr>
                <w:rFonts w:hint="eastAsia" w:ascii="宋体" w:hAnsi="宋体" w:cs="宋体"/>
                <w:b/>
                <w:bCs/>
                <w:color w:val="auto"/>
                <w:sz w:val="21"/>
                <w:szCs w:val="21"/>
                <w:highlight w:val="none"/>
                <w:lang w:val="en-US" w:eastAsia="zh-CN"/>
              </w:rPr>
              <w:t>）标准</w:t>
            </w:r>
            <w:r>
              <w:rPr>
                <w:rFonts w:hint="eastAsia" w:ascii="宋体" w:hAnsi="宋体" w:eastAsia="宋体" w:cs="宋体"/>
                <w:b/>
                <w:bCs/>
                <w:color w:val="auto"/>
                <w:sz w:val="21"/>
                <w:szCs w:val="21"/>
                <w:highlight w:val="none"/>
                <w:lang w:val="en-US" w:eastAsia="zh-CN"/>
              </w:rPr>
              <w:t>安全类别执行《国家纺织产品基本安全技术规范》</w:t>
            </w:r>
            <w:r>
              <w:rPr>
                <w:rFonts w:hint="eastAsia" w:ascii="宋体" w:hAnsi="宋体" w:cs="宋体"/>
                <w:b/>
                <w:bCs/>
                <w:color w:val="auto"/>
                <w:sz w:val="21"/>
                <w:szCs w:val="21"/>
                <w:highlight w:val="none"/>
                <w:lang w:val="en-US" w:eastAsia="zh-CN"/>
              </w:rPr>
              <w:t>（</w:t>
            </w:r>
            <w:r>
              <w:rPr>
                <w:rFonts w:hint="eastAsia" w:ascii="宋体" w:hAnsi="宋体" w:eastAsia="宋体" w:cs="宋体"/>
                <w:b/>
                <w:bCs/>
                <w:color w:val="auto"/>
                <w:sz w:val="21"/>
                <w:szCs w:val="21"/>
                <w:highlight w:val="none"/>
                <w:lang w:val="en-US" w:eastAsia="zh-CN"/>
              </w:rPr>
              <w:t>GB18401-2010</w:t>
            </w:r>
            <w:r>
              <w:rPr>
                <w:rFonts w:hint="eastAsia" w:ascii="宋体" w:hAnsi="宋体" w:cs="宋体"/>
                <w:b/>
                <w:bCs/>
                <w:color w:val="auto"/>
                <w:sz w:val="21"/>
                <w:szCs w:val="21"/>
                <w:highlight w:val="none"/>
                <w:lang w:val="en-US" w:eastAsia="zh-CN"/>
              </w:rPr>
              <w:t>）B</w:t>
            </w:r>
            <w:r>
              <w:rPr>
                <w:rFonts w:hint="eastAsia" w:ascii="宋体" w:hAnsi="宋体" w:eastAsia="宋体" w:cs="宋体"/>
                <w:b/>
                <w:bCs/>
                <w:color w:val="auto"/>
                <w:sz w:val="21"/>
                <w:szCs w:val="21"/>
                <w:highlight w:val="none"/>
                <w:lang w:val="en-US" w:eastAsia="zh-CN"/>
              </w:rPr>
              <w:t>类</w:t>
            </w:r>
            <w:r>
              <w:rPr>
                <w:rFonts w:hint="eastAsia" w:ascii="宋体" w:hAnsi="宋体" w:cs="宋体"/>
                <w:b/>
                <w:bCs/>
                <w:color w:val="auto"/>
                <w:sz w:val="21"/>
                <w:szCs w:val="21"/>
                <w:highlight w:val="none"/>
                <w:lang w:val="en-US" w:eastAsia="zh-CN"/>
              </w:rPr>
              <w:t>标准（均为入库标准）。</w:t>
            </w:r>
            <w:r>
              <w:rPr>
                <w:rFonts w:hint="eastAsia" w:ascii="宋体" w:hAnsi="宋体" w:eastAsia="宋体" w:cs="宋体"/>
                <w:b/>
                <w:bCs/>
                <w:color w:val="auto"/>
                <w:sz w:val="21"/>
                <w:szCs w:val="21"/>
                <w:highlight w:val="none"/>
                <w:lang w:val="en-US" w:eastAsia="zh-CN"/>
              </w:rPr>
              <w:t>供应商于响应文件中必须提供所竞产品</w:t>
            </w:r>
            <w:r>
              <w:rPr>
                <w:rFonts w:hint="eastAsia" w:ascii="宋体" w:hAnsi="宋体" w:cs="宋体"/>
                <w:b/>
                <w:bCs/>
                <w:color w:val="auto"/>
                <w:sz w:val="21"/>
                <w:szCs w:val="21"/>
                <w:highlight w:val="none"/>
                <w:lang w:val="en-US" w:eastAsia="zh-CN"/>
              </w:rPr>
              <w:t>满足本项要求的带</w:t>
            </w:r>
            <w:r>
              <w:rPr>
                <w:rFonts w:hint="eastAsia" w:ascii="宋体" w:hAnsi="宋体" w:eastAsia="宋体" w:cs="宋体"/>
                <w:b/>
                <w:bCs/>
                <w:color w:val="auto"/>
                <w:sz w:val="21"/>
                <w:szCs w:val="21"/>
                <w:highlight w:val="none"/>
                <w:lang w:val="en-US" w:eastAsia="zh-CN"/>
              </w:rPr>
              <w:t>有 CMA 标识</w:t>
            </w:r>
            <w:r>
              <w:rPr>
                <w:rFonts w:hint="eastAsia" w:ascii="宋体" w:hAnsi="宋体" w:cs="宋体"/>
                <w:b/>
                <w:bCs/>
                <w:color w:val="auto"/>
                <w:sz w:val="21"/>
                <w:szCs w:val="21"/>
                <w:highlight w:val="none"/>
                <w:lang w:val="en-US" w:eastAsia="zh-CN"/>
              </w:rPr>
              <w:t>检测报告复印件，</w:t>
            </w:r>
            <w:r>
              <w:rPr>
                <w:rFonts w:hint="eastAsia" w:ascii="宋体" w:hAnsi="宋体" w:eastAsia="宋体" w:cs="宋体"/>
                <w:b/>
                <w:bCs/>
                <w:color w:val="auto"/>
                <w:sz w:val="21"/>
                <w:szCs w:val="21"/>
                <w:highlight w:val="none"/>
                <w:lang w:val="en-US" w:eastAsia="zh-CN"/>
              </w:rPr>
              <w:t>加盖供应商电子签章</w:t>
            </w:r>
            <w:r>
              <w:rPr>
                <w:rFonts w:hint="eastAsia" w:ascii="宋体" w:hAnsi="宋体" w:cs="宋体"/>
                <w:b/>
                <w:bCs/>
                <w:color w:val="auto"/>
                <w:sz w:val="21"/>
                <w:szCs w:val="21"/>
                <w:highlight w:val="none"/>
                <w:lang w:val="en-US" w:eastAsia="zh-CN"/>
              </w:rPr>
              <w:t>。</w:t>
            </w:r>
          </w:p>
          <w:p w14:paraId="3AAE8AB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（二）面料层</w:t>
            </w:r>
          </w:p>
          <w:p w14:paraId="57C40B1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1.材质成分：100%棉，无混纺、劣质再生纤维，纤维强度、耐磨性能符合现行有效的国家标准B类产品要求。</w:t>
            </w:r>
          </w:p>
          <w:p w14:paraId="050E343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2.工艺处理：经过预缩、柔软定型，布面平整，无跳丝、破洞、抽纱、色差、污渍等瑕疵，触感柔软。</w:t>
            </w:r>
          </w:p>
          <w:p w14:paraId="6966154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3.理化附加要求：面料起球等级≥3级，水洗色牢度≥4级，干摩擦色牢度≥4级，湿摩擦色牢度≥3级。</w:t>
            </w:r>
          </w:p>
          <w:p w14:paraId="18FC450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（三）填充层</w:t>
            </w:r>
          </w:p>
          <w:p w14:paraId="3BA6834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1.材质成分：100%聚酯纤维，纤维洁净，无碎棉、回收棉、粉尘杂质。</w:t>
            </w:r>
          </w:p>
          <w:p w14:paraId="3B0F9BD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2.填充工艺：铺棉均匀，密度一致，无厚薄不均、缺棉、棉团结块。</w:t>
            </w:r>
          </w:p>
          <w:p w14:paraId="671B1B0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3.填充性能：蓬松</w:t>
            </w:r>
            <w:r>
              <w:rPr>
                <w:rFonts w:hint="eastAsia" w:ascii="宋体" w:hAnsi="宋体" w:cs="宋体"/>
                <w:b/>
                <w:bCs/>
                <w:color w:val="auto"/>
                <w:sz w:val="21"/>
                <w:szCs w:val="21"/>
                <w:highlight w:val="none"/>
                <w:lang w:val="en-US" w:eastAsia="zh-CN"/>
              </w:rPr>
              <w:t>具有</w:t>
            </w:r>
            <w:r>
              <w:rPr>
                <w:rFonts w:hint="eastAsia" w:ascii="宋体" w:hAnsi="宋体" w:eastAsia="宋体" w:cs="宋体"/>
                <w:b/>
                <w:bCs/>
                <w:color w:val="auto"/>
                <w:sz w:val="21"/>
                <w:szCs w:val="21"/>
                <w:highlight w:val="none"/>
                <w:lang w:val="en-US" w:eastAsia="zh-CN"/>
              </w:rPr>
              <w:t>回弹性能，使用不易塌陷结板，透气。</w:t>
            </w:r>
          </w:p>
          <w:p w14:paraId="20C5843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（四）缝合与绗缝工艺</w:t>
            </w:r>
          </w:p>
          <w:p w14:paraId="24DF312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1.绗缝样式：采用电脑绗缝，填充物固定牢固，水洗不窜位不分层，针脚细密均匀，无跳线、断线、浮线，针距满足国家纺织品工艺标准。</w:t>
            </w:r>
          </w:p>
          <w:p w14:paraId="2998949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2.包边工艺：四周同面料锁边包缝，包边宽度不小于2cm，转角加固，拉扯不易崩线脱边。</w:t>
            </w:r>
          </w:p>
          <w:p w14:paraId="671A639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3.整体做工：四角方正规整，无堆积褶皱，线头清理干净。</w:t>
            </w:r>
          </w:p>
          <w:p w14:paraId="1DAAD9C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（五）执行标准与安全技术硬性指标</w:t>
            </w:r>
          </w:p>
          <w:p w14:paraId="5DA806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1.执行GB/T 22796-2021《床上用品》，达到合格品及以上标准。</w:t>
            </w:r>
          </w:p>
          <w:p w14:paraId="3258E6F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2.安全类别GB18401-2010《国家纺织产品基本安全技术规范》</w:t>
            </w:r>
            <w:r>
              <w:rPr>
                <w:rFonts w:hint="eastAsia" w:ascii="宋体" w:hAnsi="宋体" w:cs="宋体"/>
                <w:b/>
                <w:bCs/>
                <w:color w:val="auto"/>
                <w:sz w:val="21"/>
                <w:szCs w:val="21"/>
                <w:highlight w:val="none"/>
                <w:lang w:val="en-US" w:eastAsia="zh-CN"/>
              </w:rPr>
              <w:t>B</w:t>
            </w:r>
            <w:r>
              <w:rPr>
                <w:rFonts w:hint="eastAsia" w:ascii="宋体" w:hAnsi="宋体" w:eastAsia="宋体" w:cs="宋体"/>
                <w:b/>
                <w:bCs/>
                <w:color w:val="auto"/>
                <w:sz w:val="21"/>
                <w:szCs w:val="21"/>
                <w:highlight w:val="none"/>
                <w:lang w:val="en-US" w:eastAsia="zh-CN"/>
              </w:rPr>
              <w:t>类：</w:t>
            </w:r>
          </w:p>
          <w:p w14:paraId="72B948E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（1）pH值：4.0-7.5；</w:t>
            </w:r>
          </w:p>
          <w:p w14:paraId="72F1938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（2）甲醛含量≤</w:t>
            </w:r>
            <w:r>
              <w:rPr>
                <w:rFonts w:hint="eastAsia" w:ascii="宋体" w:hAnsi="宋体" w:cs="宋体"/>
                <w:b/>
                <w:bCs/>
                <w:color w:val="auto"/>
                <w:sz w:val="21"/>
                <w:szCs w:val="21"/>
                <w:highlight w:val="none"/>
                <w:lang w:val="en-US" w:eastAsia="zh-CN"/>
              </w:rPr>
              <w:t>70</w:t>
            </w:r>
            <w:r>
              <w:rPr>
                <w:rFonts w:hint="eastAsia" w:ascii="宋体" w:hAnsi="宋体" w:eastAsia="宋体" w:cs="宋体"/>
                <w:b/>
                <w:bCs/>
                <w:color w:val="auto"/>
                <w:sz w:val="21"/>
                <w:szCs w:val="21"/>
                <w:highlight w:val="none"/>
                <w:lang w:val="en-US" w:eastAsia="zh-CN"/>
              </w:rPr>
              <w:t>mg/kg；</w:t>
            </w:r>
          </w:p>
          <w:p w14:paraId="06835C2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（3）可分解致癌芳香胺染料：不得检出；</w:t>
            </w:r>
          </w:p>
          <w:p w14:paraId="35DAF74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（4）无异味；</w:t>
            </w:r>
          </w:p>
          <w:p w14:paraId="62D66E1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（5）重金属限量符合</w:t>
            </w:r>
            <w:r>
              <w:rPr>
                <w:rFonts w:hint="eastAsia" w:ascii="宋体" w:hAnsi="宋体" w:cs="宋体"/>
                <w:b/>
                <w:bCs/>
                <w:color w:val="auto"/>
                <w:sz w:val="21"/>
                <w:szCs w:val="21"/>
                <w:highlight w:val="none"/>
                <w:lang w:val="en-US" w:eastAsia="zh-CN"/>
              </w:rPr>
              <w:t>B</w:t>
            </w:r>
            <w:r>
              <w:rPr>
                <w:rFonts w:hint="eastAsia" w:ascii="宋体" w:hAnsi="宋体" w:eastAsia="宋体" w:cs="宋体"/>
                <w:b/>
                <w:bCs/>
                <w:color w:val="auto"/>
                <w:sz w:val="21"/>
                <w:szCs w:val="21"/>
                <w:highlight w:val="none"/>
                <w:lang w:val="en-US" w:eastAsia="zh-CN"/>
              </w:rPr>
              <w:t>类规范；</w:t>
            </w:r>
          </w:p>
          <w:p w14:paraId="53195F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（6）不得添加有害助剂、致敏成分。</w:t>
            </w:r>
          </w:p>
          <w:p w14:paraId="441D8D5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六</w:t>
            </w:r>
            <w:r>
              <w:rPr>
                <w:rFonts w:hint="eastAsia" w:ascii="宋体" w:hAnsi="宋体" w:eastAsia="宋体" w:cs="宋体"/>
                <w:b/>
                <w:bCs/>
                <w:color w:val="auto"/>
                <w:sz w:val="21"/>
                <w:szCs w:val="21"/>
                <w:highlight w:val="none"/>
                <w:lang w:val="en-US" w:eastAsia="zh-CN"/>
              </w:rPr>
              <w:t>）外观与使用性能参数</w:t>
            </w:r>
          </w:p>
          <w:p w14:paraId="5BEFFD6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1.外观颜色：颜色均匀统一，同批次货品无色差。</w:t>
            </w:r>
          </w:p>
          <w:p w14:paraId="124006F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2.产品厚度：夏被，具有透气性，适用于夏季空调环境使用。</w:t>
            </w:r>
          </w:p>
          <w:p w14:paraId="0321FF9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3.洗护性能：支持水洗，多次水洗后不缩水、不起坨、不跑棉、不褪色。</w:t>
            </w:r>
          </w:p>
          <w:p w14:paraId="58D138B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4.触感：柔软亲肤，无粗糙刺肤感。</w:t>
            </w:r>
          </w:p>
          <w:p w14:paraId="4415EB4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七</w:t>
            </w:r>
            <w:r>
              <w:rPr>
                <w:rFonts w:hint="eastAsia" w:ascii="宋体" w:hAnsi="宋体" w:eastAsia="宋体" w:cs="宋体"/>
                <w:b/>
                <w:bCs/>
                <w:color w:val="auto"/>
                <w:sz w:val="21"/>
                <w:szCs w:val="21"/>
                <w:highlight w:val="none"/>
                <w:lang w:val="en-US" w:eastAsia="zh-CN"/>
              </w:rPr>
              <w:t>）其他要求</w:t>
            </w:r>
          </w:p>
          <w:p w14:paraId="392710EC">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供应商于响应文件中必须提供所竞产品合格证复印件，加盖供应商</w:t>
            </w:r>
            <w:r>
              <w:rPr>
                <w:rFonts w:hint="eastAsia" w:ascii="宋体" w:hAnsi="宋体" w:cs="宋体"/>
                <w:b/>
                <w:bCs/>
                <w:color w:val="auto"/>
                <w:sz w:val="21"/>
                <w:szCs w:val="21"/>
                <w:highlight w:val="none"/>
                <w:lang w:val="en-US" w:eastAsia="zh-CN"/>
              </w:rPr>
              <w:t>电子签章</w:t>
            </w:r>
            <w:r>
              <w:rPr>
                <w:rFonts w:hint="eastAsia" w:ascii="宋体" w:hAnsi="宋体" w:eastAsia="宋体" w:cs="宋体"/>
                <w:b/>
                <w:bCs/>
                <w:color w:val="auto"/>
                <w:sz w:val="21"/>
                <w:szCs w:val="21"/>
                <w:highlight w:val="none"/>
                <w:lang w:val="en-US" w:eastAsia="zh-CN"/>
              </w:rPr>
              <w:t>。</w:t>
            </w:r>
          </w:p>
        </w:tc>
        <w:tc>
          <w:tcPr>
            <w:tcW w:w="715" w:type="pct"/>
            <w:tcBorders>
              <w:top w:val="single" w:color="auto" w:sz="4" w:space="0"/>
              <w:left w:val="single" w:color="auto" w:sz="4" w:space="0"/>
              <w:bottom w:val="single" w:color="auto" w:sz="4" w:space="0"/>
              <w:right w:val="single" w:color="auto" w:sz="4" w:space="0"/>
            </w:tcBorders>
            <w:vAlign w:val="center"/>
          </w:tcPr>
          <w:p w14:paraId="14E957E1">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9800</w:t>
            </w:r>
          </w:p>
        </w:tc>
        <w:tc>
          <w:tcPr>
            <w:tcW w:w="646" w:type="pct"/>
            <w:tcBorders>
              <w:top w:val="single" w:color="auto" w:sz="4" w:space="0"/>
              <w:left w:val="single" w:color="auto" w:sz="4" w:space="0"/>
              <w:bottom w:val="single" w:color="auto" w:sz="4" w:space="0"/>
              <w:right w:val="single" w:color="auto" w:sz="4" w:space="0"/>
            </w:tcBorders>
            <w:vAlign w:val="center"/>
          </w:tcPr>
          <w:p w14:paraId="5A6E5AC0">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Times New Roman"/>
                <w:b/>
                <w:bCs/>
                <w:color w:val="auto"/>
                <w:sz w:val="21"/>
                <w:szCs w:val="21"/>
                <w:highlight w:val="none"/>
                <w:lang w:eastAsia="zh-CN"/>
              </w:rPr>
            </w:pPr>
            <w:r>
              <w:rPr>
                <w:rFonts w:hint="eastAsia" w:ascii="宋体" w:hAnsi="宋体" w:eastAsia="宋体" w:cs="Times New Roman"/>
                <w:b/>
                <w:bCs/>
                <w:color w:val="auto"/>
                <w:sz w:val="21"/>
                <w:szCs w:val="21"/>
                <w:highlight w:val="none"/>
                <w:lang w:val="en-US" w:eastAsia="zh-CN"/>
              </w:rPr>
              <w:t>床</w:t>
            </w:r>
          </w:p>
        </w:tc>
      </w:tr>
      <w:tr w14:paraId="1BCB65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4D19130E">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2</w:t>
            </w:r>
          </w:p>
        </w:tc>
        <w:tc>
          <w:tcPr>
            <w:tcW w:w="384" w:type="pct"/>
            <w:tcBorders>
              <w:top w:val="single" w:color="auto" w:sz="4" w:space="0"/>
              <w:left w:val="single" w:color="auto" w:sz="4" w:space="0"/>
              <w:bottom w:val="single" w:color="auto" w:sz="4" w:space="0"/>
              <w:right w:val="single" w:color="auto" w:sz="4" w:space="0"/>
            </w:tcBorders>
            <w:vAlign w:val="center"/>
          </w:tcPr>
          <w:p w14:paraId="6B203098">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Times New Roman"/>
                <w:b/>
                <w:bCs/>
                <w:color w:val="auto"/>
                <w:sz w:val="21"/>
                <w:szCs w:val="21"/>
                <w:highlight w:val="none"/>
              </w:rPr>
            </w:pPr>
            <w:r>
              <w:rPr>
                <w:rFonts w:hint="eastAsia" w:ascii="宋体" w:hAnsi="宋体" w:cs="Times New Roman"/>
                <w:b/>
                <w:bCs/>
                <w:color w:val="auto"/>
                <w:sz w:val="21"/>
                <w:szCs w:val="21"/>
                <w:highlight w:val="none"/>
                <w:lang w:eastAsia="zh-CN"/>
              </w:rPr>
              <w:t>台式</w:t>
            </w:r>
            <w:r>
              <w:rPr>
                <w:rFonts w:hint="eastAsia" w:ascii="宋体" w:hAnsi="宋体" w:eastAsia="宋体" w:cs="Times New Roman"/>
                <w:b/>
                <w:bCs/>
                <w:color w:val="auto"/>
                <w:sz w:val="21"/>
                <w:szCs w:val="21"/>
                <w:highlight w:val="none"/>
              </w:rPr>
              <w:t>风扇</w:t>
            </w:r>
          </w:p>
        </w:tc>
        <w:tc>
          <w:tcPr>
            <w:tcW w:w="442" w:type="pct"/>
            <w:gridSpan w:val="2"/>
            <w:tcBorders>
              <w:top w:val="single" w:color="auto" w:sz="4" w:space="0"/>
              <w:left w:val="single" w:color="auto" w:sz="4" w:space="0"/>
              <w:bottom w:val="single" w:color="auto" w:sz="4" w:space="0"/>
              <w:right w:val="single" w:color="auto" w:sz="4" w:space="0"/>
            </w:tcBorders>
            <w:vAlign w:val="center"/>
          </w:tcPr>
          <w:p w14:paraId="61A33E65">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工业</w:t>
            </w:r>
          </w:p>
        </w:tc>
        <w:tc>
          <w:tcPr>
            <w:tcW w:w="2474" w:type="pct"/>
            <w:tcBorders>
              <w:top w:val="single" w:color="auto" w:sz="4" w:space="0"/>
              <w:left w:val="single" w:color="auto" w:sz="4" w:space="0"/>
              <w:bottom w:val="single" w:color="auto" w:sz="4" w:space="0"/>
              <w:right w:val="single" w:color="auto" w:sz="4" w:space="0"/>
            </w:tcBorders>
            <w:vAlign w:val="center"/>
          </w:tcPr>
          <w:p w14:paraId="400AC56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eastAsia="宋体" w:cs="Times New Roman"/>
                <w:b/>
                <w:bCs/>
                <w:color w:val="auto"/>
                <w:sz w:val="21"/>
                <w:szCs w:val="21"/>
                <w:highlight w:val="none"/>
                <w:lang w:eastAsia="zh-CN"/>
              </w:rPr>
            </w:pPr>
            <w:r>
              <w:rPr>
                <w:rFonts w:hint="eastAsia" w:ascii="宋体" w:hAnsi="宋体" w:eastAsia="宋体" w:cs="Times New Roman"/>
                <w:b/>
                <w:bCs/>
                <w:color w:val="auto"/>
                <w:sz w:val="21"/>
                <w:szCs w:val="21"/>
                <w:highlight w:val="none"/>
              </w:rPr>
              <w:t>1</w:t>
            </w:r>
            <w:r>
              <w:rPr>
                <w:rFonts w:hint="eastAsia" w:ascii="宋体" w:hAnsi="宋体" w:cs="Times New Roman"/>
                <w:b/>
                <w:bCs/>
                <w:color w:val="auto"/>
                <w:sz w:val="21"/>
                <w:szCs w:val="21"/>
                <w:highlight w:val="none"/>
                <w:lang w:val="en-US" w:eastAsia="zh-CN"/>
              </w:rPr>
              <w:t>.</w:t>
            </w:r>
            <w:r>
              <w:rPr>
                <w:rFonts w:hint="eastAsia" w:ascii="宋体" w:hAnsi="宋体" w:eastAsia="宋体" w:cs="Times New Roman"/>
                <w:b/>
                <w:bCs/>
                <w:color w:val="auto"/>
                <w:sz w:val="21"/>
                <w:szCs w:val="21"/>
                <w:highlight w:val="none"/>
              </w:rPr>
              <w:t>产品尺寸：整机高度40-60CM</w:t>
            </w:r>
            <w:r>
              <w:rPr>
                <w:rFonts w:hint="eastAsia" w:ascii="宋体" w:hAnsi="宋体" w:cs="Times New Roman"/>
                <w:b/>
                <w:bCs/>
                <w:color w:val="auto"/>
                <w:sz w:val="21"/>
                <w:szCs w:val="21"/>
                <w:highlight w:val="none"/>
                <w:lang w:eastAsia="zh-CN"/>
              </w:rPr>
              <w:t>。</w:t>
            </w:r>
          </w:p>
          <w:p w14:paraId="6DEFA3E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eastAsia="宋体" w:cs="Times New Roman"/>
                <w:b/>
                <w:bCs/>
                <w:color w:val="auto"/>
                <w:sz w:val="21"/>
                <w:szCs w:val="21"/>
                <w:highlight w:val="none"/>
                <w:lang w:eastAsia="zh-CN"/>
              </w:rPr>
            </w:pPr>
            <w:r>
              <w:rPr>
                <w:rFonts w:hint="eastAsia" w:ascii="宋体" w:hAnsi="宋体" w:eastAsia="宋体" w:cs="Times New Roman"/>
                <w:b/>
                <w:bCs/>
                <w:color w:val="auto"/>
                <w:sz w:val="21"/>
                <w:szCs w:val="21"/>
                <w:highlight w:val="none"/>
              </w:rPr>
              <w:t>2.额定输入电压：交流220V，额定电源频率：50Hz，额定整机输入功率：40W-60W，风量：≥23.3m³/min</w:t>
            </w:r>
            <w:r>
              <w:rPr>
                <w:rFonts w:hint="eastAsia" w:ascii="宋体" w:hAnsi="宋体" w:cs="Times New Roman"/>
                <w:b/>
                <w:bCs/>
                <w:color w:val="auto"/>
                <w:sz w:val="21"/>
                <w:szCs w:val="21"/>
                <w:highlight w:val="none"/>
                <w:lang w:eastAsia="zh-CN"/>
              </w:rPr>
              <w:t>。</w:t>
            </w:r>
          </w:p>
          <w:p w14:paraId="1183043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eastAsia="宋体" w:cs="Times New Roman"/>
                <w:b/>
                <w:bCs/>
                <w:color w:val="auto"/>
                <w:sz w:val="21"/>
                <w:szCs w:val="21"/>
                <w:highlight w:val="none"/>
                <w:lang w:eastAsia="zh-CN"/>
              </w:rPr>
            </w:pPr>
            <w:r>
              <w:rPr>
                <w:rFonts w:hint="eastAsia" w:ascii="宋体" w:hAnsi="宋体" w:eastAsia="宋体" w:cs="Times New Roman"/>
                <w:b/>
                <w:bCs/>
                <w:color w:val="auto"/>
                <w:sz w:val="21"/>
                <w:szCs w:val="21"/>
                <w:highlight w:val="none"/>
              </w:rPr>
              <w:t>3.标配一体式纯铜电源线，线缆总长不小于1.3米，插头符合国家现行安全标准</w:t>
            </w:r>
            <w:r>
              <w:rPr>
                <w:rFonts w:hint="eastAsia" w:ascii="宋体" w:hAnsi="宋体" w:cs="Times New Roman"/>
                <w:b/>
                <w:bCs/>
                <w:color w:val="auto"/>
                <w:sz w:val="21"/>
                <w:szCs w:val="21"/>
                <w:highlight w:val="none"/>
                <w:lang w:eastAsia="zh-CN"/>
              </w:rPr>
              <w:t>。</w:t>
            </w:r>
          </w:p>
          <w:p w14:paraId="214F4E7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eastAsia="宋体" w:cs="Times New Roman"/>
                <w:b/>
                <w:bCs/>
                <w:color w:val="auto"/>
                <w:sz w:val="21"/>
                <w:szCs w:val="21"/>
                <w:highlight w:val="none"/>
                <w:lang w:eastAsia="zh-CN"/>
              </w:rPr>
            </w:pPr>
            <w:r>
              <w:rPr>
                <w:rFonts w:hint="eastAsia" w:ascii="宋体" w:hAnsi="宋体" w:eastAsia="宋体" w:cs="Times New Roman"/>
                <w:b/>
                <w:bCs/>
                <w:color w:val="auto"/>
                <w:sz w:val="21"/>
                <w:szCs w:val="21"/>
                <w:highlight w:val="none"/>
              </w:rPr>
              <w:t>4.调速控制模式：具备3档</w:t>
            </w:r>
            <w:r>
              <w:rPr>
                <w:rFonts w:hint="eastAsia" w:ascii="宋体" w:hAnsi="宋体" w:cs="Times New Roman"/>
                <w:b/>
                <w:bCs/>
                <w:color w:val="auto"/>
                <w:sz w:val="21"/>
                <w:szCs w:val="21"/>
                <w:highlight w:val="none"/>
                <w:lang w:eastAsia="zh-CN"/>
              </w:rPr>
              <w:t>或以上</w:t>
            </w:r>
            <w:r>
              <w:rPr>
                <w:rFonts w:hint="eastAsia" w:ascii="宋体" w:hAnsi="宋体" w:eastAsia="宋体" w:cs="Times New Roman"/>
                <w:b/>
                <w:bCs/>
                <w:color w:val="auto"/>
                <w:sz w:val="21"/>
                <w:szCs w:val="21"/>
                <w:highlight w:val="none"/>
              </w:rPr>
              <w:t>风速调节以及定时功能</w:t>
            </w:r>
            <w:r>
              <w:rPr>
                <w:rFonts w:hint="eastAsia" w:ascii="宋体" w:hAnsi="宋体" w:cs="Times New Roman"/>
                <w:b/>
                <w:bCs/>
                <w:color w:val="auto"/>
                <w:sz w:val="21"/>
                <w:szCs w:val="21"/>
                <w:highlight w:val="none"/>
                <w:lang w:eastAsia="zh-CN"/>
              </w:rPr>
              <w:t>。</w:t>
            </w:r>
          </w:p>
          <w:p w14:paraId="2632305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eastAsia="宋体" w:cs="Times New Roman"/>
                <w:b/>
                <w:bCs/>
                <w:color w:val="auto"/>
                <w:sz w:val="21"/>
                <w:szCs w:val="21"/>
                <w:highlight w:val="none"/>
                <w:lang w:eastAsia="zh-CN"/>
              </w:rPr>
            </w:pPr>
            <w:r>
              <w:rPr>
                <w:rFonts w:hint="eastAsia" w:ascii="宋体" w:hAnsi="宋体" w:eastAsia="宋体" w:cs="Times New Roman"/>
                <w:b/>
                <w:bCs/>
                <w:color w:val="auto"/>
                <w:sz w:val="21"/>
                <w:szCs w:val="21"/>
                <w:highlight w:val="none"/>
              </w:rPr>
              <w:t>5.风叶结构：封闭式转页防护网罩设计，内置风叶结构</w:t>
            </w:r>
            <w:r>
              <w:rPr>
                <w:rFonts w:hint="eastAsia" w:ascii="宋体" w:hAnsi="宋体" w:cs="Times New Roman"/>
                <w:b/>
                <w:bCs/>
                <w:color w:val="auto"/>
                <w:sz w:val="21"/>
                <w:szCs w:val="21"/>
                <w:highlight w:val="none"/>
                <w:lang w:eastAsia="zh-CN"/>
              </w:rPr>
              <w:t>，网罩直径≥</w:t>
            </w:r>
            <w:r>
              <w:rPr>
                <w:rFonts w:hint="eastAsia" w:ascii="宋体" w:hAnsi="宋体" w:cs="Times New Roman"/>
                <w:b/>
                <w:bCs/>
                <w:color w:val="auto"/>
                <w:sz w:val="21"/>
                <w:szCs w:val="21"/>
                <w:highlight w:val="none"/>
                <w:lang w:val="en-US" w:eastAsia="zh-CN"/>
              </w:rPr>
              <w:t>40cm</w:t>
            </w:r>
            <w:r>
              <w:rPr>
                <w:rFonts w:hint="eastAsia" w:ascii="宋体" w:hAnsi="宋体" w:cs="Times New Roman"/>
                <w:b/>
                <w:bCs/>
                <w:color w:val="auto"/>
                <w:sz w:val="21"/>
                <w:szCs w:val="21"/>
                <w:highlight w:val="none"/>
                <w:lang w:eastAsia="zh-CN"/>
              </w:rPr>
              <w:t>。</w:t>
            </w:r>
          </w:p>
          <w:p w14:paraId="0F9C1BD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Times New Roman"/>
                <w:b/>
                <w:bCs/>
                <w:color w:val="auto"/>
                <w:sz w:val="21"/>
                <w:szCs w:val="21"/>
                <w:highlight w:val="none"/>
                <w:lang w:eastAsia="zh-CN"/>
              </w:rPr>
            </w:pPr>
            <w:r>
              <w:rPr>
                <w:rFonts w:hint="eastAsia" w:ascii="宋体" w:hAnsi="宋体" w:eastAsia="宋体" w:cs="Times New Roman"/>
                <w:b/>
                <w:bCs/>
                <w:color w:val="auto"/>
                <w:sz w:val="21"/>
                <w:szCs w:val="21"/>
                <w:highlight w:val="none"/>
              </w:rPr>
              <w:t>6.合格证明：</w:t>
            </w:r>
            <w:r>
              <w:rPr>
                <w:rFonts w:hint="eastAsia" w:ascii="宋体" w:hAnsi="宋体" w:cs="Times New Roman"/>
                <w:b/>
                <w:bCs/>
                <w:color w:val="auto"/>
                <w:sz w:val="21"/>
                <w:szCs w:val="21"/>
                <w:highlight w:val="none"/>
                <w:lang w:val="en-US" w:eastAsia="zh-CN"/>
              </w:rPr>
              <w:t>成交供应商提供的</w:t>
            </w:r>
            <w:r>
              <w:rPr>
                <w:rFonts w:hint="eastAsia" w:ascii="宋体" w:hAnsi="宋体" w:eastAsia="宋体" w:cs="Times New Roman"/>
                <w:b/>
                <w:bCs/>
                <w:color w:val="auto"/>
                <w:sz w:val="21"/>
                <w:szCs w:val="21"/>
                <w:highlight w:val="none"/>
              </w:rPr>
              <w:t>单台产品配备出厂合格证，附带检验员编号签章</w:t>
            </w:r>
            <w:r>
              <w:rPr>
                <w:rFonts w:hint="eastAsia" w:ascii="宋体" w:hAnsi="宋体" w:cs="Times New Roman"/>
                <w:b/>
                <w:bCs/>
                <w:color w:val="auto"/>
                <w:sz w:val="21"/>
                <w:szCs w:val="21"/>
                <w:highlight w:val="none"/>
                <w:lang w:eastAsia="zh-CN"/>
              </w:rPr>
              <w:t>。</w:t>
            </w:r>
          </w:p>
          <w:p w14:paraId="7591423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eastAsia="宋体" w:cs="Times New Roman"/>
                <w:b/>
                <w:bCs/>
                <w:color w:val="auto"/>
                <w:sz w:val="21"/>
                <w:szCs w:val="21"/>
                <w:highlight w:val="none"/>
              </w:rPr>
            </w:pPr>
            <w:r>
              <w:rPr>
                <w:rFonts w:hint="eastAsia" w:ascii="宋体" w:hAnsi="宋体" w:cs="Times New Roman"/>
                <w:b/>
                <w:bCs/>
                <w:color w:val="auto"/>
                <w:sz w:val="21"/>
                <w:szCs w:val="21"/>
                <w:highlight w:val="none"/>
                <w:lang w:val="en-US" w:eastAsia="zh-CN"/>
              </w:rPr>
              <w:t>7.</w:t>
            </w:r>
            <w:r>
              <w:rPr>
                <w:rFonts w:hint="eastAsia" w:ascii="宋体" w:hAnsi="宋体" w:cs="Times New Roman"/>
                <w:b/>
                <w:bCs/>
                <w:color w:val="auto"/>
                <w:sz w:val="21"/>
                <w:szCs w:val="21"/>
                <w:highlight w:val="none"/>
                <w:lang w:eastAsia="zh-CN"/>
              </w:rPr>
              <w:t>供应商于响应文件中必须提供所竞产品有效的CCC认证证书复印件，加盖供应商</w:t>
            </w:r>
            <w:r>
              <w:rPr>
                <w:rFonts w:hint="eastAsia" w:ascii="宋体" w:hAnsi="宋体" w:cs="Times New Roman"/>
                <w:b/>
                <w:bCs/>
                <w:color w:val="auto"/>
                <w:sz w:val="21"/>
                <w:szCs w:val="21"/>
                <w:highlight w:val="none"/>
                <w:lang w:val="en-US" w:eastAsia="zh-CN"/>
              </w:rPr>
              <w:t>电子签章</w:t>
            </w:r>
            <w:r>
              <w:rPr>
                <w:rFonts w:hint="eastAsia" w:ascii="宋体" w:hAnsi="宋体" w:eastAsia="宋体" w:cs="Times New Roman"/>
                <w:b/>
                <w:bCs/>
                <w:color w:val="auto"/>
                <w:sz w:val="21"/>
                <w:szCs w:val="21"/>
                <w:highlight w:val="none"/>
              </w:rPr>
              <w:t>。</w:t>
            </w:r>
          </w:p>
        </w:tc>
        <w:tc>
          <w:tcPr>
            <w:tcW w:w="715" w:type="pct"/>
            <w:tcBorders>
              <w:top w:val="single" w:color="auto" w:sz="4" w:space="0"/>
              <w:left w:val="single" w:color="auto" w:sz="4" w:space="0"/>
              <w:bottom w:val="single" w:color="auto" w:sz="4" w:space="0"/>
              <w:right w:val="single" w:color="auto" w:sz="4" w:space="0"/>
            </w:tcBorders>
            <w:vAlign w:val="center"/>
          </w:tcPr>
          <w:p w14:paraId="78F14DD4">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9800</w:t>
            </w:r>
          </w:p>
        </w:tc>
        <w:tc>
          <w:tcPr>
            <w:tcW w:w="646" w:type="pct"/>
            <w:tcBorders>
              <w:top w:val="single" w:color="auto" w:sz="4" w:space="0"/>
              <w:left w:val="single" w:color="auto" w:sz="4" w:space="0"/>
              <w:bottom w:val="single" w:color="auto" w:sz="4" w:space="0"/>
              <w:right w:val="single" w:color="auto" w:sz="4" w:space="0"/>
            </w:tcBorders>
            <w:vAlign w:val="center"/>
          </w:tcPr>
          <w:p w14:paraId="12627DF4">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Times New Roman"/>
                <w:b/>
                <w:bCs/>
                <w:color w:val="auto"/>
                <w:sz w:val="21"/>
                <w:szCs w:val="21"/>
                <w:highlight w:val="none"/>
                <w:lang w:eastAsia="zh-CN"/>
              </w:rPr>
            </w:pPr>
            <w:r>
              <w:rPr>
                <w:rFonts w:hint="eastAsia" w:ascii="宋体" w:hAnsi="宋体" w:eastAsia="宋体" w:cs="Times New Roman"/>
                <w:b/>
                <w:bCs/>
                <w:color w:val="auto"/>
                <w:sz w:val="21"/>
                <w:szCs w:val="21"/>
                <w:highlight w:val="none"/>
                <w:lang w:val="en-US" w:eastAsia="zh-CN"/>
              </w:rPr>
              <w:t>台</w:t>
            </w:r>
          </w:p>
        </w:tc>
      </w:tr>
      <w:tr w14:paraId="1AD610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36" w:type="pct"/>
            <w:tcBorders>
              <w:top w:val="single" w:color="auto" w:sz="4" w:space="0"/>
              <w:left w:val="single" w:color="auto" w:sz="4" w:space="0"/>
              <w:bottom w:val="single" w:color="auto" w:sz="4" w:space="0"/>
              <w:right w:val="single" w:color="auto" w:sz="4" w:space="0"/>
            </w:tcBorders>
            <w:vAlign w:val="center"/>
          </w:tcPr>
          <w:p w14:paraId="1178016D">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3</w:t>
            </w:r>
          </w:p>
        </w:tc>
        <w:tc>
          <w:tcPr>
            <w:tcW w:w="384" w:type="pct"/>
            <w:tcBorders>
              <w:top w:val="single" w:color="auto" w:sz="4" w:space="0"/>
              <w:left w:val="single" w:color="auto" w:sz="4" w:space="0"/>
              <w:bottom w:val="single" w:color="auto" w:sz="4" w:space="0"/>
              <w:right w:val="single" w:color="auto" w:sz="4" w:space="0"/>
            </w:tcBorders>
            <w:shd w:val="clear" w:color="auto" w:fill="auto"/>
            <w:vAlign w:val="center"/>
          </w:tcPr>
          <w:p w14:paraId="2C92AF28">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Times New Roman"/>
                <w:b/>
                <w:bCs/>
                <w:color w:val="auto"/>
                <w:sz w:val="21"/>
                <w:szCs w:val="21"/>
                <w:highlight w:val="none"/>
                <w:lang w:val="en-US" w:eastAsia="zh-CN"/>
              </w:rPr>
            </w:pPr>
            <w:r>
              <w:rPr>
                <w:rFonts w:hint="eastAsia" w:ascii="宋体" w:hAnsi="宋体" w:eastAsia="宋体" w:cs="Times New Roman"/>
                <w:b/>
                <w:bCs/>
                <w:color w:val="auto"/>
                <w:sz w:val="21"/>
                <w:szCs w:val="21"/>
                <w:highlight w:val="none"/>
              </w:rPr>
              <w:t>慰问信</w:t>
            </w:r>
          </w:p>
        </w:tc>
        <w:tc>
          <w:tcPr>
            <w:tcW w:w="4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A800DB">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Times New Roman"/>
                <w:b/>
                <w:bCs/>
                <w:color w:val="auto"/>
                <w:sz w:val="21"/>
                <w:szCs w:val="21"/>
                <w:highlight w:val="none"/>
                <w:lang w:val="en-US" w:eastAsia="zh-CN"/>
              </w:rPr>
            </w:pPr>
            <w:r>
              <w:rPr>
                <w:rFonts w:hint="eastAsia" w:ascii="宋体" w:hAnsi="宋体" w:eastAsia="宋体" w:cs="Times New Roman"/>
                <w:b/>
                <w:bCs/>
                <w:color w:val="auto"/>
                <w:sz w:val="21"/>
                <w:szCs w:val="21"/>
                <w:highlight w:val="none"/>
              </w:rPr>
              <w:t>工业</w:t>
            </w:r>
          </w:p>
        </w:tc>
        <w:tc>
          <w:tcPr>
            <w:tcW w:w="2474" w:type="pct"/>
            <w:tcBorders>
              <w:top w:val="single" w:color="auto" w:sz="4" w:space="0"/>
              <w:left w:val="single" w:color="auto" w:sz="4" w:space="0"/>
              <w:bottom w:val="single" w:color="auto" w:sz="4" w:space="0"/>
              <w:right w:val="single" w:color="auto" w:sz="4" w:space="0"/>
            </w:tcBorders>
            <w:shd w:val="clear" w:color="auto" w:fill="auto"/>
            <w:vAlign w:val="center"/>
          </w:tcPr>
          <w:p w14:paraId="08E7760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1.≥200克铜版纸慰问信，彩色印刷。</w:t>
            </w:r>
          </w:p>
          <w:p w14:paraId="75898F0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2.规格：A4。</w:t>
            </w:r>
          </w:p>
          <w:p w14:paraId="69B800B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eastAsia="宋体" w:cs="Times New Roman"/>
                <w:b/>
                <w:bCs/>
                <w:color w:val="auto"/>
                <w:kern w:val="2"/>
                <w:sz w:val="21"/>
                <w:szCs w:val="21"/>
                <w:highlight w:val="none"/>
                <w:lang w:val="en-US" w:eastAsia="zh-CN" w:bidi="ar-SA"/>
              </w:rPr>
            </w:pPr>
            <w:r>
              <w:rPr>
                <w:rFonts w:hint="eastAsia" w:ascii="宋体" w:hAnsi="宋体" w:cs="宋体"/>
                <w:b/>
                <w:bCs/>
                <w:color w:val="auto"/>
                <w:sz w:val="21"/>
                <w:szCs w:val="21"/>
                <w:highlight w:val="none"/>
              </w:rPr>
              <w:t>3.本次印刷图文需围绕慰问驻兴部队现役军人及兴安籍退役军人为主题，结合当地标志性图片，按实际情况设计制作完成，设计印刷方案需要通过采购人确认后方可印制。</w:t>
            </w:r>
          </w:p>
        </w:tc>
        <w:tc>
          <w:tcPr>
            <w:tcW w:w="715" w:type="pct"/>
            <w:tcBorders>
              <w:top w:val="single" w:color="auto" w:sz="4" w:space="0"/>
              <w:left w:val="single" w:color="auto" w:sz="4" w:space="0"/>
              <w:bottom w:val="single" w:color="auto" w:sz="4" w:space="0"/>
              <w:right w:val="single" w:color="auto" w:sz="4" w:space="0"/>
            </w:tcBorders>
            <w:vAlign w:val="center"/>
          </w:tcPr>
          <w:p w14:paraId="279AEEC4">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9800</w:t>
            </w:r>
          </w:p>
        </w:tc>
        <w:tc>
          <w:tcPr>
            <w:tcW w:w="646" w:type="pct"/>
            <w:tcBorders>
              <w:top w:val="single" w:color="auto" w:sz="4" w:space="0"/>
              <w:left w:val="single" w:color="auto" w:sz="4" w:space="0"/>
              <w:bottom w:val="single" w:color="auto" w:sz="4" w:space="0"/>
              <w:right w:val="single" w:color="auto" w:sz="4" w:space="0"/>
            </w:tcBorders>
            <w:vAlign w:val="center"/>
          </w:tcPr>
          <w:p w14:paraId="1694F25A">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Times New Roman"/>
                <w:b/>
                <w:bCs/>
                <w:color w:val="auto"/>
                <w:sz w:val="21"/>
                <w:szCs w:val="21"/>
                <w:highlight w:val="none"/>
                <w:lang w:eastAsia="zh-CN"/>
              </w:rPr>
            </w:pPr>
            <w:r>
              <w:rPr>
                <w:rFonts w:hint="eastAsia" w:ascii="宋体" w:hAnsi="宋体" w:eastAsia="宋体" w:cs="Times New Roman"/>
                <w:b/>
                <w:bCs/>
                <w:color w:val="auto"/>
                <w:sz w:val="21"/>
                <w:szCs w:val="21"/>
                <w:highlight w:val="none"/>
                <w:lang w:val="en-US" w:eastAsia="zh-CN"/>
              </w:rPr>
              <w:t>份</w:t>
            </w:r>
          </w:p>
        </w:tc>
      </w:tr>
      <w:tr w14:paraId="2F7711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14:paraId="4DC18E74">
            <w:pPr>
              <w:keepLines w:val="0"/>
              <w:pageBreakBefore w:val="0"/>
              <w:widowControl/>
              <w:kinsoku/>
              <w:wordWrap/>
              <w:overflowPunct/>
              <w:topLinePunct w:val="0"/>
              <w:autoSpaceDE/>
              <w:autoSpaceDN/>
              <w:bidi w:val="0"/>
              <w:adjustRightInd w:val="0"/>
              <w:snapToGrid w:val="0"/>
              <w:spacing w:line="360" w:lineRule="exact"/>
              <w:ind w:firstLine="0" w:firstLineChars="0"/>
              <w:textAlignment w:val="auto"/>
              <w:rPr>
                <w:rFonts w:hint="eastAsia" w:ascii="宋体" w:hAnsi="宋体"/>
                <w:b/>
                <w:color w:val="auto"/>
                <w:sz w:val="21"/>
                <w:szCs w:val="21"/>
                <w:highlight w:val="none"/>
              </w:rPr>
            </w:pPr>
            <w:r>
              <w:rPr>
                <w:rFonts w:hint="eastAsia" w:ascii="宋体" w:hAnsi="宋体"/>
                <w:b/>
                <w:color w:val="auto"/>
                <w:sz w:val="21"/>
                <w:szCs w:val="21"/>
                <w:highlight w:val="none"/>
              </w:rPr>
              <w:t>二、核心产品：本项目核心产品为第</w:t>
            </w:r>
            <w:r>
              <w:rPr>
                <w:rFonts w:hint="eastAsia" w:ascii="宋体" w:hAnsi="宋体"/>
                <w:b/>
                <w:color w:val="auto"/>
                <w:sz w:val="21"/>
                <w:szCs w:val="21"/>
                <w:highlight w:val="none"/>
                <w:lang w:val="en-US" w:eastAsia="zh-CN"/>
              </w:rPr>
              <w:t>2</w:t>
            </w:r>
            <w:r>
              <w:rPr>
                <w:rFonts w:hint="eastAsia" w:ascii="宋体" w:hAnsi="宋体"/>
                <w:b/>
                <w:color w:val="auto"/>
                <w:sz w:val="21"/>
                <w:szCs w:val="21"/>
                <w:highlight w:val="none"/>
              </w:rPr>
              <w:t>项号产品“</w:t>
            </w:r>
            <w:r>
              <w:rPr>
                <w:rFonts w:hint="eastAsia" w:ascii="宋体" w:hAnsi="宋体"/>
                <w:b/>
                <w:color w:val="auto"/>
                <w:sz w:val="21"/>
                <w:szCs w:val="21"/>
                <w:highlight w:val="none"/>
                <w:lang w:eastAsia="zh-CN"/>
              </w:rPr>
              <w:t>台式</w:t>
            </w:r>
            <w:r>
              <w:rPr>
                <w:rFonts w:hint="eastAsia" w:ascii="宋体" w:hAnsi="宋体"/>
                <w:b/>
                <w:color w:val="auto"/>
                <w:sz w:val="21"/>
                <w:szCs w:val="21"/>
                <w:highlight w:val="none"/>
              </w:rPr>
              <w:t>风扇”。</w:t>
            </w:r>
          </w:p>
        </w:tc>
      </w:tr>
      <w:tr w14:paraId="4638CD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14:paraId="1A5C2D8E">
            <w:pPr>
              <w:keepLines w:val="0"/>
              <w:pageBreakBefore w:val="0"/>
              <w:kinsoku/>
              <w:wordWrap/>
              <w:overflowPunct/>
              <w:topLinePunct w:val="0"/>
              <w:autoSpaceDE/>
              <w:autoSpaceDN/>
              <w:bidi w:val="0"/>
              <w:adjustRightInd w:val="0"/>
              <w:snapToGrid w:val="0"/>
              <w:spacing w:line="360" w:lineRule="exact"/>
              <w:ind w:firstLine="0" w:firstLineChars="0"/>
              <w:textAlignment w:val="auto"/>
              <w:rPr>
                <w:rFonts w:hint="eastAsia" w:ascii="宋体" w:hAnsi="宋体" w:cs="新宋体"/>
                <w:b/>
                <w:color w:val="auto"/>
                <w:kern w:val="0"/>
                <w:sz w:val="21"/>
                <w:szCs w:val="21"/>
                <w:highlight w:val="none"/>
              </w:rPr>
            </w:pPr>
            <w:r>
              <w:rPr>
                <w:rFonts w:hint="eastAsia" w:ascii="宋体" w:hAnsi="宋体" w:cs="新宋体"/>
                <w:b/>
                <w:color w:val="auto"/>
                <w:kern w:val="0"/>
                <w:sz w:val="21"/>
                <w:szCs w:val="21"/>
                <w:highlight w:val="none"/>
              </w:rPr>
              <w:t>三、商务要求</w:t>
            </w:r>
          </w:p>
        </w:tc>
      </w:tr>
      <w:tr w14:paraId="1C8C9B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 w:type="pct"/>
            <w:gridSpan w:val="3"/>
            <w:tcBorders>
              <w:top w:val="single" w:color="auto" w:sz="4" w:space="0"/>
              <w:left w:val="single" w:color="auto" w:sz="4" w:space="0"/>
              <w:bottom w:val="single" w:color="auto" w:sz="4" w:space="0"/>
              <w:right w:val="single" w:color="auto" w:sz="4" w:space="0"/>
            </w:tcBorders>
            <w:vAlign w:val="center"/>
          </w:tcPr>
          <w:p w14:paraId="5172B206">
            <w:pPr>
              <w:keepLines w:val="0"/>
              <w:pageBreakBefore w:val="0"/>
              <w:tabs>
                <w:tab w:val="left" w:pos="180"/>
                <w:tab w:val="left" w:pos="1620"/>
              </w:tabs>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color w:val="auto"/>
                <w:sz w:val="21"/>
                <w:szCs w:val="21"/>
                <w:highlight w:val="none"/>
              </w:rPr>
            </w:pPr>
            <w:r>
              <w:rPr>
                <w:rFonts w:hint="eastAsia" w:ascii="宋体" w:hAnsi="宋体" w:cs="新宋体"/>
                <w:b/>
                <w:color w:val="auto"/>
                <w:sz w:val="21"/>
                <w:szCs w:val="21"/>
                <w:highlight w:val="none"/>
              </w:rPr>
              <w:t>（一）</w:t>
            </w:r>
            <w:r>
              <w:rPr>
                <w:rFonts w:hint="eastAsia" w:ascii="宋体" w:hAnsi="宋体" w:cs="新宋体"/>
                <w:b/>
                <w:color w:val="auto"/>
                <w:kern w:val="0"/>
                <w:sz w:val="21"/>
                <w:szCs w:val="21"/>
                <w:highlight w:val="none"/>
              </w:rPr>
              <w:t>售后服务</w:t>
            </w:r>
          </w:p>
        </w:tc>
        <w:tc>
          <w:tcPr>
            <w:tcW w:w="4131" w:type="pct"/>
            <w:gridSpan w:val="4"/>
            <w:tcBorders>
              <w:top w:val="single" w:color="auto" w:sz="4" w:space="0"/>
              <w:left w:val="single" w:color="auto" w:sz="4" w:space="0"/>
              <w:bottom w:val="single" w:color="auto" w:sz="4" w:space="0"/>
              <w:right w:val="single" w:color="auto" w:sz="4" w:space="0"/>
            </w:tcBorders>
            <w:vAlign w:val="center"/>
          </w:tcPr>
          <w:p w14:paraId="6F6B5BFD">
            <w:pPr>
              <w:keepLines w:val="0"/>
              <w:pageBreakBefore w:val="0"/>
              <w:kinsoku/>
              <w:wordWrap/>
              <w:overflowPunct/>
              <w:topLinePunct w:val="0"/>
              <w:autoSpaceDE/>
              <w:autoSpaceDN/>
              <w:bidi w:val="0"/>
              <w:spacing w:line="360" w:lineRule="exact"/>
              <w:ind w:firstLine="0" w:firstLineChars="0"/>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供应商提供的以下售后服务产生的相关费用均应综合包含在报价中，采购人不再就此另行支付费用。售后服务内容要求如下：</w:t>
            </w:r>
          </w:p>
          <w:p w14:paraId="789CBC12">
            <w:pPr>
              <w:keepLines w:val="0"/>
              <w:pageBreakBefore w:val="0"/>
              <w:kinsoku/>
              <w:wordWrap/>
              <w:overflowPunct/>
              <w:topLinePunct w:val="0"/>
              <w:autoSpaceDE/>
              <w:autoSpaceDN/>
              <w:bidi w:val="0"/>
              <w:spacing w:line="360" w:lineRule="exact"/>
              <w:ind w:firstLine="0" w:firstLineChars="0"/>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1.保修</w:t>
            </w:r>
            <w:r>
              <w:rPr>
                <w:rFonts w:hint="eastAsia" w:ascii="宋体" w:hAnsi="宋体" w:cs="宋体"/>
                <w:b/>
                <w:bCs/>
                <w:color w:val="auto"/>
                <w:sz w:val="21"/>
                <w:szCs w:val="21"/>
                <w:highlight w:val="none"/>
                <w:lang w:eastAsia="zh-CN"/>
              </w:rPr>
              <w:t>（质保）</w:t>
            </w:r>
            <w:r>
              <w:rPr>
                <w:rFonts w:hint="eastAsia" w:ascii="宋体" w:hAnsi="宋体" w:cs="宋体"/>
                <w:b/>
                <w:bCs/>
                <w:color w:val="auto"/>
                <w:sz w:val="21"/>
                <w:szCs w:val="21"/>
                <w:highlight w:val="none"/>
              </w:rPr>
              <w:t>期：按国家有关产品“三包”规定执行“三包”，</w:t>
            </w:r>
            <w:r>
              <w:rPr>
                <w:rFonts w:hint="eastAsia" w:ascii="宋体" w:hAnsi="宋体" w:cs="宋体"/>
                <w:b/>
                <w:bCs/>
                <w:color w:val="auto"/>
                <w:sz w:val="21"/>
                <w:szCs w:val="21"/>
                <w:highlight w:val="none"/>
                <w:lang w:eastAsia="zh-CN"/>
              </w:rPr>
              <w:t>保修（质保）期</w:t>
            </w:r>
            <w:r>
              <w:rPr>
                <w:rFonts w:hint="eastAsia" w:ascii="宋体" w:hAnsi="宋体" w:cs="宋体"/>
                <w:b/>
                <w:bCs/>
                <w:color w:val="auto"/>
                <w:sz w:val="21"/>
                <w:szCs w:val="21"/>
                <w:highlight w:val="none"/>
              </w:rPr>
              <w:t>不少于2年，自验收合格之日起计。</w:t>
            </w:r>
            <w:r>
              <w:rPr>
                <w:rFonts w:hint="eastAsia" w:ascii="宋体" w:hAnsi="宋体" w:cs="宋体"/>
                <w:b/>
                <w:bCs/>
                <w:color w:val="auto"/>
                <w:sz w:val="21"/>
                <w:szCs w:val="21"/>
                <w:highlight w:val="none"/>
                <w:lang w:eastAsia="zh-CN"/>
              </w:rPr>
              <w:t>保修（质保）期</w:t>
            </w:r>
            <w:r>
              <w:rPr>
                <w:rFonts w:hint="eastAsia" w:ascii="宋体" w:hAnsi="宋体" w:cs="宋体"/>
                <w:b/>
                <w:bCs/>
                <w:color w:val="auto"/>
                <w:sz w:val="21"/>
                <w:szCs w:val="21"/>
                <w:highlight w:val="none"/>
              </w:rPr>
              <w:t>内负责上门保修</w:t>
            </w:r>
            <w:r>
              <w:rPr>
                <w:rFonts w:hint="eastAsia" w:ascii="宋体" w:hAnsi="宋体" w:cs="宋体"/>
                <w:b/>
                <w:bCs/>
                <w:color w:val="auto"/>
                <w:sz w:val="21"/>
                <w:szCs w:val="21"/>
                <w:highlight w:val="none"/>
                <w:lang w:eastAsia="zh-CN"/>
              </w:rPr>
              <w:t>（质保）</w:t>
            </w:r>
            <w:r>
              <w:rPr>
                <w:rFonts w:hint="eastAsia" w:ascii="宋体" w:hAnsi="宋体" w:cs="宋体"/>
                <w:b/>
                <w:bCs/>
                <w:color w:val="auto"/>
                <w:sz w:val="21"/>
                <w:szCs w:val="21"/>
                <w:highlight w:val="none"/>
              </w:rPr>
              <w:t>、包换、维护。</w:t>
            </w:r>
          </w:p>
          <w:p w14:paraId="7EBED73C">
            <w:pPr>
              <w:keepLines w:val="0"/>
              <w:pageBreakBefore w:val="0"/>
              <w:kinsoku/>
              <w:wordWrap/>
              <w:overflowPunct/>
              <w:topLinePunct w:val="0"/>
              <w:autoSpaceDE/>
              <w:autoSpaceDN/>
              <w:bidi w:val="0"/>
              <w:spacing w:line="360" w:lineRule="exact"/>
              <w:ind w:firstLine="0" w:firstLineChars="0"/>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2.技术服务及培训：采购范围内提供技术培训，保证使用人员能正常使用产品；其余按供应商的承诺执行。</w:t>
            </w:r>
          </w:p>
          <w:p w14:paraId="0B92DDC6">
            <w:pPr>
              <w:keepLines w:val="0"/>
              <w:pageBreakBefore w:val="0"/>
              <w:kinsoku/>
              <w:wordWrap/>
              <w:overflowPunct/>
              <w:topLinePunct w:val="0"/>
              <w:autoSpaceDE/>
              <w:autoSpaceDN/>
              <w:bidi w:val="0"/>
              <w:spacing w:line="360" w:lineRule="exact"/>
              <w:ind w:firstLine="0" w:firstLineChars="0"/>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3.售后服务的内容和措施：</w:t>
            </w:r>
          </w:p>
          <w:p w14:paraId="7F868AD3">
            <w:pPr>
              <w:keepLines w:val="0"/>
              <w:pageBreakBefore w:val="0"/>
              <w:kinsoku/>
              <w:wordWrap/>
              <w:overflowPunct/>
              <w:topLinePunct w:val="0"/>
              <w:autoSpaceDE/>
              <w:autoSpaceDN/>
              <w:bidi w:val="0"/>
              <w:spacing w:line="360" w:lineRule="exact"/>
              <w:ind w:firstLine="0" w:firstLineChars="0"/>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（1）采购范围内的货物送货上门。</w:t>
            </w:r>
          </w:p>
          <w:p w14:paraId="4AFADADE">
            <w:pPr>
              <w:keepLines w:val="0"/>
              <w:pageBreakBefore w:val="0"/>
              <w:kinsoku/>
              <w:wordWrap/>
              <w:overflowPunct/>
              <w:topLinePunct w:val="0"/>
              <w:autoSpaceDE/>
              <w:autoSpaceDN/>
              <w:bidi w:val="0"/>
              <w:spacing w:line="360" w:lineRule="exact"/>
              <w:ind w:firstLine="0" w:firstLineChars="0"/>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（2）提供售后服务联系电话及联系人，</w:t>
            </w:r>
            <w:r>
              <w:rPr>
                <w:rFonts w:hint="eastAsia" w:ascii="宋体" w:hAnsi="宋体" w:cs="宋体"/>
                <w:b/>
                <w:bCs/>
                <w:color w:val="auto"/>
                <w:sz w:val="21"/>
                <w:szCs w:val="21"/>
                <w:highlight w:val="none"/>
                <w:lang w:eastAsia="zh-CN"/>
              </w:rPr>
              <w:t>保修（质保）期</w:t>
            </w:r>
            <w:r>
              <w:rPr>
                <w:rFonts w:hint="eastAsia" w:ascii="宋体" w:hAnsi="宋体" w:cs="宋体"/>
                <w:b/>
                <w:bCs/>
                <w:color w:val="auto"/>
                <w:sz w:val="21"/>
                <w:szCs w:val="21"/>
                <w:highlight w:val="none"/>
              </w:rPr>
              <w:t>内，接到报障电话后在4小时内响应，24小时内上门维修解决问题。如果需要更换配件的，要求更换的配件应与被更换的设备品牌、类型相一致或者是同类同档次或以上产品。</w:t>
            </w:r>
          </w:p>
        </w:tc>
      </w:tr>
      <w:tr w14:paraId="4CACB9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 w:type="pct"/>
            <w:gridSpan w:val="3"/>
            <w:tcBorders>
              <w:top w:val="single" w:color="auto" w:sz="4" w:space="0"/>
              <w:left w:val="single" w:color="auto" w:sz="4" w:space="0"/>
              <w:bottom w:val="single" w:color="auto" w:sz="4" w:space="0"/>
              <w:right w:val="single" w:color="auto" w:sz="4" w:space="0"/>
            </w:tcBorders>
            <w:vAlign w:val="center"/>
          </w:tcPr>
          <w:p w14:paraId="5B59EB6A">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新宋体"/>
                <w:b/>
                <w:color w:val="auto"/>
                <w:kern w:val="0"/>
                <w:sz w:val="21"/>
                <w:szCs w:val="21"/>
                <w:highlight w:val="none"/>
              </w:rPr>
            </w:pPr>
            <w:r>
              <w:rPr>
                <w:rFonts w:hint="eastAsia" w:ascii="宋体" w:hAnsi="宋体" w:cs="新宋体"/>
                <w:b/>
                <w:color w:val="auto"/>
                <w:kern w:val="0"/>
                <w:sz w:val="21"/>
                <w:szCs w:val="21"/>
                <w:highlight w:val="none"/>
              </w:rPr>
              <w:t>（二）标的交付</w:t>
            </w:r>
          </w:p>
        </w:tc>
        <w:tc>
          <w:tcPr>
            <w:tcW w:w="4131" w:type="pct"/>
            <w:gridSpan w:val="4"/>
            <w:tcBorders>
              <w:top w:val="single" w:color="auto" w:sz="4" w:space="0"/>
              <w:left w:val="single" w:color="auto" w:sz="4" w:space="0"/>
              <w:bottom w:val="single" w:color="auto" w:sz="4" w:space="0"/>
              <w:right w:val="single" w:color="auto" w:sz="4" w:space="0"/>
            </w:tcBorders>
            <w:vAlign w:val="center"/>
          </w:tcPr>
          <w:p w14:paraId="6CA30A79">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bCs/>
                <w:color w:val="auto"/>
                <w:sz w:val="21"/>
                <w:szCs w:val="21"/>
                <w:highlight w:val="none"/>
              </w:rPr>
            </w:pPr>
            <w:r>
              <w:rPr>
                <w:rFonts w:hint="eastAsia" w:cs="宋体"/>
                <w:bCs/>
                <w:color w:val="auto"/>
                <w:sz w:val="21"/>
                <w:szCs w:val="21"/>
                <w:highlight w:val="none"/>
              </w:rPr>
              <w:t>1.交付时间：因本项目货物交付时间紧迫，供应商须于签订合同之日起</w:t>
            </w:r>
            <w:r>
              <w:rPr>
                <w:rFonts w:hint="eastAsia" w:cs="宋体"/>
                <w:bCs/>
                <w:color w:val="auto"/>
                <w:sz w:val="21"/>
                <w:szCs w:val="21"/>
                <w:highlight w:val="none"/>
                <w:lang w:val="en-US" w:eastAsia="zh-CN"/>
              </w:rPr>
              <w:t>10</w:t>
            </w:r>
            <w:r>
              <w:rPr>
                <w:rFonts w:hint="eastAsia" w:cs="宋体"/>
                <w:bCs/>
                <w:color w:val="auto"/>
                <w:sz w:val="21"/>
                <w:szCs w:val="21"/>
                <w:highlight w:val="none"/>
              </w:rPr>
              <w:t>日内交付并验收合格完毕，如延期交付的，按违约处理。</w:t>
            </w:r>
          </w:p>
          <w:p w14:paraId="1E9DFC0F">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bCs/>
                <w:color w:val="auto"/>
                <w:sz w:val="21"/>
                <w:szCs w:val="21"/>
                <w:highlight w:val="none"/>
              </w:rPr>
            </w:pPr>
            <w:r>
              <w:rPr>
                <w:rFonts w:hint="eastAsia" w:cs="宋体"/>
                <w:bCs/>
                <w:color w:val="auto"/>
                <w:sz w:val="21"/>
                <w:szCs w:val="21"/>
                <w:highlight w:val="none"/>
              </w:rPr>
              <w:t>2.交付地点：广西桂林市兴安县内采购人指定地点。</w:t>
            </w:r>
          </w:p>
        </w:tc>
      </w:tr>
      <w:tr w14:paraId="31B921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 w:type="pct"/>
            <w:gridSpan w:val="3"/>
            <w:tcBorders>
              <w:top w:val="single" w:color="auto" w:sz="4" w:space="0"/>
              <w:left w:val="single" w:color="auto" w:sz="4" w:space="0"/>
              <w:bottom w:val="single" w:color="auto" w:sz="4" w:space="0"/>
              <w:right w:val="single" w:color="auto" w:sz="4" w:space="0"/>
            </w:tcBorders>
            <w:vAlign w:val="center"/>
          </w:tcPr>
          <w:p w14:paraId="664F20F8">
            <w:pPr>
              <w:keepLines w:val="0"/>
              <w:pageBreakBefore w:val="0"/>
              <w:tabs>
                <w:tab w:val="left" w:pos="180"/>
                <w:tab w:val="left" w:pos="1620"/>
              </w:tabs>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b/>
                <w:color w:val="auto"/>
                <w:spacing w:val="-2"/>
                <w:sz w:val="21"/>
                <w:szCs w:val="21"/>
                <w:highlight w:val="none"/>
              </w:rPr>
            </w:pPr>
            <w:r>
              <w:rPr>
                <w:rFonts w:hint="eastAsia" w:ascii="宋体" w:hAnsi="宋体" w:cs="新宋体"/>
                <w:b/>
                <w:color w:val="auto"/>
                <w:kern w:val="0"/>
                <w:sz w:val="21"/>
                <w:szCs w:val="21"/>
                <w:highlight w:val="none"/>
              </w:rPr>
              <w:t>（三）付款方式</w:t>
            </w:r>
          </w:p>
        </w:tc>
        <w:tc>
          <w:tcPr>
            <w:tcW w:w="4131" w:type="pct"/>
            <w:gridSpan w:val="4"/>
            <w:tcBorders>
              <w:top w:val="single" w:color="auto" w:sz="4" w:space="0"/>
              <w:left w:val="single" w:color="auto" w:sz="4" w:space="0"/>
              <w:bottom w:val="single" w:color="auto" w:sz="4" w:space="0"/>
              <w:right w:val="single" w:color="auto" w:sz="4" w:space="0"/>
            </w:tcBorders>
            <w:vAlign w:val="center"/>
          </w:tcPr>
          <w:p w14:paraId="2AF6A486">
            <w:pPr>
              <w:keepLines w:val="0"/>
              <w:pageBreakBefore w:val="0"/>
              <w:tabs>
                <w:tab w:val="left" w:pos="180"/>
                <w:tab w:val="left" w:pos="1620"/>
              </w:tabs>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cs="新宋体"/>
                <w:b/>
                <w:color w:val="auto"/>
                <w:kern w:val="0"/>
                <w:sz w:val="21"/>
                <w:szCs w:val="21"/>
                <w:highlight w:val="none"/>
              </w:rPr>
            </w:pPr>
            <w:r>
              <w:rPr>
                <w:rFonts w:hint="eastAsia" w:ascii="宋体" w:hAnsi="宋体" w:cs="新宋体"/>
                <w:b/>
                <w:color w:val="auto"/>
                <w:kern w:val="0"/>
                <w:sz w:val="21"/>
                <w:szCs w:val="21"/>
                <w:highlight w:val="none"/>
              </w:rPr>
              <w:t>本项目无预付款，成交供应商交货并经验收合格后，采购人自收到成交供应商提供的全额正规合法含税发票后10个工作日内一次性付清合同款项（无息）。</w:t>
            </w:r>
          </w:p>
        </w:tc>
      </w:tr>
      <w:tr w14:paraId="7D9A06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68" w:type="pct"/>
            <w:gridSpan w:val="3"/>
            <w:tcBorders>
              <w:top w:val="single" w:color="auto" w:sz="4" w:space="0"/>
              <w:left w:val="single" w:color="auto" w:sz="4" w:space="0"/>
              <w:bottom w:val="single" w:color="auto" w:sz="4" w:space="0"/>
              <w:right w:val="single" w:color="auto" w:sz="4" w:space="0"/>
            </w:tcBorders>
            <w:vAlign w:val="center"/>
          </w:tcPr>
          <w:p w14:paraId="5789953D">
            <w:pPr>
              <w:keepLines w:val="0"/>
              <w:pageBreakBefore w:val="0"/>
              <w:tabs>
                <w:tab w:val="left" w:pos="180"/>
                <w:tab w:val="left" w:pos="1620"/>
              </w:tabs>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新宋体"/>
                <w:b/>
                <w:color w:val="auto"/>
                <w:kern w:val="0"/>
                <w:sz w:val="21"/>
                <w:szCs w:val="21"/>
                <w:highlight w:val="none"/>
              </w:rPr>
            </w:pPr>
            <w:r>
              <w:rPr>
                <w:rFonts w:hint="eastAsia" w:ascii="宋体" w:hAnsi="宋体" w:cs="新宋体"/>
                <w:b/>
                <w:color w:val="auto"/>
                <w:kern w:val="0"/>
                <w:sz w:val="21"/>
                <w:szCs w:val="21"/>
                <w:highlight w:val="none"/>
              </w:rPr>
              <w:t>（四）包装和运输</w:t>
            </w:r>
          </w:p>
        </w:tc>
        <w:tc>
          <w:tcPr>
            <w:tcW w:w="4131" w:type="pct"/>
            <w:gridSpan w:val="4"/>
            <w:tcBorders>
              <w:top w:val="single" w:color="auto" w:sz="4" w:space="0"/>
              <w:left w:val="single" w:color="auto" w:sz="4" w:space="0"/>
              <w:bottom w:val="single" w:color="auto" w:sz="4" w:space="0"/>
              <w:right w:val="single" w:color="auto" w:sz="4" w:space="0"/>
            </w:tcBorders>
            <w:vAlign w:val="center"/>
          </w:tcPr>
          <w:p w14:paraId="59ECD78D">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highlight w:val="none"/>
              </w:rPr>
            </w:pPr>
            <w:r>
              <w:rPr>
                <w:rFonts w:hint="eastAsia" w:cs="宋体"/>
                <w:color w:val="auto"/>
                <w:sz w:val="21"/>
                <w:szCs w:val="21"/>
                <w:highlight w:val="none"/>
              </w:rPr>
              <w:t>1.原厂原包装，包装完好完整、无破损、未开封。</w:t>
            </w:r>
          </w:p>
          <w:p w14:paraId="46A0F50C">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highlight w:val="none"/>
              </w:rPr>
            </w:pPr>
            <w:r>
              <w:rPr>
                <w:rFonts w:hint="eastAsia" w:cs="宋体"/>
                <w:color w:val="auto"/>
                <w:sz w:val="21"/>
                <w:szCs w:val="21"/>
                <w:highlight w:val="none"/>
              </w:rPr>
              <w:t>2.包装及运输方式应综合考虑运输距离、防潮、防震、防锈和防破损装卸等要求。</w:t>
            </w:r>
          </w:p>
          <w:p w14:paraId="575A2523">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highlight w:val="none"/>
              </w:rPr>
            </w:pPr>
            <w:r>
              <w:rPr>
                <w:rFonts w:hint="eastAsia" w:cs="宋体"/>
                <w:color w:val="auto"/>
                <w:sz w:val="21"/>
                <w:szCs w:val="21"/>
                <w:highlight w:val="none"/>
              </w:rPr>
              <w:t>3.国家对包装及运输有相关强制性标准或要求的，成交供应商应当执行。</w:t>
            </w:r>
          </w:p>
          <w:p w14:paraId="1906E511">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highlight w:val="none"/>
              </w:rPr>
            </w:pPr>
            <w:r>
              <w:rPr>
                <w:rFonts w:hint="eastAsia" w:cs="宋体"/>
                <w:color w:val="auto"/>
                <w:sz w:val="21"/>
                <w:szCs w:val="21"/>
                <w:highlight w:val="none"/>
              </w:rPr>
              <w:t>4.产品（含包装）运抵采购人指定交付地点前发生损坏的，相关损失由成交供应商自行承担。</w:t>
            </w:r>
          </w:p>
        </w:tc>
      </w:tr>
      <w:tr w14:paraId="6B00B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68" w:type="pct"/>
            <w:gridSpan w:val="3"/>
            <w:tcBorders>
              <w:top w:val="single" w:color="auto" w:sz="4" w:space="0"/>
              <w:left w:val="single" w:color="auto" w:sz="4" w:space="0"/>
              <w:bottom w:val="single" w:color="auto" w:sz="4" w:space="0"/>
              <w:right w:val="single" w:color="auto" w:sz="4" w:space="0"/>
            </w:tcBorders>
            <w:vAlign w:val="center"/>
          </w:tcPr>
          <w:p w14:paraId="376359C8">
            <w:pPr>
              <w:keepLines w:val="0"/>
              <w:pageBreakBefore w:val="0"/>
              <w:tabs>
                <w:tab w:val="left" w:pos="180"/>
                <w:tab w:val="left" w:pos="1620"/>
              </w:tabs>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新宋体"/>
                <w:b/>
                <w:color w:val="auto"/>
                <w:kern w:val="0"/>
                <w:sz w:val="21"/>
                <w:szCs w:val="21"/>
                <w:highlight w:val="none"/>
                <w:lang w:eastAsia="zh-CN"/>
              </w:rPr>
            </w:pPr>
            <w:r>
              <w:rPr>
                <w:rFonts w:hint="eastAsia" w:ascii="宋体" w:hAnsi="宋体" w:cs="新宋体"/>
                <w:b/>
                <w:color w:val="auto"/>
                <w:kern w:val="0"/>
                <w:sz w:val="21"/>
                <w:szCs w:val="21"/>
                <w:highlight w:val="none"/>
              </w:rPr>
              <w:t>（</w:t>
            </w:r>
            <w:r>
              <w:rPr>
                <w:rFonts w:hint="eastAsia" w:ascii="宋体" w:hAnsi="宋体" w:cs="新宋体"/>
                <w:b/>
                <w:color w:val="auto"/>
                <w:kern w:val="0"/>
                <w:sz w:val="21"/>
                <w:szCs w:val="21"/>
                <w:highlight w:val="none"/>
                <w:lang w:eastAsia="zh-CN"/>
              </w:rPr>
              <w:t>五</w:t>
            </w:r>
            <w:r>
              <w:rPr>
                <w:rFonts w:hint="eastAsia" w:ascii="宋体" w:hAnsi="宋体" w:cs="新宋体"/>
                <w:b/>
                <w:color w:val="auto"/>
                <w:kern w:val="0"/>
                <w:sz w:val="21"/>
                <w:szCs w:val="21"/>
                <w:highlight w:val="none"/>
              </w:rPr>
              <w:t>）</w:t>
            </w:r>
            <w:r>
              <w:rPr>
                <w:rFonts w:hint="eastAsia" w:ascii="宋体" w:hAnsi="宋体" w:cs="新宋体"/>
                <w:b/>
                <w:color w:val="auto"/>
                <w:kern w:val="0"/>
                <w:sz w:val="21"/>
                <w:szCs w:val="21"/>
                <w:highlight w:val="none"/>
                <w:lang w:eastAsia="zh-CN"/>
              </w:rPr>
              <w:t>印制主题标语要求</w:t>
            </w:r>
          </w:p>
        </w:tc>
        <w:tc>
          <w:tcPr>
            <w:tcW w:w="4131" w:type="pct"/>
            <w:gridSpan w:val="4"/>
            <w:tcBorders>
              <w:top w:val="single" w:color="auto" w:sz="4" w:space="0"/>
              <w:left w:val="single" w:color="auto" w:sz="4" w:space="0"/>
              <w:bottom w:val="single" w:color="auto" w:sz="4" w:space="0"/>
              <w:right w:val="single" w:color="auto" w:sz="4" w:space="0"/>
            </w:tcBorders>
            <w:vAlign w:val="center"/>
          </w:tcPr>
          <w:p w14:paraId="41064107">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highlight w:val="none"/>
              </w:rPr>
            </w:pPr>
            <w:r>
              <w:rPr>
                <w:rFonts w:hint="eastAsia" w:cs="宋体"/>
                <w:color w:val="auto"/>
                <w:sz w:val="21"/>
                <w:szCs w:val="21"/>
                <w:highlight w:val="none"/>
              </w:rPr>
              <w:t>成交供应商</w:t>
            </w:r>
            <w:r>
              <w:rPr>
                <w:rFonts w:hint="eastAsia" w:cs="宋体"/>
                <w:color w:val="auto"/>
                <w:sz w:val="21"/>
                <w:szCs w:val="21"/>
                <w:highlight w:val="none"/>
                <w:lang w:eastAsia="zh-CN"/>
              </w:rPr>
              <w:t>须负责为第</w:t>
            </w:r>
            <w:r>
              <w:rPr>
                <w:rFonts w:hint="eastAsia" w:cs="宋体"/>
                <w:color w:val="auto"/>
                <w:sz w:val="21"/>
                <w:szCs w:val="21"/>
                <w:highlight w:val="none"/>
                <w:lang w:val="en-US" w:eastAsia="zh-CN"/>
              </w:rPr>
              <w:t>1、2项号产品“</w:t>
            </w:r>
            <w:r>
              <w:rPr>
                <w:rFonts w:hint="eastAsia" w:cs="宋体"/>
                <w:color w:val="auto"/>
                <w:sz w:val="21"/>
                <w:szCs w:val="21"/>
                <w:highlight w:val="none"/>
              </w:rPr>
              <w:t>夏凉被</w:t>
            </w:r>
            <w:r>
              <w:rPr>
                <w:rFonts w:hint="eastAsia" w:cs="宋体"/>
                <w:color w:val="auto"/>
                <w:sz w:val="21"/>
                <w:szCs w:val="21"/>
                <w:highlight w:val="none"/>
                <w:lang w:val="en-US" w:eastAsia="zh-CN"/>
              </w:rPr>
              <w:t>”“</w:t>
            </w:r>
            <w:r>
              <w:rPr>
                <w:rFonts w:hint="eastAsia" w:cs="宋体"/>
                <w:color w:val="auto"/>
                <w:sz w:val="21"/>
                <w:szCs w:val="21"/>
                <w:highlight w:val="none"/>
                <w:lang w:eastAsia="zh-CN"/>
              </w:rPr>
              <w:t>台式</w:t>
            </w:r>
            <w:r>
              <w:rPr>
                <w:rFonts w:hint="eastAsia" w:cs="宋体"/>
                <w:color w:val="auto"/>
                <w:sz w:val="21"/>
                <w:szCs w:val="21"/>
                <w:highlight w:val="none"/>
              </w:rPr>
              <w:t>风扇</w:t>
            </w:r>
            <w:r>
              <w:rPr>
                <w:rFonts w:hint="eastAsia" w:cs="宋体"/>
                <w:color w:val="auto"/>
                <w:sz w:val="21"/>
                <w:szCs w:val="21"/>
                <w:highlight w:val="none"/>
                <w:lang w:val="en-US" w:eastAsia="zh-CN"/>
              </w:rPr>
              <w:t>”的外观</w:t>
            </w:r>
            <w:r>
              <w:rPr>
                <w:rFonts w:hint="eastAsia" w:cs="宋体"/>
                <w:color w:val="auto"/>
                <w:sz w:val="21"/>
                <w:szCs w:val="21"/>
                <w:highlight w:val="none"/>
                <w:lang w:eastAsia="zh-CN"/>
              </w:rPr>
              <w:t>印制主题标语（具体印制内容由采购人与成交供应商协商确定，所涉及的费用包含在报价中，采购人不再另行支付），成交供应商</w:t>
            </w:r>
            <w:r>
              <w:rPr>
                <w:rFonts w:hint="eastAsia" w:cs="宋体"/>
                <w:color w:val="auto"/>
                <w:sz w:val="21"/>
                <w:szCs w:val="21"/>
                <w:highlight w:val="none"/>
              </w:rPr>
              <w:t>于签订合同后供货前必须按响应文件承诺的技术要求向采购人提供</w:t>
            </w:r>
            <w:r>
              <w:rPr>
                <w:rFonts w:hint="eastAsia" w:cs="宋体"/>
                <w:color w:val="auto"/>
                <w:sz w:val="21"/>
                <w:szCs w:val="21"/>
                <w:highlight w:val="none"/>
                <w:lang w:eastAsia="zh-CN"/>
              </w:rPr>
              <w:t>上述相应产品供采购人与成交供应商协商确认印制主题标语的位置及内容</w:t>
            </w:r>
            <w:r>
              <w:rPr>
                <w:rFonts w:hint="eastAsia" w:cs="宋体"/>
                <w:color w:val="auto"/>
                <w:sz w:val="21"/>
                <w:szCs w:val="21"/>
                <w:highlight w:val="none"/>
              </w:rPr>
              <w:t>。</w:t>
            </w:r>
          </w:p>
        </w:tc>
      </w:tr>
      <w:tr w14:paraId="7F285E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 w:type="pct"/>
            <w:gridSpan w:val="3"/>
            <w:tcBorders>
              <w:top w:val="single" w:color="auto" w:sz="4" w:space="0"/>
              <w:left w:val="single" w:color="auto" w:sz="4" w:space="0"/>
              <w:bottom w:val="single" w:color="auto" w:sz="4" w:space="0"/>
              <w:right w:val="single" w:color="auto" w:sz="4" w:space="0"/>
            </w:tcBorders>
            <w:vAlign w:val="center"/>
          </w:tcPr>
          <w:p w14:paraId="625AEDA3">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新宋体"/>
                <w:b/>
                <w:color w:val="auto"/>
                <w:kern w:val="0"/>
                <w:sz w:val="21"/>
                <w:szCs w:val="21"/>
                <w:highlight w:val="none"/>
              </w:rPr>
            </w:pPr>
            <w:r>
              <w:rPr>
                <w:rFonts w:hint="eastAsia" w:ascii="宋体" w:hAnsi="宋体" w:cs="新宋体"/>
                <w:b/>
                <w:color w:val="auto"/>
                <w:kern w:val="0"/>
                <w:sz w:val="21"/>
                <w:szCs w:val="21"/>
                <w:highlight w:val="none"/>
              </w:rPr>
              <w:t>（</w:t>
            </w:r>
            <w:r>
              <w:rPr>
                <w:rFonts w:hint="eastAsia" w:ascii="宋体" w:hAnsi="宋体" w:cs="新宋体"/>
                <w:b/>
                <w:color w:val="auto"/>
                <w:kern w:val="0"/>
                <w:sz w:val="21"/>
                <w:szCs w:val="21"/>
                <w:highlight w:val="none"/>
                <w:lang w:eastAsia="zh-CN"/>
              </w:rPr>
              <w:t>六</w:t>
            </w:r>
            <w:r>
              <w:rPr>
                <w:rFonts w:hint="eastAsia" w:ascii="宋体" w:hAnsi="宋体" w:cs="新宋体"/>
                <w:b/>
                <w:color w:val="auto"/>
                <w:kern w:val="0"/>
                <w:sz w:val="21"/>
                <w:szCs w:val="21"/>
                <w:highlight w:val="none"/>
              </w:rPr>
              <w:t>）质量标准及验收标准</w:t>
            </w:r>
          </w:p>
        </w:tc>
        <w:tc>
          <w:tcPr>
            <w:tcW w:w="4131" w:type="pct"/>
            <w:gridSpan w:val="4"/>
            <w:tcBorders>
              <w:top w:val="single" w:color="auto" w:sz="4" w:space="0"/>
              <w:left w:val="single" w:color="auto" w:sz="4" w:space="0"/>
              <w:bottom w:val="single" w:color="auto" w:sz="4" w:space="0"/>
              <w:right w:val="single" w:color="auto" w:sz="4" w:space="0"/>
            </w:tcBorders>
            <w:vAlign w:val="center"/>
          </w:tcPr>
          <w:p w14:paraId="14B21010">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highlight w:val="none"/>
              </w:rPr>
            </w:pPr>
            <w:r>
              <w:rPr>
                <w:rFonts w:hint="eastAsia" w:cs="宋体"/>
                <w:color w:val="auto"/>
                <w:sz w:val="21"/>
                <w:szCs w:val="21"/>
                <w:highlight w:val="none"/>
              </w:rPr>
              <w:t>1.</w:t>
            </w:r>
            <w:r>
              <w:rPr>
                <w:rFonts w:hint="eastAsia"/>
                <w:color w:val="auto"/>
                <w:sz w:val="21"/>
                <w:szCs w:val="21"/>
                <w:highlight w:val="none"/>
              </w:rPr>
              <w:t>成交供应商应按响应文件承诺的货物规格型号、技术参数、质量标准等向采购人提供未经使用的全新原装产品，</w:t>
            </w:r>
            <w:r>
              <w:rPr>
                <w:rFonts w:hint="eastAsia" w:cs="宋体"/>
                <w:color w:val="auto"/>
                <w:sz w:val="21"/>
                <w:szCs w:val="21"/>
                <w:highlight w:val="none"/>
              </w:rPr>
              <w:t>产品质量须符合国家相关标准及安全规范，</w:t>
            </w:r>
            <w:r>
              <w:rPr>
                <w:rFonts w:hint="eastAsia"/>
                <w:color w:val="auto"/>
                <w:sz w:val="21"/>
                <w:szCs w:val="21"/>
                <w:highlight w:val="none"/>
              </w:rPr>
              <w:t>且在正常安装使用和保养条件下，其使用寿命期内各项指标均达到质量标准。</w:t>
            </w:r>
          </w:p>
          <w:p w14:paraId="6A0382AF">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highlight w:val="none"/>
                <w:lang w:eastAsia="zh-CN"/>
              </w:rPr>
            </w:pPr>
            <w:r>
              <w:rPr>
                <w:rFonts w:hint="eastAsia" w:cs="宋体"/>
                <w:color w:val="auto"/>
                <w:sz w:val="21"/>
                <w:szCs w:val="21"/>
                <w:highlight w:val="none"/>
              </w:rPr>
              <w:t>2.</w:t>
            </w:r>
            <w:r>
              <w:rPr>
                <w:rFonts w:hint="eastAsia" w:cs="宋体"/>
                <w:color w:val="auto"/>
                <w:sz w:val="21"/>
                <w:szCs w:val="21"/>
                <w:highlight w:val="none"/>
                <w:lang w:eastAsia="zh-CN"/>
              </w:rPr>
              <w:t>成交供应商必须</w:t>
            </w:r>
            <w:r>
              <w:rPr>
                <w:rFonts w:hint="eastAsia" w:cs="宋体"/>
                <w:color w:val="auto"/>
                <w:sz w:val="21"/>
                <w:szCs w:val="21"/>
                <w:highlight w:val="none"/>
                <w:lang w:val="en-US" w:eastAsia="zh-CN"/>
              </w:rPr>
              <w:t>于供货时</w:t>
            </w:r>
            <w:r>
              <w:rPr>
                <w:rFonts w:hint="eastAsia" w:cs="宋体"/>
                <w:color w:val="auto"/>
                <w:sz w:val="21"/>
                <w:szCs w:val="21"/>
                <w:highlight w:val="none"/>
                <w:lang w:eastAsia="zh-CN"/>
              </w:rPr>
              <w:t>提供所竞第</w:t>
            </w:r>
            <w:r>
              <w:rPr>
                <w:rFonts w:hint="eastAsia" w:cs="宋体"/>
                <w:color w:val="auto"/>
                <w:sz w:val="21"/>
                <w:szCs w:val="21"/>
                <w:highlight w:val="none"/>
                <w:lang w:val="en-US" w:eastAsia="zh-CN"/>
              </w:rPr>
              <w:t>1、2项号产品“</w:t>
            </w:r>
            <w:r>
              <w:rPr>
                <w:rFonts w:hint="eastAsia" w:cs="宋体"/>
                <w:color w:val="auto"/>
                <w:sz w:val="21"/>
                <w:szCs w:val="21"/>
                <w:highlight w:val="none"/>
              </w:rPr>
              <w:t>夏凉被</w:t>
            </w:r>
            <w:r>
              <w:rPr>
                <w:rFonts w:hint="eastAsia" w:cs="宋体"/>
                <w:color w:val="auto"/>
                <w:sz w:val="21"/>
                <w:szCs w:val="21"/>
                <w:highlight w:val="none"/>
                <w:lang w:val="en-US" w:eastAsia="zh-CN"/>
              </w:rPr>
              <w:t>”、“</w:t>
            </w:r>
            <w:r>
              <w:rPr>
                <w:rFonts w:hint="eastAsia" w:cs="宋体"/>
                <w:color w:val="auto"/>
                <w:sz w:val="21"/>
                <w:szCs w:val="21"/>
                <w:highlight w:val="none"/>
                <w:lang w:eastAsia="zh-CN"/>
              </w:rPr>
              <w:t>台式</w:t>
            </w:r>
            <w:r>
              <w:rPr>
                <w:rFonts w:hint="eastAsia" w:cs="宋体"/>
                <w:color w:val="auto"/>
                <w:sz w:val="21"/>
                <w:szCs w:val="21"/>
                <w:highlight w:val="none"/>
              </w:rPr>
              <w:t>风扇</w:t>
            </w:r>
            <w:r>
              <w:rPr>
                <w:rFonts w:hint="eastAsia" w:cs="宋体"/>
                <w:color w:val="auto"/>
                <w:sz w:val="21"/>
                <w:szCs w:val="21"/>
                <w:highlight w:val="none"/>
                <w:lang w:val="en-US" w:eastAsia="zh-CN"/>
              </w:rPr>
              <w:t>”的所有产品合格证原件，否则不予验收，</w:t>
            </w:r>
            <w:r>
              <w:rPr>
                <w:rFonts w:hint="eastAsia" w:cs="宋体"/>
                <w:color w:val="auto"/>
                <w:sz w:val="21"/>
                <w:szCs w:val="21"/>
                <w:highlight w:val="none"/>
              </w:rPr>
              <w:t>并按违约处理，采购人有权保留追究成交供应商的相关法律责任的权利。</w:t>
            </w:r>
          </w:p>
          <w:p w14:paraId="7551519B">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highlight w:val="none"/>
              </w:rPr>
            </w:pPr>
            <w:r>
              <w:rPr>
                <w:rFonts w:hint="eastAsia" w:cs="宋体"/>
                <w:color w:val="auto"/>
                <w:sz w:val="21"/>
                <w:szCs w:val="21"/>
                <w:highlight w:val="none"/>
                <w:lang w:val="en-US" w:eastAsia="zh-CN"/>
              </w:rPr>
              <w:t>3.</w:t>
            </w:r>
            <w:r>
              <w:rPr>
                <w:rFonts w:hint="eastAsia" w:cs="宋体"/>
                <w:color w:val="auto"/>
                <w:sz w:val="21"/>
                <w:szCs w:val="21"/>
                <w:highlight w:val="none"/>
              </w:rPr>
              <w:t>到货后，成交供应商和采购人应在现场进行清点</w:t>
            </w:r>
            <w:r>
              <w:rPr>
                <w:rFonts w:hint="eastAsia" w:cs="宋体"/>
                <w:color w:val="auto"/>
                <w:sz w:val="21"/>
                <w:szCs w:val="21"/>
                <w:highlight w:val="none"/>
                <w:lang w:eastAsia="zh-CN"/>
              </w:rPr>
              <w:t>，</w:t>
            </w:r>
            <w:r>
              <w:rPr>
                <w:rFonts w:hint="eastAsia" w:cs="宋体"/>
                <w:color w:val="auto"/>
                <w:sz w:val="21"/>
                <w:szCs w:val="21"/>
                <w:highlight w:val="none"/>
              </w:rPr>
              <w:t>清点过程中如果发现因包装或运输不当引起的损坏，或发现错发/漏发情况，成交供应商应一周内更换和补发。</w:t>
            </w:r>
          </w:p>
          <w:p w14:paraId="422881C2">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highlight w:val="none"/>
              </w:rPr>
            </w:pPr>
            <w:r>
              <w:rPr>
                <w:rFonts w:hint="eastAsia" w:cs="宋体"/>
                <w:color w:val="auto"/>
                <w:sz w:val="21"/>
                <w:szCs w:val="21"/>
                <w:highlight w:val="none"/>
                <w:lang w:val="en-US" w:eastAsia="zh-CN"/>
              </w:rPr>
              <w:t>4</w:t>
            </w:r>
            <w:r>
              <w:rPr>
                <w:rFonts w:hint="eastAsia" w:cs="宋体"/>
                <w:color w:val="auto"/>
                <w:sz w:val="21"/>
                <w:szCs w:val="21"/>
                <w:highlight w:val="none"/>
              </w:rPr>
              <w:t>.成交供应商合同签订后供货前必须向采购人提供“采购需求一览表”“技术要求”中的所要求对应的</w:t>
            </w:r>
            <w:r>
              <w:rPr>
                <w:rFonts w:hint="eastAsia" w:cs="宋体"/>
                <w:color w:val="auto"/>
                <w:sz w:val="21"/>
                <w:szCs w:val="21"/>
                <w:highlight w:val="none"/>
                <w:lang w:eastAsia="zh-CN"/>
              </w:rPr>
              <w:t>检测</w:t>
            </w:r>
            <w:r>
              <w:rPr>
                <w:rFonts w:hint="eastAsia" w:cs="宋体"/>
                <w:color w:val="auto"/>
                <w:sz w:val="21"/>
                <w:szCs w:val="21"/>
                <w:highlight w:val="none"/>
              </w:rPr>
              <w:t>报告原件供采购人核查，未提供</w:t>
            </w:r>
            <w:r>
              <w:rPr>
                <w:rFonts w:hint="eastAsia" w:cs="宋体"/>
                <w:color w:val="auto"/>
                <w:sz w:val="21"/>
                <w:szCs w:val="21"/>
                <w:highlight w:val="none"/>
                <w:lang w:eastAsia="zh-CN"/>
              </w:rPr>
              <w:t>检测</w:t>
            </w:r>
            <w:r>
              <w:rPr>
                <w:rFonts w:hint="eastAsia" w:cs="宋体"/>
                <w:color w:val="auto"/>
                <w:sz w:val="21"/>
                <w:szCs w:val="21"/>
                <w:highlight w:val="none"/>
              </w:rPr>
              <w:t>报告原件或所提供的</w:t>
            </w:r>
            <w:r>
              <w:rPr>
                <w:rFonts w:hint="eastAsia" w:cs="宋体"/>
                <w:color w:val="auto"/>
                <w:sz w:val="21"/>
                <w:szCs w:val="21"/>
                <w:highlight w:val="none"/>
                <w:lang w:eastAsia="zh-CN"/>
              </w:rPr>
              <w:t>检测</w:t>
            </w:r>
            <w:r>
              <w:rPr>
                <w:rFonts w:hint="eastAsia" w:cs="宋体"/>
                <w:color w:val="auto"/>
                <w:sz w:val="21"/>
                <w:szCs w:val="21"/>
                <w:highlight w:val="none"/>
              </w:rPr>
              <w:t>报告原件与响应文件中</w:t>
            </w:r>
            <w:r>
              <w:rPr>
                <w:rFonts w:hint="eastAsia" w:cs="宋体"/>
                <w:color w:val="auto"/>
                <w:sz w:val="21"/>
                <w:szCs w:val="21"/>
                <w:highlight w:val="none"/>
                <w:lang w:eastAsia="zh-CN"/>
              </w:rPr>
              <w:t>检测</w:t>
            </w:r>
            <w:r>
              <w:rPr>
                <w:rFonts w:hint="eastAsia" w:cs="宋体"/>
                <w:color w:val="auto"/>
                <w:sz w:val="21"/>
                <w:szCs w:val="21"/>
                <w:highlight w:val="none"/>
              </w:rPr>
              <w:t>报告复印件不一致的，不予验收，并按违约处理，采购人有权保留追究成交供应商的相关法律责任的权利。</w:t>
            </w:r>
          </w:p>
          <w:p w14:paraId="6787F879">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highlight w:val="none"/>
              </w:rPr>
            </w:pPr>
            <w:r>
              <w:rPr>
                <w:rFonts w:hint="eastAsia" w:cs="宋体"/>
                <w:color w:val="auto"/>
                <w:sz w:val="21"/>
                <w:szCs w:val="21"/>
                <w:highlight w:val="none"/>
                <w:lang w:val="en-US" w:eastAsia="zh-CN"/>
              </w:rPr>
              <w:t>5</w:t>
            </w:r>
            <w:r>
              <w:rPr>
                <w:rFonts w:hint="eastAsia" w:cs="宋体"/>
                <w:color w:val="auto"/>
                <w:sz w:val="21"/>
                <w:szCs w:val="21"/>
                <w:highlight w:val="none"/>
              </w:rPr>
              <w:t>.采购人对成交产品按采购需求逐条核验，并在验收时</w:t>
            </w:r>
            <w:r>
              <w:rPr>
                <w:rFonts w:hint="eastAsia" w:cs="宋体"/>
                <w:color w:val="auto"/>
                <w:sz w:val="21"/>
                <w:szCs w:val="21"/>
                <w:highlight w:val="none"/>
                <w:lang w:eastAsia="zh-CN"/>
              </w:rPr>
              <w:t>对“</w:t>
            </w:r>
            <w:r>
              <w:rPr>
                <w:rFonts w:hint="eastAsia" w:ascii="宋体" w:hAnsi="宋体" w:cs="Times New Roman"/>
                <w:b/>
                <w:bCs/>
                <w:color w:val="auto"/>
                <w:sz w:val="21"/>
                <w:szCs w:val="21"/>
                <w:highlight w:val="none"/>
                <w:lang w:eastAsia="zh-CN"/>
              </w:rPr>
              <w:t>台式</w:t>
            </w:r>
            <w:r>
              <w:rPr>
                <w:rFonts w:hint="eastAsia" w:ascii="宋体" w:hAnsi="宋体" w:eastAsia="宋体" w:cs="Times New Roman"/>
                <w:b/>
                <w:bCs/>
                <w:color w:val="auto"/>
                <w:sz w:val="21"/>
                <w:szCs w:val="21"/>
                <w:highlight w:val="none"/>
              </w:rPr>
              <w:t>风扇</w:t>
            </w:r>
            <w:r>
              <w:rPr>
                <w:rFonts w:hint="eastAsia" w:cs="宋体"/>
                <w:color w:val="auto"/>
                <w:sz w:val="21"/>
                <w:szCs w:val="21"/>
                <w:highlight w:val="none"/>
                <w:lang w:eastAsia="zh-CN"/>
              </w:rPr>
              <w:t>”</w:t>
            </w:r>
            <w:r>
              <w:rPr>
                <w:rFonts w:hint="eastAsia" w:cs="宋体"/>
                <w:color w:val="auto"/>
                <w:sz w:val="21"/>
                <w:szCs w:val="21"/>
                <w:highlight w:val="none"/>
              </w:rPr>
              <w:t>抽样进行通电试用，如所提供的产品与响应文件中承诺的参数与产品实际参数不一致，采购人将不予接收，由此造成的损失由成交供应商负责。</w:t>
            </w:r>
          </w:p>
          <w:p w14:paraId="59F35E55">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宋体"/>
                <w:color w:val="auto"/>
                <w:sz w:val="21"/>
                <w:szCs w:val="21"/>
                <w:highlight w:val="none"/>
              </w:rPr>
            </w:pPr>
            <w:r>
              <w:rPr>
                <w:rFonts w:hint="eastAsia" w:cs="宋体"/>
                <w:color w:val="auto"/>
                <w:sz w:val="21"/>
                <w:szCs w:val="21"/>
                <w:highlight w:val="none"/>
                <w:lang w:val="en-US" w:eastAsia="zh-CN"/>
              </w:rPr>
              <w:t>6</w:t>
            </w:r>
            <w:r>
              <w:rPr>
                <w:rFonts w:hint="eastAsia" w:cs="宋体"/>
                <w:color w:val="auto"/>
                <w:sz w:val="21"/>
                <w:szCs w:val="21"/>
                <w:highlight w:val="none"/>
              </w:rPr>
              <w:t>.成交供应商如虚假应标，一经查实，将按虚假应标处理，由此造成的一切损失由成交供应商承担，且采购人保留追究其法律责任的权利。</w:t>
            </w:r>
          </w:p>
        </w:tc>
      </w:tr>
      <w:tr w14:paraId="16D374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CF45162">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新宋体"/>
                <w:b/>
                <w:color w:val="auto"/>
                <w:kern w:val="0"/>
                <w:sz w:val="21"/>
                <w:szCs w:val="21"/>
                <w:highlight w:val="none"/>
              </w:rPr>
            </w:pPr>
            <w:r>
              <w:rPr>
                <w:rFonts w:hint="eastAsia" w:ascii="宋体" w:hAnsi="宋体" w:cs="新宋体"/>
                <w:b/>
                <w:color w:val="auto"/>
                <w:kern w:val="0"/>
                <w:sz w:val="21"/>
                <w:szCs w:val="21"/>
                <w:highlight w:val="none"/>
              </w:rPr>
              <w:t>（</w:t>
            </w:r>
            <w:r>
              <w:rPr>
                <w:rFonts w:hint="eastAsia" w:ascii="宋体" w:hAnsi="宋体" w:cs="新宋体"/>
                <w:b/>
                <w:color w:val="auto"/>
                <w:kern w:val="0"/>
                <w:sz w:val="21"/>
                <w:szCs w:val="21"/>
                <w:highlight w:val="none"/>
                <w:lang w:eastAsia="zh-CN"/>
              </w:rPr>
              <w:t>七</w:t>
            </w:r>
            <w:r>
              <w:rPr>
                <w:rFonts w:hint="eastAsia" w:ascii="宋体" w:hAnsi="宋体" w:cs="新宋体"/>
                <w:b/>
                <w:color w:val="auto"/>
                <w:kern w:val="0"/>
                <w:sz w:val="21"/>
                <w:szCs w:val="21"/>
                <w:highlight w:val="none"/>
              </w:rPr>
              <w:t>）</w:t>
            </w:r>
            <w:r>
              <w:rPr>
                <w:rFonts w:hint="eastAsia" w:cs="新宋体"/>
                <w:b/>
                <w:color w:val="auto"/>
                <w:kern w:val="0"/>
                <w:sz w:val="21"/>
                <w:szCs w:val="21"/>
                <w:highlight w:val="none"/>
              </w:rPr>
              <w:t>其他要求</w:t>
            </w:r>
          </w:p>
        </w:tc>
        <w:tc>
          <w:tcPr>
            <w:tcW w:w="4131"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D5CFDC">
            <w:pPr>
              <w:pStyle w:val="204"/>
              <w:keepNext/>
              <w:keepLines w:val="0"/>
              <w:pageBreakBefore w:val="0"/>
              <w:widowControl/>
              <w:kinsoku/>
              <w:wordWrap/>
              <w:overflowPunct/>
              <w:topLinePunct w:val="0"/>
              <w:autoSpaceDE/>
              <w:autoSpaceDN/>
              <w:bidi w:val="0"/>
              <w:adjustRightInd w:val="0"/>
              <w:snapToGrid w:val="0"/>
              <w:spacing w:before="0" w:after="0" w:line="360" w:lineRule="exact"/>
              <w:textAlignment w:val="auto"/>
              <w:outlineLvl w:val="1"/>
              <w:rPr>
                <w:rFonts w:hint="eastAsia" w:cs="新宋体"/>
                <w:color w:val="auto"/>
                <w:kern w:val="0"/>
                <w:sz w:val="21"/>
                <w:szCs w:val="21"/>
                <w:highlight w:val="none"/>
              </w:rPr>
            </w:pPr>
            <w:r>
              <w:rPr>
                <w:rFonts w:hint="eastAsia" w:cs="新宋体"/>
                <w:color w:val="auto"/>
                <w:kern w:val="0"/>
                <w:sz w:val="21"/>
                <w:szCs w:val="21"/>
                <w:highlight w:val="none"/>
              </w:rPr>
              <w:t>本项目货物均不接受进口产品（即通过中国海关报关验放进入中国境内且产自关境外的产品）参与竞标，如有进口产品参与竞标的，其响应文件按无效处理。</w:t>
            </w:r>
          </w:p>
        </w:tc>
      </w:tr>
    </w:tbl>
    <w:p w14:paraId="3A85DF86">
      <w:pPr>
        <w:pStyle w:val="40"/>
        <w:rPr>
          <w:color w:val="auto"/>
          <w:kern w:val="0"/>
          <w:highlight w:val="none"/>
        </w:rPr>
      </w:pPr>
      <w:r>
        <w:rPr>
          <w:color w:val="auto"/>
          <w:kern w:val="0"/>
          <w:highlight w:val="none"/>
        </w:rPr>
        <w:br w:type="page"/>
      </w:r>
      <w:bookmarkStart w:id="40" w:name="_Toc155531035"/>
      <w:r>
        <w:rPr>
          <w:rFonts w:hint="eastAsia"/>
          <w:color w:val="auto"/>
          <w:kern w:val="0"/>
          <w:highlight w:val="none"/>
        </w:rPr>
        <w:t>第四章评审办法</w:t>
      </w:r>
      <w:bookmarkEnd w:id="40"/>
    </w:p>
    <w:p w14:paraId="07157DCB">
      <w:pPr>
        <w:spacing w:line="400" w:lineRule="exact"/>
        <w:ind w:firstLine="413" w:firstLineChars="196"/>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一、评审依据及方式</w:t>
      </w:r>
    </w:p>
    <w:p w14:paraId="538A7537">
      <w:pPr>
        <w:adjustRightInd w:val="0"/>
        <w:snapToGrid w:val="0"/>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1.评审依据：谈判小组以竞争性谈判文件和响应文件为评审依据。</w:t>
      </w:r>
    </w:p>
    <w:p w14:paraId="63FAA6A6">
      <w:pPr>
        <w:adjustRightInd w:val="0"/>
        <w:snapToGrid w:val="0"/>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2.评审方式：以封闭方式进行评审。</w:t>
      </w:r>
    </w:p>
    <w:p w14:paraId="197D5821">
      <w:pPr>
        <w:adjustRightInd w:val="0"/>
        <w:snapToGrid w:val="0"/>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3.根据财库〔2012〕69号文规定，采购人和采购代理机构，谈判小组成员要严格遵守政府采购相关法律制度，依法履行各自职责，公正、客观、审慎地组织和参与评审工作。</w:t>
      </w:r>
    </w:p>
    <w:p w14:paraId="30AD00DC">
      <w:pPr>
        <w:adjustRightInd w:val="0"/>
        <w:snapToGrid w:val="0"/>
        <w:spacing w:line="400" w:lineRule="exact"/>
        <w:ind w:firstLine="422"/>
        <w:rPr>
          <w:rFonts w:hint="eastAsia" w:ascii="宋体" w:hAnsi="宋体" w:cs="宋体"/>
          <w:b/>
          <w:bCs/>
          <w:color w:val="auto"/>
          <w:kern w:val="0"/>
          <w:sz w:val="21"/>
          <w:szCs w:val="21"/>
          <w:highlight w:val="none"/>
        </w:rPr>
      </w:pPr>
    </w:p>
    <w:p w14:paraId="139CA21F">
      <w:pPr>
        <w:adjustRightInd w:val="0"/>
        <w:snapToGrid w:val="0"/>
        <w:spacing w:line="400" w:lineRule="exact"/>
        <w:ind w:firstLine="422"/>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二、评审办法</w:t>
      </w:r>
    </w:p>
    <w:p w14:paraId="4173C024">
      <w:pPr>
        <w:pStyle w:val="24"/>
        <w:spacing w:line="380" w:lineRule="exact"/>
        <w:ind w:firstLine="480"/>
        <w:rPr>
          <w:rFonts w:hint="eastAsia" w:ascii="宋体" w:hAnsi="宋体" w:cs="Arial"/>
          <w:color w:val="auto"/>
          <w:sz w:val="21"/>
          <w:szCs w:val="21"/>
          <w:highlight w:val="none"/>
        </w:rPr>
      </w:pPr>
      <w:r>
        <w:rPr>
          <w:rFonts w:hint="eastAsia" w:ascii="宋体" w:hAnsi="宋体" w:cs="Arial"/>
          <w:color w:val="auto"/>
          <w:sz w:val="21"/>
          <w:szCs w:val="21"/>
          <w:highlight w:val="none"/>
        </w:rPr>
        <w:t>1.谈判小组应当从质量和服务均能满足竞争性谈判文件全部实质性要求的供应商中，按照评审报价由低到高顺序提出3名以上（含3名）成交候选人。</w:t>
      </w:r>
    </w:p>
    <w:p w14:paraId="3A98DB70">
      <w:pPr>
        <w:pStyle w:val="24"/>
        <w:spacing w:line="380" w:lineRule="exact"/>
        <w:ind w:firstLine="480"/>
        <w:rPr>
          <w:rFonts w:hint="eastAsia" w:ascii="宋体" w:hAnsi="宋体" w:eastAsia="宋体" w:cs="Arial"/>
          <w:color w:val="auto"/>
          <w:sz w:val="21"/>
          <w:szCs w:val="21"/>
          <w:highlight w:val="none"/>
          <w:lang w:val="en-US" w:eastAsia="zh-CN"/>
        </w:rPr>
      </w:pPr>
      <w:r>
        <w:rPr>
          <w:rFonts w:hint="eastAsia" w:ascii="宋体" w:hAnsi="宋体" w:eastAsia="宋体" w:cs="Arial"/>
          <w:color w:val="auto"/>
          <w:sz w:val="21"/>
          <w:szCs w:val="21"/>
          <w:highlight w:val="none"/>
          <w:lang w:val="en-US" w:eastAsia="zh-CN"/>
        </w:rPr>
        <w:t>2.政策性扣除计算方法</w:t>
      </w:r>
    </w:p>
    <w:p w14:paraId="7D05B7B7">
      <w:pPr>
        <w:spacing w:line="360" w:lineRule="exact"/>
        <w:rPr>
          <w:rFonts w:hint="eastAsia" w:ascii="宋体" w:hAnsi="宋体"/>
          <w:color w:val="auto"/>
          <w:sz w:val="21"/>
          <w:szCs w:val="21"/>
          <w:highlight w:val="none"/>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lang w:eastAsia="zh-CN"/>
        </w:rPr>
        <w:t>）</w:t>
      </w:r>
      <w:r>
        <w:rPr>
          <w:rFonts w:hint="eastAsia" w:ascii="宋体" w:hAnsi="宋体"/>
          <w:color w:val="auto"/>
          <w:sz w:val="21"/>
          <w:szCs w:val="21"/>
          <w:highlight w:val="none"/>
        </w:rPr>
        <w:t>根据《政府采购促进中小企业发展管理办法》（财库[2020]46号）及《广西壮族自治区财政厅关于持续优化政府采购营商环境推动高质量发展的通知》（桂财采〔2024〕55号）规定：供应商提供的货物全部由符合政策要求的小型、微型企业制造，响应文件中提供《中小企业声明函》的，供应商最后报价给予</w:t>
      </w:r>
      <w:r>
        <w:rPr>
          <w:rFonts w:ascii="宋体" w:hAnsi="宋体"/>
          <w:color w:val="auto"/>
          <w:sz w:val="21"/>
          <w:szCs w:val="21"/>
          <w:highlight w:val="none"/>
        </w:rPr>
        <w:t>2</w:t>
      </w:r>
      <w:r>
        <w:rPr>
          <w:rFonts w:hint="eastAsia" w:ascii="宋体" w:hAnsi="宋体"/>
          <w:color w:val="auto"/>
          <w:sz w:val="21"/>
          <w:szCs w:val="21"/>
          <w:highlight w:val="none"/>
        </w:rPr>
        <w:t>0%的扣除，扣除后的价格为评审报价，即供应商的评审报价=最后报价×（1-</w:t>
      </w:r>
      <w:r>
        <w:rPr>
          <w:rFonts w:ascii="宋体" w:hAnsi="宋体"/>
          <w:color w:val="auto"/>
          <w:sz w:val="21"/>
          <w:szCs w:val="21"/>
          <w:highlight w:val="none"/>
        </w:rPr>
        <w:t>2</w:t>
      </w:r>
      <w:r>
        <w:rPr>
          <w:rFonts w:hint="eastAsia" w:ascii="宋体" w:hAnsi="宋体"/>
          <w:color w:val="auto"/>
          <w:sz w:val="21"/>
          <w:szCs w:val="21"/>
          <w:highlight w:val="none"/>
        </w:rPr>
        <w:t>0%），扣除后的价格为评审报价。</w:t>
      </w:r>
    </w:p>
    <w:p w14:paraId="658D0160">
      <w:pPr>
        <w:pStyle w:val="24"/>
        <w:spacing w:line="380" w:lineRule="exact"/>
        <w:ind w:firstLine="480"/>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lang w:eastAsia="zh-CN"/>
        </w:rPr>
        <w:t>（</w:t>
      </w:r>
      <w:r>
        <w:rPr>
          <w:rFonts w:hint="eastAsia" w:ascii="宋体" w:hAnsi="宋体" w:eastAsia="宋体" w:cs="Arial"/>
          <w:color w:val="auto"/>
          <w:sz w:val="21"/>
          <w:szCs w:val="21"/>
          <w:highlight w:val="none"/>
          <w:lang w:val="en-US" w:eastAsia="zh-CN"/>
        </w:rPr>
        <w:t>2</w:t>
      </w:r>
      <w:r>
        <w:rPr>
          <w:rFonts w:hint="eastAsia" w:ascii="宋体" w:hAnsi="宋体" w:eastAsia="宋体" w:cs="Arial"/>
          <w:color w:val="auto"/>
          <w:sz w:val="21"/>
          <w:szCs w:val="21"/>
          <w:highlight w:val="none"/>
          <w:lang w:eastAsia="zh-CN"/>
        </w:rPr>
        <w:t>）</w:t>
      </w:r>
      <w:r>
        <w:rPr>
          <w:rFonts w:hint="eastAsia" w:ascii="宋体" w:hAnsi="宋体" w:eastAsia="宋体" w:cs="Arial"/>
          <w:color w:val="auto"/>
          <w:sz w:val="21"/>
          <w:szCs w:val="21"/>
          <w:highlight w:val="none"/>
          <w:lang w:val="en-US" w:eastAsia="zh-CN"/>
        </w:rPr>
        <w:t>根据</w:t>
      </w:r>
      <w:r>
        <w:rPr>
          <w:rFonts w:hint="eastAsia" w:ascii="宋体" w:hAnsi="宋体" w:eastAsia="宋体" w:cs="Arial"/>
          <w:color w:val="auto"/>
          <w:sz w:val="21"/>
          <w:szCs w:val="21"/>
          <w:highlight w:val="none"/>
        </w:rPr>
        <w:t>《财政部、司法部关于政府采购支持监狱企业发展有关问题的通知》（财库〔2014〕68号）</w:t>
      </w:r>
      <w:r>
        <w:rPr>
          <w:rFonts w:hint="eastAsia" w:ascii="宋体" w:hAnsi="宋体" w:eastAsia="宋体" w:cs="Arial"/>
          <w:color w:val="auto"/>
          <w:sz w:val="21"/>
          <w:szCs w:val="21"/>
          <w:highlight w:val="none"/>
          <w:lang w:val="en-US" w:eastAsia="zh-CN"/>
        </w:rPr>
        <w:t>及</w:t>
      </w:r>
      <w:r>
        <w:rPr>
          <w:rFonts w:hint="eastAsia" w:ascii="宋体" w:hAnsi="宋体" w:cs="宋体"/>
          <w:color w:val="auto"/>
          <w:kern w:val="0"/>
          <w:sz w:val="21"/>
          <w:szCs w:val="21"/>
          <w:highlight w:val="none"/>
        </w:rPr>
        <w:t>《关于促进残疾人就业政府采购政策的通知》（财库〔2017〕141号）</w:t>
      </w:r>
      <w:r>
        <w:rPr>
          <w:rFonts w:hint="eastAsia" w:ascii="宋体" w:hAnsi="宋体" w:eastAsia="宋体" w:cs="Arial"/>
          <w:color w:val="auto"/>
          <w:sz w:val="21"/>
          <w:szCs w:val="21"/>
          <w:highlight w:val="none"/>
          <w:lang w:val="en-US" w:eastAsia="zh-CN"/>
        </w:rPr>
        <w:t>相关</w:t>
      </w:r>
      <w:r>
        <w:rPr>
          <w:rFonts w:hint="eastAsia" w:ascii="宋体" w:hAnsi="宋体" w:eastAsia="宋体" w:cs="Arial"/>
          <w:color w:val="auto"/>
          <w:sz w:val="21"/>
          <w:szCs w:val="21"/>
          <w:highlight w:val="none"/>
        </w:rPr>
        <w:t>规定</w:t>
      </w:r>
      <w:r>
        <w:rPr>
          <w:rFonts w:hint="eastAsia" w:ascii="宋体" w:hAnsi="宋体" w:eastAsia="宋体" w:cs="Arial"/>
          <w:color w:val="auto"/>
          <w:sz w:val="21"/>
          <w:szCs w:val="21"/>
          <w:highlight w:val="none"/>
          <w:lang w:eastAsia="zh-CN"/>
        </w:rPr>
        <w:t>，</w:t>
      </w:r>
      <w:r>
        <w:rPr>
          <w:rFonts w:hint="eastAsia" w:ascii="宋体" w:hAnsi="宋体" w:eastAsia="宋体" w:cs="Arial"/>
          <w:color w:val="auto"/>
          <w:sz w:val="21"/>
          <w:szCs w:val="21"/>
          <w:highlight w:val="none"/>
        </w:rPr>
        <w:t>监狱企业</w:t>
      </w:r>
      <w:r>
        <w:rPr>
          <w:rFonts w:hint="eastAsia" w:ascii="宋体" w:hAnsi="宋体" w:eastAsia="宋体" w:cs="Arial"/>
          <w:color w:val="auto"/>
          <w:sz w:val="21"/>
          <w:szCs w:val="21"/>
          <w:highlight w:val="none"/>
          <w:lang w:eastAsia="zh-CN"/>
        </w:rPr>
        <w:t>、</w:t>
      </w:r>
      <w:r>
        <w:rPr>
          <w:rFonts w:hint="eastAsia" w:ascii="宋体" w:hAnsi="宋体" w:eastAsia="宋体" w:cs="Arial"/>
          <w:color w:val="auto"/>
          <w:sz w:val="21"/>
          <w:szCs w:val="21"/>
          <w:highlight w:val="none"/>
        </w:rPr>
        <w:t>残疾人福利性单位</w:t>
      </w:r>
      <w:r>
        <w:rPr>
          <w:rFonts w:hint="eastAsia" w:ascii="宋体" w:hAnsi="宋体" w:eastAsia="宋体" w:cs="Arial"/>
          <w:color w:val="auto"/>
          <w:sz w:val="21"/>
          <w:szCs w:val="21"/>
          <w:highlight w:val="none"/>
          <w:lang w:val="en-US" w:eastAsia="zh-CN"/>
        </w:rPr>
        <w:t>于响应文件中出</w:t>
      </w:r>
      <w:r>
        <w:rPr>
          <w:rFonts w:hint="eastAsia" w:ascii="宋体" w:hAnsi="宋体" w:eastAsia="宋体" w:cs="Arial"/>
          <w:color w:val="auto"/>
          <w:sz w:val="21"/>
          <w:szCs w:val="21"/>
          <w:highlight w:val="none"/>
        </w:rPr>
        <w:t>具属于监狱企业的证明文件</w:t>
      </w:r>
      <w:r>
        <w:rPr>
          <w:rFonts w:hint="eastAsia" w:ascii="宋体" w:hAnsi="宋体" w:eastAsia="宋体" w:cs="Arial"/>
          <w:color w:val="auto"/>
          <w:sz w:val="21"/>
          <w:szCs w:val="21"/>
          <w:highlight w:val="none"/>
          <w:lang w:val="en-US" w:eastAsia="zh-CN"/>
        </w:rPr>
        <w:t>或</w:t>
      </w:r>
      <w:r>
        <w:rPr>
          <w:rFonts w:hint="eastAsia" w:ascii="宋体" w:hAnsi="宋体" w:eastAsia="宋体" w:cs="Arial"/>
          <w:color w:val="auto"/>
          <w:sz w:val="21"/>
          <w:szCs w:val="21"/>
          <w:highlight w:val="none"/>
        </w:rPr>
        <w:t>《残疾人福利性单位声明函》</w:t>
      </w:r>
      <w:r>
        <w:rPr>
          <w:rFonts w:hint="eastAsia" w:ascii="宋体" w:hAnsi="宋体" w:eastAsia="宋体" w:cs="Arial"/>
          <w:color w:val="auto"/>
          <w:sz w:val="21"/>
          <w:szCs w:val="21"/>
          <w:highlight w:val="none"/>
          <w:lang w:val="en-US" w:eastAsia="zh-CN"/>
        </w:rPr>
        <w:t>的，视同为小微企业。</w:t>
      </w:r>
      <w:r>
        <w:rPr>
          <w:rFonts w:hint="eastAsia" w:ascii="宋体" w:hAnsi="宋体" w:eastAsia="宋体" w:cs="Arial"/>
          <w:color w:val="auto"/>
          <w:sz w:val="21"/>
          <w:szCs w:val="21"/>
          <w:highlight w:val="none"/>
        </w:rPr>
        <w:t>对供应商的</w:t>
      </w:r>
      <w:r>
        <w:rPr>
          <w:rFonts w:hint="eastAsia" w:ascii="宋体" w:hAnsi="宋体" w:eastAsia="宋体" w:cs="Arial"/>
          <w:color w:val="auto"/>
          <w:sz w:val="21"/>
          <w:szCs w:val="21"/>
          <w:highlight w:val="none"/>
          <w:lang w:val="en-US" w:eastAsia="zh-CN"/>
        </w:rPr>
        <w:t>最后</w:t>
      </w:r>
      <w:r>
        <w:rPr>
          <w:rFonts w:hint="eastAsia" w:ascii="宋体" w:hAnsi="宋体" w:eastAsia="宋体" w:cs="Arial"/>
          <w:color w:val="auto"/>
          <w:sz w:val="21"/>
          <w:szCs w:val="21"/>
          <w:highlight w:val="none"/>
        </w:rPr>
        <w:t>报价给予</w:t>
      </w:r>
      <w:r>
        <w:rPr>
          <w:rFonts w:hint="eastAsia" w:ascii="宋体" w:hAnsi="宋体" w:eastAsia="宋体" w:cs="Arial"/>
          <w:color w:val="auto"/>
          <w:sz w:val="21"/>
          <w:szCs w:val="21"/>
          <w:highlight w:val="none"/>
          <w:lang w:val="en-US" w:eastAsia="zh-CN"/>
        </w:rPr>
        <w:t>20</w:t>
      </w:r>
      <w:r>
        <w:rPr>
          <w:rFonts w:hint="eastAsia" w:ascii="宋体" w:hAnsi="宋体" w:eastAsia="宋体" w:cs="Arial"/>
          <w:color w:val="auto"/>
          <w:sz w:val="21"/>
          <w:szCs w:val="21"/>
          <w:highlight w:val="none"/>
        </w:rPr>
        <w:t>%的扣除，扣除后的价格为评审价，即评审价=</w:t>
      </w:r>
      <w:r>
        <w:rPr>
          <w:rFonts w:hint="eastAsia" w:ascii="宋体" w:hAnsi="宋体" w:eastAsia="宋体" w:cs="Arial"/>
          <w:color w:val="auto"/>
          <w:sz w:val="21"/>
          <w:szCs w:val="21"/>
          <w:highlight w:val="none"/>
          <w:lang w:val="en-US" w:eastAsia="zh-CN"/>
        </w:rPr>
        <w:t>最后</w:t>
      </w:r>
      <w:r>
        <w:rPr>
          <w:rFonts w:hint="eastAsia" w:ascii="宋体" w:hAnsi="宋体" w:eastAsia="宋体" w:cs="Arial"/>
          <w:color w:val="auto"/>
          <w:sz w:val="21"/>
          <w:szCs w:val="21"/>
          <w:highlight w:val="none"/>
        </w:rPr>
        <w:t>报价×（1-</w:t>
      </w:r>
      <w:r>
        <w:rPr>
          <w:rFonts w:hint="eastAsia" w:ascii="宋体" w:hAnsi="宋体" w:eastAsia="宋体" w:cs="Arial"/>
          <w:color w:val="auto"/>
          <w:sz w:val="21"/>
          <w:szCs w:val="21"/>
          <w:highlight w:val="none"/>
          <w:lang w:val="en-US" w:eastAsia="zh-CN"/>
        </w:rPr>
        <w:t>20</w:t>
      </w:r>
      <w:r>
        <w:rPr>
          <w:rFonts w:hint="eastAsia" w:ascii="宋体" w:hAnsi="宋体" w:eastAsia="宋体" w:cs="Arial"/>
          <w:color w:val="auto"/>
          <w:sz w:val="21"/>
          <w:szCs w:val="21"/>
          <w:highlight w:val="none"/>
        </w:rPr>
        <w:t>%）</w:t>
      </w:r>
    </w:p>
    <w:p w14:paraId="1C5E3285">
      <w:pPr>
        <w:pStyle w:val="24"/>
        <w:spacing w:line="380" w:lineRule="exact"/>
        <w:ind w:firstLine="480"/>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lang w:val="en-US" w:eastAsia="zh-CN"/>
        </w:rPr>
        <w:t>（3）</w:t>
      </w:r>
      <w:r>
        <w:rPr>
          <w:rFonts w:hint="eastAsia" w:ascii="宋体" w:hAnsi="宋体" w:eastAsia="宋体" w:cs="Arial"/>
          <w:color w:val="auto"/>
          <w:sz w:val="21"/>
          <w:szCs w:val="21"/>
          <w:highlight w:val="none"/>
        </w:rPr>
        <w:t>本国产品政策性扣除计算方法。</w:t>
      </w:r>
    </w:p>
    <w:p w14:paraId="64C4DD8C">
      <w:pPr>
        <w:pStyle w:val="24"/>
        <w:spacing w:line="380" w:lineRule="exact"/>
        <w:ind w:firstLine="480"/>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6F743DC4">
      <w:pPr>
        <w:pStyle w:val="24"/>
        <w:spacing w:line="380" w:lineRule="exact"/>
        <w:ind w:firstLine="480"/>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bookmarkStart w:id="41" w:name="OLE_LINK4"/>
      <w:bookmarkStart w:id="42" w:name="OLE_LINK3"/>
      <w:r>
        <w:rPr>
          <w:rFonts w:hint="eastAsia" w:ascii="宋体" w:hAnsi="宋体" w:eastAsia="宋体" w:cs="Arial"/>
          <w:color w:val="auto"/>
          <w:sz w:val="21"/>
          <w:szCs w:val="21"/>
          <w:highlight w:val="none"/>
        </w:rPr>
        <w:t>未达到80%，不享受价格评审优惠。</w:t>
      </w:r>
      <w:bookmarkEnd w:id="41"/>
      <w:bookmarkEnd w:id="42"/>
    </w:p>
    <w:p w14:paraId="59727659">
      <w:pPr>
        <w:pStyle w:val="24"/>
        <w:spacing w:line="380" w:lineRule="exact"/>
        <w:ind w:firstLine="480"/>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rPr>
        <w:t>如果所有参与竞争的供应商均可享受本国产品价格评审优惠，则统一不进行价格扣除。</w:t>
      </w:r>
    </w:p>
    <w:p w14:paraId="17330EC6">
      <w:pPr>
        <w:pStyle w:val="24"/>
        <w:spacing w:line="380" w:lineRule="exact"/>
        <w:ind w:firstLine="480"/>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rPr>
        <w:t>供应商在其响应文件中提供《关于符合本国产品标准的声明函》或财政部会同有关部门规定的有关证明文件，出具符合要求的《声明函》或有关证明文件的，该产品视为本国产品。</w:t>
      </w:r>
    </w:p>
    <w:p w14:paraId="2F3B2FAF">
      <w:pPr>
        <w:pStyle w:val="24"/>
        <w:spacing w:line="380" w:lineRule="exact"/>
        <w:ind w:firstLine="480"/>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lang w:val="en-US" w:eastAsia="zh-CN"/>
        </w:rPr>
        <w:t>（4）</w:t>
      </w:r>
      <w:r>
        <w:rPr>
          <w:rFonts w:hint="eastAsia" w:ascii="宋体" w:hAnsi="宋体" w:eastAsia="宋体" w:cs="Arial"/>
          <w:color w:val="auto"/>
          <w:sz w:val="21"/>
          <w:szCs w:val="21"/>
          <w:highlight w:val="none"/>
        </w:rPr>
        <w:t>中小企业折扣与本国产品折扣进行叠加计算，用扣除后的价格参加评审。即评审价=</w:t>
      </w:r>
      <w:r>
        <w:rPr>
          <w:rFonts w:hint="eastAsia" w:ascii="宋体" w:hAnsi="宋体" w:eastAsia="宋体" w:cs="Arial"/>
          <w:color w:val="auto"/>
          <w:sz w:val="21"/>
          <w:szCs w:val="21"/>
          <w:highlight w:val="none"/>
          <w:lang w:val="en-US" w:eastAsia="zh-CN"/>
        </w:rPr>
        <w:t>最后</w:t>
      </w:r>
      <w:r>
        <w:rPr>
          <w:rFonts w:hint="eastAsia" w:ascii="宋体" w:hAnsi="宋体" w:eastAsia="宋体" w:cs="Arial"/>
          <w:color w:val="auto"/>
          <w:sz w:val="21"/>
          <w:szCs w:val="21"/>
          <w:highlight w:val="none"/>
        </w:rPr>
        <w:t>报价-中小企业折扣-本国产品折扣，除上述情况外，评审价=</w:t>
      </w:r>
      <w:r>
        <w:rPr>
          <w:rFonts w:hint="eastAsia" w:ascii="宋体" w:hAnsi="宋体" w:eastAsia="宋体" w:cs="Arial"/>
          <w:color w:val="auto"/>
          <w:sz w:val="21"/>
          <w:szCs w:val="21"/>
          <w:highlight w:val="none"/>
          <w:lang w:val="en-US" w:eastAsia="zh-CN"/>
        </w:rPr>
        <w:t>最后</w:t>
      </w:r>
      <w:r>
        <w:rPr>
          <w:rFonts w:hint="eastAsia" w:ascii="宋体" w:hAnsi="宋体" w:eastAsia="宋体" w:cs="Arial"/>
          <w:color w:val="auto"/>
          <w:sz w:val="21"/>
          <w:szCs w:val="21"/>
          <w:highlight w:val="none"/>
        </w:rPr>
        <w:t>报价。</w:t>
      </w:r>
    </w:p>
    <w:p w14:paraId="372C2751">
      <w:pPr>
        <w:pStyle w:val="24"/>
        <w:spacing w:line="380" w:lineRule="exact"/>
        <w:ind w:firstLine="480"/>
        <w:rPr>
          <w:rFonts w:hint="eastAsia" w:ascii="宋体" w:hAnsi="宋体" w:eastAsia="宋体" w:cs="Arial"/>
          <w:color w:val="auto"/>
          <w:sz w:val="21"/>
          <w:szCs w:val="21"/>
          <w:highlight w:val="none"/>
        </w:rPr>
      </w:pPr>
      <w:r>
        <w:rPr>
          <w:rFonts w:hint="eastAsia" w:ascii="宋体" w:hAnsi="宋体" w:eastAsia="宋体" w:cs="Arial"/>
          <w:b/>
          <w:bCs/>
          <w:color w:val="auto"/>
          <w:sz w:val="21"/>
          <w:szCs w:val="21"/>
          <w:highlight w:val="none"/>
        </w:rPr>
        <w:t>注：评审报价为供应商的最后报价进行政策性扣除后的价格，评审报价仅作为评审时使用。最终成交供应商的成交金额＝最后报价。</w:t>
      </w:r>
    </w:p>
    <w:p w14:paraId="66AF9890">
      <w:pPr>
        <w:pStyle w:val="24"/>
        <w:spacing w:line="380" w:lineRule="exact"/>
        <w:ind w:firstLine="480"/>
        <w:rPr>
          <w:rFonts w:hint="eastAsia" w:ascii="宋体" w:hAnsi="宋体" w:eastAsia="宋体" w:cs="Arial"/>
          <w:color w:val="auto"/>
          <w:sz w:val="21"/>
          <w:szCs w:val="21"/>
          <w:highlight w:val="none"/>
        </w:rPr>
      </w:pPr>
      <w:r>
        <w:rPr>
          <w:rFonts w:hint="eastAsia" w:ascii="宋体" w:hAnsi="宋体" w:eastAsia="宋体" w:cs="Arial"/>
          <w:color w:val="auto"/>
          <w:sz w:val="21"/>
          <w:szCs w:val="21"/>
          <w:highlight w:val="none"/>
          <w:lang w:val="en-US" w:eastAsia="zh-CN"/>
        </w:rPr>
        <w:t>3</w:t>
      </w:r>
      <w:r>
        <w:rPr>
          <w:rFonts w:hint="eastAsia" w:ascii="宋体" w:hAnsi="宋体" w:eastAsia="宋体" w:cs="Arial"/>
          <w:color w:val="auto"/>
          <w:sz w:val="21"/>
          <w:szCs w:val="21"/>
          <w:highlight w:val="none"/>
        </w:rPr>
        <w:t>.评审时，应当将通过资格性审查和符合性审查各供应商的评审报价，按照由低到高顺序排序，当评审报价相同时，以最后报价低的优先排序；当最后报价相同时，则依次按节能环保产品优先、技术指标高优先、</w:t>
      </w:r>
      <w:r>
        <w:rPr>
          <w:rFonts w:hint="eastAsia" w:ascii="宋体" w:hAnsi="宋体" w:eastAsia="宋体" w:cs="Arial"/>
          <w:color w:val="auto"/>
          <w:sz w:val="21"/>
          <w:szCs w:val="21"/>
          <w:highlight w:val="none"/>
          <w:lang w:eastAsia="zh-CN"/>
        </w:rPr>
        <w:t>保修（质保）期</w:t>
      </w:r>
      <w:r>
        <w:rPr>
          <w:rFonts w:hint="eastAsia" w:ascii="宋体" w:hAnsi="宋体" w:eastAsia="宋体" w:cs="Arial"/>
          <w:color w:val="auto"/>
          <w:sz w:val="21"/>
          <w:szCs w:val="21"/>
          <w:highlight w:val="none"/>
        </w:rPr>
        <w:t>长优先、交付时间短优先的原则排序。</w:t>
      </w:r>
    </w:p>
    <w:p w14:paraId="6E16D090">
      <w:pPr>
        <w:pStyle w:val="24"/>
        <w:spacing w:line="380" w:lineRule="exact"/>
        <w:ind w:firstLine="422" w:firstLineChars="200"/>
        <w:rPr>
          <w:rFonts w:hint="eastAsia" w:ascii="宋体" w:hAnsi="宋体"/>
          <w:b/>
          <w:bCs/>
          <w:color w:val="auto"/>
          <w:sz w:val="21"/>
          <w:szCs w:val="21"/>
          <w:highlight w:val="none"/>
        </w:rPr>
      </w:pPr>
    </w:p>
    <w:p w14:paraId="61E158DC">
      <w:pPr>
        <w:pStyle w:val="24"/>
        <w:spacing w:line="380" w:lineRule="exact"/>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t>三、成交候选人确定原则</w:t>
      </w:r>
    </w:p>
    <w:p w14:paraId="48EB389B">
      <w:pPr>
        <w:spacing w:line="40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（1）采购人应当在收到评审报告后5个工作日内，从评审报告提出的成交候选人中，根据质量和服务均能满足采购文件实质性响应要求且最后</w:t>
      </w:r>
      <w:r>
        <w:rPr>
          <w:rFonts w:hint="eastAsia" w:ascii="宋体" w:hAnsi="宋体"/>
          <w:color w:val="auto"/>
          <w:sz w:val="21"/>
          <w:szCs w:val="21"/>
          <w:highlight w:val="none"/>
          <w:lang w:val="en-US" w:eastAsia="zh-CN"/>
        </w:rPr>
        <w:t>评审</w:t>
      </w:r>
      <w:r>
        <w:rPr>
          <w:rFonts w:hint="eastAsia" w:ascii="宋体" w:hAnsi="宋体"/>
          <w:color w:val="auto"/>
          <w:sz w:val="21"/>
          <w:szCs w:val="21"/>
          <w:highlight w:val="none"/>
        </w:rPr>
        <w:t>报价最低的原则确定成交供应商。采购人逾期未确定成交供应商且不提出异议的，视为确定评审报告提出的最后</w:t>
      </w:r>
      <w:r>
        <w:rPr>
          <w:rFonts w:hint="eastAsia" w:ascii="宋体" w:hAnsi="宋体"/>
          <w:color w:val="auto"/>
          <w:sz w:val="21"/>
          <w:szCs w:val="21"/>
          <w:highlight w:val="none"/>
          <w:lang w:val="en-US" w:eastAsia="zh-CN"/>
        </w:rPr>
        <w:t>评审</w:t>
      </w:r>
      <w:r>
        <w:rPr>
          <w:rFonts w:hint="eastAsia" w:ascii="宋体" w:hAnsi="宋体"/>
          <w:color w:val="auto"/>
          <w:sz w:val="21"/>
          <w:szCs w:val="21"/>
          <w:highlight w:val="none"/>
        </w:rPr>
        <w:t>报价最低的供应商为成交供应商。</w:t>
      </w:r>
    </w:p>
    <w:p w14:paraId="2852DBEF">
      <w:pPr>
        <w:spacing w:line="40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（2）成交供应商拒绝与采购人签订合同的，采购人可以按照评审报告推荐的成交候选人名单排序，确定下一候选人为成交供应商，也可以重新开展政府采购活动。</w:t>
      </w:r>
    </w:p>
    <w:p w14:paraId="4A345958">
      <w:pPr>
        <w:spacing w:line="360" w:lineRule="exact"/>
        <w:ind w:firstLine="0" w:firstLineChars="0"/>
        <w:jc w:val="center"/>
        <w:rPr>
          <w:rFonts w:hint="eastAsia" w:ascii="宋体" w:hAnsi="宋体" w:cs="宋体"/>
          <w:b/>
          <w:color w:val="auto"/>
          <w:kern w:val="0"/>
          <w:sz w:val="32"/>
          <w:szCs w:val="32"/>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304" w:bottom="1440" w:left="1304" w:header="720" w:footer="720" w:gutter="0"/>
          <w:cols w:space="720" w:num="1"/>
          <w:titlePg/>
          <w:docGrid w:linePitch="331" w:charSpace="0"/>
        </w:sectPr>
      </w:pPr>
    </w:p>
    <w:p w14:paraId="0940C673">
      <w:pPr>
        <w:pStyle w:val="40"/>
        <w:rPr>
          <w:color w:val="auto"/>
          <w:highlight w:val="none"/>
        </w:rPr>
      </w:pPr>
      <w:bookmarkStart w:id="43" w:name="_Toc82016592"/>
      <w:bookmarkStart w:id="44" w:name="_Toc155531036"/>
      <w:r>
        <w:rPr>
          <w:rFonts w:hint="eastAsia"/>
          <w:color w:val="auto"/>
          <w:kern w:val="0"/>
          <w:highlight w:val="none"/>
        </w:rPr>
        <w:t>第五章</w:t>
      </w:r>
      <w:bookmarkEnd w:id="43"/>
      <w:r>
        <w:rPr>
          <w:rFonts w:hint="eastAsia"/>
          <w:color w:val="auto"/>
          <w:highlight w:val="none"/>
        </w:rPr>
        <w:t>政府采购合同（合同主要条款及格式）</w:t>
      </w:r>
      <w:bookmarkEnd w:id="44"/>
    </w:p>
    <w:p w14:paraId="1A90350D">
      <w:pPr>
        <w:spacing w:line="400" w:lineRule="exact"/>
        <w:ind w:firstLine="420"/>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项目名称：</w:t>
      </w:r>
      <w:r>
        <w:rPr>
          <w:rFonts w:hint="eastAsia" w:ascii="宋体" w:hAnsi="宋体"/>
          <w:color w:val="auto"/>
          <w:sz w:val="21"/>
          <w:szCs w:val="21"/>
          <w:highlight w:val="none"/>
          <w:lang w:eastAsia="zh-CN"/>
        </w:rPr>
        <w:t>2026年兴安县八一建军节慰问品采购</w:t>
      </w:r>
    </w:p>
    <w:p w14:paraId="75133AA8">
      <w:pPr>
        <w:spacing w:line="400" w:lineRule="exact"/>
        <w:ind w:firstLine="420"/>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项目编号：GLZC2026-J1-250047-YZLZ</w:t>
      </w:r>
    </w:p>
    <w:p w14:paraId="2481EF80">
      <w:pPr>
        <w:spacing w:line="40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甲方：</w:t>
      </w:r>
      <w:r>
        <w:rPr>
          <w:rFonts w:hint="eastAsia" w:ascii="宋体" w:hAnsi="宋体"/>
          <w:color w:val="auto"/>
          <w:sz w:val="21"/>
          <w:szCs w:val="21"/>
          <w:highlight w:val="none"/>
          <w:u w:val="single"/>
        </w:rPr>
        <w:t xml:space="preserve">兴安县退役军人事务局 </w:t>
      </w:r>
      <w:r>
        <w:rPr>
          <w:rFonts w:hint="eastAsia" w:ascii="宋体" w:hAnsi="宋体"/>
          <w:color w:val="auto"/>
          <w:sz w:val="21"/>
          <w:szCs w:val="21"/>
          <w:highlight w:val="none"/>
        </w:rPr>
        <w:t>（采购人）</w:t>
      </w:r>
    </w:p>
    <w:p w14:paraId="0245F505">
      <w:pPr>
        <w:spacing w:line="40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乙方：</w:t>
      </w:r>
      <w:r>
        <w:rPr>
          <w:rFonts w:hint="eastAsia" w:ascii="宋体" w:hAnsi="宋体" w:cs="宋体"/>
          <w:bCs/>
          <w:color w:val="auto"/>
          <w:sz w:val="21"/>
          <w:szCs w:val="20"/>
          <w:highlight w:val="none"/>
          <w:u w:val="single"/>
        </w:rPr>
        <w:t xml:space="preserve">                        </w:t>
      </w:r>
      <w:r>
        <w:rPr>
          <w:rFonts w:hint="eastAsia" w:ascii="宋体" w:hAnsi="宋体"/>
          <w:color w:val="auto"/>
          <w:sz w:val="21"/>
          <w:szCs w:val="21"/>
          <w:highlight w:val="none"/>
        </w:rPr>
        <w:t>（成交供应商）</w:t>
      </w:r>
    </w:p>
    <w:p w14:paraId="2935C81C">
      <w:pPr>
        <w:spacing w:line="400" w:lineRule="exact"/>
        <w:ind w:firstLine="420"/>
        <w:rPr>
          <w:rFonts w:hint="eastAsia" w:ascii="宋体" w:hAnsi="宋体"/>
          <w:color w:val="auto"/>
          <w:sz w:val="21"/>
          <w:szCs w:val="21"/>
          <w:highlight w:val="none"/>
        </w:rPr>
      </w:pPr>
    </w:p>
    <w:p w14:paraId="3D84E63A">
      <w:pPr>
        <w:spacing w:line="40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根据《中华人民共和国政府采购法》、《中华人民共和国政府采购法实施条例》、</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政府采购非招标采购方式管理办法</w:t>
      </w:r>
      <w:r>
        <w:rPr>
          <w:rFonts w:hint="eastAsia" w:ascii="宋体" w:hAnsi="宋体"/>
          <w:color w:val="auto"/>
          <w:sz w:val="21"/>
          <w:szCs w:val="21"/>
          <w:highlight w:val="none"/>
          <w:lang w:eastAsia="zh-CN"/>
        </w:rPr>
        <w:t>》</w:t>
      </w:r>
      <w:r>
        <w:rPr>
          <w:rFonts w:hint="eastAsia" w:ascii="宋体" w:hAnsi="宋体"/>
          <w:color w:val="auto"/>
          <w:sz w:val="21"/>
          <w:szCs w:val="21"/>
          <w:highlight w:val="none"/>
        </w:rPr>
        <w:t>《中华人民共和国民法典》等法律、法规规定，按照</w:t>
      </w:r>
      <w:r>
        <w:rPr>
          <w:rFonts w:hint="eastAsia" w:ascii="宋体" w:hAnsi="宋体"/>
          <w:color w:val="auto"/>
          <w:sz w:val="21"/>
          <w:szCs w:val="21"/>
          <w:highlight w:val="none"/>
          <w:lang w:val="en-US" w:eastAsia="zh-CN"/>
        </w:rPr>
        <w:t>竞争性谈判文件</w:t>
      </w:r>
      <w:r>
        <w:rPr>
          <w:rFonts w:hint="eastAsia" w:ascii="宋体" w:hAnsi="宋体"/>
          <w:color w:val="auto"/>
          <w:sz w:val="21"/>
          <w:szCs w:val="21"/>
          <w:highlight w:val="none"/>
        </w:rPr>
        <w:t>、响应文件规定条款和乙方承诺、甲乙双方签订本采购合同。</w:t>
      </w:r>
    </w:p>
    <w:p w14:paraId="54761C00">
      <w:pPr>
        <w:spacing w:line="400" w:lineRule="exact"/>
        <w:ind w:firstLine="422"/>
        <w:rPr>
          <w:rFonts w:hint="eastAsia" w:ascii="宋体" w:hAnsi="宋体"/>
          <w:color w:val="auto"/>
          <w:sz w:val="21"/>
          <w:szCs w:val="21"/>
          <w:highlight w:val="none"/>
        </w:rPr>
      </w:pPr>
      <w:r>
        <w:rPr>
          <w:rFonts w:hint="eastAsia" w:ascii="宋体" w:hAnsi="宋体"/>
          <w:b/>
          <w:color w:val="auto"/>
          <w:sz w:val="21"/>
          <w:szCs w:val="21"/>
          <w:highlight w:val="none"/>
        </w:rPr>
        <w:t>第一条  合同标的及合同金额</w:t>
      </w:r>
    </w:p>
    <w:tbl>
      <w:tblPr>
        <w:tblStyle w:val="43"/>
        <w:tblW w:w="918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200"/>
        <w:gridCol w:w="1029"/>
        <w:gridCol w:w="785"/>
        <w:gridCol w:w="1156"/>
        <w:gridCol w:w="687"/>
        <w:gridCol w:w="709"/>
        <w:gridCol w:w="671"/>
        <w:gridCol w:w="907"/>
        <w:gridCol w:w="10"/>
        <w:gridCol w:w="1456"/>
        <w:gridCol w:w="10"/>
      </w:tblGrid>
      <w:tr w14:paraId="7EF1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1052" w:hRule="atLeast"/>
        </w:trPr>
        <w:tc>
          <w:tcPr>
            <w:tcW w:w="568" w:type="dxa"/>
            <w:tcBorders>
              <w:top w:val="single" w:color="auto" w:sz="4" w:space="0"/>
              <w:left w:val="single" w:color="auto" w:sz="4" w:space="0"/>
              <w:bottom w:val="single" w:color="auto" w:sz="4" w:space="0"/>
              <w:right w:val="single" w:color="auto" w:sz="4" w:space="0"/>
            </w:tcBorders>
            <w:vAlign w:val="center"/>
          </w:tcPr>
          <w:p w14:paraId="3B748BBD">
            <w:pPr>
              <w:spacing w:line="240" w:lineRule="auto"/>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项号</w:t>
            </w:r>
          </w:p>
        </w:tc>
        <w:tc>
          <w:tcPr>
            <w:tcW w:w="1200" w:type="dxa"/>
            <w:tcBorders>
              <w:top w:val="single" w:color="auto" w:sz="4" w:space="0"/>
              <w:left w:val="single" w:color="auto" w:sz="4" w:space="0"/>
              <w:bottom w:val="single" w:color="auto" w:sz="4" w:space="0"/>
              <w:right w:val="single" w:color="auto" w:sz="4" w:space="0"/>
            </w:tcBorders>
            <w:vAlign w:val="center"/>
          </w:tcPr>
          <w:p w14:paraId="70F19DFC">
            <w:pPr>
              <w:spacing w:line="240" w:lineRule="auto"/>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标的名称</w:t>
            </w:r>
          </w:p>
        </w:tc>
        <w:tc>
          <w:tcPr>
            <w:tcW w:w="1029" w:type="dxa"/>
            <w:tcBorders>
              <w:top w:val="single" w:color="auto" w:sz="4" w:space="0"/>
              <w:left w:val="single" w:color="auto" w:sz="4" w:space="0"/>
              <w:bottom w:val="single" w:color="auto" w:sz="4" w:space="0"/>
              <w:right w:val="single" w:color="auto" w:sz="4" w:space="0"/>
            </w:tcBorders>
            <w:vAlign w:val="center"/>
          </w:tcPr>
          <w:p w14:paraId="3B0891D0">
            <w:pPr>
              <w:spacing w:line="240" w:lineRule="auto"/>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生产厂家（或制造商）</w:t>
            </w:r>
          </w:p>
        </w:tc>
        <w:tc>
          <w:tcPr>
            <w:tcW w:w="785" w:type="dxa"/>
            <w:tcBorders>
              <w:top w:val="single" w:color="auto" w:sz="4" w:space="0"/>
              <w:left w:val="single" w:color="auto" w:sz="4" w:space="0"/>
              <w:bottom w:val="single" w:color="auto" w:sz="4" w:space="0"/>
              <w:right w:val="single" w:color="auto" w:sz="4" w:space="0"/>
            </w:tcBorders>
            <w:vAlign w:val="center"/>
          </w:tcPr>
          <w:p w14:paraId="0259E1E2">
            <w:pPr>
              <w:spacing w:line="240" w:lineRule="auto"/>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品牌</w:t>
            </w:r>
          </w:p>
        </w:tc>
        <w:tc>
          <w:tcPr>
            <w:tcW w:w="1156" w:type="dxa"/>
            <w:tcBorders>
              <w:top w:val="single" w:color="auto" w:sz="4" w:space="0"/>
              <w:left w:val="single" w:color="auto" w:sz="4" w:space="0"/>
              <w:bottom w:val="single" w:color="auto" w:sz="4" w:space="0"/>
              <w:right w:val="single" w:color="auto" w:sz="4" w:space="0"/>
            </w:tcBorders>
            <w:vAlign w:val="center"/>
          </w:tcPr>
          <w:p w14:paraId="6CC3051A">
            <w:pPr>
              <w:spacing w:line="240" w:lineRule="auto"/>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规格型号</w:t>
            </w:r>
          </w:p>
        </w:tc>
        <w:tc>
          <w:tcPr>
            <w:tcW w:w="687" w:type="dxa"/>
            <w:tcBorders>
              <w:top w:val="single" w:color="auto" w:sz="4" w:space="0"/>
              <w:left w:val="single" w:color="auto" w:sz="4" w:space="0"/>
              <w:bottom w:val="single" w:color="auto" w:sz="4" w:space="0"/>
              <w:right w:val="single" w:color="auto" w:sz="4" w:space="0"/>
            </w:tcBorders>
            <w:vAlign w:val="center"/>
          </w:tcPr>
          <w:p w14:paraId="763A9F7E">
            <w:pPr>
              <w:spacing w:line="240" w:lineRule="auto"/>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技术参数</w:t>
            </w:r>
          </w:p>
        </w:tc>
        <w:tc>
          <w:tcPr>
            <w:tcW w:w="709" w:type="dxa"/>
            <w:tcBorders>
              <w:top w:val="single" w:color="auto" w:sz="4" w:space="0"/>
              <w:left w:val="single" w:color="auto" w:sz="4" w:space="0"/>
              <w:bottom w:val="single" w:color="auto" w:sz="4" w:space="0"/>
              <w:right w:val="single" w:color="auto" w:sz="4" w:space="0"/>
            </w:tcBorders>
            <w:vAlign w:val="center"/>
          </w:tcPr>
          <w:p w14:paraId="238739F7">
            <w:pPr>
              <w:spacing w:line="240" w:lineRule="auto"/>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数量①</w:t>
            </w:r>
          </w:p>
        </w:tc>
        <w:tc>
          <w:tcPr>
            <w:tcW w:w="671" w:type="dxa"/>
            <w:tcBorders>
              <w:top w:val="single" w:color="auto" w:sz="4" w:space="0"/>
              <w:left w:val="single" w:color="auto" w:sz="4" w:space="0"/>
              <w:bottom w:val="single" w:color="auto" w:sz="4" w:space="0"/>
              <w:right w:val="single" w:color="auto" w:sz="4" w:space="0"/>
            </w:tcBorders>
            <w:vAlign w:val="center"/>
          </w:tcPr>
          <w:p w14:paraId="106E6941">
            <w:pPr>
              <w:spacing w:line="240" w:lineRule="auto"/>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单位</w:t>
            </w:r>
          </w:p>
        </w:tc>
        <w:tc>
          <w:tcPr>
            <w:tcW w:w="907" w:type="dxa"/>
            <w:tcBorders>
              <w:top w:val="single" w:color="auto" w:sz="4" w:space="0"/>
              <w:left w:val="single" w:color="auto" w:sz="4" w:space="0"/>
              <w:bottom w:val="single" w:color="auto" w:sz="4" w:space="0"/>
              <w:right w:val="single" w:color="auto" w:sz="4" w:space="0"/>
            </w:tcBorders>
            <w:vAlign w:val="center"/>
          </w:tcPr>
          <w:p w14:paraId="07CAB774">
            <w:pPr>
              <w:spacing w:line="240" w:lineRule="auto"/>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单价（元）②</w:t>
            </w:r>
          </w:p>
        </w:tc>
        <w:tc>
          <w:tcPr>
            <w:tcW w:w="1466" w:type="dxa"/>
            <w:gridSpan w:val="2"/>
            <w:tcBorders>
              <w:top w:val="single" w:color="auto" w:sz="4" w:space="0"/>
              <w:left w:val="single" w:color="auto" w:sz="4" w:space="0"/>
              <w:bottom w:val="single" w:color="auto" w:sz="4" w:space="0"/>
              <w:right w:val="single" w:color="auto" w:sz="4" w:space="0"/>
            </w:tcBorders>
            <w:vAlign w:val="center"/>
          </w:tcPr>
          <w:p w14:paraId="19F7E75F">
            <w:pPr>
              <w:spacing w:line="240" w:lineRule="auto"/>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单项合计金额（元）③＝①×②</w:t>
            </w:r>
          </w:p>
        </w:tc>
      </w:tr>
      <w:tr w14:paraId="7E79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59" w:hRule="atLeast"/>
        </w:trPr>
        <w:tc>
          <w:tcPr>
            <w:tcW w:w="568" w:type="dxa"/>
            <w:tcBorders>
              <w:top w:val="single" w:color="auto" w:sz="4" w:space="0"/>
              <w:left w:val="single" w:color="auto" w:sz="4" w:space="0"/>
              <w:bottom w:val="single" w:color="auto" w:sz="4" w:space="0"/>
              <w:right w:val="single" w:color="auto" w:sz="4" w:space="0"/>
            </w:tcBorders>
            <w:vAlign w:val="center"/>
          </w:tcPr>
          <w:p w14:paraId="3B3EBC7F">
            <w:pPr>
              <w:spacing w:line="24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w:t>
            </w:r>
          </w:p>
        </w:tc>
        <w:tc>
          <w:tcPr>
            <w:tcW w:w="1200" w:type="dxa"/>
            <w:tcBorders>
              <w:top w:val="single" w:color="auto" w:sz="4" w:space="0"/>
              <w:left w:val="single" w:color="auto" w:sz="4" w:space="0"/>
              <w:bottom w:val="single" w:color="auto" w:sz="4" w:space="0"/>
              <w:right w:val="single" w:color="auto" w:sz="4" w:space="0"/>
            </w:tcBorders>
            <w:vAlign w:val="center"/>
          </w:tcPr>
          <w:p w14:paraId="20257DE7">
            <w:pPr>
              <w:spacing w:line="24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夏凉被</w:t>
            </w:r>
          </w:p>
        </w:tc>
        <w:tc>
          <w:tcPr>
            <w:tcW w:w="1029" w:type="dxa"/>
            <w:tcBorders>
              <w:top w:val="single" w:color="auto" w:sz="4" w:space="0"/>
              <w:left w:val="single" w:color="auto" w:sz="4" w:space="0"/>
              <w:bottom w:val="single" w:color="auto" w:sz="4" w:space="0"/>
              <w:right w:val="single" w:color="auto" w:sz="4" w:space="0"/>
            </w:tcBorders>
            <w:vAlign w:val="center"/>
          </w:tcPr>
          <w:p w14:paraId="58E35333">
            <w:pPr>
              <w:spacing w:line="240" w:lineRule="auto"/>
              <w:ind w:firstLine="0" w:firstLineChars="0"/>
              <w:jc w:val="center"/>
              <w:rPr>
                <w:rFonts w:hint="eastAsia" w:ascii="宋体" w:hAnsi="宋体" w:eastAsia="宋体" w:cs="Times New Roman"/>
                <w:color w:val="auto"/>
                <w:sz w:val="21"/>
                <w:szCs w:val="21"/>
                <w:highlight w:val="none"/>
              </w:rPr>
            </w:pPr>
          </w:p>
        </w:tc>
        <w:tc>
          <w:tcPr>
            <w:tcW w:w="785" w:type="dxa"/>
            <w:tcBorders>
              <w:top w:val="single" w:color="auto" w:sz="4" w:space="0"/>
              <w:left w:val="single" w:color="auto" w:sz="4" w:space="0"/>
              <w:bottom w:val="single" w:color="auto" w:sz="4" w:space="0"/>
              <w:right w:val="single" w:color="auto" w:sz="4" w:space="0"/>
            </w:tcBorders>
          </w:tcPr>
          <w:p w14:paraId="56CF7532">
            <w:pPr>
              <w:spacing w:line="240" w:lineRule="auto"/>
              <w:ind w:firstLine="0" w:firstLineChars="0"/>
              <w:jc w:val="center"/>
              <w:rPr>
                <w:rFonts w:hint="eastAsia" w:ascii="宋体" w:hAnsi="宋体" w:eastAsia="宋体" w:cs="Times New Roman"/>
                <w:color w:val="auto"/>
                <w:sz w:val="21"/>
                <w:szCs w:val="21"/>
                <w:highlight w:val="none"/>
              </w:rPr>
            </w:pPr>
          </w:p>
        </w:tc>
        <w:tc>
          <w:tcPr>
            <w:tcW w:w="1156" w:type="dxa"/>
            <w:tcBorders>
              <w:top w:val="single" w:color="auto" w:sz="4" w:space="0"/>
              <w:left w:val="single" w:color="auto" w:sz="4" w:space="0"/>
              <w:bottom w:val="single" w:color="auto" w:sz="4" w:space="0"/>
              <w:right w:val="single" w:color="auto" w:sz="4" w:space="0"/>
            </w:tcBorders>
            <w:vAlign w:val="center"/>
          </w:tcPr>
          <w:p w14:paraId="4E52DC7A">
            <w:pPr>
              <w:spacing w:line="240" w:lineRule="auto"/>
              <w:ind w:firstLine="0" w:firstLineChars="0"/>
              <w:jc w:val="center"/>
              <w:rPr>
                <w:rFonts w:hint="eastAsia" w:ascii="宋体" w:hAnsi="宋体" w:eastAsia="宋体" w:cs="Times New Roman"/>
                <w:color w:val="auto"/>
                <w:sz w:val="21"/>
                <w:szCs w:val="21"/>
                <w:highlight w:val="none"/>
              </w:rPr>
            </w:pPr>
          </w:p>
        </w:tc>
        <w:tc>
          <w:tcPr>
            <w:tcW w:w="687" w:type="dxa"/>
            <w:tcBorders>
              <w:top w:val="single" w:color="auto" w:sz="4" w:space="0"/>
              <w:left w:val="single" w:color="auto" w:sz="4" w:space="0"/>
              <w:bottom w:val="single" w:color="auto" w:sz="4" w:space="0"/>
              <w:right w:val="single" w:color="auto" w:sz="4" w:space="0"/>
            </w:tcBorders>
            <w:vAlign w:val="center"/>
          </w:tcPr>
          <w:p w14:paraId="66971AD2">
            <w:pPr>
              <w:spacing w:line="240" w:lineRule="auto"/>
              <w:ind w:firstLine="0" w:firstLineChars="0"/>
              <w:jc w:val="center"/>
              <w:rPr>
                <w:rFonts w:hint="eastAsia" w:ascii="宋体" w:hAnsi="宋体" w:eastAsia="宋体" w:cs="Times New Roman"/>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734D629">
            <w:pPr>
              <w:spacing w:line="24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9800</w:t>
            </w:r>
          </w:p>
        </w:tc>
        <w:tc>
          <w:tcPr>
            <w:tcW w:w="671" w:type="dxa"/>
            <w:tcBorders>
              <w:top w:val="single" w:color="auto" w:sz="4" w:space="0"/>
              <w:left w:val="single" w:color="auto" w:sz="4" w:space="0"/>
              <w:bottom w:val="single" w:color="auto" w:sz="4" w:space="0"/>
              <w:right w:val="single" w:color="auto" w:sz="4" w:space="0"/>
            </w:tcBorders>
            <w:vAlign w:val="center"/>
          </w:tcPr>
          <w:p w14:paraId="07EF923B">
            <w:pPr>
              <w:spacing w:line="24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床</w:t>
            </w:r>
          </w:p>
        </w:tc>
        <w:tc>
          <w:tcPr>
            <w:tcW w:w="907" w:type="dxa"/>
            <w:tcBorders>
              <w:top w:val="single" w:color="auto" w:sz="4" w:space="0"/>
              <w:left w:val="single" w:color="auto" w:sz="4" w:space="0"/>
              <w:bottom w:val="single" w:color="auto" w:sz="4" w:space="0"/>
              <w:right w:val="single" w:color="auto" w:sz="4" w:space="0"/>
            </w:tcBorders>
            <w:vAlign w:val="center"/>
          </w:tcPr>
          <w:p w14:paraId="4A2E5C22">
            <w:pPr>
              <w:spacing w:line="240" w:lineRule="auto"/>
              <w:ind w:firstLine="0" w:firstLineChars="0"/>
              <w:jc w:val="center"/>
              <w:rPr>
                <w:rFonts w:hint="eastAsia" w:ascii="宋体" w:hAnsi="宋体"/>
                <w:color w:val="auto"/>
                <w:sz w:val="21"/>
                <w:szCs w:val="21"/>
                <w:highlight w:val="none"/>
              </w:rPr>
            </w:pPr>
          </w:p>
        </w:tc>
        <w:tc>
          <w:tcPr>
            <w:tcW w:w="1466" w:type="dxa"/>
            <w:gridSpan w:val="2"/>
            <w:tcBorders>
              <w:top w:val="single" w:color="auto" w:sz="4" w:space="0"/>
              <w:left w:val="single" w:color="auto" w:sz="4" w:space="0"/>
              <w:bottom w:val="single" w:color="auto" w:sz="4" w:space="0"/>
              <w:right w:val="single" w:color="auto" w:sz="4" w:space="0"/>
            </w:tcBorders>
            <w:vAlign w:val="center"/>
          </w:tcPr>
          <w:p w14:paraId="4EC20ABF">
            <w:pPr>
              <w:spacing w:line="240" w:lineRule="auto"/>
              <w:ind w:firstLine="0" w:firstLineChars="0"/>
              <w:jc w:val="center"/>
              <w:rPr>
                <w:rFonts w:hint="eastAsia" w:ascii="宋体" w:hAnsi="宋体"/>
                <w:color w:val="auto"/>
                <w:sz w:val="21"/>
                <w:szCs w:val="21"/>
                <w:highlight w:val="none"/>
              </w:rPr>
            </w:pPr>
          </w:p>
        </w:tc>
      </w:tr>
      <w:tr w14:paraId="1303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59" w:hRule="atLeast"/>
        </w:trPr>
        <w:tc>
          <w:tcPr>
            <w:tcW w:w="568" w:type="dxa"/>
            <w:tcBorders>
              <w:top w:val="single" w:color="auto" w:sz="4" w:space="0"/>
              <w:left w:val="single" w:color="auto" w:sz="4" w:space="0"/>
              <w:bottom w:val="single" w:color="auto" w:sz="4" w:space="0"/>
              <w:right w:val="single" w:color="auto" w:sz="4" w:space="0"/>
            </w:tcBorders>
            <w:vAlign w:val="center"/>
          </w:tcPr>
          <w:p w14:paraId="25C2CCCE">
            <w:pPr>
              <w:spacing w:line="24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w:t>
            </w:r>
          </w:p>
        </w:tc>
        <w:tc>
          <w:tcPr>
            <w:tcW w:w="1200" w:type="dxa"/>
            <w:tcBorders>
              <w:top w:val="single" w:color="auto" w:sz="4" w:space="0"/>
              <w:left w:val="single" w:color="auto" w:sz="4" w:space="0"/>
              <w:bottom w:val="single" w:color="auto" w:sz="4" w:space="0"/>
              <w:right w:val="single" w:color="auto" w:sz="4" w:space="0"/>
            </w:tcBorders>
            <w:vAlign w:val="center"/>
          </w:tcPr>
          <w:p w14:paraId="2A54FF99">
            <w:pPr>
              <w:spacing w:line="24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台式</w:t>
            </w:r>
            <w:r>
              <w:rPr>
                <w:rFonts w:hint="eastAsia" w:ascii="宋体" w:hAnsi="宋体" w:eastAsia="宋体" w:cs="Times New Roman"/>
                <w:color w:val="auto"/>
                <w:sz w:val="21"/>
                <w:szCs w:val="21"/>
                <w:highlight w:val="none"/>
              </w:rPr>
              <w:t>风扇</w:t>
            </w:r>
          </w:p>
        </w:tc>
        <w:tc>
          <w:tcPr>
            <w:tcW w:w="1029" w:type="dxa"/>
            <w:tcBorders>
              <w:top w:val="single" w:color="auto" w:sz="4" w:space="0"/>
              <w:left w:val="single" w:color="auto" w:sz="4" w:space="0"/>
              <w:bottom w:val="single" w:color="auto" w:sz="4" w:space="0"/>
              <w:right w:val="single" w:color="auto" w:sz="4" w:space="0"/>
            </w:tcBorders>
            <w:vAlign w:val="center"/>
          </w:tcPr>
          <w:p w14:paraId="498034BA">
            <w:pPr>
              <w:spacing w:line="240" w:lineRule="auto"/>
              <w:ind w:firstLine="0" w:firstLineChars="0"/>
              <w:jc w:val="center"/>
              <w:rPr>
                <w:rFonts w:hint="eastAsia" w:ascii="宋体" w:hAnsi="宋体" w:eastAsia="宋体" w:cs="Times New Roman"/>
                <w:color w:val="auto"/>
                <w:sz w:val="21"/>
                <w:szCs w:val="21"/>
                <w:highlight w:val="none"/>
              </w:rPr>
            </w:pPr>
          </w:p>
        </w:tc>
        <w:tc>
          <w:tcPr>
            <w:tcW w:w="785" w:type="dxa"/>
            <w:tcBorders>
              <w:top w:val="single" w:color="auto" w:sz="4" w:space="0"/>
              <w:left w:val="single" w:color="auto" w:sz="4" w:space="0"/>
              <w:bottom w:val="single" w:color="auto" w:sz="4" w:space="0"/>
              <w:right w:val="single" w:color="auto" w:sz="4" w:space="0"/>
            </w:tcBorders>
          </w:tcPr>
          <w:p w14:paraId="05AACCC4">
            <w:pPr>
              <w:spacing w:line="240" w:lineRule="auto"/>
              <w:ind w:firstLine="0" w:firstLineChars="0"/>
              <w:jc w:val="center"/>
              <w:rPr>
                <w:rFonts w:hint="eastAsia" w:ascii="宋体" w:hAnsi="宋体" w:eastAsia="宋体" w:cs="Times New Roman"/>
                <w:color w:val="auto"/>
                <w:sz w:val="21"/>
                <w:szCs w:val="21"/>
                <w:highlight w:val="none"/>
              </w:rPr>
            </w:pPr>
          </w:p>
        </w:tc>
        <w:tc>
          <w:tcPr>
            <w:tcW w:w="1156" w:type="dxa"/>
            <w:tcBorders>
              <w:top w:val="single" w:color="auto" w:sz="4" w:space="0"/>
              <w:left w:val="single" w:color="auto" w:sz="4" w:space="0"/>
              <w:bottom w:val="single" w:color="auto" w:sz="4" w:space="0"/>
              <w:right w:val="single" w:color="auto" w:sz="4" w:space="0"/>
            </w:tcBorders>
            <w:vAlign w:val="center"/>
          </w:tcPr>
          <w:p w14:paraId="28F8F3E0">
            <w:pPr>
              <w:spacing w:line="240" w:lineRule="auto"/>
              <w:ind w:firstLine="0" w:firstLineChars="0"/>
              <w:jc w:val="center"/>
              <w:rPr>
                <w:rFonts w:hint="eastAsia" w:ascii="宋体" w:hAnsi="宋体" w:eastAsia="宋体" w:cs="Times New Roman"/>
                <w:color w:val="auto"/>
                <w:sz w:val="21"/>
                <w:szCs w:val="21"/>
                <w:highlight w:val="none"/>
              </w:rPr>
            </w:pPr>
          </w:p>
        </w:tc>
        <w:tc>
          <w:tcPr>
            <w:tcW w:w="687" w:type="dxa"/>
            <w:tcBorders>
              <w:top w:val="single" w:color="auto" w:sz="4" w:space="0"/>
              <w:left w:val="single" w:color="auto" w:sz="4" w:space="0"/>
              <w:bottom w:val="single" w:color="auto" w:sz="4" w:space="0"/>
              <w:right w:val="single" w:color="auto" w:sz="4" w:space="0"/>
            </w:tcBorders>
            <w:vAlign w:val="center"/>
          </w:tcPr>
          <w:p w14:paraId="6DA76D4D">
            <w:pPr>
              <w:spacing w:line="240" w:lineRule="auto"/>
              <w:ind w:firstLine="0" w:firstLineChars="0"/>
              <w:jc w:val="center"/>
              <w:rPr>
                <w:rFonts w:hint="eastAsia" w:ascii="宋体" w:hAnsi="宋体" w:eastAsia="宋体" w:cs="Times New Roman"/>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84EFAC7">
            <w:pPr>
              <w:spacing w:line="24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9800</w:t>
            </w:r>
          </w:p>
        </w:tc>
        <w:tc>
          <w:tcPr>
            <w:tcW w:w="671" w:type="dxa"/>
            <w:tcBorders>
              <w:top w:val="single" w:color="auto" w:sz="4" w:space="0"/>
              <w:left w:val="single" w:color="auto" w:sz="4" w:space="0"/>
              <w:bottom w:val="single" w:color="auto" w:sz="4" w:space="0"/>
              <w:right w:val="single" w:color="auto" w:sz="4" w:space="0"/>
            </w:tcBorders>
            <w:vAlign w:val="center"/>
          </w:tcPr>
          <w:p w14:paraId="09B29B93">
            <w:pPr>
              <w:spacing w:line="24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台</w:t>
            </w:r>
          </w:p>
        </w:tc>
        <w:tc>
          <w:tcPr>
            <w:tcW w:w="907" w:type="dxa"/>
            <w:tcBorders>
              <w:top w:val="single" w:color="auto" w:sz="4" w:space="0"/>
              <w:left w:val="single" w:color="auto" w:sz="4" w:space="0"/>
              <w:bottom w:val="single" w:color="auto" w:sz="4" w:space="0"/>
              <w:right w:val="single" w:color="auto" w:sz="4" w:space="0"/>
            </w:tcBorders>
            <w:vAlign w:val="center"/>
          </w:tcPr>
          <w:p w14:paraId="16E86A5A">
            <w:pPr>
              <w:spacing w:line="240" w:lineRule="auto"/>
              <w:ind w:firstLine="0" w:firstLineChars="0"/>
              <w:jc w:val="center"/>
              <w:rPr>
                <w:rFonts w:hint="eastAsia" w:ascii="宋体" w:hAnsi="宋体"/>
                <w:color w:val="auto"/>
                <w:sz w:val="21"/>
                <w:szCs w:val="21"/>
                <w:highlight w:val="none"/>
              </w:rPr>
            </w:pPr>
          </w:p>
        </w:tc>
        <w:tc>
          <w:tcPr>
            <w:tcW w:w="1466" w:type="dxa"/>
            <w:gridSpan w:val="2"/>
            <w:tcBorders>
              <w:top w:val="single" w:color="auto" w:sz="4" w:space="0"/>
              <w:left w:val="single" w:color="auto" w:sz="4" w:space="0"/>
              <w:bottom w:val="single" w:color="auto" w:sz="4" w:space="0"/>
              <w:right w:val="single" w:color="auto" w:sz="4" w:space="0"/>
            </w:tcBorders>
            <w:vAlign w:val="center"/>
          </w:tcPr>
          <w:p w14:paraId="74FB0E97">
            <w:pPr>
              <w:spacing w:line="240" w:lineRule="auto"/>
              <w:ind w:firstLine="0" w:firstLineChars="0"/>
              <w:jc w:val="center"/>
              <w:rPr>
                <w:rFonts w:hint="eastAsia" w:ascii="宋体" w:hAnsi="宋体"/>
                <w:color w:val="auto"/>
                <w:sz w:val="21"/>
                <w:szCs w:val="21"/>
                <w:highlight w:val="none"/>
              </w:rPr>
            </w:pPr>
          </w:p>
        </w:tc>
      </w:tr>
      <w:tr w14:paraId="6BE5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59" w:hRule="atLeast"/>
        </w:trPr>
        <w:tc>
          <w:tcPr>
            <w:tcW w:w="568" w:type="dxa"/>
            <w:tcBorders>
              <w:top w:val="single" w:color="auto" w:sz="4" w:space="0"/>
              <w:left w:val="single" w:color="auto" w:sz="4" w:space="0"/>
              <w:bottom w:val="single" w:color="auto" w:sz="4" w:space="0"/>
              <w:right w:val="single" w:color="auto" w:sz="4" w:space="0"/>
            </w:tcBorders>
            <w:vAlign w:val="center"/>
          </w:tcPr>
          <w:p w14:paraId="58BA9D94">
            <w:pPr>
              <w:spacing w:line="24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w:t>
            </w:r>
          </w:p>
        </w:tc>
        <w:tc>
          <w:tcPr>
            <w:tcW w:w="1200" w:type="dxa"/>
            <w:tcBorders>
              <w:top w:val="single" w:color="auto" w:sz="4" w:space="0"/>
              <w:left w:val="single" w:color="auto" w:sz="4" w:space="0"/>
              <w:bottom w:val="single" w:color="auto" w:sz="4" w:space="0"/>
              <w:right w:val="single" w:color="auto" w:sz="4" w:space="0"/>
            </w:tcBorders>
            <w:vAlign w:val="center"/>
          </w:tcPr>
          <w:p w14:paraId="6B0CF99B">
            <w:pPr>
              <w:spacing w:line="24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慰问信</w:t>
            </w:r>
          </w:p>
        </w:tc>
        <w:tc>
          <w:tcPr>
            <w:tcW w:w="1029" w:type="dxa"/>
            <w:tcBorders>
              <w:top w:val="single" w:color="auto" w:sz="4" w:space="0"/>
              <w:left w:val="single" w:color="auto" w:sz="4" w:space="0"/>
              <w:bottom w:val="single" w:color="auto" w:sz="4" w:space="0"/>
              <w:right w:val="single" w:color="auto" w:sz="4" w:space="0"/>
            </w:tcBorders>
            <w:vAlign w:val="center"/>
          </w:tcPr>
          <w:p w14:paraId="4357F3B8">
            <w:pPr>
              <w:spacing w:line="240" w:lineRule="auto"/>
              <w:ind w:firstLine="0" w:firstLineChars="0"/>
              <w:jc w:val="center"/>
              <w:rPr>
                <w:rFonts w:hint="eastAsia" w:ascii="宋体" w:hAnsi="宋体" w:eastAsia="宋体" w:cs="Times New Roman"/>
                <w:color w:val="auto"/>
                <w:sz w:val="21"/>
                <w:szCs w:val="21"/>
                <w:highlight w:val="none"/>
              </w:rPr>
            </w:pPr>
          </w:p>
        </w:tc>
        <w:tc>
          <w:tcPr>
            <w:tcW w:w="785" w:type="dxa"/>
            <w:tcBorders>
              <w:top w:val="single" w:color="auto" w:sz="4" w:space="0"/>
              <w:left w:val="single" w:color="auto" w:sz="4" w:space="0"/>
              <w:bottom w:val="single" w:color="auto" w:sz="4" w:space="0"/>
              <w:right w:val="single" w:color="auto" w:sz="4" w:space="0"/>
            </w:tcBorders>
          </w:tcPr>
          <w:p w14:paraId="1CFB030F">
            <w:pPr>
              <w:spacing w:line="240" w:lineRule="auto"/>
              <w:ind w:firstLine="0" w:firstLineChars="0"/>
              <w:jc w:val="center"/>
              <w:rPr>
                <w:rFonts w:hint="eastAsia" w:ascii="宋体" w:hAnsi="宋体" w:eastAsia="宋体" w:cs="Times New Roman"/>
                <w:color w:val="auto"/>
                <w:sz w:val="21"/>
                <w:szCs w:val="21"/>
                <w:highlight w:val="none"/>
              </w:rPr>
            </w:pPr>
          </w:p>
        </w:tc>
        <w:tc>
          <w:tcPr>
            <w:tcW w:w="1156" w:type="dxa"/>
            <w:tcBorders>
              <w:top w:val="single" w:color="auto" w:sz="4" w:space="0"/>
              <w:left w:val="single" w:color="auto" w:sz="4" w:space="0"/>
              <w:bottom w:val="single" w:color="auto" w:sz="4" w:space="0"/>
              <w:right w:val="single" w:color="auto" w:sz="4" w:space="0"/>
            </w:tcBorders>
            <w:vAlign w:val="center"/>
          </w:tcPr>
          <w:p w14:paraId="40BCAF81">
            <w:pPr>
              <w:spacing w:line="240" w:lineRule="auto"/>
              <w:ind w:firstLine="0" w:firstLineChars="0"/>
              <w:jc w:val="center"/>
              <w:rPr>
                <w:rFonts w:hint="eastAsia" w:ascii="宋体" w:hAnsi="宋体" w:eastAsia="宋体" w:cs="Times New Roman"/>
                <w:color w:val="auto"/>
                <w:sz w:val="21"/>
                <w:szCs w:val="21"/>
                <w:highlight w:val="none"/>
              </w:rPr>
            </w:pPr>
          </w:p>
        </w:tc>
        <w:tc>
          <w:tcPr>
            <w:tcW w:w="687" w:type="dxa"/>
            <w:tcBorders>
              <w:top w:val="single" w:color="auto" w:sz="4" w:space="0"/>
              <w:left w:val="single" w:color="auto" w:sz="4" w:space="0"/>
              <w:bottom w:val="single" w:color="auto" w:sz="4" w:space="0"/>
              <w:right w:val="single" w:color="auto" w:sz="4" w:space="0"/>
            </w:tcBorders>
            <w:vAlign w:val="center"/>
          </w:tcPr>
          <w:p w14:paraId="7E97B2A2">
            <w:pPr>
              <w:spacing w:line="240" w:lineRule="auto"/>
              <w:ind w:firstLine="0" w:firstLineChars="0"/>
              <w:jc w:val="center"/>
              <w:rPr>
                <w:rFonts w:hint="eastAsia" w:ascii="宋体" w:hAnsi="宋体" w:eastAsia="宋体" w:cs="Times New Roman"/>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0190A68">
            <w:pPr>
              <w:spacing w:line="24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9800</w:t>
            </w:r>
          </w:p>
        </w:tc>
        <w:tc>
          <w:tcPr>
            <w:tcW w:w="671" w:type="dxa"/>
            <w:tcBorders>
              <w:top w:val="single" w:color="auto" w:sz="4" w:space="0"/>
              <w:left w:val="single" w:color="auto" w:sz="4" w:space="0"/>
              <w:bottom w:val="single" w:color="auto" w:sz="4" w:space="0"/>
              <w:right w:val="single" w:color="auto" w:sz="4" w:space="0"/>
            </w:tcBorders>
            <w:vAlign w:val="center"/>
          </w:tcPr>
          <w:p w14:paraId="41D4633F">
            <w:pPr>
              <w:spacing w:line="240" w:lineRule="auto"/>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份</w:t>
            </w:r>
          </w:p>
        </w:tc>
        <w:tc>
          <w:tcPr>
            <w:tcW w:w="907" w:type="dxa"/>
            <w:tcBorders>
              <w:top w:val="single" w:color="auto" w:sz="4" w:space="0"/>
              <w:left w:val="single" w:color="auto" w:sz="4" w:space="0"/>
              <w:bottom w:val="single" w:color="auto" w:sz="4" w:space="0"/>
              <w:right w:val="single" w:color="auto" w:sz="4" w:space="0"/>
            </w:tcBorders>
            <w:vAlign w:val="center"/>
          </w:tcPr>
          <w:p w14:paraId="5617760B">
            <w:pPr>
              <w:spacing w:line="240" w:lineRule="auto"/>
              <w:ind w:firstLine="0" w:firstLineChars="0"/>
              <w:jc w:val="center"/>
              <w:rPr>
                <w:rFonts w:hint="eastAsia" w:ascii="宋体" w:hAnsi="宋体"/>
                <w:color w:val="auto"/>
                <w:sz w:val="21"/>
                <w:szCs w:val="21"/>
                <w:highlight w:val="none"/>
              </w:rPr>
            </w:pPr>
          </w:p>
        </w:tc>
        <w:tc>
          <w:tcPr>
            <w:tcW w:w="1466" w:type="dxa"/>
            <w:gridSpan w:val="2"/>
            <w:tcBorders>
              <w:top w:val="single" w:color="auto" w:sz="4" w:space="0"/>
              <w:left w:val="single" w:color="auto" w:sz="4" w:space="0"/>
              <w:bottom w:val="single" w:color="auto" w:sz="4" w:space="0"/>
              <w:right w:val="single" w:color="auto" w:sz="4" w:space="0"/>
            </w:tcBorders>
            <w:vAlign w:val="center"/>
          </w:tcPr>
          <w:p w14:paraId="00C40BC9">
            <w:pPr>
              <w:spacing w:line="240" w:lineRule="auto"/>
              <w:ind w:firstLine="0" w:firstLineChars="0"/>
              <w:jc w:val="center"/>
              <w:rPr>
                <w:rFonts w:hint="eastAsia" w:ascii="宋体" w:hAnsi="宋体"/>
                <w:color w:val="auto"/>
                <w:sz w:val="21"/>
                <w:szCs w:val="21"/>
                <w:highlight w:val="none"/>
              </w:rPr>
            </w:pPr>
          </w:p>
        </w:tc>
      </w:tr>
      <w:tr w14:paraId="1183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7722" w:type="dxa"/>
            <w:gridSpan w:val="10"/>
            <w:tcBorders>
              <w:top w:val="single" w:color="auto" w:sz="4" w:space="0"/>
              <w:left w:val="single" w:color="auto" w:sz="4" w:space="0"/>
              <w:bottom w:val="single" w:color="auto" w:sz="4" w:space="0"/>
              <w:right w:val="single" w:color="auto" w:sz="4" w:space="0"/>
            </w:tcBorders>
            <w:vAlign w:val="center"/>
          </w:tcPr>
          <w:p w14:paraId="16E8421F">
            <w:pPr>
              <w:spacing w:line="240" w:lineRule="auto"/>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合     计</w:t>
            </w:r>
          </w:p>
        </w:tc>
        <w:tc>
          <w:tcPr>
            <w:tcW w:w="1466" w:type="dxa"/>
            <w:gridSpan w:val="2"/>
            <w:tcBorders>
              <w:top w:val="single" w:color="auto" w:sz="4" w:space="0"/>
              <w:left w:val="single" w:color="auto" w:sz="4" w:space="0"/>
              <w:bottom w:val="single" w:color="auto" w:sz="4" w:space="0"/>
              <w:right w:val="single" w:color="auto" w:sz="4" w:space="0"/>
            </w:tcBorders>
            <w:vAlign w:val="center"/>
          </w:tcPr>
          <w:p w14:paraId="35D6C98A">
            <w:pPr>
              <w:spacing w:line="240" w:lineRule="auto"/>
              <w:ind w:firstLine="0" w:firstLineChars="0"/>
              <w:jc w:val="center"/>
              <w:rPr>
                <w:rFonts w:hint="eastAsia" w:ascii="宋体" w:hAnsi="宋体"/>
                <w:color w:val="auto"/>
                <w:sz w:val="21"/>
                <w:szCs w:val="21"/>
                <w:highlight w:val="none"/>
              </w:rPr>
            </w:pPr>
          </w:p>
        </w:tc>
      </w:tr>
    </w:tbl>
    <w:p w14:paraId="213F519A">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根据《成交通知书》的</w:t>
      </w:r>
      <w:r>
        <w:rPr>
          <w:rFonts w:hint="eastAsia" w:ascii="宋体" w:hAnsi="宋体"/>
          <w:color w:val="auto"/>
          <w:sz w:val="21"/>
          <w:szCs w:val="21"/>
          <w:highlight w:val="none"/>
          <w:lang w:val="en-US" w:eastAsia="zh-CN"/>
        </w:rPr>
        <w:t>成交</w:t>
      </w:r>
      <w:r>
        <w:rPr>
          <w:rFonts w:hint="eastAsia" w:ascii="宋体" w:hAnsi="宋体"/>
          <w:color w:val="auto"/>
          <w:sz w:val="21"/>
          <w:szCs w:val="21"/>
          <w:highlight w:val="none"/>
        </w:rPr>
        <w:t>内容，合同的总金额为：（大写）</w:t>
      </w:r>
      <w:r>
        <w:rPr>
          <w:rFonts w:hint="eastAsia" w:ascii="宋体" w:hAnsi="宋体"/>
          <w:color w:val="auto"/>
          <w:sz w:val="21"/>
          <w:szCs w:val="21"/>
          <w:highlight w:val="none"/>
          <w:u w:val="single"/>
        </w:rPr>
        <w:t>　　   　　　</w:t>
      </w:r>
      <w:r>
        <w:rPr>
          <w:rFonts w:hint="eastAsia" w:ascii="宋体" w:hAnsi="宋体"/>
          <w:color w:val="auto"/>
          <w:sz w:val="21"/>
          <w:szCs w:val="21"/>
          <w:highlight w:val="none"/>
        </w:rPr>
        <w:t>（¥</w:t>
      </w:r>
      <w:r>
        <w:rPr>
          <w:rFonts w:hint="eastAsia" w:ascii="宋体" w:hAnsi="宋体"/>
          <w:color w:val="auto"/>
          <w:sz w:val="21"/>
          <w:szCs w:val="21"/>
          <w:highlight w:val="none"/>
          <w:u w:val="single"/>
        </w:rPr>
        <w:t>　　　</w:t>
      </w:r>
      <w:r>
        <w:rPr>
          <w:rFonts w:hint="eastAsia" w:ascii="宋体" w:hAnsi="宋体"/>
          <w:color w:val="auto"/>
          <w:sz w:val="21"/>
          <w:szCs w:val="21"/>
          <w:highlight w:val="none"/>
        </w:rPr>
        <w:t>元）人民币。</w:t>
      </w:r>
    </w:p>
    <w:p w14:paraId="29C984E6">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本合同价款包括本次采购范围内货物价款、货物随配标准附件、包装、运输、装卸、保险、税金、货到位以及安装、安装所需辅材、调试、检验、售后服务、培训、保修</w:t>
      </w:r>
      <w:r>
        <w:rPr>
          <w:rFonts w:hint="eastAsia" w:ascii="宋体" w:hAnsi="宋体"/>
          <w:color w:val="auto"/>
          <w:sz w:val="21"/>
          <w:szCs w:val="21"/>
          <w:highlight w:val="none"/>
          <w:lang w:eastAsia="zh-CN"/>
        </w:rPr>
        <w:t>（质保）</w:t>
      </w:r>
      <w:r>
        <w:rPr>
          <w:rFonts w:hint="eastAsia" w:ascii="宋体" w:hAnsi="宋体"/>
          <w:color w:val="auto"/>
          <w:sz w:val="21"/>
          <w:szCs w:val="21"/>
          <w:highlight w:val="none"/>
        </w:rPr>
        <w:t>、验收及其他所有成本费用的总和，乙方已综合考虑在报价中。</w:t>
      </w:r>
    </w:p>
    <w:p w14:paraId="716A3407">
      <w:pPr>
        <w:spacing w:line="380" w:lineRule="exact"/>
        <w:ind w:firstLine="422"/>
        <w:rPr>
          <w:rFonts w:hint="eastAsia" w:ascii="宋体" w:hAnsi="宋体"/>
          <w:b/>
          <w:color w:val="auto"/>
          <w:sz w:val="21"/>
          <w:szCs w:val="21"/>
          <w:highlight w:val="none"/>
        </w:rPr>
      </w:pPr>
      <w:r>
        <w:rPr>
          <w:rFonts w:hint="eastAsia" w:ascii="宋体" w:hAnsi="宋体"/>
          <w:b/>
          <w:color w:val="auto"/>
          <w:sz w:val="21"/>
          <w:szCs w:val="21"/>
          <w:highlight w:val="none"/>
        </w:rPr>
        <w:t>第二条  质量保证</w:t>
      </w:r>
    </w:p>
    <w:p w14:paraId="7B4018B8">
      <w:pPr>
        <w:spacing w:line="380" w:lineRule="exact"/>
        <w:ind w:firstLine="420"/>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sz w:val="21"/>
          <w:szCs w:val="21"/>
          <w:highlight w:val="none"/>
        </w:rPr>
        <w:t>乙方应按响应文件承诺的货物规格型号、技术参数、质量标准等向甲方提供未经使用的全新原装产品，产品质量须符合国家相关标准及安全规范，且在正常安装使用和保养条件下，其使用寿命期内各项指标均达到质量标准。</w:t>
      </w:r>
    </w:p>
    <w:p w14:paraId="78B2FB02">
      <w:pPr>
        <w:spacing w:line="380" w:lineRule="exact"/>
        <w:ind w:firstLine="422"/>
        <w:rPr>
          <w:rFonts w:hint="eastAsia" w:ascii="宋体" w:hAnsi="宋体"/>
          <w:b/>
          <w:color w:val="auto"/>
          <w:sz w:val="21"/>
          <w:szCs w:val="21"/>
          <w:highlight w:val="none"/>
        </w:rPr>
      </w:pPr>
      <w:r>
        <w:rPr>
          <w:rFonts w:hint="eastAsia" w:ascii="宋体" w:hAnsi="宋体"/>
          <w:b/>
          <w:color w:val="auto"/>
          <w:sz w:val="21"/>
          <w:szCs w:val="21"/>
          <w:highlight w:val="none"/>
        </w:rPr>
        <w:t>第三条  权力保证</w:t>
      </w:r>
    </w:p>
    <w:p w14:paraId="48042B2C">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1.乙方应按谈判文件规定的时间向甲方提供使用货物的有关技术资料。</w:t>
      </w:r>
    </w:p>
    <w:p w14:paraId="59179A43">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2.乙方保证所交付的标的所有权完全属于乙方且无任何抵押、质押、查封等产权瑕疵。</w:t>
      </w:r>
    </w:p>
    <w:p w14:paraId="31D2070C">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3.乙方必须保证所提供的产品及服务涉及到的知识产权和相关技术资料是合法取得的，甲方在使用产品及服务时不会侵犯任何第三方的著作权、专利权、商标权、工业设计权或其他权利，不会因为甲方的使用遭受第三方侵权指控，包括被责令致歉、停止使用、追偿或要求赔偿损失等。否则，乙方负责解决由此引起的一切纠纷，甲方有权追究乙方的法律责任，其不利后果由乙方全部承担。</w:t>
      </w:r>
    </w:p>
    <w:p w14:paraId="639B9EC5">
      <w:pPr>
        <w:spacing w:line="380" w:lineRule="exact"/>
        <w:ind w:firstLine="422"/>
        <w:rPr>
          <w:rFonts w:hint="eastAsia" w:ascii="宋体" w:hAnsi="宋体"/>
          <w:b/>
          <w:color w:val="auto"/>
          <w:sz w:val="21"/>
          <w:szCs w:val="21"/>
          <w:highlight w:val="none"/>
        </w:rPr>
      </w:pPr>
      <w:r>
        <w:rPr>
          <w:rFonts w:hint="eastAsia" w:ascii="宋体" w:hAnsi="宋体"/>
          <w:b/>
          <w:color w:val="auto"/>
          <w:sz w:val="21"/>
          <w:szCs w:val="21"/>
          <w:highlight w:val="none"/>
        </w:rPr>
        <w:t>第四条  货物包装、运输</w:t>
      </w:r>
    </w:p>
    <w:p w14:paraId="16FFD3B1">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1.原厂原包装，包装完好完整、无破损、未开封。</w:t>
      </w:r>
    </w:p>
    <w:p w14:paraId="6362ABAB">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2.包装及运输方式应综合考虑运输距离、防潮、防震、防锈和防破损装卸等要求。</w:t>
      </w:r>
    </w:p>
    <w:p w14:paraId="6B5C7B61">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3.国家对包装及运输有相关强制性标准或要求的，乙方应当执行。</w:t>
      </w:r>
    </w:p>
    <w:p w14:paraId="667FB7D6">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4.产品（含包装）运抵甲方指定交付地点前发生损坏的，相关损失由乙方自行承担。</w:t>
      </w:r>
    </w:p>
    <w:p w14:paraId="0A8831F8">
      <w:pPr>
        <w:spacing w:line="380" w:lineRule="exact"/>
        <w:ind w:firstLine="422"/>
        <w:rPr>
          <w:rFonts w:hint="eastAsia" w:ascii="宋体" w:hAnsi="宋体"/>
          <w:b/>
          <w:color w:val="auto"/>
          <w:sz w:val="21"/>
          <w:szCs w:val="21"/>
          <w:highlight w:val="none"/>
        </w:rPr>
      </w:pPr>
      <w:r>
        <w:rPr>
          <w:rFonts w:hint="eastAsia" w:ascii="宋体" w:hAnsi="宋体"/>
          <w:b/>
          <w:color w:val="auto"/>
          <w:sz w:val="21"/>
          <w:szCs w:val="21"/>
          <w:highlight w:val="none"/>
        </w:rPr>
        <w:t>第五条  交付</w:t>
      </w:r>
    </w:p>
    <w:p w14:paraId="52BE21A2">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1.交付时间：</w:t>
      </w:r>
      <w:r>
        <w:rPr>
          <w:rFonts w:hint="eastAsia" w:ascii="宋体" w:hAnsi="宋体" w:cs="宋体"/>
          <w:bCs/>
          <w:color w:val="auto"/>
          <w:sz w:val="21"/>
          <w:szCs w:val="20"/>
          <w:highlight w:val="none"/>
          <w:u w:val="single"/>
        </w:rPr>
        <w:t xml:space="preserve">                   </w:t>
      </w:r>
      <w:r>
        <w:rPr>
          <w:rFonts w:hint="eastAsia" w:ascii="宋体" w:hAnsi="宋体"/>
          <w:color w:val="auto"/>
          <w:sz w:val="21"/>
          <w:szCs w:val="21"/>
          <w:highlight w:val="none"/>
        </w:rPr>
        <w:t>、交付地点：</w:t>
      </w:r>
      <w:r>
        <w:rPr>
          <w:rFonts w:hint="eastAsia" w:ascii="宋体" w:hAnsi="宋体"/>
          <w:color w:val="auto"/>
          <w:sz w:val="21"/>
          <w:szCs w:val="21"/>
          <w:highlight w:val="none"/>
          <w:u w:val="single"/>
        </w:rPr>
        <w:t>广西桂林市兴安县内甲方指定地点</w:t>
      </w:r>
      <w:r>
        <w:rPr>
          <w:rFonts w:hint="eastAsia" w:ascii="宋体" w:hAnsi="宋体"/>
          <w:color w:val="auto"/>
          <w:sz w:val="21"/>
          <w:szCs w:val="21"/>
          <w:highlight w:val="none"/>
        </w:rPr>
        <w:t>。</w:t>
      </w:r>
    </w:p>
    <w:p w14:paraId="189943A2">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2.乙方提供不符合谈判文件规定、乙方响应文件承诺和本合同规定的标的，甲方有权拒绝接受。</w:t>
      </w:r>
    </w:p>
    <w:p w14:paraId="64610A98">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3.乙方应将所有提供货物的装箱清单、用户手册、原厂保修卡、随机资料、工具和备用、备件等交付给甲方，货物属于进口产品的，供货时应同时附上中文使用说明书，如有缺失应及时补齐，否则视为逾期交货。</w:t>
      </w:r>
    </w:p>
    <w:p w14:paraId="27A54685">
      <w:pPr>
        <w:spacing w:line="380" w:lineRule="exact"/>
        <w:ind w:firstLine="422"/>
        <w:rPr>
          <w:rFonts w:hint="eastAsia" w:ascii="宋体" w:hAnsi="宋体"/>
          <w:b/>
          <w:color w:val="auto"/>
          <w:sz w:val="21"/>
          <w:szCs w:val="21"/>
          <w:highlight w:val="none"/>
        </w:rPr>
      </w:pPr>
      <w:r>
        <w:rPr>
          <w:rFonts w:hint="eastAsia" w:ascii="宋体" w:hAnsi="宋体"/>
          <w:b/>
          <w:color w:val="auto"/>
          <w:sz w:val="21"/>
          <w:szCs w:val="21"/>
          <w:highlight w:val="none"/>
        </w:rPr>
        <w:t>第六条  安装和培训</w:t>
      </w:r>
    </w:p>
    <w:p w14:paraId="155B4ED2">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1.甲方应提供必要安装条件（如场地、电源、水源等）。</w:t>
      </w:r>
    </w:p>
    <w:p w14:paraId="37C4BD89">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2.乙方负责甲方有关人员的培训。培训时间、地点：</w:t>
      </w:r>
      <w:r>
        <w:rPr>
          <w:rFonts w:hint="eastAsia" w:ascii="宋体" w:hAnsi="宋体"/>
          <w:color w:val="auto"/>
          <w:sz w:val="21"/>
          <w:szCs w:val="21"/>
          <w:highlight w:val="none"/>
          <w:u w:val="single"/>
        </w:rPr>
        <w:t>广西桂林市兴安县内甲方指定时间地点</w:t>
      </w:r>
      <w:r>
        <w:rPr>
          <w:rFonts w:hint="eastAsia" w:ascii="宋体" w:hAnsi="宋体"/>
          <w:color w:val="auto"/>
          <w:sz w:val="21"/>
          <w:szCs w:val="21"/>
          <w:highlight w:val="none"/>
        </w:rPr>
        <w:t>。</w:t>
      </w:r>
    </w:p>
    <w:p w14:paraId="586345A1">
      <w:pPr>
        <w:spacing w:line="380" w:lineRule="exact"/>
        <w:ind w:firstLine="422"/>
        <w:rPr>
          <w:rFonts w:hint="eastAsia" w:ascii="宋体" w:hAnsi="宋体"/>
          <w:b/>
          <w:color w:val="auto"/>
          <w:sz w:val="21"/>
          <w:szCs w:val="21"/>
          <w:highlight w:val="none"/>
        </w:rPr>
      </w:pPr>
      <w:r>
        <w:rPr>
          <w:rFonts w:hint="eastAsia" w:ascii="宋体" w:hAnsi="宋体"/>
          <w:b/>
          <w:color w:val="auto"/>
          <w:sz w:val="21"/>
          <w:szCs w:val="21"/>
          <w:highlight w:val="none"/>
        </w:rPr>
        <w:t>第七条  验收</w:t>
      </w:r>
    </w:p>
    <w:p w14:paraId="67F09E76">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应按响应文件承诺的货物规格型号、技术参数、质量标准等向</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提供未经使用的全新原装产品，产品质量须符合国家相关标准及安全规范，且在正常安装使用和保养条件下，其使用寿命期内各项指标均达到质量标准。</w:t>
      </w:r>
    </w:p>
    <w:p w14:paraId="00F512EF">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2.</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必须于供货时提供所竞第1、2项号产品“夏凉被”、“台式风扇”的所有产品合格证原件，否则不予验收，并按违约处理，</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有权保留追究</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的相关法律责任的权利。</w:t>
      </w:r>
    </w:p>
    <w:p w14:paraId="6EDCC6D6">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3.到货后，</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和</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应在现场进行清点，清点过程中如果发现因包装或运输不当引起的损坏，或发现错发/漏发情况，</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应一周内更换和补发。</w:t>
      </w:r>
    </w:p>
    <w:p w14:paraId="0D3F429C">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4.</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合同签订后供货前必须向</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提供“采购需求一览表”“技术要求”中的所要求对应的检测报告原件供</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核查，未提供检测报告原件或所提供的检测报告原件与响应文件中检测报告复印件不一致的，不予验收，并按违约处理，</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有权保留追究</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的相关法律责任的权利。</w:t>
      </w:r>
    </w:p>
    <w:p w14:paraId="5CA500E5">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5.</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对成交产品按采购需求逐条核验，并在验收时对“台式风扇”抽样进行通电试用，如所提供的产品与响应文件中承诺的参数与产品实际参数不一致，</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将不予接收，由此造成的损失由</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负责。</w:t>
      </w:r>
    </w:p>
    <w:p w14:paraId="0616C319">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6.</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如虚假应标，一经查实，将按虚假应标处理，由此造成的一切损失由</w:t>
      </w:r>
      <w:r>
        <w:rPr>
          <w:rFonts w:hint="eastAsia" w:ascii="宋体" w:hAnsi="宋体"/>
          <w:color w:val="auto"/>
          <w:sz w:val="21"/>
          <w:szCs w:val="21"/>
          <w:highlight w:val="none"/>
          <w:lang w:eastAsia="zh-CN"/>
        </w:rPr>
        <w:t>乙方</w:t>
      </w:r>
      <w:r>
        <w:rPr>
          <w:rFonts w:hint="eastAsia" w:ascii="宋体" w:hAnsi="宋体"/>
          <w:color w:val="auto"/>
          <w:sz w:val="21"/>
          <w:szCs w:val="21"/>
          <w:highlight w:val="none"/>
        </w:rPr>
        <w:t>承担，且</w:t>
      </w:r>
      <w:r>
        <w:rPr>
          <w:rFonts w:hint="eastAsia" w:ascii="宋体" w:hAnsi="宋体"/>
          <w:color w:val="auto"/>
          <w:sz w:val="21"/>
          <w:szCs w:val="21"/>
          <w:highlight w:val="none"/>
          <w:lang w:eastAsia="zh-CN"/>
        </w:rPr>
        <w:t>甲方</w:t>
      </w:r>
      <w:r>
        <w:rPr>
          <w:rFonts w:hint="eastAsia" w:ascii="宋体" w:hAnsi="宋体"/>
          <w:color w:val="auto"/>
          <w:sz w:val="21"/>
          <w:szCs w:val="21"/>
          <w:highlight w:val="none"/>
        </w:rPr>
        <w:t>保留追究其法律责任的权利。</w:t>
      </w:r>
    </w:p>
    <w:p w14:paraId="6C06312A">
      <w:pPr>
        <w:spacing w:line="380" w:lineRule="exact"/>
        <w:ind w:firstLine="422"/>
        <w:rPr>
          <w:rFonts w:hint="eastAsia" w:ascii="宋体" w:hAnsi="宋体"/>
          <w:b/>
          <w:color w:val="auto"/>
          <w:sz w:val="21"/>
          <w:szCs w:val="21"/>
          <w:highlight w:val="none"/>
        </w:rPr>
      </w:pPr>
      <w:r>
        <w:rPr>
          <w:rFonts w:hint="eastAsia" w:ascii="宋体" w:hAnsi="宋体"/>
          <w:b/>
          <w:color w:val="auto"/>
          <w:sz w:val="21"/>
          <w:szCs w:val="21"/>
          <w:highlight w:val="none"/>
        </w:rPr>
        <w:t>第八条  售后服务</w:t>
      </w:r>
    </w:p>
    <w:p w14:paraId="5EBDF2A8">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乙方提供的以下售后服务产生的相关费用均应综合包含在报价中，甲方不再就此另行支付费用。售后服务内容要求如下：</w:t>
      </w:r>
    </w:p>
    <w:p w14:paraId="17C858D4">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1.</w:t>
      </w:r>
      <w:r>
        <w:rPr>
          <w:rFonts w:hint="eastAsia" w:ascii="宋体" w:hAnsi="宋体"/>
          <w:color w:val="auto"/>
          <w:sz w:val="21"/>
          <w:szCs w:val="21"/>
          <w:highlight w:val="none"/>
          <w:lang w:eastAsia="zh-CN"/>
        </w:rPr>
        <w:t>保修（质保）期</w:t>
      </w:r>
      <w:r>
        <w:rPr>
          <w:rFonts w:hint="eastAsia" w:ascii="宋体" w:hAnsi="宋体"/>
          <w:color w:val="auto"/>
          <w:sz w:val="21"/>
          <w:szCs w:val="21"/>
          <w:highlight w:val="none"/>
        </w:rPr>
        <w:t>：按国家有关产品“三包”规定执行“三包”，</w:t>
      </w:r>
      <w:r>
        <w:rPr>
          <w:rFonts w:hint="eastAsia" w:ascii="宋体" w:hAnsi="宋体"/>
          <w:color w:val="auto"/>
          <w:sz w:val="21"/>
          <w:szCs w:val="21"/>
          <w:highlight w:val="none"/>
          <w:lang w:eastAsia="zh-CN"/>
        </w:rPr>
        <w:t>保修（质保）期</w:t>
      </w:r>
      <w:r>
        <w:rPr>
          <w:rFonts w:hint="eastAsia" w:ascii="宋体" w:hAnsi="宋体" w:cs="宋体"/>
          <w:bCs/>
          <w:color w:val="auto"/>
          <w:sz w:val="21"/>
          <w:szCs w:val="20"/>
          <w:highlight w:val="none"/>
          <w:u w:val="single"/>
        </w:rPr>
        <w:t xml:space="preserve">    </w:t>
      </w:r>
      <w:r>
        <w:rPr>
          <w:rFonts w:hint="eastAsia" w:ascii="宋体" w:hAnsi="宋体"/>
          <w:color w:val="auto"/>
          <w:sz w:val="21"/>
          <w:szCs w:val="21"/>
          <w:highlight w:val="none"/>
        </w:rPr>
        <w:t>年，自验收合格之日起计。</w:t>
      </w:r>
      <w:r>
        <w:rPr>
          <w:rFonts w:hint="eastAsia" w:ascii="宋体" w:hAnsi="宋体"/>
          <w:color w:val="auto"/>
          <w:sz w:val="21"/>
          <w:szCs w:val="21"/>
          <w:highlight w:val="none"/>
          <w:lang w:eastAsia="zh-CN"/>
        </w:rPr>
        <w:t>保修（质保）期</w:t>
      </w:r>
      <w:r>
        <w:rPr>
          <w:rFonts w:hint="eastAsia" w:ascii="宋体" w:hAnsi="宋体"/>
          <w:color w:val="auto"/>
          <w:sz w:val="21"/>
          <w:szCs w:val="21"/>
          <w:highlight w:val="none"/>
        </w:rPr>
        <w:t>内负责上门保修</w:t>
      </w:r>
      <w:r>
        <w:rPr>
          <w:rFonts w:hint="eastAsia" w:ascii="宋体" w:hAnsi="宋体"/>
          <w:color w:val="auto"/>
          <w:sz w:val="21"/>
          <w:szCs w:val="21"/>
          <w:highlight w:val="none"/>
          <w:lang w:eastAsia="zh-CN"/>
        </w:rPr>
        <w:t>（质保）</w:t>
      </w:r>
      <w:r>
        <w:rPr>
          <w:rFonts w:hint="eastAsia" w:ascii="宋体" w:hAnsi="宋体"/>
          <w:color w:val="auto"/>
          <w:sz w:val="21"/>
          <w:szCs w:val="21"/>
          <w:highlight w:val="none"/>
        </w:rPr>
        <w:t>、包换、维护。</w:t>
      </w:r>
    </w:p>
    <w:p w14:paraId="68F8D847">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2.技术服务及培训：采购范围内提供技术培训，保证使用人员能正常使用产品；其余按供应商的承诺执行。</w:t>
      </w:r>
    </w:p>
    <w:p w14:paraId="47B5C24F">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3.售后服务的内容和措施：</w:t>
      </w:r>
    </w:p>
    <w:p w14:paraId="66249B3F">
      <w:pPr>
        <w:wordWrap w:val="0"/>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（1）采购范围内的货物送货上门。</w:t>
      </w:r>
    </w:p>
    <w:p w14:paraId="2821E32B">
      <w:pPr>
        <w:wordWrap w:val="0"/>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（2）提供售后服务联系电话及联系人，</w:t>
      </w:r>
      <w:r>
        <w:rPr>
          <w:rFonts w:hint="eastAsia" w:ascii="宋体" w:hAnsi="宋体"/>
          <w:color w:val="auto"/>
          <w:sz w:val="21"/>
          <w:szCs w:val="21"/>
          <w:highlight w:val="none"/>
          <w:lang w:eastAsia="zh-CN"/>
        </w:rPr>
        <w:t>保修（质保）期</w:t>
      </w:r>
      <w:r>
        <w:rPr>
          <w:rFonts w:hint="eastAsia" w:ascii="宋体" w:hAnsi="宋体"/>
          <w:color w:val="auto"/>
          <w:sz w:val="21"/>
          <w:szCs w:val="21"/>
          <w:highlight w:val="none"/>
        </w:rPr>
        <w:t>内，接到报障电话后在</w:t>
      </w:r>
      <w:r>
        <w:rPr>
          <w:rFonts w:hint="eastAsia" w:ascii="宋体" w:hAnsi="宋体" w:cs="宋体"/>
          <w:bCs/>
          <w:color w:val="auto"/>
          <w:sz w:val="21"/>
          <w:szCs w:val="20"/>
          <w:highlight w:val="none"/>
          <w:u w:val="single"/>
        </w:rPr>
        <w:t xml:space="preserve">    </w:t>
      </w:r>
      <w:r>
        <w:rPr>
          <w:rFonts w:hint="eastAsia" w:ascii="宋体" w:hAnsi="宋体"/>
          <w:color w:val="auto"/>
          <w:sz w:val="21"/>
          <w:szCs w:val="21"/>
          <w:highlight w:val="none"/>
        </w:rPr>
        <w:t>小时内响应，</w:t>
      </w:r>
      <w:r>
        <w:rPr>
          <w:rFonts w:hint="eastAsia" w:ascii="宋体" w:hAnsi="宋体" w:cs="宋体"/>
          <w:bCs/>
          <w:color w:val="auto"/>
          <w:sz w:val="21"/>
          <w:szCs w:val="20"/>
          <w:highlight w:val="none"/>
          <w:u w:val="single"/>
        </w:rPr>
        <w:t xml:space="preserve">    </w:t>
      </w:r>
      <w:r>
        <w:rPr>
          <w:rFonts w:hint="eastAsia" w:ascii="宋体" w:hAnsi="宋体"/>
          <w:color w:val="auto"/>
          <w:sz w:val="21"/>
          <w:szCs w:val="21"/>
          <w:highlight w:val="none"/>
        </w:rPr>
        <w:t>小时内上门维修解决问题。如果需要更换配件的，要求更换的配件应与被更换的设备品牌、类型相一致或者是同类同档次或以上产品。</w:t>
      </w:r>
    </w:p>
    <w:p w14:paraId="25623582">
      <w:pPr>
        <w:widowControl/>
        <w:wordWrap w:val="0"/>
        <w:topLinePunct/>
        <w:spacing w:line="380" w:lineRule="exact"/>
        <w:ind w:firstLine="481" w:firstLineChars="228"/>
        <w:jc w:val="left"/>
        <w:rPr>
          <w:rFonts w:hint="eastAsia" w:ascii="宋体" w:hAnsi="宋体"/>
          <w:b/>
          <w:color w:val="auto"/>
          <w:sz w:val="21"/>
          <w:szCs w:val="21"/>
          <w:highlight w:val="none"/>
        </w:rPr>
      </w:pPr>
      <w:r>
        <w:rPr>
          <w:rFonts w:hint="eastAsia" w:ascii="宋体" w:hAnsi="宋体"/>
          <w:b/>
          <w:color w:val="auto"/>
          <w:sz w:val="21"/>
          <w:szCs w:val="21"/>
          <w:highlight w:val="none"/>
        </w:rPr>
        <w:t>第九条  税费</w:t>
      </w:r>
    </w:p>
    <w:p w14:paraId="74E9B1B1">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本合同执行中相关的一切税费均由乙方负担。</w:t>
      </w:r>
    </w:p>
    <w:p w14:paraId="7F2ACD2A">
      <w:pPr>
        <w:spacing w:line="380" w:lineRule="exact"/>
        <w:ind w:firstLine="422"/>
        <w:rPr>
          <w:rFonts w:hint="eastAsia" w:ascii="宋体" w:hAnsi="宋体"/>
          <w:b/>
          <w:color w:val="auto"/>
          <w:sz w:val="21"/>
          <w:szCs w:val="21"/>
          <w:highlight w:val="none"/>
        </w:rPr>
      </w:pPr>
      <w:r>
        <w:rPr>
          <w:rFonts w:hint="eastAsia" w:ascii="宋体" w:hAnsi="宋体"/>
          <w:b/>
          <w:color w:val="auto"/>
          <w:sz w:val="21"/>
          <w:szCs w:val="21"/>
          <w:highlight w:val="none"/>
        </w:rPr>
        <w:t>第十条　付款方式</w:t>
      </w:r>
    </w:p>
    <w:p w14:paraId="71E06521">
      <w:pPr>
        <w:spacing w:line="380" w:lineRule="exact"/>
        <w:ind w:firstLine="422"/>
        <w:rPr>
          <w:rFonts w:cs="宋体"/>
          <w:color w:val="auto"/>
          <w:sz w:val="21"/>
          <w:szCs w:val="21"/>
          <w:highlight w:val="none"/>
        </w:rPr>
      </w:pPr>
      <w:r>
        <w:rPr>
          <w:rFonts w:hint="eastAsia" w:ascii="宋体" w:hAnsi="宋体" w:cs="新宋体"/>
          <w:b w:val="0"/>
          <w:bCs/>
          <w:color w:val="auto"/>
          <w:kern w:val="0"/>
          <w:sz w:val="21"/>
          <w:szCs w:val="21"/>
          <w:highlight w:val="none"/>
        </w:rPr>
        <w:t>本项目无预付款，乙方交货并经验收合格后，甲方自收到乙方提供的全额正规合法含税发票后10个工作日内一次性付清合同款项（无息）。</w:t>
      </w:r>
    </w:p>
    <w:p w14:paraId="596EEB28">
      <w:pPr>
        <w:spacing w:line="380" w:lineRule="exact"/>
        <w:ind w:firstLine="422"/>
        <w:rPr>
          <w:rFonts w:hint="eastAsia" w:ascii="宋体" w:hAnsi="宋体"/>
          <w:b/>
          <w:color w:val="auto"/>
          <w:sz w:val="21"/>
          <w:szCs w:val="21"/>
          <w:highlight w:val="none"/>
        </w:rPr>
      </w:pPr>
      <w:r>
        <w:rPr>
          <w:rFonts w:hint="eastAsia" w:ascii="宋体" w:hAnsi="宋体"/>
          <w:b/>
          <w:color w:val="auto"/>
          <w:sz w:val="21"/>
          <w:szCs w:val="21"/>
          <w:highlight w:val="none"/>
        </w:rPr>
        <w:t>第十一条  违约责任</w:t>
      </w:r>
    </w:p>
    <w:p w14:paraId="565E5C77">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1.乙方所提供的货物规格、技术标准、材料等质量不合格的，应</w:t>
      </w:r>
      <w:r>
        <w:rPr>
          <w:rFonts w:hint="eastAsia" w:ascii="宋体" w:hAnsi="宋体"/>
          <w:color w:val="auto"/>
          <w:sz w:val="21"/>
          <w:szCs w:val="21"/>
          <w:highlight w:val="none"/>
          <w:lang w:val="en-US" w:eastAsia="zh-CN"/>
        </w:rPr>
        <w:t>按响应文件中承诺时间内</w:t>
      </w:r>
      <w:r>
        <w:rPr>
          <w:rFonts w:hint="eastAsia" w:ascii="宋体" w:hAnsi="宋体"/>
          <w:color w:val="auto"/>
          <w:sz w:val="21"/>
          <w:szCs w:val="21"/>
          <w:highlight w:val="none"/>
        </w:rPr>
        <w:t>更换，更换不及时的按逾期交货处罚，乙方应向甲方支付合同金额5%违约金并赔偿甲方经济损失。</w:t>
      </w:r>
    </w:p>
    <w:p w14:paraId="7E10DCC5">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2.乙方提供的货物如果侵犯了第三方合法权益而引发的任何纠纷或诉讼，均由乙方负责交涉并承担全部责任。</w:t>
      </w:r>
    </w:p>
    <w:p w14:paraId="230B647C">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3.因包装、运输引起的货物损坏，或发现错发/漏发情况，乙方未在一周内更换和补发的，按质量不合格处理。</w:t>
      </w:r>
    </w:p>
    <w:p w14:paraId="48E6EF45">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4.甲方无故延期接收货物、乙方逾期交货的，每天向对方偿付违约货款额</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违约金，但违约金累计不得超过违约货款额5%，超过</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天对方有权解除合同，违约方承担因此给对方造成经济损失。</w:t>
      </w:r>
    </w:p>
    <w:p w14:paraId="0F8144B1">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5.乙方未按本合同和响应文件中规定的服务承诺提供售后服务的，乙方应按本合同金额5%向甲方支付违约金。</w:t>
      </w:r>
    </w:p>
    <w:p w14:paraId="6431AE85">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6.乙方提供的货物在</w:t>
      </w:r>
      <w:r>
        <w:rPr>
          <w:rFonts w:hint="eastAsia" w:ascii="宋体" w:hAnsi="宋体"/>
          <w:color w:val="auto"/>
          <w:sz w:val="21"/>
          <w:szCs w:val="21"/>
          <w:highlight w:val="none"/>
          <w:lang w:eastAsia="zh-CN"/>
        </w:rPr>
        <w:t>保修（质保）期</w:t>
      </w:r>
      <w:r>
        <w:rPr>
          <w:rFonts w:hint="eastAsia" w:ascii="宋体" w:hAnsi="宋体"/>
          <w:color w:val="auto"/>
          <w:sz w:val="21"/>
          <w:szCs w:val="21"/>
          <w:highlight w:val="none"/>
        </w:rPr>
        <w:t>内，因设计、工艺或材料的缺陷和其他质量原因造成的问题，乙方负责。</w:t>
      </w:r>
    </w:p>
    <w:p w14:paraId="4F5FAED6">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7.其他违约行为按违约货款额5%收取违约金并赔偿经济损失。</w:t>
      </w:r>
    </w:p>
    <w:p w14:paraId="054C41A5">
      <w:pPr>
        <w:spacing w:line="380" w:lineRule="exact"/>
        <w:ind w:firstLine="422"/>
        <w:rPr>
          <w:rFonts w:hint="eastAsia" w:ascii="宋体" w:hAnsi="宋体"/>
          <w:b/>
          <w:color w:val="auto"/>
          <w:sz w:val="21"/>
          <w:szCs w:val="21"/>
          <w:highlight w:val="none"/>
        </w:rPr>
      </w:pPr>
      <w:r>
        <w:rPr>
          <w:rFonts w:hint="eastAsia" w:ascii="宋体" w:hAnsi="宋体"/>
          <w:b/>
          <w:color w:val="auto"/>
          <w:sz w:val="21"/>
          <w:szCs w:val="21"/>
          <w:highlight w:val="none"/>
        </w:rPr>
        <w:t>第十二条  不可抗力事件处理</w:t>
      </w:r>
    </w:p>
    <w:p w14:paraId="3C360052">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1.在合同有效期内，乙方因不可抗力事件导致不能履行合同，则合同履行期可延长，其延长期与不可抗力影响期相同。</w:t>
      </w:r>
    </w:p>
    <w:p w14:paraId="2AAAFF4E">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2.不可抗力事件发生后，应立即通知对方，并寄送有关权威机构出具的证明。</w:t>
      </w:r>
    </w:p>
    <w:p w14:paraId="41219010">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3.不可抗力事件延续一百二十天以上，双方应通过友好协商，确定是否继续履行合同。</w:t>
      </w:r>
    </w:p>
    <w:p w14:paraId="5B3D5527">
      <w:pPr>
        <w:spacing w:line="380" w:lineRule="exact"/>
        <w:ind w:firstLine="422"/>
        <w:rPr>
          <w:rFonts w:hint="eastAsia" w:ascii="宋体" w:hAnsi="宋体"/>
          <w:b/>
          <w:color w:val="auto"/>
          <w:sz w:val="21"/>
          <w:szCs w:val="21"/>
          <w:highlight w:val="none"/>
        </w:rPr>
      </w:pPr>
      <w:r>
        <w:rPr>
          <w:rFonts w:hint="eastAsia" w:ascii="宋体" w:hAnsi="宋体"/>
          <w:b/>
          <w:color w:val="auto"/>
          <w:sz w:val="21"/>
          <w:szCs w:val="21"/>
          <w:highlight w:val="none"/>
        </w:rPr>
        <w:t>第十三条  合同争议解决</w:t>
      </w:r>
    </w:p>
    <w:p w14:paraId="5B69D19C">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1.因货物质量问题发生争议的，应邀请国家认可的质量检测机构对货物质量进行鉴定。货物符合标准的，鉴定费由甲方承担；货物不符合标准的，鉴定费由乙方承担。</w:t>
      </w:r>
    </w:p>
    <w:p w14:paraId="0F91F1D6">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2.因履行本合同引起的或与本合同有关的争议，甲乙双方应首先通过友好协商解决，如果协商不能解决，可向甲方所在地有管辖权的人民法院提起诉讼。</w:t>
      </w:r>
    </w:p>
    <w:p w14:paraId="0A3113F2">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3.诉讼期间，本合同继续履行。</w:t>
      </w:r>
    </w:p>
    <w:p w14:paraId="0684554B">
      <w:pPr>
        <w:spacing w:line="380" w:lineRule="exact"/>
        <w:ind w:firstLine="422"/>
        <w:rPr>
          <w:rFonts w:hint="eastAsia" w:ascii="宋体" w:hAnsi="宋体"/>
          <w:b/>
          <w:color w:val="auto"/>
          <w:sz w:val="21"/>
          <w:szCs w:val="21"/>
          <w:highlight w:val="none"/>
        </w:rPr>
      </w:pPr>
      <w:r>
        <w:rPr>
          <w:rFonts w:hint="eastAsia" w:ascii="宋体" w:hAnsi="宋体"/>
          <w:b/>
          <w:color w:val="auto"/>
          <w:sz w:val="21"/>
          <w:szCs w:val="21"/>
          <w:highlight w:val="none"/>
        </w:rPr>
        <w:t>第十四条  合同生效及其他</w:t>
      </w:r>
    </w:p>
    <w:p w14:paraId="55390971">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1.合同经甲乙双方法定代表人或相应的授权代表签字并加盖乙方公章后生效。</w:t>
      </w:r>
    </w:p>
    <w:p w14:paraId="119152D3">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2.合同执行中涉及采购资金和采购内容修改或补充的，需甲方同意，并签订书面补充协议，方可作为主合同不可分割的一部分。</w:t>
      </w:r>
    </w:p>
    <w:p w14:paraId="4ECC9450">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3.本合同未尽事宜，遵照《中华人民共和国民法典》有关条文执行。</w:t>
      </w:r>
    </w:p>
    <w:p w14:paraId="7B3C142B">
      <w:pPr>
        <w:spacing w:line="380" w:lineRule="exact"/>
        <w:ind w:firstLine="422"/>
        <w:rPr>
          <w:rFonts w:hint="eastAsia" w:ascii="宋体" w:hAnsi="宋体"/>
          <w:b/>
          <w:color w:val="auto"/>
          <w:sz w:val="21"/>
          <w:szCs w:val="21"/>
          <w:highlight w:val="none"/>
        </w:rPr>
      </w:pPr>
      <w:r>
        <w:rPr>
          <w:rFonts w:hint="eastAsia" w:ascii="宋体" w:hAnsi="宋体"/>
          <w:b/>
          <w:color w:val="auto"/>
          <w:sz w:val="21"/>
          <w:szCs w:val="21"/>
          <w:highlight w:val="none"/>
        </w:rPr>
        <w:t>第十五条  合同的变更、终止与转让</w:t>
      </w:r>
    </w:p>
    <w:p w14:paraId="1B8E0795">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1.除《中华人民共和国政府采购法》第五十条规定的情形外，本合同一经签订，甲乙双方不得擅自变更，中止或终止。</w:t>
      </w:r>
    </w:p>
    <w:p w14:paraId="3AD54FC1">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2.乙方不得擅自转让</w:t>
      </w:r>
      <w:r>
        <w:rPr>
          <w:rFonts w:hint="eastAsia" w:ascii="宋体" w:hAnsi="宋体"/>
          <w:color w:val="auto"/>
          <w:sz w:val="21"/>
          <w:szCs w:val="21"/>
          <w:highlight w:val="none"/>
          <w:lang w:eastAsia="zh-CN"/>
        </w:rPr>
        <w:t>（</w:t>
      </w:r>
      <w:r>
        <w:rPr>
          <w:rFonts w:hint="eastAsia" w:ascii="宋体" w:hAnsi="宋体"/>
          <w:color w:val="auto"/>
          <w:sz w:val="21"/>
          <w:szCs w:val="21"/>
          <w:highlight w:val="none"/>
        </w:rPr>
        <w:t>无进口资格的供应商委托进口货物除外</w:t>
      </w:r>
      <w:r>
        <w:rPr>
          <w:rFonts w:hint="eastAsia" w:ascii="宋体" w:hAnsi="宋体"/>
          <w:color w:val="auto"/>
          <w:sz w:val="21"/>
          <w:szCs w:val="21"/>
          <w:highlight w:val="none"/>
          <w:lang w:eastAsia="zh-CN"/>
        </w:rPr>
        <w:t>）</w:t>
      </w:r>
      <w:r>
        <w:rPr>
          <w:rFonts w:hint="eastAsia" w:ascii="宋体" w:hAnsi="宋体"/>
          <w:color w:val="auto"/>
          <w:sz w:val="21"/>
          <w:szCs w:val="21"/>
          <w:highlight w:val="none"/>
        </w:rPr>
        <w:t>其应履行的合同义务。</w:t>
      </w:r>
    </w:p>
    <w:p w14:paraId="5A174101">
      <w:pPr>
        <w:spacing w:line="380" w:lineRule="exact"/>
        <w:ind w:firstLine="422"/>
        <w:rPr>
          <w:rFonts w:hint="eastAsia" w:ascii="宋体" w:hAnsi="宋体"/>
          <w:b/>
          <w:color w:val="auto"/>
          <w:sz w:val="21"/>
          <w:szCs w:val="21"/>
          <w:highlight w:val="none"/>
        </w:rPr>
      </w:pPr>
      <w:r>
        <w:rPr>
          <w:rFonts w:hint="eastAsia" w:ascii="宋体" w:hAnsi="宋体"/>
          <w:b/>
          <w:color w:val="auto"/>
          <w:sz w:val="21"/>
          <w:szCs w:val="21"/>
          <w:highlight w:val="none"/>
        </w:rPr>
        <w:t>第十六条  签订本合同依据：</w:t>
      </w:r>
    </w:p>
    <w:p w14:paraId="5E053880">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1.谈判文件；</w:t>
      </w:r>
    </w:p>
    <w:p w14:paraId="0810FFC0">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2.成交通知书。</w:t>
      </w:r>
    </w:p>
    <w:p w14:paraId="6EEF1E1F">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3.乙方响应文件中的报价表（含谈判记录）、技术响应承诺书、商务响应承诺书、售后服务增值方案（如有）。</w:t>
      </w:r>
    </w:p>
    <w:p w14:paraId="123E5E8C">
      <w:pPr>
        <w:spacing w:line="38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本合同经甲乙双方盖章后生效。政府采购合同双方自签订之日起2个工作日内在省级以上人民政府财政部门指定媒体上公告。</w:t>
      </w:r>
    </w:p>
    <w:p w14:paraId="17CAC2E3">
      <w:pPr>
        <w:spacing w:line="400" w:lineRule="exact"/>
        <w:ind w:firstLine="420"/>
        <w:rPr>
          <w:rFonts w:hint="eastAsia" w:ascii="宋体" w:hAnsi="宋体"/>
          <w:color w:val="auto"/>
          <w:sz w:val="21"/>
          <w:szCs w:val="21"/>
          <w:highlight w:val="none"/>
          <w:u w:val="single"/>
        </w:rPr>
      </w:pPr>
      <w:r>
        <w:rPr>
          <w:rFonts w:hint="eastAsia" w:ascii="宋体" w:hAnsi="宋体"/>
          <w:color w:val="auto"/>
          <w:sz w:val="21"/>
          <w:szCs w:val="21"/>
          <w:highlight w:val="none"/>
        </w:rPr>
        <w:t>甲方（公章）：</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乙方（公章）：</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w:t>
      </w:r>
    </w:p>
    <w:p w14:paraId="6A0765D0">
      <w:pPr>
        <w:spacing w:line="400" w:lineRule="exact"/>
        <w:ind w:firstLine="420"/>
        <w:rPr>
          <w:rFonts w:hint="eastAsia" w:ascii="宋体" w:hAnsi="宋体"/>
          <w:color w:val="auto"/>
          <w:sz w:val="21"/>
          <w:szCs w:val="21"/>
          <w:highlight w:val="none"/>
          <w:u w:val="single"/>
        </w:rPr>
      </w:pPr>
      <w:r>
        <w:rPr>
          <w:rFonts w:hint="eastAsia" w:ascii="宋体" w:hAnsi="宋体"/>
          <w:color w:val="auto"/>
          <w:sz w:val="21"/>
          <w:szCs w:val="21"/>
          <w:highlight w:val="none"/>
        </w:rPr>
        <w:t>法定代表人签字：</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法定代表人签字：</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w:t>
      </w:r>
    </w:p>
    <w:p w14:paraId="40C3F1AB">
      <w:pPr>
        <w:spacing w:line="400" w:lineRule="exact"/>
        <w:ind w:firstLine="420"/>
        <w:rPr>
          <w:rFonts w:hint="eastAsia" w:ascii="宋体" w:hAnsi="宋体"/>
          <w:color w:val="auto"/>
          <w:sz w:val="21"/>
          <w:szCs w:val="21"/>
          <w:highlight w:val="none"/>
          <w:u w:val="single"/>
        </w:rPr>
      </w:pPr>
      <w:r>
        <w:rPr>
          <w:rFonts w:hint="eastAsia" w:ascii="宋体" w:hAnsi="宋体"/>
          <w:color w:val="auto"/>
          <w:sz w:val="21"/>
          <w:szCs w:val="21"/>
          <w:highlight w:val="none"/>
        </w:rPr>
        <w:t>委托代理人：</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委托代理人：</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w:t>
      </w:r>
    </w:p>
    <w:p w14:paraId="7CE7B81C">
      <w:pPr>
        <w:spacing w:line="400" w:lineRule="exact"/>
        <w:ind w:firstLine="420"/>
        <w:rPr>
          <w:rFonts w:hint="eastAsia" w:ascii="宋体" w:hAnsi="宋体"/>
          <w:color w:val="auto"/>
          <w:sz w:val="21"/>
          <w:szCs w:val="21"/>
          <w:highlight w:val="none"/>
          <w:u w:val="single"/>
        </w:rPr>
      </w:pPr>
      <w:r>
        <w:rPr>
          <w:rFonts w:hint="eastAsia" w:ascii="宋体" w:hAnsi="宋体"/>
          <w:color w:val="auto"/>
          <w:sz w:val="21"/>
          <w:szCs w:val="21"/>
          <w:highlight w:val="none"/>
        </w:rPr>
        <w:t>电  话：</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电   话： </w:t>
      </w:r>
      <w:r>
        <w:rPr>
          <w:rFonts w:hint="eastAsia" w:ascii="宋体" w:hAnsi="宋体"/>
          <w:color w:val="auto"/>
          <w:sz w:val="21"/>
          <w:szCs w:val="21"/>
          <w:highlight w:val="none"/>
          <w:u w:val="single"/>
        </w:rPr>
        <w:t xml:space="preserve">                        </w:t>
      </w:r>
    </w:p>
    <w:p w14:paraId="68851DA5">
      <w:pPr>
        <w:spacing w:line="40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开户名称：</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开户名称：</w:t>
      </w:r>
      <w:r>
        <w:rPr>
          <w:rFonts w:hint="eastAsia" w:ascii="宋体" w:hAnsi="宋体"/>
          <w:color w:val="auto"/>
          <w:sz w:val="21"/>
          <w:szCs w:val="21"/>
          <w:highlight w:val="none"/>
          <w:u w:val="single"/>
        </w:rPr>
        <w:t xml:space="preserve">                        </w:t>
      </w:r>
    </w:p>
    <w:p w14:paraId="2CFC26CA">
      <w:pPr>
        <w:spacing w:line="40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开户银行：</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开户银行：</w:t>
      </w:r>
      <w:r>
        <w:rPr>
          <w:rFonts w:hint="eastAsia" w:ascii="宋体" w:hAnsi="宋体"/>
          <w:color w:val="auto"/>
          <w:sz w:val="21"/>
          <w:szCs w:val="21"/>
          <w:highlight w:val="none"/>
          <w:u w:val="single"/>
        </w:rPr>
        <w:t xml:space="preserve">                        </w:t>
      </w:r>
    </w:p>
    <w:p w14:paraId="0B31540C">
      <w:pPr>
        <w:spacing w:line="400" w:lineRule="exact"/>
        <w:ind w:firstLine="420"/>
        <w:rPr>
          <w:rFonts w:hint="eastAsia" w:ascii="宋体" w:hAnsi="宋体"/>
          <w:color w:val="auto"/>
          <w:sz w:val="21"/>
          <w:szCs w:val="21"/>
          <w:highlight w:val="none"/>
        </w:rPr>
      </w:pPr>
      <w:r>
        <w:rPr>
          <w:rFonts w:hint="eastAsia" w:ascii="宋体" w:hAnsi="宋体"/>
          <w:color w:val="auto"/>
          <w:sz w:val="21"/>
          <w:szCs w:val="21"/>
          <w:highlight w:val="none"/>
        </w:rPr>
        <w:t>银行账号：</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银行账号：</w:t>
      </w:r>
      <w:r>
        <w:rPr>
          <w:rFonts w:hint="eastAsia" w:ascii="宋体" w:hAnsi="宋体"/>
          <w:color w:val="auto"/>
          <w:sz w:val="21"/>
          <w:szCs w:val="21"/>
          <w:highlight w:val="none"/>
          <w:u w:val="single"/>
        </w:rPr>
        <w:t xml:space="preserve">                        </w:t>
      </w:r>
    </w:p>
    <w:p w14:paraId="047D28A2">
      <w:pPr>
        <w:spacing w:line="400" w:lineRule="exact"/>
        <w:ind w:firstLine="420"/>
        <w:rPr>
          <w:color w:val="auto"/>
          <w:highlight w:val="none"/>
        </w:rPr>
      </w:pPr>
      <w:r>
        <w:rPr>
          <w:rFonts w:hint="eastAsia" w:ascii="宋体" w:hAnsi="宋体"/>
          <w:color w:val="auto"/>
          <w:sz w:val="21"/>
          <w:szCs w:val="21"/>
          <w:highlight w:val="none"/>
        </w:rPr>
        <w:t>日    期：</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日    期：</w:t>
      </w:r>
      <w:r>
        <w:rPr>
          <w:rFonts w:hint="eastAsia" w:ascii="宋体" w:hAnsi="宋体"/>
          <w:color w:val="auto"/>
          <w:sz w:val="21"/>
          <w:szCs w:val="21"/>
          <w:highlight w:val="none"/>
          <w:u w:val="single"/>
        </w:rPr>
        <w:t xml:space="preserve">                        </w:t>
      </w:r>
    </w:p>
    <w:p w14:paraId="708C8D41">
      <w:pPr>
        <w:ind w:firstLine="480"/>
        <w:rPr>
          <w:color w:val="auto"/>
          <w:highlight w:val="none"/>
        </w:rPr>
      </w:pPr>
    </w:p>
    <w:p w14:paraId="0D36B001">
      <w:pPr>
        <w:ind w:firstLine="1044"/>
        <w:jc w:val="center"/>
        <w:outlineLvl w:val="1"/>
        <w:rPr>
          <w:rFonts w:hint="eastAsia" w:ascii="黑体" w:hAnsi="黑体" w:eastAsia="黑体"/>
          <w:b/>
          <w:color w:val="auto"/>
          <w:kern w:val="0"/>
          <w:sz w:val="52"/>
          <w:szCs w:val="52"/>
          <w:highlight w:val="none"/>
        </w:rPr>
      </w:pPr>
      <w:bookmarkStart w:id="45" w:name="_Toc82016593"/>
    </w:p>
    <w:p w14:paraId="12E66AE8">
      <w:pPr>
        <w:ind w:firstLine="1044"/>
        <w:jc w:val="center"/>
        <w:outlineLvl w:val="1"/>
        <w:rPr>
          <w:rFonts w:hint="eastAsia" w:ascii="黑体" w:hAnsi="黑体" w:eastAsia="黑体"/>
          <w:b/>
          <w:color w:val="auto"/>
          <w:kern w:val="0"/>
          <w:sz w:val="52"/>
          <w:szCs w:val="52"/>
          <w:highlight w:val="none"/>
        </w:rPr>
      </w:pPr>
    </w:p>
    <w:p w14:paraId="446D1B13">
      <w:pPr>
        <w:ind w:firstLine="1044"/>
        <w:jc w:val="center"/>
        <w:outlineLvl w:val="1"/>
        <w:rPr>
          <w:rFonts w:hint="eastAsia" w:ascii="黑体" w:hAnsi="黑体" w:eastAsia="黑体"/>
          <w:b/>
          <w:color w:val="auto"/>
          <w:kern w:val="0"/>
          <w:sz w:val="52"/>
          <w:szCs w:val="52"/>
          <w:highlight w:val="none"/>
        </w:rPr>
      </w:pPr>
    </w:p>
    <w:p w14:paraId="590933FE">
      <w:pPr>
        <w:spacing w:line="440" w:lineRule="atLeast"/>
        <w:ind w:firstLine="0" w:firstLineChars="0"/>
        <w:jc w:val="center"/>
        <w:outlineLvl w:val="1"/>
        <w:rPr>
          <w:rFonts w:hint="eastAsia" w:ascii="宋体" w:hAnsi="宋体"/>
          <w:color w:val="auto"/>
          <w:sz w:val="21"/>
          <w:szCs w:val="21"/>
          <w:highlight w:val="none"/>
        </w:rPr>
      </w:pPr>
    </w:p>
    <w:p w14:paraId="5CA65C5C">
      <w:pPr>
        <w:spacing w:line="440" w:lineRule="atLeast"/>
        <w:ind w:firstLine="0" w:firstLineChars="0"/>
        <w:jc w:val="center"/>
        <w:outlineLvl w:val="1"/>
        <w:rPr>
          <w:rFonts w:hint="eastAsia" w:ascii="宋体" w:hAnsi="宋体"/>
          <w:color w:val="auto"/>
          <w:sz w:val="21"/>
          <w:szCs w:val="21"/>
          <w:highlight w:val="none"/>
        </w:rPr>
      </w:pPr>
    </w:p>
    <w:p w14:paraId="44AC5B87">
      <w:pPr>
        <w:spacing w:line="440" w:lineRule="atLeast"/>
        <w:ind w:firstLine="0" w:firstLineChars="0"/>
        <w:jc w:val="center"/>
        <w:outlineLvl w:val="1"/>
        <w:rPr>
          <w:rFonts w:hint="eastAsia" w:ascii="宋体" w:hAnsi="宋体"/>
          <w:color w:val="auto"/>
          <w:sz w:val="21"/>
          <w:szCs w:val="21"/>
          <w:highlight w:val="none"/>
        </w:rPr>
      </w:pPr>
    </w:p>
    <w:p w14:paraId="2ADADC36">
      <w:pPr>
        <w:pStyle w:val="18"/>
        <w:rPr>
          <w:rFonts w:hint="eastAsia"/>
          <w:color w:val="auto"/>
          <w:highlight w:val="none"/>
        </w:rPr>
      </w:pPr>
    </w:p>
    <w:p w14:paraId="079D7924">
      <w:pPr>
        <w:pStyle w:val="18"/>
        <w:rPr>
          <w:rFonts w:hint="eastAsia"/>
          <w:color w:val="auto"/>
          <w:highlight w:val="none"/>
        </w:rPr>
      </w:pPr>
    </w:p>
    <w:p w14:paraId="146D84F7">
      <w:pPr>
        <w:spacing w:line="440" w:lineRule="atLeast"/>
        <w:ind w:firstLine="0" w:firstLineChars="0"/>
        <w:jc w:val="center"/>
        <w:outlineLvl w:val="1"/>
        <w:rPr>
          <w:rFonts w:hint="eastAsia" w:ascii="宋体" w:hAnsi="宋体"/>
          <w:color w:val="auto"/>
          <w:sz w:val="21"/>
          <w:szCs w:val="21"/>
          <w:highlight w:val="none"/>
        </w:rPr>
      </w:pPr>
    </w:p>
    <w:p w14:paraId="46713E06">
      <w:pPr>
        <w:pStyle w:val="40"/>
        <w:rPr>
          <w:color w:val="auto"/>
          <w:kern w:val="0"/>
          <w:highlight w:val="none"/>
        </w:rPr>
      </w:pPr>
      <w:bookmarkStart w:id="46" w:name="_Toc155531037"/>
      <w:r>
        <w:rPr>
          <w:rFonts w:hint="eastAsia"/>
          <w:color w:val="auto"/>
          <w:kern w:val="0"/>
          <w:highlight w:val="none"/>
        </w:rPr>
        <w:t>第六章响应文件（格式）</w:t>
      </w:r>
      <w:bookmarkEnd w:id="45"/>
      <w:bookmarkEnd w:id="46"/>
    </w:p>
    <w:p w14:paraId="4620D8FD">
      <w:pPr>
        <w:snapToGrid w:val="0"/>
        <w:spacing w:before="163" w:beforeLines="50" w:after="50" w:line="240" w:lineRule="auto"/>
        <w:ind w:firstLine="0" w:firstLineChars="0"/>
        <w:jc w:val="center"/>
        <w:rPr>
          <w:rFonts w:hint="eastAsia" w:ascii="宋体" w:hAnsi="宋体" w:cs="宋体"/>
          <w:b/>
          <w:bCs/>
          <w:color w:val="auto"/>
          <w:kern w:val="0"/>
          <w:sz w:val="32"/>
          <w:szCs w:val="32"/>
          <w:highlight w:val="none"/>
        </w:rPr>
      </w:pPr>
      <w:r>
        <w:rPr>
          <w:rFonts w:ascii="宋体" w:hAnsi="宋体" w:cs="宋体"/>
          <w:b/>
          <w:color w:val="auto"/>
          <w:kern w:val="0"/>
          <w:sz w:val="32"/>
          <w:szCs w:val="32"/>
          <w:highlight w:val="none"/>
        </w:rPr>
        <w:br w:type="page"/>
      </w:r>
      <w:r>
        <w:rPr>
          <w:rFonts w:hint="eastAsia" w:ascii="宋体" w:hAnsi="宋体" w:cs="宋体"/>
          <w:b/>
          <w:bCs/>
          <w:color w:val="auto"/>
          <w:kern w:val="0"/>
          <w:sz w:val="32"/>
          <w:szCs w:val="32"/>
          <w:highlight w:val="none"/>
        </w:rPr>
        <w:t>一、响 应 文 件</w:t>
      </w:r>
    </w:p>
    <w:p w14:paraId="238BAAE4">
      <w:pPr>
        <w:snapToGrid w:val="0"/>
        <w:spacing w:before="163" w:beforeLines="50" w:after="50" w:line="240" w:lineRule="auto"/>
        <w:ind w:firstLine="0" w:firstLineChars="0"/>
        <w:rPr>
          <w:rFonts w:hint="eastAsia" w:ascii="宋体" w:hAnsi="宋体" w:cs="宋体"/>
          <w:bCs/>
          <w:color w:val="auto"/>
          <w:kern w:val="0"/>
          <w:szCs w:val="20"/>
          <w:highlight w:val="none"/>
        </w:rPr>
      </w:pPr>
    </w:p>
    <w:p w14:paraId="03C73F0B">
      <w:pPr>
        <w:snapToGrid w:val="0"/>
        <w:spacing w:before="163" w:beforeLines="50" w:after="50" w:line="240" w:lineRule="auto"/>
        <w:ind w:firstLine="360" w:firstLineChars="150"/>
        <w:rPr>
          <w:rFonts w:hint="eastAsia" w:ascii="宋体" w:hAnsi="宋体" w:cs="宋体"/>
          <w:bCs/>
          <w:color w:val="auto"/>
          <w:kern w:val="0"/>
          <w:szCs w:val="24"/>
          <w:highlight w:val="none"/>
        </w:rPr>
      </w:pPr>
      <w:r>
        <w:rPr>
          <w:rFonts w:hint="eastAsia" w:ascii="宋体" w:hAnsi="宋体" w:cs="宋体"/>
          <w:bCs/>
          <w:color w:val="auto"/>
          <w:kern w:val="0"/>
          <w:szCs w:val="24"/>
          <w:highlight w:val="none"/>
        </w:rPr>
        <w:t>项目名称：</w:t>
      </w:r>
    </w:p>
    <w:p w14:paraId="60EE51ED">
      <w:pPr>
        <w:snapToGrid w:val="0"/>
        <w:spacing w:before="163" w:beforeLines="50" w:after="50" w:line="240" w:lineRule="auto"/>
        <w:ind w:firstLine="360" w:firstLineChars="150"/>
        <w:rPr>
          <w:rFonts w:hint="eastAsia" w:ascii="宋体" w:hAnsi="宋体" w:cs="宋体"/>
          <w:bCs/>
          <w:color w:val="auto"/>
          <w:kern w:val="0"/>
          <w:szCs w:val="20"/>
          <w:highlight w:val="none"/>
        </w:rPr>
      </w:pPr>
    </w:p>
    <w:p w14:paraId="0B0B4483">
      <w:pPr>
        <w:snapToGrid w:val="0"/>
        <w:spacing w:before="163" w:beforeLines="50" w:after="50" w:line="240" w:lineRule="auto"/>
        <w:ind w:firstLine="360" w:firstLineChars="150"/>
        <w:rPr>
          <w:rFonts w:hint="eastAsia" w:ascii="宋体" w:hAnsi="宋体" w:cs="宋体"/>
          <w:bCs/>
          <w:color w:val="auto"/>
          <w:kern w:val="0"/>
          <w:szCs w:val="20"/>
          <w:highlight w:val="none"/>
        </w:rPr>
      </w:pPr>
    </w:p>
    <w:p w14:paraId="7356AD88">
      <w:pPr>
        <w:snapToGrid w:val="0"/>
        <w:spacing w:before="163" w:beforeLines="50" w:after="50" w:line="240" w:lineRule="auto"/>
        <w:ind w:firstLine="360" w:firstLineChars="150"/>
        <w:rPr>
          <w:rFonts w:hint="eastAsia" w:ascii="宋体" w:hAnsi="宋体" w:cs="宋体"/>
          <w:bCs/>
          <w:color w:val="auto"/>
          <w:kern w:val="0"/>
          <w:szCs w:val="24"/>
          <w:highlight w:val="none"/>
        </w:rPr>
      </w:pPr>
      <w:r>
        <w:rPr>
          <w:rFonts w:hint="eastAsia" w:ascii="宋体" w:hAnsi="宋体" w:cs="宋体"/>
          <w:bCs/>
          <w:color w:val="auto"/>
          <w:kern w:val="0"/>
          <w:szCs w:val="24"/>
          <w:highlight w:val="none"/>
        </w:rPr>
        <w:t>项目编号：</w:t>
      </w:r>
    </w:p>
    <w:p w14:paraId="4960E4A7">
      <w:pPr>
        <w:snapToGrid w:val="0"/>
        <w:spacing w:before="163" w:beforeLines="50" w:after="50" w:line="240" w:lineRule="auto"/>
        <w:ind w:firstLine="360" w:firstLineChars="150"/>
        <w:rPr>
          <w:rFonts w:hint="eastAsia" w:ascii="宋体" w:hAnsi="宋体" w:cs="宋体"/>
          <w:bCs/>
          <w:color w:val="auto"/>
          <w:kern w:val="0"/>
          <w:szCs w:val="20"/>
          <w:highlight w:val="none"/>
        </w:rPr>
      </w:pPr>
    </w:p>
    <w:p w14:paraId="201FD01C">
      <w:pPr>
        <w:spacing w:line="400" w:lineRule="exact"/>
        <w:ind w:firstLine="1050" w:firstLineChars="500"/>
        <w:rPr>
          <w:rFonts w:hint="eastAsia" w:ascii="宋体" w:hAnsi="宋体" w:cs="宋体"/>
          <w:color w:val="auto"/>
          <w:kern w:val="0"/>
          <w:sz w:val="21"/>
          <w:szCs w:val="21"/>
          <w:highlight w:val="none"/>
        </w:rPr>
      </w:pPr>
    </w:p>
    <w:p w14:paraId="2D5EED43">
      <w:pPr>
        <w:snapToGrid w:val="0"/>
        <w:spacing w:before="163" w:beforeLines="50" w:after="50" w:line="240" w:lineRule="auto"/>
        <w:ind w:firstLine="360" w:firstLineChars="150"/>
        <w:rPr>
          <w:rFonts w:hint="eastAsia" w:ascii="宋体" w:hAnsi="宋体" w:cs="宋体"/>
          <w:bCs/>
          <w:color w:val="auto"/>
          <w:kern w:val="0"/>
          <w:szCs w:val="24"/>
          <w:highlight w:val="none"/>
        </w:rPr>
      </w:pPr>
      <w:r>
        <w:rPr>
          <w:rFonts w:hint="eastAsia" w:ascii="宋体" w:hAnsi="宋体" w:cs="宋体"/>
          <w:bCs/>
          <w:color w:val="auto"/>
          <w:kern w:val="0"/>
          <w:szCs w:val="24"/>
          <w:highlight w:val="none"/>
        </w:rPr>
        <w:t xml:space="preserve">采购代理机构： </w:t>
      </w:r>
    </w:p>
    <w:p w14:paraId="295249F8">
      <w:pPr>
        <w:snapToGrid w:val="0"/>
        <w:spacing w:before="163" w:beforeLines="50" w:after="50" w:line="240" w:lineRule="auto"/>
        <w:ind w:firstLine="360" w:firstLineChars="150"/>
        <w:rPr>
          <w:rFonts w:hint="eastAsia" w:ascii="宋体" w:hAnsi="宋体" w:cs="宋体"/>
          <w:bCs/>
          <w:color w:val="auto"/>
          <w:kern w:val="0"/>
          <w:szCs w:val="24"/>
          <w:highlight w:val="none"/>
        </w:rPr>
      </w:pPr>
    </w:p>
    <w:p w14:paraId="46BF279D">
      <w:pPr>
        <w:snapToGrid w:val="0"/>
        <w:spacing w:before="163" w:beforeLines="50" w:after="50" w:line="240" w:lineRule="auto"/>
        <w:ind w:firstLine="360" w:firstLineChars="150"/>
        <w:rPr>
          <w:rFonts w:hint="eastAsia" w:ascii="宋体" w:hAnsi="宋体" w:cs="宋体"/>
          <w:bCs/>
          <w:color w:val="auto"/>
          <w:kern w:val="0"/>
          <w:szCs w:val="24"/>
          <w:highlight w:val="none"/>
        </w:rPr>
      </w:pPr>
    </w:p>
    <w:p w14:paraId="6A82F807">
      <w:pPr>
        <w:snapToGrid w:val="0"/>
        <w:spacing w:before="163" w:beforeLines="50" w:after="50" w:line="240" w:lineRule="auto"/>
        <w:ind w:firstLine="360" w:firstLineChars="150"/>
        <w:rPr>
          <w:rFonts w:hint="eastAsia" w:ascii="宋体" w:hAnsi="宋体" w:cs="宋体"/>
          <w:bCs/>
          <w:color w:val="auto"/>
          <w:kern w:val="0"/>
          <w:szCs w:val="24"/>
          <w:highlight w:val="none"/>
        </w:rPr>
      </w:pPr>
      <w:r>
        <w:rPr>
          <w:rFonts w:hint="eastAsia" w:ascii="宋体" w:hAnsi="宋体" w:cs="宋体"/>
          <w:bCs/>
          <w:color w:val="auto"/>
          <w:kern w:val="0"/>
          <w:szCs w:val="24"/>
          <w:highlight w:val="none"/>
        </w:rPr>
        <w:t>供应商名称：</w:t>
      </w:r>
    </w:p>
    <w:p w14:paraId="77998FAB">
      <w:pPr>
        <w:snapToGrid w:val="0"/>
        <w:spacing w:before="163" w:beforeLines="50" w:after="50" w:line="240" w:lineRule="auto"/>
        <w:ind w:firstLine="360" w:firstLineChars="150"/>
        <w:rPr>
          <w:rFonts w:hint="eastAsia" w:ascii="宋体" w:hAnsi="宋体"/>
          <w:bCs/>
          <w:color w:val="auto"/>
          <w:kern w:val="0"/>
          <w:szCs w:val="24"/>
          <w:highlight w:val="none"/>
        </w:rPr>
      </w:pPr>
    </w:p>
    <w:p w14:paraId="2D49AAEE">
      <w:pPr>
        <w:snapToGrid w:val="0"/>
        <w:spacing w:before="163" w:beforeLines="50" w:after="50" w:line="240" w:lineRule="auto"/>
        <w:ind w:firstLine="360" w:firstLineChars="150"/>
        <w:rPr>
          <w:rFonts w:hint="eastAsia" w:ascii="宋体" w:hAnsi="宋体"/>
          <w:bCs/>
          <w:color w:val="auto"/>
          <w:kern w:val="0"/>
          <w:szCs w:val="24"/>
          <w:highlight w:val="none"/>
        </w:rPr>
      </w:pPr>
    </w:p>
    <w:p w14:paraId="45527D9B">
      <w:pPr>
        <w:spacing w:line="440" w:lineRule="atLeast"/>
        <w:ind w:firstLine="0" w:firstLineChars="0"/>
        <w:rPr>
          <w:rFonts w:hint="eastAsia" w:ascii="宋体" w:hAnsi="宋体"/>
          <w:b/>
          <w:color w:val="auto"/>
          <w:kern w:val="0"/>
          <w:sz w:val="32"/>
          <w:szCs w:val="32"/>
          <w:highlight w:val="none"/>
        </w:rPr>
      </w:pPr>
    </w:p>
    <w:p w14:paraId="49DD4810">
      <w:pPr>
        <w:spacing w:line="440" w:lineRule="atLeast"/>
        <w:ind w:firstLine="0" w:firstLineChars="0"/>
        <w:rPr>
          <w:rFonts w:hint="eastAsia" w:ascii="宋体" w:hAnsi="宋体"/>
          <w:b/>
          <w:color w:val="auto"/>
          <w:kern w:val="0"/>
          <w:sz w:val="32"/>
          <w:szCs w:val="32"/>
          <w:highlight w:val="none"/>
        </w:rPr>
      </w:pPr>
    </w:p>
    <w:p w14:paraId="4D84801A">
      <w:pPr>
        <w:spacing w:line="440" w:lineRule="atLeast"/>
        <w:ind w:firstLine="0" w:firstLineChars="0"/>
        <w:rPr>
          <w:rFonts w:hint="eastAsia" w:ascii="宋体" w:hAnsi="宋体"/>
          <w:b/>
          <w:color w:val="auto"/>
          <w:kern w:val="0"/>
          <w:sz w:val="32"/>
          <w:szCs w:val="32"/>
          <w:highlight w:val="none"/>
        </w:rPr>
      </w:pPr>
    </w:p>
    <w:p w14:paraId="782D64EB">
      <w:pPr>
        <w:spacing w:line="440" w:lineRule="atLeast"/>
        <w:ind w:firstLine="0" w:firstLineChars="0"/>
        <w:rPr>
          <w:rFonts w:hint="eastAsia" w:ascii="宋体" w:hAnsi="宋体"/>
          <w:b/>
          <w:color w:val="auto"/>
          <w:kern w:val="0"/>
          <w:sz w:val="32"/>
          <w:szCs w:val="32"/>
          <w:highlight w:val="none"/>
        </w:rPr>
      </w:pPr>
    </w:p>
    <w:p w14:paraId="1688E34A">
      <w:pPr>
        <w:spacing w:line="440" w:lineRule="atLeast"/>
        <w:ind w:firstLine="0" w:firstLineChars="0"/>
        <w:rPr>
          <w:rFonts w:hint="eastAsia" w:ascii="宋体" w:hAnsi="宋体"/>
          <w:b/>
          <w:color w:val="auto"/>
          <w:kern w:val="0"/>
          <w:sz w:val="32"/>
          <w:szCs w:val="32"/>
          <w:highlight w:val="none"/>
        </w:rPr>
      </w:pPr>
    </w:p>
    <w:p w14:paraId="0881F5B6">
      <w:pPr>
        <w:spacing w:line="440" w:lineRule="atLeast"/>
        <w:ind w:firstLine="0" w:firstLineChars="0"/>
        <w:rPr>
          <w:rFonts w:hint="eastAsia" w:ascii="宋体" w:hAnsi="宋体"/>
          <w:b/>
          <w:color w:val="auto"/>
          <w:kern w:val="0"/>
          <w:sz w:val="32"/>
          <w:szCs w:val="32"/>
          <w:highlight w:val="none"/>
        </w:rPr>
      </w:pPr>
    </w:p>
    <w:p w14:paraId="7284D28E">
      <w:pPr>
        <w:spacing w:line="440" w:lineRule="atLeast"/>
        <w:ind w:firstLine="0" w:firstLineChars="0"/>
        <w:rPr>
          <w:rFonts w:hint="eastAsia" w:ascii="宋体" w:hAnsi="宋体"/>
          <w:b/>
          <w:color w:val="auto"/>
          <w:kern w:val="0"/>
          <w:sz w:val="32"/>
          <w:szCs w:val="32"/>
          <w:highlight w:val="none"/>
        </w:rPr>
      </w:pPr>
    </w:p>
    <w:p w14:paraId="7D593091">
      <w:pPr>
        <w:spacing w:line="440" w:lineRule="atLeast"/>
        <w:ind w:firstLine="0" w:firstLineChars="0"/>
        <w:rPr>
          <w:rFonts w:hint="eastAsia" w:ascii="宋体" w:hAnsi="宋体"/>
          <w:b/>
          <w:color w:val="auto"/>
          <w:kern w:val="0"/>
          <w:sz w:val="32"/>
          <w:szCs w:val="32"/>
          <w:highlight w:val="none"/>
        </w:rPr>
      </w:pPr>
    </w:p>
    <w:p w14:paraId="001A1E0E">
      <w:pPr>
        <w:pStyle w:val="22"/>
        <w:rPr>
          <w:color w:val="auto"/>
          <w:highlight w:val="none"/>
        </w:rPr>
      </w:pPr>
    </w:p>
    <w:p w14:paraId="025322FC">
      <w:pPr>
        <w:pStyle w:val="22"/>
        <w:rPr>
          <w:color w:val="auto"/>
          <w:highlight w:val="none"/>
        </w:rPr>
      </w:pPr>
    </w:p>
    <w:p w14:paraId="5BD4201D">
      <w:pPr>
        <w:pStyle w:val="22"/>
        <w:rPr>
          <w:color w:val="auto"/>
          <w:highlight w:val="none"/>
        </w:rPr>
      </w:pPr>
    </w:p>
    <w:p w14:paraId="306229E7">
      <w:pPr>
        <w:pStyle w:val="22"/>
        <w:rPr>
          <w:color w:val="auto"/>
          <w:highlight w:val="none"/>
        </w:rPr>
      </w:pPr>
    </w:p>
    <w:p w14:paraId="2E91AB41">
      <w:pPr>
        <w:pStyle w:val="22"/>
        <w:rPr>
          <w:color w:val="auto"/>
          <w:highlight w:val="none"/>
        </w:rPr>
      </w:pPr>
    </w:p>
    <w:p w14:paraId="0AF975DB">
      <w:pPr>
        <w:spacing w:line="400" w:lineRule="exact"/>
        <w:ind w:firstLine="0" w:firstLineChars="0"/>
        <w:outlineLvl w:val="2"/>
        <w:rPr>
          <w:rFonts w:hint="eastAsia" w:ascii="宋体" w:hAnsi="宋体" w:cs="宋体"/>
          <w:b/>
          <w:color w:val="auto"/>
          <w:kern w:val="0"/>
          <w:sz w:val="32"/>
          <w:szCs w:val="32"/>
          <w:highlight w:val="none"/>
        </w:rPr>
      </w:pPr>
      <w:bookmarkStart w:id="47" w:name="_Toc82016595"/>
      <w:r>
        <w:rPr>
          <w:rFonts w:ascii="宋体" w:hAnsi="宋体" w:cs="宋体"/>
          <w:b/>
          <w:color w:val="auto"/>
          <w:kern w:val="0"/>
          <w:sz w:val="32"/>
          <w:szCs w:val="32"/>
          <w:highlight w:val="none"/>
        </w:rPr>
        <w:br w:type="page"/>
      </w:r>
      <w:r>
        <w:rPr>
          <w:rFonts w:hint="eastAsia" w:ascii="宋体" w:hAnsi="宋体" w:cs="宋体"/>
          <w:b/>
          <w:color w:val="auto"/>
          <w:kern w:val="0"/>
          <w:sz w:val="32"/>
          <w:szCs w:val="32"/>
          <w:highlight w:val="none"/>
        </w:rPr>
        <w:t>二、响应文件组成</w:t>
      </w:r>
      <w:bookmarkEnd w:id="47"/>
    </w:p>
    <w:p w14:paraId="5364362A">
      <w:pPr>
        <w:spacing w:line="400" w:lineRule="exact"/>
        <w:ind w:firstLine="0" w:firstLineChars="0"/>
        <w:rPr>
          <w:rFonts w:hint="eastAsia" w:ascii="宋体" w:hAnsi="宋体" w:cs="宋体"/>
          <w:b/>
          <w:bCs/>
          <w:color w:val="auto"/>
          <w:kern w:val="0"/>
          <w:szCs w:val="24"/>
          <w:highlight w:val="none"/>
        </w:rPr>
      </w:pPr>
    </w:p>
    <w:p w14:paraId="36EE1081">
      <w:pPr>
        <w:spacing w:line="400" w:lineRule="exact"/>
        <w:ind w:firstLine="0" w:firstLineChars="0"/>
        <w:rPr>
          <w:rFonts w:hint="eastAsia" w:ascii="宋体" w:hAnsi="宋体" w:cs="宋体"/>
          <w:b/>
          <w:bCs/>
          <w:color w:val="auto"/>
          <w:kern w:val="0"/>
          <w:szCs w:val="24"/>
          <w:highlight w:val="none"/>
        </w:rPr>
      </w:pPr>
    </w:p>
    <w:p w14:paraId="0A99D80D">
      <w:pPr>
        <w:spacing w:line="400" w:lineRule="exact"/>
        <w:ind w:firstLine="0" w:firstLineChars="0"/>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（一）</w:t>
      </w:r>
      <w:r>
        <w:rPr>
          <w:rFonts w:hint="eastAsia" w:ascii="宋体" w:hAnsi="宋体" w:cs="宋体"/>
          <w:b/>
          <w:color w:val="auto"/>
          <w:kern w:val="0"/>
          <w:sz w:val="32"/>
          <w:szCs w:val="32"/>
          <w:highlight w:val="none"/>
        </w:rPr>
        <w:t>资格性响应证明材料</w:t>
      </w:r>
    </w:p>
    <w:p w14:paraId="298B7E22">
      <w:pPr>
        <w:spacing w:line="400" w:lineRule="exact"/>
        <w:ind w:firstLine="0" w:firstLineChars="0"/>
        <w:rPr>
          <w:rFonts w:hint="eastAsia" w:ascii="宋体" w:hAnsi="宋体" w:cs="宋体"/>
          <w:b/>
          <w:bCs/>
          <w:color w:val="auto"/>
          <w:kern w:val="0"/>
          <w:sz w:val="32"/>
          <w:szCs w:val="32"/>
          <w:highlight w:val="none"/>
        </w:rPr>
      </w:pPr>
    </w:p>
    <w:p w14:paraId="153D64A1">
      <w:pPr>
        <w:spacing w:line="400" w:lineRule="exact"/>
        <w:ind w:firstLine="0" w:firstLineChars="0"/>
        <w:rPr>
          <w:rFonts w:hint="eastAsia" w:ascii="宋体" w:hAnsi="宋体" w:cs="宋体"/>
          <w:b/>
          <w:bCs/>
          <w:color w:val="auto"/>
          <w:kern w:val="0"/>
          <w:sz w:val="32"/>
          <w:szCs w:val="32"/>
          <w:highlight w:val="none"/>
        </w:rPr>
      </w:pPr>
    </w:p>
    <w:p w14:paraId="3AA3F132">
      <w:pPr>
        <w:spacing w:line="400" w:lineRule="exact"/>
        <w:ind w:firstLine="0" w:firstLineChars="0"/>
        <w:rPr>
          <w:rFonts w:hint="eastAsia" w:ascii="宋体" w:hAnsi="宋体" w:cs="宋体"/>
          <w:b/>
          <w:bCs/>
          <w:color w:val="auto"/>
          <w:kern w:val="0"/>
          <w:sz w:val="32"/>
          <w:szCs w:val="32"/>
          <w:highlight w:val="none"/>
        </w:rPr>
      </w:pPr>
    </w:p>
    <w:p w14:paraId="4A956C40">
      <w:pPr>
        <w:spacing w:line="400" w:lineRule="exact"/>
        <w:ind w:firstLine="0" w:firstLineChars="0"/>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（二）</w:t>
      </w:r>
      <w:r>
        <w:rPr>
          <w:rFonts w:hint="eastAsia" w:ascii="宋体" w:hAnsi="宋体" w:cs="宋体"/>
          <w:b/>
          <w:color w:val="auto"/>
          <w:kern w:val="0"/>
          <w:sz w:val="32"/>
          <w:szCs w:val="32"/>
          <w:highlight w:val="none"/>
        </w:rPr>
        <w:t>符合性响应证明材料</w:t>
      </w:r>
    </w:p>
    <w:p w14:paraId="20CBFFE6">
      <w:pPr>
        <w:spacing w:line="400" w:lineRule="exact"/>
        <w:ind w:firstLine="0" w:firstLineChars="0"/>
        <w:rPr>
          <w:rFonts w:hint="eastAsia" w:ascii="宋体" w:hAnsi="宋体" w:cs="宋体"/>
          <w:b/>
          <w:bCs/>
          <w:color w:val="auto"/>
          <w:kern w:val="0"/>
          <w:sz w:val="32"/>
          <w:szCs w:val="32"/>
          <w:highlight w:val="none"/>
        </w:rPr>
      </w:pPr>
    </w:p>
    <w:p w14:paraId="4A6FAC2F">
      <w:pPr>
        <w:spacing w:line="400" w:lineRule="exact"/>
        <w:ind w:firstLine="0" w:firstLineChars="0"/>
        <w:rPr>
          <w:rFonts w:hint="eastAsia" w:ascii="宋体" w:hAnsi="宋体" w:cs="宋体"/>
          <w:b/>
          <w:bCs/>
          <w:color w:val="auto"/>
          <w:kern w:val="0"/>
          <w:sz w:val="32"/>
          <w:szCs w:val="32"/>
          <w:highlight w:val="none"/>
        </w:rPr>
      </w:pPr>
    </w:p>
    <w:p w14:paraId="05DABF56">
      <w:pPr>
        <w:spacing w:line="400" w:lineRule="exact"/>
        <w:ind w:firstLine="0" w:firstLineChars="0"/>
        <w:rPr>
          <w:rFonts w:hint="eastAsia" w:ascii="宋体" w:hAnsi="宋体" w:cs="宋体"/>
          <w:b/>
          <w:bCs/>
          <w:color w:val="auto"/>
          <w:kern w:val="0"/>
          <w:sz w:val="32"/>
          <w:szCs w:val="32"/>
          <w:highlight w:val="none"/>
        </w:rPr>
      </w:pPr>
    </w:p>
    <w:p w14:paraId="04AEEB48">
      <w:pPr>
        <w:spacing w:line="400" w:lineRule="exact"/>
        <w:ind w:firstLine="0" w:firstLineChars="0"/>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（三）</w:t>
      </w:r>
      <w:r>
        <w:rPr>
          <w:rFonts w:hint="eastAsia" w:ascii="宋体" w:hAnsi="宋体" w:cs="宋体"/>
          <w:b/>
          <w:color w:val="auto"/>
          <w:kern w:val="0"/>
          <w:sz w:val="32"/>
          <w:szCs w:val="32"/>
          <w:highlight w:val="none"/>
        </w:rPr>
        <w:t>其他有效证明材料</w:t>
      </w:r>
    </w:p>
    <w:p w14:paraId="6A997189">
      <w:pPr>
        <w:tabs>
          <w:tab w:val="left" w:pos="1305"/>
        </w:tabs>
        <w:spacing w:line="520" w:lineRule="exact"/>
        <w:ind w:firstLine="0" w:firstLineChars="0"/>
        <w:jc w:val="center"/>
        <w:rPr>
          <w:rFonts w:hint="eastAsia" w:ascii="宋体" w:hAnsi="宋体" w:cs="宋体"/>
          <w:b/>
          <w:color w:val="auto"/>
          <w:kern w:val="0"/>
          <w:sz w:val="32"/>
          <w:szCs w:val="32"/>
          <w:highlight w:val="none"/>
        </w:rPr>
      </w:pPr>
    </w:p>
    <w:p w14:paraId="2AA0FC7B">
      <w:pPr>
        <w:tabs>
          <w:tab w:val="left" w:pos="1305"/>
        </w:tabs>
        <w:spacing w:line="520" w:lineRule="exact"/>
        <w:ind w:firstLine="0" w:firstLineChars="0"/>
        <w:jc w:val="center"/>
        <w:rPr>
          <w:rFonts w:hint="eastAsia" w:ascii="宋体" w:hAnsi="宋体"/>
          <w:b/>
          <w:color w:val="auto"/>
          <w:kern w:val="0"/>
          <w:sz w:val="32"/>
          <w:szCs w:val="32"/>
          <w:highlight w:val="none"/>
        </w:rPr>
      </w:pPr>
    </w:p>
    <w:p w14:paraId="76892863">
      <w:pPr>
        <w:tabs>
          <w:tab w:val="left" w:pos="1305"/>
        </w:tabs>
        <w:spacing w:line="520" w:lineRule="exact"/>
        <w:ind w:firstLine="0" w:firstLineChars="0"/>
        <w:jc w:val="center"/>
        <w:rPr>
          <w:rFonts w:hint="eastAsia" w:ascii="宋体" w:hAnsi="宋体"/>
          <w:b/>
          <w:color w:val="auto"/>
          <w:kern w:val="0"/>
          <w:sz w:val="32"/>
          <w:szCs w:val="32"/>
          <w:highlight w:val="none"/>
        </w:rPr>
      </w:pPr>
    </w:p>
    <w:p w14:paraId="06F1528A">
      <w:pPr>
        <w:tabs>
          <w:tab w:val="left" w:pos="1305"/>
        </w:tabs>
        <w:spacing w:line="520" w:lineRule="exact"/>
        <w:ind w:firstLine="0" w:firstLineChars="0"/>
        <w:jc w:val="center"/>
        <w:rPr>
          <w:rFonts w:hint="eastAsia" w:ascii="宋体" w:hAnsi="宋体"/>
          <w:b/>
          <w:color w:val="auto"/>
          <w:kern w:val="0"/>
          <w:sz w:val="32"/>
          <w:szCs w:val="32"/>
          <w:highlight w:val="none"/>
        </w:rPr>
      </w:pPr>
    </w:p>
    <w:p w14:paraId="080AA8DA">
      <w:pPr>
        <w:tabs>
          <w:tab w:val="left" w:pos="1305"/>
        </w:tabs>
        <w:spacing w:line="520" w:lineRule="exact"/>
        <w:ind w:firstLine="0" w:firstLineChars="0"/>
        <w:jc w:val="center"/>
        <w:rPr>
          <w:rFonts w:hint="eastAsia" w:ascii="宋体" w:hAnsi="宋体"/>
          <w:b/>
          <w:color w:val="auto"/>
          <w:kern w:val="0"/>
          <w:sz w:val="32"/>
          <w:szCs w:val="32"/>
          <w:highlight w:val="none"/>
        </w:rPr>
      </w:pPr>
    </w:p>
    <w:p w14:paraId="017300FD">
      <w:pPr>
        <w:tabs>
          <w:tab w:val="left" w:pos="1305"/>
        </w:tabs>
        <w:spacing w:line="520" w:lineRule="exact"/>
        <w:ind w:firstLine="0" w:firstLineChars="0"/>
        <w:jc w:val="center"/>
        <w:rPr>
          <w:rFonts w:hint="eastAsia" w:ascii="宋体" w:hAnsi="宋体"/>
          <w:b/>
          <w:color w:val="auto"/>
          <w:kern w:val="0"/>
          <w:sz w:val="32"/>
          <w:szCs w:val="32"/>
          <w:highlight w:val="none"/>
        </w:rPr>
      </w:pPr>
    </w:p>
    <w:p w14:paraId="2AA93199">
      <w:pPr>
        <w:tabs>
          <w:tab w:val="left" w:pos="1305"/>
        </w:tabs>
        <w:spacing w:line="520" w:lineRule="exact"/>
        <w:ind w:firstLine="0" w:firstLineChars="0"/>
        <w:jc w:val="center"/>
        <w:rPr>
          <w:rFonts w:hint="eastAsia" w:ascii="宋体" w:hAnsi="宋体"/>
          <w:b/>
          <w:color w:val="auto"/>
          <w:kern w:val="0"/>
          <w:sz w:val="32"/>
          <w:szCs w:val="32"/>
          <w:highlight w:val="none"/>
        </w:rPr>
      </w:pPr>
    </w:p>
    <w:p w14:paraId="1F99C692">
      <w:pPr>
        <w:tabs>
          <w:tab w:val="left" w:pos="1305"/>
        </w:tabs>
        <w:spacing w:line="520" w:lineRule="exact"/>
        <w:ind w:firstLine="0" w:firstLineChars="0"/>
        <w:jc w:val="center"/>
        <w:rPr>
          <w:b/>
          <w:color w:val="auto"/>
          <w:kern w:val="0"/>
          <w:sz w:val="32"/>
          <w:szCs w:val="32"/>
          <w:highlight w:val="none"/>
        </w:rPr>
      </w:pPr>
    </w:p>
    <w:p w14:paraId="1636C536">
      <w:pPr>
        <w:spacing w:line="360" w:lineRule="exact"/>
        <w:ind w:firstLine="0" w:firstLineChars="0"/>
        <w:jc w:val="center"/>
        <w:rPr>
          <w:rFonts w:hint="eastAsia" w:ascii="宋体" w:hAnsi="宋体" w:cs="宋体"/>
          <w:b/>
          <w:color w:val="auto"/>
          <w:kern w:val="0"/>
          <w:sz w:val="32"/>
          <w:szCs w:val="32"/>
          <w:highlight w:val="none"/>
        </w:rPr>
      </w:pPr>
      <w:r>
        <w:rPr>
          <w:rFonts w:hint="eastAsia"/>
          <w:b/>
          <w:color w:val="auto"/>
          <w:kern w:val="0"/>
          <w:sz w:val="32"/>
          <w:szCs w:val="32"/>
          <w:highlight w:val="none"/>
        </w:rPr>
        <w:br w:type="page"/>
      </w:r>
      <w:r>
        <w:rPr>
          <w:rFonts w:hint="eastAsia" w:ascii="宋体" w:hAnsi="宋体" w:cs="宋体"/>
          <w:b/>
          <w:color w:val="auto"/>
          <w:kern w:val="0"/>
          <w:sz w:val="32"/>
          <w:szCs w:val="32"/>
          <w:highlight w:val="none"/>
        </w:rPr>
        <w:t>（一）资格性响应证明材料目录</w:t>
      </w:r>
    </w:p>
    <w:p w14:paraId="7DAF7135">
      <w:pPr>
        <w:tabs>
          <w:tab w:val="left" w:pos="1305"/>
        </w:tabs>
        <w:spacing w:line="400" w:lineRule="exact"/>
        <w:ind w:firstLine="480"/>
        <w:rPr>
          <w:rFonts w:hint="eastAsia" w:ascii="宋体" w:hAnsi="宋体" w:cs="宋体"/>
          <w:color w:val="auto"/>
          <w:kern w:val="0"/>
          <w:szCs w:val="24"/>
          <w:highlight w:val="none"/>
        </w:rPr>
      </w:pPr>
    </w:p>
    <w:p w14:paraId="5CBBE8DD">
      <w:pPr>
        <w:tabs>
          <w:tab w:val="left" w:pos="1305"/>
        </w:tabs>
        <w:spacing w:line="40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1.供应商相应的法定代表人身份证正反两面复印件</w:t>
      </w:r>
      <w:r>
        <w:rPr>
          <w:rFonts w:hint="eastAsia" w:ascii="宋体" w:hAnsi="宋体" w:cs="宋体"/>
          <w:b/>
          <w:color w:val="auto"/>
          <w:kern w:val="0"/>
          <w:szCs w:val="24"/>
          <w:highlight w:val="none"/>
        </w:rPr>
        <w:t>（必须提供）</w:t>
      </w:r>
    </w:p>
    <w:p w14:paraId="64735D86">
      <w:pPr>
        <w:tabs>
          <w:tab w:val="left" w:pos="1305"/>
        </w:tabs>
        <w:spacing w:line="40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2.供应商的授权委托书、委托代理人身份证正反面复印件</w:t>
      </w:r>
      <w:r>
        <w:rPr>
          <w:rFonts w:hint="eastAsia" w:ascii="宋体" w:hAnsi="宋体" w:cs="宋体"/>
          <w:b/>
          <w:color w:val="auto"/>
          <w:kern w:val="0"/>
          <w:szCs w:val="24"/>
          <w:highlight w:val="none"/>
        </w:rPr>
        <w:t>（委托代理时必须提供）</w:t>
      </w:r>
    </w:p>
    <w:p w14:paraId="4FEEB1AD">
      <w:pPr>
        <w:tabs>
          <w:tab w:val="left" w:pos="1305"/>
        </w:tabs>
        <w:spacing w:line="400" w:lineRule="exact"/>
        <w:ind w:firstLine="480"/>
        <w:rPr>
          <w:rFonts w:hint="eastAsia" w:ascii="宋体" w:hAnsi="宋体" w:cs="宋体"/>
          <w:b/>
          <w:color w:val="auto"/>
          <w:kern w:val="0"/>
          <w:szCs w:val="24"/>
          <w:highlight w:val="none"/>
        </w:rPr>
      </w:pPr>
      <w:r>
        <w:rPr>
          <w:rFonts w:hint="eastAsia" w:ascii="宋体" w:hAnsi="宋体" w:cs="宋体"/>
          <w:color w:val="auto"/>
          <w:kern w:val="0"/>
          <w:szCs w:val="24"/>
          <w:highlight w:val="none"/>
        </w:rPr>
        <w:t>3.供应商的法人或者其他组织营业执照等证明文件复印件</w:t>
      </w:r>
      <w:r>
        <w:rPr>
          <w:rFonts w:hint="eastAsia" w:ascii="宋体" w:hAnsi="宋体" w:cs="宋体"/>
          <w:b/>
          <w:color w:val="auto"/>
          <w:kern w:val="0"/>
          <w:szCs w:val="24"/>
          <w:highlight w:val="none"/>
        </w:rPr>
        <w:t>（必须提供，自然人除外）</w:t>
      </w:r>
    </w:p>
    <w:p w14:paraId="761DB1BC">
      <w:pPr>
        <w:tabs>
          <w:tab w:val="left" w:pos="1305"/>
        </w:tabs>
        <w:spacing w:line="400" w:lineRule="exact"/>
        <w:ind w:firstLine="480"/>
        <w:rPr>
          <w:rFonts w:hint="eastAsia" w:ascii="宋体" w:hAnsi="宋体" w:cs="宋体"/>
          <w:b/>
          <w:bCs/>
          <w:color w:val="auto"/>
          <w:kern w:val="0"/>
          <w:szCs w:val="24"/>
          <w:highlight w:val="none"/>
        </w:rPr>
      </w:pPr>
      <w:r>
        <w:rPr>
          <w:rFonts w:hint="eastAsia" w:ascii="宋体" w:hAnsi="宋体" w:cs="宋体"/>
          <w:color w:val="auto"/>
          <w:kern w:val="0"/>
          <w:szCs w:val="24"/>
          <w:highlight w:val="none"/>
        </w:rPr>
        <w:t>4.供应商财务状况报告</w:t>
      </w:r>
      <w:r>
        <w:rPr>
          <w:rFonts w:hint="eastAsia" w:ascii="宋体" w:hAnsi="宋体" w:cs="宋体"/>
          <w:b/>
          <w:bCs/>
          <w:color w:val="auto"/>
          <w:kern w:val="0"/>
          <w:szCs w:val="24"/>
          <w:highlight w:val="none"/>
        </w:rPr>
        <w:t>（必须提供）</w:t>
      </w:r>
    </w:p>
    <w:p w14:paraId="662E2F05">
      <w:pPr>
        <w:tabs>
          <w:tab w:val="left" w:pos="1305"/>
        </w:tabs>
        <w:spacing w:line="400" w:lineRule="exact"/>
        <w:ind w:firstLine="480"/>
        <w:rPr>
          <w:rFonts w:hint="eastAsia" w:ascii="宋体" w:hAnsi="宋体" w:cs="宋体"/>
          <w:b/>
          <w:bCs/>
          <w:color w:val="auto"/>
          <w:kern w:val="0"/>
          <w:szCs w:val="24"/>
          <w:highlight w:val="none"/>
        </w:rPr>
      </w:pPr>
      <w:r>
        <w:rPr>
          <w:rFonts w:hint="eastAsia" w:ascii="宋体" w:hAnsi="宋体" w:cs="宋体"/>
          <w:color w:val="auto"/>
          <w:kern w:val="0"/>
          <w:szCs w:val="24"/>
          <w:highlight w:val="none"/>
        </w:rPr>
        <w:t>5.供应商依法缴纳税收的相关材料</w:t>
      </w:r>
      <w:r>
        <w:rPr>
          <w:rFonts w:hint="eastAsia" w:ascii="宋体" w:hAnsi="宋体" w:cs="宋体"/>
          <w:b/>
          <w:bCs/>
          <w:color w:val="auto"/>
          <w:kern w:val="0"/>
          <w:szCs w:val="24"/>
          <w:highlight w:val="none"/>
        </w:rPr>
        <w:t>（必须提供）</w:t>
      </w:r>
    </w:p>
    <w:p w14:paraId="4BF7FEAE">
      <w:pPr>
        <w:tabs>
          <w:tab w:val="left" w:pos="1305"/>
        </w:tabs>
        <w:spacing w:line="400" w:lineRule="exact"/>
        <w:ind w:firstLine="480"/>
        <w:rPr>
          <w:rFonts w:hint="eastAsia" w:ascii="宋体" w:hAnsi="宋体" w:cs="宋体"/>
          <w:b/>
          <w:bCs/>
          <w:color w:val="auto"/>
          <w:kern w:val="0"/>
          <w:szCs w:val="24"/>
          <w:highlight w:val="none"/>
        </w:rPr>
      </w:pPr>
      <w:r>
        <w:rPr>
          <w:rFonts w:hint="eastAsia" w:ascii="宋体" w:hAnsi="宋体" w:cs="宋体"/>
          <w:color w:val="auto"/>
          <w:kern w:val="0"/>
          <w:szCs w:val="24"/>
          <w:highlight w:val="none"/>
        </w:rPr>
        <w:t>6.供应商依法缴纳社会保障资金的相关材料</w:t>
      </w:r>
      <w:r>
        <w:rPr>
          <w:rFonts w:hint="eastAsia" w:ascii="宋体" w:hAnsi="宋体" w:cs="宋体"/>
          <w:b/>
          <w:bCs/>
          <w:color w:val="auto"/>
          <w:kern w:val="0"/>
          <w:szCs w:val="24"/>
          <w:highlight w:val="none"/>
        </w:rPr>
        <w:t>（必须提供）</w:t>
      </w:r>
    </w:p>
    <w:p w14:paraId="019B829C">
      <w:pPr>
        <w:tabs>
          <w:tab w:val="left" w:pos="1305"/>
        </w:tabs>
        <w:spacing w:line="400" w:lineRule="exact"/>
        <w:ind w:firstLine="480"/>
        <w:rPr>
          <w:rFonts w:hint="eastAsia" w:ascii="宋体" w:hAnsi="宋体" w:cs="宋体"/>
          <w:b/>
          <w:bCs/>
          <w:color w:val="auto"/>
          <w:kern w:val="0"/>
          <w:szCs w:val="24"/>
          <w:highlight w:val="none"/>
        </w:rPr>
      </w:pPr>
      <w:r>
        <w:rPr>
          <w:rFonts w:hint="eastAsia" w:ascii="宋体" w:hAnsi="宋体" w:cs="宋体"/>
          <w:color w:val="auto"/>
          <w:kern w:val="0"/>
          <w:szCs w:val="24"/>
          <w:highlight w:val="none"/>
        </w:rPr>
        <w:t>7.供应商参加政府采购活动前3年内在经营活动中没有重大违法记录及有关信用信息的书面声明</w:t>
      </w:r>
      <w:r>
        <w:rPr>
          <w:rFonts w:hint="eastAsia" w:ascii="宋体" w:hAnsi="宋体" w:cs="宋体"/>
          <w:b/>
          <w:bCs/>
          <w:color w:val="auto"/>
          <w:kern w:val="0"/>
          <w:szCs w:val="24"/>
          <w:highlight w:val="none"/>
        </w:rPr>
        <w:t>（必须提供）</w:t>
      </w:r>
    </w:p>
    <w:p w14:paraId="05A059E8">
      <w:pPr>
        <w:tabs>
          <w:tab w:val="left" w:pos="1305"/>
        </w:tabs>
        <w:spacing w:line="380" w:lineRule="exact"/>
        <w:ind w:firstLine="480"/>
        <w:rPr>
          <w:rFonts w:hint="eastAsia" w:ascii="宋体" w:hAnsi="宋体" w:cs="宋体"/>
          <w:b/>
          <w:color w:val="auto"/>
          <w:sz w:val="28"/>
          <w:szCs w:val="28"/>
          <w:highlight w:val="none"/>
        </w:rPr>
      </w:pPr>
      <w:r>
        <w:rPr>
          <w:rFonts w:hint="eastAsia" w:ascii="宋体" w:hAnsi="宋体" w:cs="宋体"/>
          <w:color w:val="auto"/>
          <w:kern w:val="0"/>
          <w:szCs w:val="24"/>
          <w:highlight w:val="none"/>
        </w:rPr>
        <w:t>8.供应商参加本项目无围标串标行为的承诺函</w:t>
      </w:r>
      <w:r>
        <w:rPr>
          <w:rFonts w:hint="eastAsia" w:ascii="宋体" w:hAnsi="宋体" w:cs="宋体"/>
          <w:b/>
          <w:bCs/>
          <w:color w:val="auto"/>
          <w:kern w:val="0"/>
          <w:szCs w:val="24"/>
          <w:highlight w:val="none"/>
        </w:rPr>
        <w:t>（必须提供）</w:t>
      </w:r>
      <w:r>
        <w:rPr>
          <w:rFonts w:hint="eastAsia" w:ascii="宋体" w:hAnsi="宋体" w:cs="宋体"/>
          <w:color w:val="auto"/>
          <w:kern w:val="0"/>
          <w:szCs w:val="24"/>
          <w:highlight w:val="none"/>
        </w:rPr>
        <w:br w:type="page"/>
      </w:r>
      <w:r>
        <w:rPr>
          <w:rFonts w:hint="eastAsia" w:ascii="宋体" w:hAnsi="宋体" w:cs="宋体"/>
          <w:b/>
          <w:color w:val="auto"/>
          <w:sz w:val="28"/>
          <w:szCs w:val="28"/>
          <w:highlight w:val="none"/>
        </w:rPr>
        <w:t>1.供应商相应的法定代表人身份证正反两面复印件（必须提供）</w:t>
      </w:r>
    </w:p>
    <w:p w14:paraId="51C6AB79">
      <w:pPr>
        <w:tabs>
          <w:tab w:val="left" w:pos="1305"/>
        </w:tabs>
        <w:spacing w:line="380" w:lineRule="exact"/>
        <w:ind w:firstLine="0" w:firstLineChars="0"/>
        <w:rPr>
          <w:rFonts w:hint="eastAsia" w:ascii="宋体" w:hAnsi="宋体" w:cs="宋体"/>
          <w:color w:val="auto"/>
          <w:kern w:val="0"/>
          <w:sz w:val="21"/>
          <w:szCs w:val="21"/>
          <w:highlight w:val="none"/>
        </w:rPr>
      </w:pPr>
    </w:p>
    <w:p w14:paraId="309A1224">
      <w:pPr>
        <w:spacing w:line="300" w:lineRule="exact"/>
        <w:ind w:firstLine="0" w:firstLineChars="0"/>
        <w:rPr>
          <w:rFonts w:hint="eastAsia" w:ascii="宋体" w:hAnsi="宋体" w:cs="宋体"/>
          <w:b/>
          <w:color w:val="auto"/>
          <w:kern w:val="0"/>
          <w:sz w:val="28"/>
          <w:szCs w:val="28"/>
          <w:highlight w:val="none"/>
        </w:rPr>
      </w:pPr>
    </w:p>
    <w:p w14:paraId="7BF75A8C">
      <w:pPr>
        <w:spacing w:line="300" w:lineRule="exact"/>
        <w:ind w:firstLine="0" w:firstLineChars="0"/>
        <w:rPr>
          <w:rFonts w:hint="eastAsia" w:ascii="宋体" w:hAnsi="宋体" w:cs="宋体"/>
          <w:b/>
          <w:color w:val="auto"/>
          <w:sz w:val="28"/>
          <w:szCs w:val="28"/>
          <w:highlight w:val="none"/>
        </w:rPr>
      </w:pPr>
      <w:r>
        <w:rPr>
          <w:rFonts w:hint="eastAsia" w:ascii="宋体" w:hAnsi="宋体" w:cs="宋体"/>
          <w:b/>
          <w:color w:val="auto"/>
          <w:sz w:val="28"/>
          <w:szCs w:val="28"/>
          <w:highlight w:val="none"/>
        </w:rPr>
        <w:t>2.供应商的授权委托书、委托代理人身份证正反面复印件（委托代理时必须提供）</w:t>
      </w:r>
    </w:p>
    <w:p w14:paraId="085DE70F">
      <w:pPr>
        <w:spacing w:line="300" w:lineRule="exact"/>
        <w:ind w:firstLine="0" w:firstLineChars="0"/>
        <w:rPr>
          <w:rFonts w:hint="eastAsia" w:ascii="宋体" w:hAnsi="宋体" w:cs="宋体"/>
          <w:b/>
          <w:color w:val="auto"/>
          <w:kern w:val="0"/>
          <w:sz w:val="28"/>
          <w:szCs w:val="28"/>
          <w:highlight w:val="none"/>
        </w:rPr>
      </w:pPr>
    </w:p>
    <w:p w14:paraId="34C4F2A3">
      <w:pPr>
        <w:spacing w:line="400" w:lineRule="exact"/>
        <w:ind w:firstLine="0" w:firstLineChars="0"/>
        <w:rPr>
          <w:rFonts w:hint="eastAsia" w:ascii="宋体" w:hAnsi="宋体" w:cs="宋体"/>
          <w:b/>
          <w:color w:val="auto"/>
          <w:sz w:val="32"/>
          <w:szCs w:val="32"/>
          <w:highlight w:val="none"/>
        </w:rPr>
      </w:pPr>
      <w:r>
        <w:rPr>
          <w:rFonts w:hint="eastAsia" w:ascii="宋体" w:hAnsi="宋体" w:cs="宋体"/>
          <w:b/>
          <w:color w:val="auto"/>
          <w:sz w:val="32"/>
          <w:szCs w:val="32"/>
          <w:highlight w:val="none"/>
        </w:rPr>
        <w:t>附件：</w:t>
      </w:r>
    </w:p>
    <w:p w14:paraId="0C736AA6">
      <w:pPr>
        <w:spacing w:line="240" w:lineRule="auto"/>
        <w:ind w:firstLine="482"/>
        <w:rPr>
          <w:rFonts w:hint="eastAsia" w:ascii="宋体" w:hAnsi="宋体" w:cs="宋体"/>
          <w:b/>
          <w:color w:val="auto"/>
          <w:szCs w:val="24"/>
          <w:highlight w:val="none"/>
        </w:rPr>
      </w:pPr>
    </w:p>
    <w:p w14:paraId="2C6461B6">
      <w:pPr>
        <w:spacing w:line="240" w:lineRule="auto"/>
        <w:ind w:firstLine="0" w:firstLineChars="0"/>
        <w:jc w:val="center"/>
        <w:rPr>
          <w:rFonts w:hint="eastAsia" w:ascii="宋体" w:hAnsi="宋体" w:cs="宋体"/>
          <w:b/>
          <w:color w:val="auto"/>
          <w:sz w:val="32"/>
          <w:szCs w:val="20"/>
          <w:highlight w:val="none"/>
        </w:rPr>
      </w:pPr>
      <w:r>
        <w:rPr>
          <w:rFonts w:hint="eastAsia" w:ascii="宋体" w:hAnsi="宋体" w:cs="宋体"/>
          <w:b/>
          <w:color w:val="auto"/>
          <w:sz w:val="32"/>
          <w:szCs w:val="20"/>
          <w:highlight w:val="none"/>
        </w:rPr>
        <w:t xml:space="preserve">  授权委托书（格式一，适用于法人或其他组织竞标）</w:t>
      </w:r>
    </w:p>
    <w:p w14:paraId="52088B37">
      <w:pPr>
        <w:snapToGrid w:val="0"/>
        <w:spacing w:line="400" w:lineRule="exact"/>
        <w:ind w:firstLine="0" w:firstLineChars="0"/>
        <w:rPr>
          <w:rFonts w:hint="eastAsia" w:ascii="宋体" w:hAnsi="宋体" w:cs="宋体"/>
          <w:color w:val="auto"/>
          <w:sz w:val="21"/>
          <w:szCs w:val="24"/>
          <w:highlight w:val="none"/>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rPr>
        <w:t>云之龙咨询集团有限公司</w:t>
      </w:r>
    </w:p>
    <w:p w14:paraId="078BAD17">
      <w:pPr>
        <w:snapToGrid w:val="0"/>
        <w:spacing w:line="400" w:lineRule="exact"/>
        <w:ind w:firstLine="0" w:firstLineChars="0"/>
        <w:rPr>
          <w:rFonts w:hint="eastAsia" w:ascii="宋体" w:hAnsi="宋体" w:cs="宋体"/>
          <w:color w:val="auto"/>
          <w:sz w:val="21"/>
          <w:szCs w:val="21"/>
          <w:highlight w:val="none"/>
          <w:u w:val="single"/>
        </w:rPr>
      </w:pPr>
    </w:p>
    <w:p w14:paraId="0A278A03">
      <w:pPr>
        <w:spacing w:line="400" w:lineRule="exact"/>
        <w:ind w:firstLine="525" w:firstLineChars="250"/>
        <w:rPr>
          <w:rFonts w:hint="eastAsia" w:ascii="宋体" w:hAnsi="宋体" w:cs="宋体"/>
          <w:color w:val="auto"/>
          <w:sz w:val="21"/>
          <w:szCs w:val="20"/>
          <w:highlight w:val="none"/>
        </w:rPr>
      </w:pPr>
      <w:r>
        <w:rPr>
          <w:rFonts w:hint="eastAsia" w:ascii="宋体" w:hAnsi="宋体" w:cs="宋体"/>
          <w:color w:val="auto"/>
          <w:kern w:val="0"/>
          <w:sz w:val="21"/>
          <w:szCs w:val="20"/>
          <w:highlight w:val="none"/>
        </w:rPr>
        <w:t>我</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（姓名）系</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（供应商名称）的法定代表人，现授权委托本单位在职职工</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（姓名）以我公司名义参加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项目的谈判活动，并代表我方全权办理针对上述项目的谈判、签约等具体事务和签署相关文件。</w:t>
      </w:r>
    </w:p>
    <w:p w14:paraId="1DD6D1C8">
      <w:pPr>
        <w:spacing w:line="400" w:lineRule="exact"/>
        <w:ind w:firstLine="420"/>
        <w:rPr>
          <w:rFonts w:hint="eastAsia" w:ascii="宋体" w:hAnsi="宋体" w:cs="宋体"/>
          <w:color w:val="auto"/>
          <w:sz w:val="21"/>
          <w:szCs w:val="20"/>
          <w:highlight w:val="none"/>
        </w:rPr>
      </w:pPr>
      <w:r>
        <w:rPr>
          <w:rFonts w:hint="eastAsia" w:ascii="宋体" w:hAnsi="宋体" w:cs="宋体"/>
          <w:color w:val="auto"/>
          <w:sz w:val="21"/>
          <w:szCs w:val="20"/>
          <w:highlight w:val="none"/>
        </w:rPr>
        <w:t>我方对被授权人的签字事项负全部责任。</w:t>
      </w:r>
    </w:p>
    <w:p w14:paraId="3CEB2C16">
      <w:pPr>
        <w:spacing w:line="400" w:lineRule="exact"/>
        <w:ind w:firstLine="420"/>
        <w:rPr>
          <w:rFonts w:hint="eastAsia"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2CD85196">
      <w:pPr>
        <w:spacing w:line="400" w:lineRule="exact"/>
        <w:ind w:firstLine="0" w:firstLineChars="0"/>
        <w:rPr>
          <w:rFonts w:hint="eastAsia" w:ascii="宋体" w:hAnsi="宋体" w:cs="宋体"/>
          <w:color w:val="auto"/>
          <w:sz w:val="21"/>
          <w:szCs w:val="20"/>
          <w:highlight w:val="none"/>
          <w:u w:val="single"/>
        </w:rPr>
      </w:pPr>
    </w:p>
    <w:p w14:paraId="77CF01D4">
      <w:pPr>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代理人无转委托权，特此委托。 </w:t>
      </w:r>
    </w:p>
    <w:p w14:paraId="0CD3C024">
      <w:pPr>
        <w:spacing w:line="240" w:lineRule="auto"/>
        <w:ind w:firstLine="0" w:firstLineChars="0"/>
        <w:rPr>
          <w:rFonts w:hint="eastAsia" w:ascii="宋体" w:hAnsi="宋体" w:cs="宋体"/>
          <w:color w:val="auto"/>
          <w:sz w:val="21"/>
          <w:szCs w:val="24"/>
          <w:highlight w:val="none"/>
        </w:rPr>
      </w:pPr>
    </w:p>
    <w:p w14:paraId="3630BC45">
      <w:pPr>
        <w:snapToGrid w:val="0"/>
        <w:spacing w:line="400" w:lineRule="exact"/>
        <w:ind w:firstLine="42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39367A9D">
      <w:pPr>
        <w:widowControl/>
        <w:spacing w:line="240" w:lineRule="auto"/>
        <w:ind w:firstLine="480"/>
        <w:jc w:val="left"/>
        <w:rPr>
          <w:rFonts w:hint="eastAsia" w:ascii="宋体" w:hAnsi="宋体" w:cs="宋体"/>
          <w:color w:val="auto"/>
          <w:kern w:val="0"/>
          <w:szCs w:val="28"/>
          <w:highlight w:val="none"/>
        </w:rPr>
      </w:pPr>
    </w:p>
    <w:p w14:paraId="7D4B72D1">
      <w:pPr>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供应商（电子签章）：                                   </w:t>
      </w:r>
    </w:p>
    <w:p w14:paraId="17FB2B44">
      <w:pPr>
        <w:spacing w:line="400" w:lineRule="exact"/>
        <w:ind w:firstLine="420"/>
        <w:rPr>
          <w:rFonts w:hint="eastAsia" w:ascii="宋体" w:hAnsi="宋体" w:cs="宋体"/>
          <w:color w:val="auto"/>
          <w:kern w:val="0"/>
          <w:sz w:val="21"/>
          <w:szCs w:val="24"/>
          <w:highlight w:val="none"/>
        </w:rPr>
      </w:pPr>
    </w:p>
    <w:p w14:paraId="1CC34294">
      <w:pPr>
        <w:spacing w:line="40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法定代表人签字（或电子签名）：                       　    </w:t>
      </w:r>
    </w:p>
    <w:p w14:paraId="02F2C6AB">
      <w:pPr>
        <w:widowControl/>
        <w:spacing w:line="240" w:lineRule="auto"/>
        <w:ind w:firstLine="480"/>
        <w:jc w:val="left"/>
        <w:rPr>
          <w:rFonts w:hint="eastAsia" w:ascii="宋体" w:hAnsi="宋体" w:cs="宋体"/>
          <w:color w:val="auto"/>
          <w:kern w:val="0"/>
          <w:szCs w:val="28"/>
          <w:highlight w:val="none"/>
        </w:rPr>
      </w:pPr>
    </w:p>
    <w:p w14:paraId="10F440BE">
      <w:pPr>
        <w:widowControl/>
        <w:spacing w:line="240" w:lineRule="auto"/>
        <w:ind w:firstLine="420"/>
        <w:jc w:val="left"/>
        <w:rPr>
          <w:rFonts w:hint="eastAsia" w:ascii="宋体" w:hAnsi="宋体" w:cs="宋体"/>
          <w:color w:val="auto"/>
          <w:kern w:val="0"/>
          <w:szCs w:val="28"/>
          <w:highlight w:val="none"/>
        </w:rPr>
      </w:pP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Cs w:val="28"/>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Cs w:val="28"/>
          <w:highlight w:val="none"/>
        </w:rPr>
        <w:t>月</w:t>
      </w:r>
      <w:r>
        <w:rPr>
          <w:rFonts w:hint="eastAsia" w:ascii="宋体" w:hAnsi="宋体" w:cs="宋体"/>
          <w:color w:val="auto"/>
          <w:kern w:val="0"/>
          <w:szCs w:val="28"/>
          <w:highlight w:val="none"/>
          <w:u w:val="single"/>
        </w:rPr>
        <w:t xml:space="preserve">     </w:t>
      </w:r>
      <w:r>
        <w:rPr>
          <w:rFonts w:hint="eastAsia" w:ascii="宋体" w:hAnsi="宋体" w:cs="宋体"/>
          <w:color w:val="auto"/>
          <w:kern w:val="0"/>
          <w:szCs w:val="28"/>
          <w:highlight w:val="none"/>
        </w:rPr>
        <w:t>日</w:t>
      </w:r>
    </w:p>
    <w:p w14:paraId="52D6D84A">
      <w:pPr>
        <w:spacing w:line="400" w:lineRule="exact"/>
        <w:ind w:firstLine="602" w:firstLineChars="250"/>
        <w:rPr>
          <w:rFonts w:hint="eastAsia" w:ascii="宋体" w:hAnsi="宋体" w:cs="宋体"/>
          <w:b/>
          <w:color w:val="auto"/>
          <w:szCs w:val="24"/>
          <w:highlight w:val="none"/>
        </w:rPr>
      </w:pPr>
    </w:p>
    <w:p w14:paraId="10A01A1B">
      <w:pPr>
        <w:spacing w:line="400" w:lineRule="exact"/>
        <w:ind w:firstLine="602" w:firstLineChars="250"/>
        <w:rPr>
          <w:rFonts w:hint="eastAsia" w:ascii="宋体" w:hAnsi="宋体" w:cs="宋体"/>
          <w:b/>
          <w:color w:val="auto"/>
          <w:szCs w:val="24"/>
          <w:highlight w:val="none"/>
        </w:rPr>
      </w:pPr>
      <w:r>
        <w:rPr>
          <w:rFonts w:hint="eastAsia" w:ascii="宋体" w:hAnsi="宋体" w:cs="宋体"/>
          <w:b/>
          <w:color w:val="auto"/>
          <w:szCs w:val="24"/>
          <w:highlight w:val="none"/>
        </w:rPr>
        <w:t>附：委托代理人身份证正反面复印件（委托代理时必须提供）。</w:t>
      </w:r>
    </w:p>
    <w:p w14:paraId="275B7A53">
      <w:pPr>
        <w:spacing w:line="240" w:lineRule="auto"/>
        <w:ind w:firstLine="0" w:firstLineChars="0"/>
        <w:rPr>
          <w:rFonts w:hint="eastAsia" w:ascii="宋体" w:hAnsi="宋体" w:cs="宋体"/>
          <w:color w:val="auto"/>
          <w:sz w:val="21"/>
          <w:szCs w:val="24"/>
          <w:highlight w:val="none"/>
        </w:rPr>
      </w:pPr>
    </w:p>
    <w:p w14:paraId="0CD66666">
      <w:pPr>
        <w:spacing w:line="240" w:lineRule="auto"/>
        <w:ind w:firstLine="0" w:firstLineChars="0"/>
        <w:jc w:val="center"/>
        <w:rPr>
          <w:rFonts w:hint="eastAsia" w:ascii="宋体" w:hAnsi="宋体" w:cs="宋体"/>
          <w:b/>
          <w:color w:val="auto"/>
          <w:sz w:val="32"/>
          <w:szCs w:val="20"/>
          <w:highlight w:val="none"/>
        </w:rPr>
      </w:pPr>
      <w:r>
        <w:rPr>
          <w:rFonts w:ascii="宋体" w:hAnsi="宋体" w:cs="宋体"/>
          <w:b/>
          <w:color w:val="auto"/>
          <w:sz w:val="32"/>
          <w:szCs w:val="20"/>
          <w:highlight w:val="none"/>
        </w:rPr>
        <w:br w:type="page"/>
      </w:r>
      <w:r>
        <w:rPr>
          <w:rFonts w:hint="eastAsia" w:ascii="宋体" w:hAnsi="宋体" w:cs="宋体"/>
          <w:b/>
          <w:color w:val="auto"/>
          <w:sz w:val="32"/>
          <w:szCs w:val="20"/>
          <w:highlight w:val="none"/>
        </w:rPr>
        <w:t>授权委托书（格式二，适用于自然人竞标）</w:t>
      </w:r>
    </w:p>
    <w:p w14:paraId="3B70834E">
      <w:pPr>
        <w:snapToGrid w:val="0"/>
        <w:spacing w:line="400" w:lineRule="exact"/>
        <w:ind w:firstLine="0" w:firstLineChars="0"/>
        <w:rPr>
          <w:rFonts w:ascii="宋体" w:hAnsi="宋体" w:cs="宋体"/>
          <w:b/>
          <w:color w:val="auto"/>
          <w:sz w:val="21"/>
          <w:szCs w:val="21"/>
          <w:highlight w:val="none"/>
        </w:rPr>
      </w:pPr>
    </w:p>
    <w:p w14:paraId="154D12DC">
      <w:pPr>
        <w:snapToGrid w:val="0"/>
        <w:spacing w:line="400" w:lineRule="exact"/>
        <w:ind w:firstLine="0" w:firstLineChars="0"/>
        <w:rPr>
          <w:rFonts w:hint="eastAsia" w:ascii="宋体" w:hAnsi="宋体" w:cs="宋体"/>
          <w:color w:val="auto"/>
          <w:sz w:val="21"/>
          <w:szCs w:val="24"/>
          <w:highlight w:val="none"/>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rPr>
        <w:t>云之龙咨询集团有限公司</w:t>
      </w:r>
    </w:p>
    <w:p w14:paraId="3F860F96">
      <w:pPr>
        <w:spacing w:line="240" w:lineRule="auto"/>
        <w:ind w:firstLine="0" w:firstLineChars="0"/>
        <w:rPr>
          <w:rFonts w:hint="eastAsia" w:ascii="宋体" w:hAnsi="宋体" w:cs="宋体"/>
          <w:color w:val="auto"/>
          <w:sz w:val="21"/>
          <w:szCs w:val="24"/>
          <w:highlight w:val="none"/>
        </w:rPr>
      </w:pPr>
    </w:p>
    <w:p w14:paraId="6A9CBF01">
      <w:pPr>
        <w:spacing w:line="340" w:lineRule="exact"/>
        <w:ind w:firstLine="420"/>
        <w:rPr>
          <w:rFonts w:hint="eastAsia" w:ascii="宋体" w:hAnsi="宋体" w:cs="宋体"/>
          <w:color w:val="auto"/>
          <w:sz w:val="21"/>
          <w:szCs w:val="20"/>
          <w:highlight w:val="none"/>
        </w:rPr>
      </w:pPr>
      <w:r>
        <w:rPr>
          <w:rFonts w:hint="eastAsia" w:ascii="宋体" w:hAnsi="宋体" w:cs="宋体"/>
          <w:color w:val="auto"/>
          <w:kern w:val="0"/>
          <w:sz w:val="21"/>
          <w:szCs w:val="20"/>
          <w:highlight w:val="none"/>
        </w:rPr>
        <w:t>我</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（姓名）系自然人，现授权委托</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（姓 名）以本人名义参加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项目的谈判活动，并代表本人全权办理针对上述项目的谈判、签约等具体事务和签署相关文件。</w:t>
      </w:r>
    </w:p>
    <w:p w14:paraId="4A502C92">
      <w:pPr>
        <w:spacing w:line="340" w:lineRule="exact"/>
        <w:ind w:firstLine="420"/>
        <w:rPr>
          <w:rFonts w:hint="eastAsia" w:ascii="宋体" w:hAnsi="宋体" w:cs="宋体"/>
          <w:color w:val="auto"/>
          <w:sz w:val="21"/>
          <w:szCs w:val="20"/>
          <w:highlight w:val="none"/>
        </w:rPr>
      </w:pPr>
      <w:r>
        <w:rPr>
          <w:rFonts w:hint="eastAsia" w:ascii="宋体" w:hAnsi="宋体" w:cs="宋体"/>
          <w:color w:val="auto"/>
          <w:sz w:val="21"/>
          <w:szCs w:val="20"/>
          <w:highlight w:val="none"/>
        </w:rPr>
        <w:t>本人对被授权人的签字事项负全部责任。</w:t>
      </w:r>
    </w:p>
    <w:p w14:paraId="7D352E7D">
      <w:pPr>
        <w:spacing w:line="340" w:lineRule="exact"/>
        <w:ind w:firstLine="420"/>
        <w:rPr>
          <w:rFonts w:hint="eastAsia"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06511F87">
      <w:pPr>
        <w:spacing w:line="340" w:lineRule="exact"/>
        <w:ind w:firstLine="0" w:firstLineChars="0"/>
        <w:rPr>
          <w:rFonts w:hint="eastAsia" w:ascii="宋体" w:hAnsi="宋体" w:cs="宋体"/>
          <w:color w:val="auto"/>
          <w:sz w:val="21"/>
          <w:szCs w:val="20"/>
          <w:highlight w:val="none"/>
          <w:u w:val="single"/>
        </w:rPr>
      </w:pPr>
    </w:p>
    <w:p w14:paraId="63E3CADC">
      <w:pPr>
        <w:spacing w:line="340" w:lineRule="exact"/>
        <w:ind w:firstLine="420"/>
        <w:rPr>
          <w:rFonts w:hint="eastAsia"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代理人无转委托权，特此委托。 </w:t>
      </w:r>
    </w:p>
    <w:p w14:paraId="380A854D">
      <w:pPr>
        <w:spacing w:line="240" w:lineRule="auto"/>
        <w:ind w:firstLine="0" w:firstLineChars="0"/>
        <w:rPr>
          <w:rFonts w:hint="eastAsia" w:ascii="宋体" w:hAnsi="宋体" w:cs="宋体"/>
          <w:color w:val="auto"/>
          <w:sz w:val="21"/>
          <w:szCs w:val="24"/>
          <w:highlight w:val="none"/>
        </w:rPr>
      </w:pPr>
    </w:p>
    <w:p w14:paraId="2081818C">
      <w:pPr>
        <w:snapToGrid w:val="0"/>
        <w:spacing w:line="340" w:lineRule="exact"/>
        <w:ind w:firstLine="42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25E45AD5">
      <w:pPr>
        <w:spacing w:line="240" w:lineRule="auto"/>
        <w:ind w:firstLine="0" w:firstLineChars="0"/>
        <w:rPr>
          <w:rFonts w:hint="eastAsia" w:ascii="宋体" w:hAnsi="宋体" w:cs="宋体"/>
          <w:color w:val="auto"/>
          <w:sz w:val="21"/>
          <w:szCs w:val="24"/>
          <w:highlight w:val="none"/>
        </w:rPr>
      </w:pPr>
    </w:p>
    <w:p w14:paraId="202E5E0A">
      <w:pPr>
        <w:snapToGrid w:val="0"/>
        <w:spacing w:line="340" w:lineRule="exact"/>
        <w:ind w:firstLine="42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自然人签字</w:t>
      </w:r>
      <w:r>
        <w:rPr>
          <w:rFonts w:hint="eastAsia" w:hAnsi="宋体" w:cs="宋体"/>
          <w:bCs/>
          <w:color w:val="auto"/>
          <w:sz w:val="21"/>
          <w:szCs w:val="21"/>
          <w:highlight w:val="none"/>
        </w:rPr>
        <w:t>（或电子签名）</w:t>
      </w:r>
      <w:r>
        <w:rPr>
          <w:rFonts w:hint="eastAsia" w:ascii="宋体" w:hAnsi="宋体" w:cs="宋体"/>
          <w:color w:val="auto"/>
          <w:sz w:val="21"/>
          <w:szCs w:val="21"/>
          <w:highlight w:val="none"/>
        </w:rPr>
        <w:t>：     　　</w:t>
      </w:r>
    </w:p>
    <w:p w14:paraId="308101F1">
      <w:pPr>
        <w:snapToGrid w:val="0"/>
        <w:spacing w:line="340" w:lineRule="exact"/>
        <w:ind w:firstLine="420" w:firstLineChars="0"/>
        <w:rPr>
          <w:rFonts w:hint="eastAsia" w:ascii="宋体" w:hAnsi="宋体" w:cs="宋体"/>
          <w:color w:val="auto"/>
          <w:sz w:val="21"/>
          <w:szCs w:val="21"/>
          <w:highlight w:val="none"/>
        </w:rPr>
      </w:pPr>
    </w:p>
    <w:p w14:paraId="422D8932">
      <w:pPr>
        <w:snapToGrid w:val="0"/>
        <w:spacing w:line="340" w:lineRule="exact"/>
        <w:ind w:firstLine="420" w:firstLineChars="0"/>
        <w:rPr>
          <w:rFonts w:hint="eastAsia" w:ascii="宋体" w:hAnsi="宋体" w:cs="宋体"/>
          <w:color w:val="auto"/>
          <w:sz w:val="21"/>
          <w:szCs w:val="21"/>
          <w:highlight w:val="none"/>
        </w:rPr>
      </w:pP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1"/>
          <w:highlight w:val="none"/>
        </w:rPr>
        <w:t>日</w:t>
      </w:r>
    </w:p>
    <w:p w14:paraId="52C7BFE8">
      <w:pPr>
        <w:spacing w:line="240" w:lineRule="auto"/>
        <w:ind w:firstLine="0" w:firstLineChars="0"/>
        <w:rPr>
          <w:rFonts w:hint="eastAsia" w:ascii="宋体" w:hAnsi="宋体" w:cs="宋体"/>
          <w:color w:val="auto"/>
          <w:sz w:val="21"/>
          <w:szCs w:val="24"/>
          <w:highlight w:val="none"/>
        </w:rPr>
      </w:pPr>
    </w:p>
    <w:p w14:paraId="71716A65">
      <w:pPr>
        <w:spacing w:line="400" w:lineRule="exact"/>
        <w:ind w:firstLine="602" w:firstLineChars="250"/>
        <w:rPr>
          <w:rFonts w:hint="eastAsia" w:ascii="宋体" w:hAnsi="宋体" w:cs="宋体"/>
          <w:b/>
          <w:color w:val="auto"/>
          <w:szCs w:val="24"/>
          <w:highlight w:val="none"/>
        </w:rPr>
      </w:pPr>
      <w:r>
        <w:rPr>
          <w:rFonts w:hint="eastAsia" w:ascii="宋体" w:hAnsi="宋体" w:cs="宋体"/>
          <w:b/>
          <w:color w:val="auto"/>
          <w:szCs w:val="24"/>
          <w:highlight w:val="none"/>
        </w:rPr>
        <w:t>附：委托代理人身份证正反面复印件（委托代理时必须提供）。</w:t>
      </w:r>
    </w:p>
    <w:p w14:paraId="7B9C1769">
      <w:pPr>
        <w:spacing w:line="240" w:lineRule="auto"/>
        <w:ind w:firstLine="0" w:firstLineChars="0"/>
        <w:rPr>
          <w:rFonts w:hint="eastAsia" w:ascii="宋体" w:hAnsi="宋体" w:cs="宋体"/>
          <w:color w:val="auto"/>
          <w:kern w:val="0"/>
          <w:sz w:val="21"/>
          <w:szCs w:val="24"/>
          <w:highlight w:val="none"/>
        </w:rPr>
      </w:pPr>
    </w:p>
    <w:p w14:paraId="305F81EF">
      <w:pPr>
        <w:spacing w:line="240" w:lineRule="auto"/>
        <w:ind w:firstLine="0" w:firstLineChars="0"/>
        <w:rPr>
          <w:rFonts w:hint="eastAsia" w:ascii="宋体" w:hAnsi="宋体" w:cs="宋体"/>
          <w:b/>
          <w:color w:val="auto"/>
          <w:kern w:val="0"/>
          <w:sz w:val="32"/>
          <w:szCs w:val="32"/>
          <w:highlight w:val="none"/>
        </w:rPr>
      </w:pPr>
    </w:p>
    <w:p w14:paraId="6DC05719">
      <w:pPr>
        <w:pStyle w:val="22"/>
        <w:rPr>
          <w:color w:val="auto"/>
          <w:highlight w:val="none"/>
        </w:rPr>
      </w:pPr>
    </w:p>
    <w:p w14:paraId="734AB656">
      <w:pPr>
        <w:pStyle w:val="22"/>
        <w:rPr>
          <w:color w:val="auto"/>
          <w:highlight w:val="none"/>
        </w:rPr>
      </w:pPr>
    </w:p>
    <w:p w14:paraId="04C00FEB">
      <w:pPr>
        <w:pStyle w:val="22"/>
        <w:rPr>
          <w:color w:val="auto"/>
          <w:highlight w:val="none"/>
        </w:rPr>
      </w:pPr>
    </w:p>
    <w:p w14:paraId="730ABC60">
      <w:pPr>
        <w:pStyle w:val="22"/>
        <w:rPr>
          <w:color w:val="auto"/>
          <w:highlight w:val="none"/>
        </w:rPr>
      </w:pPr>
    </w:p>
    <w:p w14:paraId="6E667B82">
      <w:pPr>
        <w:pStyle w:val="22"/>
        <w:rPr>
          <w:color w:val="auto"/>
          <w:highlight w:val="none"/>
        </w:rPr>
      </w:pPr>
    </w:p>
    <w:p w14:paraId="54FB1ECB">
      <w:pPr>
        <w:pStyle w:val="22"/>
        <w:rPr>
          <w:color w:val="auto"/>
          <w:highlight w:val="none"/>
        </w:rPr>
      </w:pPr>
    </w:p>
    <w:p w14:paraId="333CADD3">
      <w:pPr>
        <w:pStyle w:val="22"/>
        <w:rPr>
          <w:color w:val="auto"/>
          <w:highlight w:val="none"/>
        </w:rPr>
      </w:pPr>
    </w:p>
    <w:p w14:paraId="55AF9DA1">
      <w:pPr>
        <w:pStyle w:val="22"/>
        <w:rPr>
          <w:color w:val="auto"/>
          <w:highlight w:val="none"/>
        </w:rPr>
      </w:pPr>
    </w:p>
    <w:p w14:paraId="0D0753EC">
      <w:pPr>
        <w:pStyle w:val="22"/>
        <w:rPr>
          <w:color w:val="auto"/>
          <w:highlight w:val="none"/>
        </w:rPr>
      </w:pPr>
    </w:p>
    <w:p w14:paraId="1276F43F">
      <w:pPr>
        <w:pStyle w:val="22"/>
        <w:rPr>
          <w:color w:val="auto"/>
          <w:highlight w:val="none"/>
        </w:rPr>
      </w:pPr>
    </w:p>
    <w:p w14:paraId="196BA165">
      <w:pPr>
        <w:spacing w:line="240" w:lineRule="auto"/>
        <w:ind w:firstLine="0" w:firstLineChars="0"/>
        <w:rPr>
          <w:color w:val="auto"/>
          <w:kern w:val="0"/>
          <w:szCs w:val="20"/>
          <w:highlight w:val="none"/>
        </w:rPr>
      </w:pPr>
    </w:p>
    <w:p w14:paraId="34CFFE5C">
      <w:pPr>
        <w:pStyle w:val="22"/>
        <w:rPr>
          <w:color w:val="auto"/>
          <w:highlight w:val="none"/>
        </w:rPr>
      </w:pPr>
    </w:p>
    <w:p w14:paraId="7CBBBD55">
      <w:pPr>
        <w:pStyle w:val="22"/>
        <w:rPr>
          <w:color w:val="auto"/>
          <w:highlight w:val="none"/>
        </w:rPr>
      </w:pPr>
    </w:p>
    <w:p w14:paraId="43CBA4CA">
      <w:pPr>
        <w:pStyle w:val="22"/>
        <w:rPr>
          <w:color w:val="auto"/>
          <w:highlight w:val="none"/>
        </w:rPr>
      </w:pPr>
    </w:p>
    <w:p w14:paraId="5E29C16C">
      <w:pPr>
        <w:pStyle w:val="22"/>
        <w:rPr>
          <w:color w:val="auto"/>
          <w:highlight w:val="none"/>
        </w:rPr>
      </w:pPr>
    </w:p>
    <w:p w14:paraId="09337AC3">
      <w:pPr>
        <w:pStyle w:val="22"/>
        <w:rPr>
          <w:color w:val="auto"/>
          <w:highlight w:val="none"/>
        </w:rPr>
      </w:pPr>
    </w:p>
    <w:p w14:paraId="04CB8E4E">
      <w:pPr>
        <w:adjustRightInd w:val="0"/>
        <w:snapToGrid w:val="0"/>
        <w:spacing w:line="400" w:lineRule="exact"/>
        <w:ind w:firstLine="0" w:firstLineChars="0"/>
        <w:rPr>
          <w:rFonts w:hint="eastAsia" w:ascii="宋体" w:hAnsi="宋体" w:cs="宋体"/>
          <w:b/>
          <w:color w:val="auto"/>
          <w:sz w:val="28"/>
          <w:szCs w:val="28"/>
          <w:highlight w:val="none"/>
        </w:rPr>
      </w:pPr>
    </w:p>
    <w:p w14:paraId="4400C6BB">
      <w:pPr>
        <w:adjustRightInd w:val="0"/>
        <w:snapToGrid w:val="0"/>
        <w:spacing w:line="400" w:lineRule="exact"/>
        <w:ind w:firstLine="0" w:firstLineChars="0"/>
        <w:rPr>
          <w:rFonts w:hint="eastAsia" w:ascii="宋体" w:hAnsi="宋体" w:cs="宋体"/>
          <w:b/>
          <w:color w:val="auto"/>
          <w:sz w:val="32"/>
          <w:szCs w:val="20"/>
          <w:highlight w:val="none"/>
        </w:rPr>
      </w:pPr>
      <w:r>
        <w:rPr>
          <w:rFonts w:hint="eastAsia" w:ascii="宋体" w:hAnsi="宋体" w:cs="宋体"/>
          <w:b/>
          <w:color w:val="auto"/>
          <w:sz w:val="28"/>
          <w:szCs w:val="28"/>
          <w:highlight w:val="none"/>
        </w:rPr>
        <w:t>3.供应商的法人或者其他组织营业执照等证明文件复印件（必须提供，自然人除外）</w:t>
      </w:r>
    </w:p>
    <w:p w14:paraId="3C37459F">
      <w:pPr>
        <w:adjustRightInd w:val="0"/>
        <w:snapToGrid w:val="0"/>
        <w:spacing w:line="400" w:lineRule="exact"/>
        <w:ind w:firstLine="420"/>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w:t>
      </w:r>
      <w:r>
        <w:rPr>
          <w:rFonts w:hint="eastAsia" w:ascii="宋体" w:hAnsi="宋体" w:cs="宋体"/>
          <w:b/>
          <w:bCs/>
          <w:color w:val="auto"/>
          <w:sz w:val="21"/>
          <w:szCs w:val="21"/>
          <w:highlight w:val="none"/>
          <w:lang w:val="en-US" w:eastAsia="zh-CN"/>
        </w:rPr>
        <w:t>的</w:t>
      </w:r>
      <w:r>
        <w:rPr>
          <w:rFonts w:hint="eastAsia" w:ascii="宋体" w:hAnsi="宋体" w:cs="宋体"/>
          <w:b/>
          <w:bCs/>
          <w:color w:val="auto"/>
          <w:sz w:val="21"/>
          <w:szCs w:val="21"/>
          <w:highlight w:val="none"/>
        </w:rPr>
        <w:t>，应提供市场监督管理部门（或行政审批部门）注册的有效“企业法人营业执照”或“营业执照”；供应商为事业单位</w:t>
      </w:r>
      <w:r>
        <w:rPr>
          <w:rFonts w:hint="eastAsia" w:ascii="宋体" w:hAnsi="宋体" w:cs="宋体"/>
          <w:b/>
          <w:bCs/>
          <w:color w:val="auto"/>
          <w:sz w:val="21"/>
          <w:szCs w:val="21"/>
          <w:highlight w:val="none"/>
          <w:lang w:val="en-US" w:eastAsia="zh-CN"/>
        </w:rPr>
        <w:t>的</w:t>
      </w:r>
      <w:r>
        <w:rPr>
          <w:rFonts w:hint="eastAsia" w:ascii="宋体" w:hAnsi="宋体" w:cs="宋体"/>
          <w:b/>
          <w:bCs/>
          <w:color w:val="auto"/>
          <w:sz w:val="21"/>
          <w:szCs w:val="21"/>
          <w:highlight w:val="none"/>
        </w:rPr>
        <w:t>，应提供有效的“事业单位法人证书”；供应商为非企业专业服务机</w:t>
      </w:r>
      <w:r>
        <w:rPr>
          <w:rFonts w:hint="eastAsia" w:ascii="宋体" w:hAnsi="宋体" w:eastAsia="宋体" w:cs="宋体"/>
          <w:b/>
          <w:bCs/>
          <w:color w:val="auto"/>
          <w:sz w:val="21"/>
          <w:szCs w:val="21"/>
          <w:highlight w:val="none"/>
        </w:rPr>
        <w:t>构的，应提供执业许可证等证明文件；供应商为个体工商户</w:t>
      </w:r>
      <w:r>
        <w:rPr>
          <w:rFonts w:hint="eastAsia" w:ascii="宋体" w:hAnsi="宋体" w:eastAsia="宋体" w:cs="宋体"/>
          <w:b/>
          <w:bCs/>
          <w:color w:val="auto"/>
          <w:sz w:val="21"/>
          <w:szCs w:val="21"/>
          <w:highlight w:val="none"/>
          <w:lang w:val="en-US" w:eastAsia="zh-CN"/>
        </w:rPr>
        <w:t>的</w:t>
      </w:r>
      <w:r>
        <w:rPr>
          <w:rFonts w:hint="eastAsia" w:ascii="宋体" w:hAnsi="宋体" w:eastAsia="宋体" w:cs="宋体"/>
          <w:b/>
          <w:bCs/>
          <w:color w:val="auto"/>
          <w:sz w:val="21"/>
          <w:szCs w:val="21"/>
          <w:highlight w:val="none"/>
        </w:rPr>
        <w:t>，应提供有效的营业执照</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lang w:eastAsia="zh-CN"/>
        </w:rPr>
        <w:t>③</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为企业法人的分支机构(分公司)的，应当提供其有效的分支机构(分公司)营业执照复印件和总部/总公司的授权书原件</w:t>
      </w:r>
      <w:r>
        <w:rPr>
          <w:rFonts w:hint="eastAsia" w:ascii="宋体" w:hAnsi="宋体" w:cs="宋体"/>
          <w:b/>
          <w:bCs/>
          <w:color w:val="auto"/>
          <w:sz w:val="21"/>
          <w:szCs w:val="21"/>
          <w:highlight w:val="none"/>
          <w:lang w:eastAsia="zh-CN"/>
        </w:rPr>
        <w:t>的扫描件</w:t>
      </w:r>
      <w:r>
        <w:rPr>
          <w:rFonts w:hint="eastAsia" w:ascii="宋体" w:hAnsi="宋体" w:eastAsia="宋体" w:cs="宋体"/>
          <w:b/>
          <w:bCs/>
          <w:color w:val="auto"/>
          <w:sz w:val="21"/>
          <w:szCs w:val="21"/>
          <w:highlight w:val="none"/>
        </w:rPr>
        <w:t>（格式自拟）</w:t>
      </w:r>
      <w:r>
        <w:rPr>
          <w:rFonts w:hint="eastAsia" w:ascii="宋体" w:hAnsi="宋体" w:eastAsia="宋体" w:cs="宋体"/>
          <w:b/>
          <w:bCs/>
          <w:color w:val="auto"/>
          <w:sz w:val="21"/>
          <w:szCs w:val="21"/>
          <w:highlight w:val="none"/>
          <w:lang w:eastAsia="zh-CN"/>
        </w:rPr>
        <w:t>。</w:t>
      </w:r>
    </w:p>
    <w:p w14:paraId="6618E6A3">
      <w:pPr>
        <w:tabs>
          <w:tab w:val="left" w:pos="7320"/>
        </w:tabs>
        <w:adjustRightInd w:val="0"/>
        <w:snapToGrid w:val="0"/>
        <w:spacing w:line="400" w:lineRule="exact"/>
        <w:ind w:firstLine="0" w:firstLineChars="0"/>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ab/>
      </w:r>
    </w:p>
    <w:p w14:paraId="4779FC7B">
      <w:pPr>
        <w:pStyle w:val="22"/>
        <w:rPr>
          <w:color w:val="auto"/>
          <w:highlight w:val="none"/>
        </w:rPr>
      </w:pPr>
    </w:p>
    <w:p w14:paraId="4651E905">
      <w:pPr>
        <w:adjustRightInd w:val="0"/>
        <w:snapToGrid w:val="0"/>
        <w:spacing w:line="400" w:lineRule="exact"/>
        <w:ind w:firstLine="0" w:firstLineChars="0"/>
        <w:rPr>
          <w:rFonts w:hint="eastAsia" w:ascii="宋体" w:hAnsi="宋体" w:cs="宋体"/>
          <w:b/>
          <w:color w:val="auto"/>
          <w:sz w:val="28"/>
          <w:szCs w:val="28"/>
          <w:highlight w:val="none"/>
        </w:rPr>
      </w:pPr>
      <w:r>
        <w:rPr>
          <w:rFonts w:hint="eastAsia" w:ascii="宋体" w:hAnsi="宋体" w:cs="宋体"/>
          <w:b/>
          <w:color w:val="auto"/>
          <w:sz w:val="28"/>
          <w:szCs w:val="28"/>
          <w:highlight w:val="none"/>
        </w:rPr>
        <w:t>4.供应商财务状况报告（必须提供）</w:t>
      </w:r>
    </w:p>
    <w:p w14:paraId="50A89B34">
      <w:pPr>
        <w:adjustRightInd w:val="0"/>
        <w:snapToGrid w:val="0"/>
        <w:spacing w:line="400" w:lineRule="exact"/>
        <w:ind w:firstLine="42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注：供应商必须提供202</w:t>
      </w:r>
      <w:r>
        <w:rPr>
          <w:rFonts w:hint="eastAsia" w:ascii="宋体" w:hAnsi="宋体" w:cs="宋体"/>
          <w:b/>
          <w:bCs/>
          <w:color w:val="auto"/>
          <w:sz w:val="21"/>
          <w:szCs w:val="21"/>
          <w:highlight w:val="none"/>
          <w:lang w:val="en-US" w:eastAsia="zh-CN"/>
        </w:rPr>
        <w:t>5</w:t>
      </w:r>
      <w:r>
        <w:rPr>
          <w:rFonts w:hint="eastAsia" w:ascii="宋体" w:hAnsi="宋体" w:cs="宋体"/>
          <w:b/>
          <w:bCs/>
          <w:color w:val="auto"/>
          <w:sz w:val="21"/>
          <w:szCs w:val="21"/>
          <w:highlight w:val="none"/>
        </w:rPr>
        <w:t>年度内的财务报表复印件，或者202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rPr>
        <w:t>年1月以来银行出具的资信证明，或者中国人民银行征信中心出具的信用报告（企业参与投标的提供企业信用报告，自然人参与谈判的提供个人信用报告，供应商属于成立时间在规定年度之后的法人或其他组织，需提供成立之日起至响应文件提交截止时间前的月报表或银行出具的资信证明或者中国人民银行征信中心出具的企业信用报告；资信证明应在有效期内）。</w:t>
      </w:r>
    </w:p>
    <w:p w14:paraId="66A949E3">
      <w:pPr>
        <w:adjustRightInd w:val="0"/>
        <w:snapToGrid w:val="0"/>
        <w:spacing w:line="400" w:lineRule="exact"/>
        <w:ind w:firstLine="0" w:firstLineChars="0"/>
        <w:rPr>
          <w:rFonts w:hint="eastAsia" w:ascii="宋体" w:hAnsi="宋体" w:cs="宋体"/>
          <w:b/>
          <w:color w:val="auto"/>
          <w:sz w:val="28"/>
          <w:szCs w:val="28"/>
          <w:highlight w:val="none"/>
        </w:rPr>
      </w:pPr>
    </w:p>
    <w:p w14:paraId="5EDBE5FE">
      <w:pPr>
        <w:adjustRightInd w:val="0"/>
        <w:snapToGrid w:val="0"/>
        <w:spacing w:line="400" w:lineRule="exact"/>
        <w:ind w:firstLine="0" w:firstLineChars="0"/>
        <w:rPr>
          <w:rFonts w:hint="eastAsia" w:ascii="宋体" w:hAnsi="宋体" w:cs="宋体"/>
          <w:b/>
          <w:color w:val="auto"/>
          <w:sz w:val="28"/>
          <w:szCs w:val="28"/>
          <w:highlight w:val="none"/>
        </w:rPr>
      </w:pPr>
    </w:p>
    <w:p w14:paraId="4ED3D8C4">
      <w:pPr>
        <w:adjustRightInd w:val="0"/>
        <w:snapToGrid w:val="0"/>
        <w:spacing w:line="400" w:lineRule="exact"/>
        <w:ind w:firstLine="0" w:firstLineChars="0"/>
        <w:rPr>
          <w:rFonts w:hint="eastAsia" w:ascii="宋体" w:hAnsi="宋体" w:cs="宋体"/>
          <w:b/>
          <w:color w:val="auto"/>
          <w:sz w:val="28"/>
          <w:szCs w:val="28"/>
          <w:highlight w:val="none"/>
        </w:rPr>
      </w:pPr>
      <w:r>
        <w:rPr>
          <w:rFonts w:hint="eastAsia" w:ascii="宋体" w:hAnsi="宋体" w:cs="宋体"/>
          <w:b/>
          <w:color w:val="auto"/>
          <w:sz w:val="28"/>
          <w:szCs w:val="28"/>
          <w:highlight w:val="none"/>
        </w:rPr>
        <w:t>5.供应商依法缴纳税收的相关材料（必须提供）</w:t>
      </w:r>
    </w:p>
    <w:p w14:paraId="30975840">
      <w:pPr>
        <w:tabs>
          <w:tab w:val="left" w:pos="1305"/>
        </w:tabs>
        <w:spacing w:line="400" w:lineRule="exact"/>
        <w:ind w:firstLine="420"/>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注：供应商必须提供202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rPr>
        <w:t>年1</w:t>
      </w:r>
      <w:r>
        <w:rPr>
          <w:rFonts w:hint="eastAsia"/>
          <w:b/>
          <w:bCs/>
          <w:color w:val="auto"/>
          <w:highlight w:val="none"/>
          <w:lang w:val="en-US" w:eastAsia="zh-CN"/>
        </w:rPr>
        <w:t>月</w:t>
      </w:r>
      <w:r>
        <w:rPr>
          <w:rFonts w:hint="eastAsia" w:ascii="宋体" w:hAnsi="宋体" w:cs="宋体"/>
          <w:b/>
          <w:bCs/>
          <w:color w:val="auto"/>
          <w:sz w:val="21"/>
          <w:szCs w:val="21"/>
          <w:highlight w:val="none"/>
        </w:rPr>
        <w:t>以来任意1个月的依法缴纳税收的证明材料复印件；依法免税的供应商，必须提供符合免税条件的证明材料。从成立之日起到响应文件提交截止时间止不足要求月数的，则无需提交。</w:t>
      </w:r>
    </w:p>
    <w:p w14:paraId="1C163B24">
      <w:pPr>
        <w:adjustRightInd w:val="0"/>
        <w:snapToGrid w:val="0"/>
        <w:spacing w:line="400" w:lineRule="exact"/>
        <w:ind w:firstLine="0" w:firstLineChars="0"/>
        <w:rPr>
          <w:rFonts w:hint="eastAsia" w:ascii="宋体" w:hAnsi="宋体" w:cs="宋体"/>
          <w:b/>
          <w:color w:val="auto"/>
          <w:sz w:val="28"/>
          <w:szCs w:val="28"/>
          <w:highlight w:val="none"/>
        </w:rPr>
      </w:pPr>
    </w:p>
    <w:p w14:paraId="2446DB17">
      <w:pPr>
        <w:adjustRightInd w:val="0"/>
        <w:snapToGrid w:val="0"/>
        <w:spacing w:line="400" w:lineRule="exact"/>
        <w:ind w:firstLine="0" w:firstLineChars="0"/>
        <w:rPr>
          <w:rFonts w:hint="eastAsia" w:ascii="宋体" w:hAnsi="宋体" w:cs="宋体"/>
          <w:b/>
          <w:color w:val="auto"/>
          <w:sz w:val="28"/>
          <w:szCs w:val="28"/>
          <w:highlight w:val="none"/>
        </w:rPr>
      </w:pPr>
    </w:p>
    <w:p w14:paraId="21867117">
      <w:pPr>
        <w:adjustRightInd w:val="0"/>
        <w:snapToGrid w:val="0"/>
        <w:spacing w:line="400" w:lineRule="exact"/>
        <w:ind w:firstLine="0" w:firstLineChars="0"/>
        <w:rPr>
          <w:rFonts w:hint="eastAsia" w:ascii="宋体" w:hAnsi="宋体" w:cs="宋体"/>
          <w:b/>
          <w:color w:val="auto"/>
          <w:sz w:val="28"/>
          <w:szCs w:val="28"/>
          <w:highlight w:val="none"/>
        </w:rPr>
      </w:pPr>
    </w:p>
    <w:p w14:paraId="12F8743C">
      <w:pPr>
        <w:adjustRightInd w:val="0"/>
        <w:snapToGrid w:val="0"/>
        <w:spacing w:line="400" w:lineRule="exact"/>
        <w:ind w:firstLine="0" w:firstLineChars="0"/>
        <w:rPr>
          <w:rFonts w:hint="eastAsia" w:ascii="宋体" w:hAnsi="宋体" w:cs="宋体"/>
          <w:b/>
          <w:color w:val="auto"/>
          <w:sz w:val="28"/>
          <w:szCs w:val="28"/>
          <w:highlight w:val="none"/>
        </w:rPr>
      </w:pPr>
    </w:p>
    <w:p w14:paraId="6F8E974D">
      <w:pPr>
        <w:adjustRightInd w:val="0"/>
        <w:snapToGrid w:val="0"/>
        <w:spacing w:line="400" w:lineRule="exact"/>
        <w:ind w:firstLine="0" w:firstLineChars="0"/>
        <w:rPr>
          <w:rFonts w:hint="eastAsia" w:ascii="宋体" w:hAnsi="宋体" w:cs="宋体"/>
          <w:b/>
          <w:color w:val="auto"/>
          <w:sz w:val="28"/>
          <w:szCs w:val="28"/>
          <w:highlight w:val="none"/>
        </w:rPr>
      </w:pPr>
      <w:r>
        <w:rPr>
          <w:rFonts w:hint="eastAsia" w:ascii="宋体" w:hAnsi="宋体" w:cs="宋体"/>
          <w:b/>
          <w:color w:val="auto"/>
          <w:sz w:val="28"/>
          <w:szCs w:val="28"/>
          <w:highlight w:val="none"/>
        </w:rPr>
        <w:t>6.供应商依法缴纳社会保障资金的相关材料（必须提供）</w:t>
      </w:r>
    </w:p>
    <w:p w14:paraId="3620229C">
      <w:pPr>
        <w:tabs>
          <w:tab w:val="left" w:pos="1305"/>
        </w:tabs>
        <w:spacing w:line="400" w:lineRule="exact"/>
        <w:ind w:firstLine="420"/>
        <w:rPr>
          <w:rFonts w:hint="eastAsia" w:ascii="宋体" w:hAnsi="宋体" w:cs="宋体"/>
          <w:color w:val="auto"/>
          <w:sz w:val="21"/>
          <w:szCs w:val="21"/>
          <w:highlight w:val="none"/>
        </w:rPr>
      </w:pPr>
      <w:r>
        <w:rPr>
          <w:rFonts w:hint="eastAsia" w:ascii="宋体" w:hAnsi="宋体" w:cs="宋体"/>
          <w:b/>
          <w:bCs/>
          <w:color w:val="auto"/>
          <w:sz w:val="21"/>
          <w:szCs w:val="21"/>
          <w:highlight w:val="none"/>
        </w:rPr>
        <w:t>注：供应商必须提供202</w:t>
      </w:r>
      <w:r>
        <w:rPr>
          <w:rFonts w:hint="eastAsia" w:ascii="宋体" w:hAnsi="宋体" w:cs="宋体"/>
          <w:b/>
          <w:bCs/>
          <w:color w:val="auto"/>
          <w:sz w:val="21"/>
          <w:szCs w:val="21"/>
          <w:highlight w:val="none"/>
          <w:lang w:val="en-US" w:eastAsia="zh-CN"/>
        </w:rPr>
        <w:t>6</w:t>
      </w:r>
      <w:r>
        <w:rPr>
          <w:rFonts w:hint="eastAsia" w:ascii="宋体" w:hAnsi="宋体" w:cs="宋体"/>
          <w:b/>
          <w:bCs/>
          <w:color w:val="auto"/>
          <w:sz w:val="21"/>
          <w:szCs w:val="21"/>
          <w:highlight w:val="none"/>
        </w:rPr>
        <w:t>年1月以来任意1个月的依法缴纳社会保障资金的缴费证明材料（如：专用收据、社会保险缴纳清单或者社保部门的证明）复印件；依法不需要缴纳社会保障资金的供应商，必须提供相应文件证明不需要缴纳社会保障资金。从成立之日起到响应文件提交截止时间止不足要求月数的，则无需提交。</w:t>
      </w:r>
    </w:p>
    <w:p w14:paraId="658C8E68">
      <w:pPr>
        <w:adjustRightInd w:val="0"/>
        <w:snapToGrid w:val="0"/>
        <w:spacing w:line="400" w:lineRule="exact"/>
        <w:ind w:firstLine="0" w:firstLineChars="0"/>
        <w:rPr>
          <w:rFonts w:hint="eastAsia" w:ascii="宋体" w:hAnsi="宋体" w:cs="宋体"/>
          <w:b/>
          <w:color w:val="auto"/>
          <w:kern w:val="0"/>
          <w:sz w:val="28"/>
          <w:szCs w:val="28"/>
          <w:highlight w:val="none"/>
        </w:rPr>
      </w:pPr>
    </w:p>
    <w:p w14:paraId="42A7573F">
      <w:pPr>
        <w:adjustRightInd w:val="0"/>
        <w:snapToGrid w:val="0"/>
        <w:spacing w:line="400" w:lineRule="exact"/>
        <w:ind w:firstLine="138" w:firstLineChars="49"/>
        <w:rPr>
          <w:rFonts w:hint="eastAsia" w:ascii="宋体" w:hAnsi="宋体" w:cs="宋体"/>
          <w:b/>
          <w:color w:val="auto"/>
          <w:kern w:val="0"/>
          <w:sz w:val="28"/>
          <w:szCs w:val="28"/>
          <w:highlight w:val="none"/>
        </w:rPr>
      </w:pPr>
    </w:p>
    <w:p w14:paraId="7D6E3E91">
      <w:pPr>
        <w:adjustRightInd w:val="0"/>
        <w:snapToGrid w:val="0"/>
        <w:spacing w:line="400" w:lineRule="exact"/>
        <w:ind w:firstLine="138" w:firstLineChars="49"/>
        <w:rPr>
          <w:rFonts w:hint="eastAsia" w:ascii="宋体" w:hAnsi="宋体" w:cs="宋体"/>
          <w:b/>
          <w:color w:val="auto"/>
          <w:kern w:val="0"/>
          <w:sz w:val="28"/>
          <w:szCs w:val="28"/>
          <w:highlight w:val="none"/>
        </w:rPr>
      </w:pPr>
    </w:p>
    <w:p w14:paraId="4103F111">
      <w:pPr>
        <w:adjustRightInd w:val="0"/>
        <w:snapToGrid w:val="0"/>
        <w:spacing w:line="400" w:lineRule="exact"/>
        <w:ind w:firstLine="138" w:firstLineChars="49"/>
        <w:rPr>
          <w:rFonts w:hint="eastAsia" w:ascii="宋体" w:hAnsi="宋体" w:cs="宋体"/>
          <w:b/>
          <w:color w:val="auto"/>
          <w:kern w:val="0"/>
          <w:sz w:val="32"/>
          <w:szCs w:val="32"/>
          <w:highlight w:val="none"/>
        </w:rPr>
      </w:pPr>
      <w:r>
        <w:rPr>
          <w:rFonts w:hint="eastAsia" w:ascii="宋体" w:hAnsi="宋体" w:cs="宋体"/>
          <w:b/>
          <w:color w:val="auto"/>
          <w:kern w:val="0"/>
          <w:sz w:val="28"/>
          <w:szCs w:val="28"/>
          <w:highlight w:val="none"/>
        </w:rPr>
        <w:t>7.供应商参加政府采购活动前3年内在经营活动中没有重大违法记录及有关信用信息的书面声明（必须提供）</w:t>
      </w:r>
    </w:p>
    <w:p w14:paraId="6BF95949">
      <w:pPr>
        <w:adjustRightInd w:val="0"/>
        <w:snapToGrid w:val="0"/>
        <w:spacing w:line="400" w:lineRule="exact"/>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1FF56F95">
      <w:pPr>
        <w:adjustRightInd w:val="0"/>
        <w:snapToGrid w:val="0"/>
        <w:spacing w:line="400" w:lineRule="exact"/>
        <w:ind w:firstLine="0" w:firstLineChars="0"/>
        <w:jc w:val="center"/>
        <w:rPr>
          <w:rFonts w:hint="eastAsia" w:ascii="宋体" w:hAnsi="宋体" w:cs="宋体"/>
          <w:b/>
          <w:color w:val="auto"/>
          <w:kern w:val="0"/>
          <w:sz w:val="32"/>
          <w:szCs w:val="32"/>
          <w:highlight w:val="none"/>
        </w:rPr>
      </w:pPr>
    </w:p>
    <w:p w14:paraId="10196326">
      <w:pPr>
        <w:adjustRightInd w:val="0"/>
        <w:snapToGrid w:val="0"/>
        <w:spacing w:line="400" w:lineRule="exact"/>
        <w:ind w:firstLine="0" w:firstLineChars="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声   明（格式）</w:t>
      </w:r>
    </w:p>
    <w:p w14:paraId="07BA3988">
      <w:pPr>
        <w:adjustRightInd w:val="0"/>
        <w:snapToGrid w:val="0"/>
        <w:spacing w:line="400" w:lineRule="exact"/>
        <w:ind w:firstLine="0" w:firstLineChars="0"/>
        <w:rPr>
          <w:rFonts w:hint="eastAsia" w:ascii="宋体" w:hAnsi="宋体" w:cs="宋体"/>
          <w:color w:val="auto"/>
          <w:kern w:val="0"/>
          <w:sz w:val="21"/>
          <w:szCs w:val="24"/>
          <w:highlight w:val="none"/>
        </w:rPr>
      </w:pPr>
      <w:r>
        <w:rPr>
          <w:rFonts w:hint="eastAsia" w:ascii="宋体" w:hAnsi="宋体" w:cs="宋体"/>
          <w:b/>
          <w:color w:val="auto"/>
          <w:kern w:val="0"/>
          <w:sz w:val="21"/>
          <w:szCs w:val="21"/>
          <w:highlight w:val="none"/>
        </w:rPr>
        <w:t>致</w:t>
      </w:r>
      <w:r>
        <w:rPr>
          <w:rFonts w:hint="eastAsia" w:ascii="宋体" w:hAnsi="宋体" w:cs="宋体"/>
          <w:color w:val="auto"/>
          <w:kern w:val="0"/>
          <w:sz w:val="21"/>
          <w:szCs w:val="21"/>
          <w:highlight w:val="none"/>
        </w:rPr>
        <w:t>：</w:t>
      </w:r>
      <w:r>
        <w:rPr>
          <w:rFonts w:hint="eastAsia" w:ascii="宋体" w:hAnsi="宋体" w:cs="宋体"/>
          <w:color w:val="auto"/>
          <w:kern w:val="0"/>
          <w:sz w:val="21"/>
          <w:szCs w:val="24"/>
          <w:highlight w:val="none"/>
          <w:u w:val="single"/>
        </w:rPr>
        <w:t>云之龙咨询集团有限公司</w:t>
      </w:r>
    </w:p>
    <w:p w14:paraId="07E59CA1">
      <w:pPr>
        <w:adjustRightInd w:val="0"/>
        <w:snapToGrid w:val="0"/>
        <w:spacing w:line="400" w:lineRule="exact"/>
        <w:ind w:firstLine="0" w:firstLineChars="0"/>
        <w:rPr>
          <w:rFonts w:hint="eastAsia" w:ascii="宋体" w:hAnsi="宋体" w:cs="宋体"/>
          <w:color w:val="auto"/>
          <w:kern w:val="0"/>
          <w:sz w:val="21"/>
          <w:szCs w:val="24"/>
          <w:highlight w:val="none"/>
        </w:rPr>
      </w:pPr>
    </w:p>
    <w:p w14:paraId="79A045A8">
      <w:pPr>
        <w:adjustRightInd w:val="0"/>
        <w:snapToGrid w:val="0"/>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696A9DD4">
      <w:pPr>
        <w:adjustRightInd w:val="0"/>
        <w:snapToGrid w:val="0"/>
        <w:spacing w:line="400" w:lineRule="exact"/>
        <w:ind w:firstLine="420"/>
        <w:rPr>
          <w:rFonts w:hint="eastAsia" w:ascii="宋体" w:hAnsi="宋体" w:cs="宋体"/>
          <w:color w:val="auto"/>
          <w:kern w:val="0"/>
          <w:sz w:val="21"/>
          <w:szCs w:val="20"/>
          <w:highlight w:val="none"/>
        </w:rPr>
      </w:pPr>
    </w:p>
    <w:p w14:paraId="1A79C8CC">
      <w:pPr>
        <w:adjustRightInd w:val="0"/>
        <w:snapToGrid w:val="0"/>
        <w:spacing w:line="400" w:lineRule="exact"/>
        <w:ind w:firstLine="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2762476D">
      <w:pPr>
        <w:adjustRightInd w:val="0"/>
        <w:snapToGrid w:val="0"/>
        <w:spacing w:line="400" w:lineRule="exact"/>
        <w:ind w:firstLine="0" w:firstLineChars="0"/>
        <w:rPr>
          <w:rFonts w:hint="eastAsia"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48FC723D">
      <w:pPr>
        <w:adjustRightInd w:val="0"/>
        <w:snapToGrid w:val="0"/>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32DF7560">
      <w:pPr>
        <w:spacing w:line="340" w:lineRule="exact"/>
        <w:ind w:firstLine="0" w:firstLineChars="0"/>
        <w:rPr>
          <w:rFonts w:hint="eastAsia" w:ascii="宋体" w:hAnsi="宋体" w:cs="宋体"/>
          <w:b/>
          <w:color w:val="auto"/>
          <w:kern w:val="0"/>
          <w:sz w:val="28"/>
          <w:szCs w:val="28"/>
          <w:highlight w:val="none"/>
        </w:rPr>
      </w:pPr>
      <w:r>
        <w:rPr>
          <w:rFonts w:ascii="宋体" w:hAnsi="宋体" w:cs="宋体"/>
          <w:b/>
          <w:color w:val="auto"/>
          <w:kern w:val="0"/>
          <w:sz w:val="28"/>
          <w:szCs w:val="28"/>
          <w:highlight w:val="none"/>
        </w:rPr>
        <w:br w:type="page"/>
      </w:r>
      <w:r>
        <w:rPr>
          <w:rFonts w:hint="eastAsia" w:ascii="宋体" w:hAnsi="宋体" w:cs="宋体"/>
          <w:b/>
          <w:color w:val="auto"/>
          <w:kern w:val="0"/>
          <w:sz w:val="28"/>
          <w:szCs w:val="28"/>
          <w:highlight w:val="none"/>
        </w:rPr>
        <w:t>8.供应商参加本项目无围标串标行为的承诺函（必须提供）</w:t>
      </w:r>
    </w:p>
    <w:p w14:paraId="724AA7F2">
      <w:pPr>
        <w:spacing w:line="400" w:lineRule="exact"/>
        <w:ind w:firstLine="0" w:firstLineChars="0"/>
        <w:rPr>
          <w:rFonts w:hint="eastAsia" w:ascii="宋体" w:hAnsi="宋体" w:cs="宋体"/>
          <w:b/>
          <w:color w:val="auto"/>
          <w:kern w:val="0"/>
          <w:sz w:val="32"/>
          <w:szCs w:val="32"/>
          <w:highlight w:val="none"/>
        </w:rPr>
      </w:pPr>
    </w:p>
    <w:p w14:paraId="5D4F5884">
      <w:pPr>
        <w:spacing w:line="400" w:lineRule="exact"/>
        <w:ind w:firstLine="0" w:firstLineChars="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2FFF2357">
      <w:pPr>
        <w:spacing w:line="400" w:lineRule="exact"/>
        <w:ind w:firstLine="0" w:firstLineChars="0"/>
        <w:jc w:val="center"/>
        <w:rPr>
          <w:rFonts w:hint="eastAsia" w:ascii="宋体" w:hAnsi="宋体" w:cs="宋体"/>
          <w:b/>
          <w:color w:val="auto"/>
          <w:kern w:val="0"/>
          <w:sz w:val="32"/>
          <w:szCs w:val="32"/>
          <w:highlight w:val="none"/>
        </w:rPr>
      </w:pPr>
    </w:p>
    <w:p w14:paraId="4B4DD0CF">
      <w:pPr>
        <w:spacing w:line="400" w:lineRule="exact"/>
        <w:ind w:firstLine="0" w:firstLineChars="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供应商参加本项目无围标串标行为的承诺函（格式）</w:t>
      </w:r>
    </w:p>
    <w:p w14:paraId="4D68A4A9">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一、我（公司）承诺无下列相互串通的情形：</w:t>
      </w:r>
    </w:p>
    <w:p w14:paraId="5B3CF6ED">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1.不同供应商的响应文件由同一单位或者个人编制；</w:t>
      </w:r>
    </w:p>
    <w:p w14:paraId="710E1AC9">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2.不同供应商委托同一单位或者个人办理谈判事宜；</w:t>
      </w:r>
    </w:p>
    <w:p w14:paraId="4DE49636">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3.不同的供应商的响应文件载明的项目管理员为同一个人；</w:t>
      </w:r>
    </w:p>
    <w:p w14:paraId="6C1AF641">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4.不同供应商的响应文件异常一致或谈判报价呈规律性差异；</w:t>
      </w:r>
    </w:p>
    <w:p w14:paraId="32FB7260">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5.不同供应商的响应文件相互混装；</w:t>
      </w:r>
    </w:p>
    <w:p w14:paraId="3AD6EC58">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二、我（公司）承诺无下列恶意串通的情形：</w:t>
      </w:r>
    </w:p>
    <w:p w14:paraId="04F5FCE8">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1.供应商直接或者间接从采购人或者采购代理机构处获得其他供应商的相关信息并修改其响应文件；</w:t>
      </w:r>
    </w:p>
    <w:p w14:paraId="0C0DF391">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2.供应商按照采购人或者采购代理机构的授意撤换、修改响应文件；</w:t>
      </w:r>
    </w:p>
    <w:p w14:paraId="6B35E14D">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3.供应商之间协商报价、技术方案等响应文件的实质性内容；</w:t>
      </w:r>
    </w:p>
    <w:p w14:paraId="6B7E6CB8">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4.属于同一集团、协会、商会等组织成员的供应商按照该组织要求协同参加政府采购活动；</w:t>
      </w:r>
    </w:p>
    <w:p w14:paraId="3E083A76">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5.供应商之间事先约定一致抬高或者压低谈判报价，或者在采购项目中事先约定轮流以高价位或者低价位成交，或者事先约定由某一特定供应商成交，然后再参加采购；</w:t>
      </w:r>
    </w:p>
    <w:p w14:paraId="60E22A5C">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6.供应商之间商定部分供应商放弃参加政府采购活动或者放弃成交；</w:t>
      </w:r>
    </w:p>
    <w:p w14:paraId="4CDF7D67">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7.供应商与采购人或者采购代理机构之间、供应商相互之间，为谋求特定供应商成交或者排斥其他供应商的其他串通行为。</w:t>
      </w:r>
    </w:p>
    <w:p w14:paraId="2B70ED82">
      <w:pPr>
        <w:spacing w:line="400" w:lineRule="exact"/>
        <w:ind w:firstLine="42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以上情形一经核查属实，我方愿意承担一切后果，并不再寻求任何旨在减轻或免除法律责任的辩解。</w:t>
      </w:r>
    </w:p>
    <w:p w14:paraId="4598AB2A">
      <w:pPr>
        <w:spacing w:line="240" w:lineRule="auto"/>
        <w:ind w:firstLine="0" w:firstLineChars="0"/>
        <w:rPr>
          <w:rFonts w:hint="eastAsia" w:ascii="宋体" w:hAnsi="宋体" w:cs="宋体"/>
          <w:color w:val="auto"/>
          <w:sz w:val="21"/>
          <w:szCs w:val="24"/>
          <w:highlight w:val="none"/>
        </w:rPr>
      </w:pPr>
    </w:p>
    <w:p w14:paraId="471D194A">
      <w:pPr>
        <w:spacing w:line="240" w:lineRule="auto"/>
        <w:ind w:firstLine="0" w:firstLineChars="0"/>
        <w:rPr>
          <w:rFonts w:hint="eastAsia" w:ascii="宋体" w:hAnsi="宋体" w:cs="宋体"/>
          <w:color w:val="auto"/>
          <w:sz w:val="21"/>
          <w:szCs w:val="24"/>
          <w:highlight w:val="none"/>
        </w:rPr>
      </w:pPr>
    </w:p>
    <w:p w14:paraId="7BF01A90">
      <w:pPr>
        <w:snapToGrid w:val="0"/>
        <w:spacing w:line="400" w:lineRule="exact"/>
        <w:ind w:firstLine="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1ED824EC">
      <w:pPr>
        <w:spacing w:line="340" w:lineRule="exact"/>
        <w:ind w:firstLine="0" w:firstLineChars="0"/>
        <w:rPr>
          <w:rFonts w:hint="eastAsia"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44359EBB">
      <w:pPr>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0EA9186D">
      <w:pPr>
        <w:spacing w:line="340" w:lineRule="exact"/>
        <w:ind w:firstLine="0" w:firstLineChars="0"/>
        <w:rPr>
          <w:rFonts w:hint="eastAsia" w:ascii="宋体" w:hAnsi="宋体" w:cs="宋体"/>
          <w:color w:val="auto"/>
          <w:sz w:val="21"/>
          <w:szCs w:val="21"/>
          <w:highlight w:val="none"/>
        </w:rPr>
      </w:pPr>
    </w:p>
    <w:p w14:paraId="430A4EB6">
      <w:pPr>
        <w:pStyle w:val="22"/>
        <w:rPr>
          <w:color w:val="auto"/>
          <w:highlight w:val="none"/>
        </w:rPr>
      </w:pPr>
    </w:p>
    <w:p w14:paraId="2BF9D2C9">
      <w:pPr>
        <w:pStyle w:val="22"/>
        <w:rPr>
          <w:color w:val="auto"/>
          <w:highlight w:val="none"/>
        </w:rPr>
      </w:pPr>
    </w:p>
    <w:p w14:paraId="47031F55">
      <w:pPr>
        <w:spacing w:line="240" w:lineRule="auto"/>
        <w:ind w:left="2940" w:firstLine="0" w:firstLineChars="0"/>
        <w:rPr>
          <w:color w:val="auto"/>
          <w:sz w:val="21"/>
          <w:szCs w:val="24"/>
          <w:highlight w:val="none"/>
        </w:rPr>
      </w:pPr>
    </w:p>
    <w:p w14:paraId="09377769">
      <w:pPr>
        <w:spacing w:line="240" w:lineRule="auto"/>
        <w:ind w:firstLine="0" w:firstLineChars="0"/>
        <w:jc w:val="center"/>
        <w:rPr>
          <w:rFonts w:hint="eastAsia" w:ascii="宋体" w:hAnsi="宋体"/>
          <w:b/>
          <w:color w:val="auto"/>
          <w:kern w:val="0"/>
          <w:sz w:val="32"/>
          <w:szCs w:val="32"/>
          <w:highlight w:val="none"/>
        </w:rPr>
      </w:pPr>
      <w:r>
        <w:rPr>
          <w:rFonts w:ascii="宋体" w:hAnsi="宋体"/>
          <w:b/>
          <w:color w:val="auto"/>
          <w:kern w:val="0"/>
          <w:sz w:val="32"/>
          <w:szCs w:val="32"/>
          <w:highlight w:val="none"/>
        </w:rPr>
        <w:br w:type="page"/>
      </w:r>
      <w:r>
        <w:rPr>
          <w:rFonts w:hint="eastAsia" w:ascii="宋体" w:hAnsi="宋体"/>
          <w:b/>
          <w:color w:val="auto"/>
          <w:kern w:val="0"/>
          <w:sz w:val="32"/>
          <w:szCs w:val="32"/>
          <w:highlight w:val="none"/>
        </w:rPr>
        <w:t>（二）符合性响应证明材料目录</w:t>
      </w:r>
    </w:p>
    <w:p w14:paraId="50ECF6BB">
      <w:pPr>
        <w:tabs>
          <w:tab w:val="left" w:pos="1305"/>
        </w:tabs>
        <w:spacing w:line="440" w:lineRule="exact"/>
        <w:ind w:firstLine="420"/>
        <w:rPr>
          <w:rFonts w:hint="eastAsia" w:ascii="宋体" w:hAnsi="宋体"/>
          <w:color w:val="auto"/>
          <w:kern w:val="0"/>
          <w:sz w:val="21"/>
          <w:szCs w:val="21"/>
          <w:highlight w:val="none"/>
        </w:rPr>
      </w:pPr>
    </w:p>
    <w:p w14:paraId="2986B4FB">
      <w:pPr>
        <w:tabs>
          <w:tab w:val="left" w:pos="1305"/>
        </w:tabs>
        <w:spacing w:line="400" w:lineRule="exact"/>
        <w:ind w:firstLine="480"/>
        <w:rPr>
          <w:rFonts w:hint="eastAsia" w:ascii="宋体" w:hAnsi="宋体" w:cs="宋体"/>
          <w:b/>
          <w:bCs/>
          <w:color w:val="auto"/>
          <w:kern w:val="0"/>
          <w:szCs w:val="24"/>
          <w:highlight w:val="none"/>
        </w:rPr>
      </w:pPr>
      <w:r>
        <w:rPr>
          <w:rFonts w:hint="eastAsia" w:ascii="宋体" w:hAnsi="宋体" w:cs="宋体"/>
          <w:color w:val="auto"/>
          <w:kern w:val="0"/>
          <w:szCs w:val="24"/>
          <w:highlight w:val="none"/>
        </w:rPr>
        <w:t>1.响应函</w:t>
      </w:r>
      <w:r>
        <w:rPr>
          <w:rFonts w:hint="eastAsia" w:ascii="宋体" w:hAnsi="宋体" w:cs="宋体"/>
          <w:b/>
          <w:bCs/>
          <w:color w:val="auto"/>
          <w:kern w:val="0"/>
          <w:szCs w:val="24"/>
          <w:highlight w:val="none"/>
        </w:rPr>
        <w:t>（必须提供）</w:t>
      </w:r>
    </w:p>
    <w:p w14:paraId="30525790">
      <w:pPr>
        <w:tabs>
          <w:tab w:val="left" w:pos="1305"/>
        </w:tabs>
        <w:spacing w:line="40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2.谈判报价表</w:t>
      </w:r>
      <w:r>
        <w:rPr>
          <w:rFonts w:hint="eastAsia" w:ascii="宋体" w:hAnsi="宋体" w:cs="宋体"/>
          <w:b/>
          <w:bCs/>
          <w:color w:val="auto"/>
          <w:kern w:val="0"/>
          <w:szCs w:val="24"/>
          <w:highlight w:val="none"/>
        </w:rPr>
        <w:t>（必须提供）</w:t>
      </w:r>
    </w:p>
    <w:p w14:paraId="79C45DEB">
      <w:pPr>
        <w:tabs>
          <w:tab w:val="left" w:pos="1305"/>
        </w:tabs>
        <w:spacing w:line="40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3.技术响应承诺书</w:t>
      </w:r>
      <w:r>
        <w:rPr>
          <w:rFonts w:hint="eastAsia" w:ascii="宋体" w:hAnsi="宋体" w:cs="宋体"/>
          <w:b/>
          <w:bCs/>
          <w:color w:val="auto"/>
          <w:kern w:val="0"/>
          <w:szCs w:val="24"/>
          <w:highlight w:val="none"/>
        </w:rPr>
        <w:t>（必须提供）</w:t>
      </w:r>
    </w:p>
    <w:p w14:paraId="333DF53D">
      <w:pPr>
        <w:tabs>
          <w:tab w:val="left" w:pos="1305"/>
        </w:tabs>
        <w:spacing w:line="400" w:lineRule="exact"/>
        <w:ind w:firstLine="480"/>
        <w:rPr>
          <w:rFonts w:hint="eastAsia" w:ascii="宋体" w:hAnsi="宋体" w:cs="宋体"/>
          <w:b/>
          <w:bCs/>
          <w:color w:val="auto"/>
          <w:kern w:val="0"/>
          <w:szCs w:val="24"/>
          <w:highlight w:val="none"/>
        </w:rPr>
      </w:pPr>
      <w:r>
        <w:rPr>
          <w:rFonts w:hint="eastAsia" w:ascii="宋体" w:hAnsi="宋体" w:cs="宋体"/>
          <w:color w:val="auto"/>
          <w:kern w:val="0"/>
          <w:szCs w:val="24"/>
          <w:highlight w:val="none"/>
        </w:rPr>
        <w:t>4.商务要求响应承诺书</w:t>
      </w:r>
      <w:r>
        <w:rPr>
          <w:rFonts w:hint="eastAsia" w:ascii="宋体" w:hAnsi="宋体" w:cs="宋体"/>
          <w:b/>
          <w:bCs/>
          <w:color w:val="auto"/>
          <w:kern w:val="0"/>
          <w:szCs w:val="24"/>
          <w:highlight w:val="none"/>
        </w:rPr>
        <w:t>（必须提供）</w:t>
      </w:r>
    </w:p>
    <w:p w14:paraId="63119098">
      <w:pPr>
        <w:tabs>
          <w:tab w:val="left" w:pos="1305"/>
        </w:tabs>
        <w:spacing w:line="400" w:lineRule="exact"/>
        <w:ind w:firstLine="482"/>
        <w:rPr>
          <w:rFonts w:hint="eastAsia" w:ascii="宋体" w:hAnsi="宋体" w:cs="宋体"/>
          <w:b/>
          <w:bCs/>
          <w:color w:val="auto"/>
          <w:kern w:val="0"/>
          <w:szCs w:val="24"/>
          <w:highlight w:val="none"/>
        </w:rPr>
      </w:pPr>
    </w:p>
    <w:p w14:paraId="39A21B65">
      <w:pPr>
        <w:tabs>
          <w:tab w:val="left" w:pos="1305"/>
        </w:tabs>
        <w:spacing w:line="400" w:lineRule="exact"/>
        <w:ind w:firstLine="482"/>
        <w:rPr>
          <w:rFonts w:hint="eastAsia" w:ascii="宋体" w:hAnsi="宋体" w:cs="宋体"/>
          <w:b/>
          <w:bCs/>
          <w:color w:val="auto"/>
          <w:kern w:val="0"/>
          <w:szCs w:val="24"/>
          <w:highlight w:val="none"/>
        </w:rPr>
      </w:pPr>
    </w:p>
    <w:p w14:paraId="48D542F0">
      <w:pPr>
        <w:tabs>
          <w:tab w:val="left" w:pos="1305"/>
        </w:tabs>
        <w:spacing w:line="400" w:lineRule="exact"/>
        <w:ind w:firstLine="482"/>
        <w:rPr>
          <w:rFonts w:hint="eastAsia" w:ascii="宋体" w:hAnsi="宋体" w:cs="宋体"/>
          <w:b/>
          <w:bCs/>
          <w:color w:val="auto"/>
          <w:kern w:val="0"/>
          <w:szCs w:val="24"/>
          <w:highlight w:val="none"/>
        </w:rPr>
      </w:pPr>
    </w:p>
    <w:p w14:paraId="66F35809">
      <w:pPr>
        <w:tabs>
          <w:tab w:val="left" w:pos="1305"/>
        </w:tabs>
        <w:spacing w:line="400" w:lineRule="exact"/>
        <w:ind w:firstLine="562"/>
        <w:rPr>
          <w:rFonts w:hint="eastAsia" w:ascii="宋体" w:hAnsi="宋体" w:cs="宋体"/>
          <w:b/>
          <w:color w:val="auto"/>
          <w:kern w:val="0"/>
          <w:sz w:val="28"/>
          <w:szCs w:val="28"/>
          <w:highlight w:val="none"/>
        </w:rPr>
      </w:pPr>
    </w:p>
    <w:p w14:paraId="2539713C">
      <w:pPr>
        <w:tabs>
          <w:tab w:val="left" w:pos="1305"/>
        </w:tabs>
        <w:spacing w:line="400" w:lineRule="exact"/>
        <w:ind w:firstLine="562"/>
        <w:rPr>
          <w:rFonts w:hint="eastAsia" w:ascii="宋体" w:hAnsi="宋体" w:cs="宋体"/>
          <w:b/>
          <w:color w:val="auto"/>
          <w:kern w:val="0"/>
          <w:sz w:val="28"/>
          <w:szCs w:val="28"/>
          <w:highlight w:val="none"/>
        </w:rPr>
      </w:pPr>
    </w:p>
    <w:p w14:paraId="5C10FA16">
      <w:pPr>
        <w:tabs>
          <w:tab w:val="left" w:pos="1305"/>
        </w:tabs>
        <w:spacing w:line="400" w:lineRule="exact"/>
        <w:ind w:firstLine="562"/>
        <w:rPr>
          <w:rFonts w:hint="eastAsia" w:ascii="宋体" w:hAnsi="宋体" w:cs="宋体"/>
          <w:b/>
          <w:color w:val="auto"/>
          <w:kern w:val="0"/>
          <w:sz w:val="28"/>
          <w:szCs w:val="28"/>
          <w:highlight w:val="none"/>
        </w:rPr>
      </w:pPr>
    </w:p>
    <w:p w14:paraId="3F4B4FA8">
      <w:pPr>
        <w:tabs>
          <w:tab w:val="left" w:pos="1305"/>
        </w:tabs>
        <w:spacing w:line="400" w:lineRule="exact"/>
        <w:ind w:firstLine="562"/>
        <w:rPr>
          <w:rFonts w:hint="eastAsia" w:ascii="宋体" w:hAnsi="宋体" w:cs="宋体"/>
          <w:b/>
          <w:color w:val="auto"/>
          <w:kern w:val="0"/>
          <w:sz w:val="28"/>
          <w:szCs w:val="28"/>
          <w:highlight w:val="none"/>
        </w:rPr>
      </w:pPr>
    </w:p>
    <w:p w14:paraId="14F1DA1A">
      <w:pPr>
        <w:tabs>
          <w:tab w:val="left" w:pos="1305"/>
        </w:tabs>
        <w:spacing w:line="400" w:lineRule="exact"/>
        <w:ind w:firstLine="562"/>
        <w:rPr>
          <w:rFonts w:hint="eastAsia" w:ascii="宋体" w:hAnsi="宋体" w:cs="宋体"/>
          <w:b/>
          <w:color w:val="auto"/>
          <w:kern w:val="0"/>
          <w:sz w:val="28"/>
          <w:szCs w:val="28"/>
          <w:highlight w:val="none"/>
        </w:rPr>
      </w:pPr>
    </w:p>
    <w:p w14:paraId="3299928A">
      <w:pPr>
        <w:tabs>
          <w:tab w:val="left" w:pos="1305"/>
        </w:tabs>
        <w:spacing w:line="400" w:lineRule="exact"/>
        <w:ind w:firstLine="562"/>
        <w:rPr>
          <w:rFonts w:hint="eastAsia" w:ascii="宋体" w:hAnsi="宋体" w:cs="宋体"/>
          <w:b/>
          <w:color w:val="auto"/>
          <w:kern w:val="0"/>
          <w:sz w:val="28"/>
          <w:szCs w:val="28"/>
          <w:highlight w:val="none"/>
        </w:rPr>
      </w:pPr>
    </w:p>
    <w:p w14:paraId="78107ABD">
      <w:pPr>
        <w:tabs>
          <w:tab w:val="left" w:pos="1305"/>
        </w:tabs>
        <w:spacing w:line="400" w:lineRule="exact"/>
        <w:ind w:firstLine="562"/>
        <w:rPr>
          <w:rFonts w:hint="eastAsia" w:ascii="宋体" w:hAnsi="宋体" w:cs="宋体"/>
          <w:b/>
          <w:color w:val="auto"/>
          <w:kern w:val="0"/>
          <w:sz w:val="28"/>
          <w:szCs w:val="28"/>
          <w:highlight w:val="none"/>
        </w:rPr>
      </w:pPr>
    </w:p>
    <w:p w14:paraId="4D6D650A">
      <w:pPr>
        <w:tabs>
          <w:tab w:val="left" w:pos="1305"/>
        </w:tabs>
        <w:spacing w:line="400" w:lineRule="exact"/>
        <w:ind w:firstLine="562"/>
        <w:rPr>
          <w:rFonts w:hint="eastAsia" w:ascii="宋体" w:hAnsi="宋体" w:cs="宋体"/>
          <w:b/>
          <w:color w:val="auto"/>
          <w:kern w:val="0"/>
          <w:sz w:val="28"/>
          <w:szCs w:val="28"/>
          <w:highlight w:val="none"/>
        </w:rPr>
      </w:pPr>
    </w:p>
    <w:p w14:paraId="2FE8BCF4">
      <w:pPr>
        <w:tabs>
          <w:tab w:val="left" w:pos="1305"/>
        </w:tabs>
        <w:spacing w:line="400" w:lineRule="exact"/>
        <w:ind w:firstLine="562"/>
        <w:rPr>
          <w:rFonts w:hint="eastAsia" w:ascii="宋体" w:hAnsi="宋体" w:cs="宋体"/>
          <w:b/>
          <w:color w:val="auto"/>
          <w:kern w:val="0"/>
          <w:sz w:val="28"/>
          <w:szCs w:val="28"/>
          <w:highlight w:val="none"/>
        </w:rPr>
      </w:pPr>
    </w:p>
    <w:p w14:paraId="01C9FAD6">
      <w:pPr>
        <w:tabs>
          <w:tab w:val="left" w:pos="1305"/>
        </w:tabs>
        <w:spacing w:line="400" w:lineRule="exact"/>
        <w:ind w:firstLine="562"/>
        <w:rPr>
          <w:rFonts w:hint="eastAsia" w:ascii="宋体" w:hAnsi="宋体" w:cs="宋体"/>
          <w:b/>
          <w:color w:val="auto"/>
          <w:kern w:val="0"/>
          <w:sz w:val="28"/>
          <w:szCs w:val="28"/>
          <w:highlight w:val="none"/>
        </w:rPr>
      </w:pPr>
    </w:p>
    <w:p w14:paraId="656868DF">
      <w:pPr>
        <w:tabs>
          <w:tab w:val="left" w:pos="1305"/>
        </w:tabs>
        <w:spacing w:line="400" w:lineRule="exact"/>
        <w:ind w:firstLine="562"/>
        <w:rPr>
          <w:rFonts w:hint="eastAsia" w:ascii="宋体" w:hAnsi="宋体" w:cs="宋体"/>
          <w:b/>
          <w:color w:val="auto"/>
          <w:kern w:val="0"/>
          <w:sz w:val="28"/>
          <w:szCs w:val="28"/>
          <w:highlight w:val="none"/>
        </w:rPr>
      </w:pPr>
    </w:p>
    <w:p w14:paraId="29F8C3B6">
      <w:pPr>
        <w:tabs>
          <w:tab w:val="left" w:pos="1305"/>
        </w:tabs>
        <w:spacing w:line="400" w:lineRule="exact"/>
        <w:ind w:firstLine="562"/>
        <w:rPr>
          <w:rFonts w:hint="eastAsia" w:ascii="宋体" w:hAnsi="宋体" w:cs="宋体"/>
          <w:b/>
          <w:color w:val="auto"/>
          <w:kern w:val="0"/>
          <w:sz w:val="28"/>
          <w:szCs w:val="28"/>
          <w:highlight w:val="none"/>
        </w:rPr>
      </w:pPr>
    </w:p>
    <w:p w14:paraId="67FF23E5">
      <w:pPr>
        <w:tabs>
          <w:tab w:val="left" w:pos="1305"/>
        </w:tabs>
        <w:spacing w:line="400" w:lineRule="exact"/>
        <w:ind w:firstLine="562"/>
        <w:rPr>
          <w:rFonts w:hint="eastAsia" w:ascii="宋体" w:hAnsi="宋体" w:cs="宋体"/>
          <w:b/>
          <w:color w:val="auto"/>
          <w:kern w:val="0"/>
          <w:sz w:val="28"/>
          <w:szCs w:val="28"/>
          <w:highlight w:val="none"/>
        </w:rPr>
      </w:pPr>
    </w:p>
    <w:p w14:paraId="10B9A656">
      <w:pPr>
        <w:tabs>
          <w:tab w:val="left" w:pos="1305"/>
        </w:tabs>
        <w:spacing w:line="400" w:lineRule="exact"/>
        <w:ind w:firstLine="562"/>
        <w:rPr>
          <w:rFonts w:hint="eastAsia" w:ascii="宋体" w:hAnsi="宋体" w:cs="宋体"/>
          <w:b/>
          <w:color w:val="auto"/>
          <w:kern w:val="0"/>
          <w:sz w:val="28"/>
          <w:szCs w:val="28"/>
          <w:highlight w:val="none"/>
        </w:rPr>
      </w:pPr>
    </w:p>
    <w:p w14:paraId="5BD0ADB5">
      <w:pPr>
        <w:tabs>
          <w:tab w:val="left" w:pos="1305"/>
        </w:tabs>
        <w:spacing w:line="400" w:lineRule="exact"/>
        <w:ind w:firstLine="562"/>
        <w:rPr>
          <w:rFonts w:hint="eastAsia" w:ascii="宋体" w:hAnsi="宋体" w:cs="宋体"/>
          <w:b/>
          <w:color w:val="auto"/>
          <w:kern w:val="0"/>
          <w:sz w:val="28"/>
          <w:szCs w:val="28"/>
          <w:highlight w:val="none"/>
        </w:rPr>
      </w:pPr>
    </w:p>
    <w:p w14:paraId="6B67821B">
      <w:pPr>
        <w:tabs>
          <w:tab w:val="left" w:pos="1305"/>
        </w:tabs>
        <w:spacing w:line="400" w:lineRule="exact"/>
        <w:ind w:firstLine="562"/>
        <w:rPr>
          <w:rFonts w:hint="eastAsia" w:ascii="宋体" w:hAnsi="宋体" w:cs="宋体"/>
          <w:b/>
          <w:color w:val="auto"/>
          <w:kern w:val="0"/>
          <w:sz w:val="28"/>
          <w:szCs w:val="28"/>
          <w:highlight w:val="none"/>
        </w:rPr>
      </w:pPr>
    </w:p>
    <w:p w14:paraId="2004F284">
      <w:pPr>
        <w:tabs>
          <w:tab w:val="left" w:pos="1305"/>
        </w:tabs>
        <w:spacing w:line="400" w:lineRule="exact"/>
        <w:ind w:firstLine="562"/>
        <w:rPr>
          <w:rFonts w:hint="eastAsia" w:ascii="宋体" w:hAnsi="宋体" w:cs="宋体"/>
          <w:b/>
          <w:color w:val="auto"/>
          <w:kern w:val="0"/>
          <w:sz w:val="28"/>
          <w:szCs w:val="28"/>
          <w:highlight w:val="none"/>
        </w:rPr>
      </w:pPr>
    </w:p>
    <w:p w14:paraId="6BE9CB70">
      <w:pPr>
        <w:tabs>
          <w:tab w:val="left" w:pos="1305"/>
        </w:tabs>
        <w:spacing w:line="400" w:lineRule="exact"/>
        <w:ind w:firstLine="562"/>
        <w:rPr>
          <w:rFonts w:hint="eastAsia" w:ascii="宋体" w:hAnsi="宋体" w:cs="宋体"/>
          <w:b/>
          <w:color w:val="auto"/>
          <w:kern w:val="0"/>
          <w:sz w:val="28"/>
          <w:szCs w:val="28"/>
          <w:highlight w:val="none"/>
        </w:rPr>
      </w:pPr>
    </w:p>
    <w:p w14:paraId="37BAB467">
      <w:pPr>
        <w:tabs>
          <w:tab w:val="left" w:pos="1305"/>
        </w:tabs>
        <w:spacing w:line="400" w:lineRule="exact"/>
        <w:ind w:firstLine="562"/>
        <w:rPr>
          <w:rFonts w:hint="eastAsia" w:ascii="宋体" w:hAnsi="宋体" w:cs="宋体"/>
          <w:b/>
          <w:color w:val="auto"/>
          <w:kern w:val="0"/>
          <w:sz w:val="28"/>
          <w:szCs w:val="28"/>
          <w:highlight w:val="none"/>
        </w:rPr>
      </w:pPr>
    </w:p>
    <w:p w14:paraId="71143253">
      <w:pPr>
        <w:tabs>
          <w:tab w:val="left" w:pos="1305"/>
        </w:tabs>
        <w:spacing w:line="400" w:lineRule="exact"/>
        <w:ind w:firstLine="562"/>
        <w:rPr>
          <w:rFonts w:hint="eastAsia" w:ascii="宋体" w:hAnsi="宋体" w:cs="宋体"/>
          <w:b/>
          <w:color w:val="auto"/>
          <w:kern w:val="0"/>
          <w:sz w:val="28"/>
          <w:szCs w:val="28"/>
          <w:highlight w:val="none"/>
        </w:rPr>
      </w:pPr>
    </w:p>
    <w:p w14:paraId="7C1E8DA6">
      <w:pPr>
        <w:tabs>
          <w:tab w:val="left" w:pos="1305"/>
        </w:tabs>
        <w:spacing w:line="400" w:lineRule="exact"/>
        <w:ind w:firstLine="562"/>
        <w:rPr>
          <w:rFonts w:hint="eastAsia" w:ascii="宋体" w:hAnsi="宋体" w:cs="宋体"/>
          <w:b/>
          <w:color w:val="auto"/>
          <w:kern w:val="0"/>
          <w:sz w:val="28"/>
          <w:szCs w:val="28"/>
          <w:highlight w:val="none"/>
        </w:rPr>
      </w:pPr>
    </w:p>
    <w:p w14:paraId="355C7681">
      <w:pPr>
        <w:tabs>
          <w:tab w:val="left" w:pos="1305"/>
        </w:tabs>
        <w:spacing w:line="400" w:lineRule="exact"/>
        <w:ind w:firstLine="562"/>
        <w:rPr>
          <w:rFonts w:hint="eastAsia" w:ascii="宋体" w:hAnsi="宋体" w:cs="宋体"/>
          <w:b/>
          <w:color w:val="auto"/>
          <w:kern w:val="0"/>
          <w:sz w:val="28"/>
          <w:szCs w:val="28"/>
          <w:highlight w:val="none"/>
        </w:rPr>
      </w:pPr>
    </w:p>
    <w:p w14:paraId="42FE4794">
      <w:pPr>
        <w:tabs>
          <w:tab w:val="left" w:pos="1305"/>
        </w:tabs>
        <w:spacing w:line="400" w:lineRule="exact"/>
        <w:ind w:firstLine="562"/>
        <w:rPr>
          <w:rFonts w:hint="eastAsia" w:ascii="宋体" w:hAnsi="宋体" w:cs="宋体"/>
          <w:b/>
          <w:color w:val="auto"/>
          <w:kern w:val="0"/>
          <w:sz w:val="28"/>
          <w:szCs w:val="28"/>
          <w:highlight w:val="none"/>
        </w:rPr>
      </w:pPr>
    </w:p>
    <w:p w14:paraId="33519E78">
      <w:pPr>
        <w:tabs>
          <w:tab w:val="left" w:pos="1305"/>
        </w:tabs>
        <w:spacing w:line="400" w:lineRule="exact"/>
        <w:ind w:firstLine="562"/>
        <w:rPr>
          <w:rFonts w:hint="eastAsia" w:ascii="宋体" w:hAnsi="宋体" w:cs="宋体"/>
          <w:b/>
          <w:color w:val="auto"/>
          <w:kern w:val="0"/>
          <w:sz w:val="28"/>
          <w:szCs w:val="28"/>
          <w:highlight w:val="none"/>
        </w:rPr>
      </w:pPr>
    </w:p>
    <w:p w14:paraId="715D73B0">
      <w:pPr>
        <w:tabs>
          <w:tab w:val="left" w:pos="1305"/>
        </w:tabs>
        <w:spacing w:line="400" w:lineRule="exact"/>
        <w:ind w:firstLine="0" w:firstLineChars="0"/>
        <w:jc w:val="left"/>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1.响应函（必须提供）</w:t>
      </w:r>
    </w:p>
    <w:p w14:paraId="3D44E70F">
      <w:pPr>
        <w:spacing w:line="440" w:lineRule="atLeast"/>
        <w:ind w:firstLine="0" w:firstLineChars="0"/>
        <w:rPr>
          <w:rFonts w:hint="eastAsia" w:ascii="宋体" w:hAnsi="宋体" w:cs="宋体"/>
          <w:b/>
          <w:color w:val="auto"/>
          <w:kern w:val="0"/>
          <w:szCs w:val="24"/>
          <w:highlight w:val="none"/>
        </w:rPr>
      </w:pPr>
      <w:r>
        <w:rPr>
          <w:rFonts w:hint="eastAsia" w:ascii="宋体" w:hAnsi="宋体" w:cs="宋体"/>
          <w:b/>
          <w:color w:val="auto"/>
          <w:kern w:val="0"/>
          <w:szCs w:val="24"/>
          <w:highlight w:val="none"/>
        </w:rPr>
        <w:t>附件：</w:t>
      </w:r>
    </w:p>
    <w:p w14:paraId="52875EA4">
      <w:pPr>
        <w:spacing w:line="240" w:lineRule="auto"/>
        <w:ind w:firstLine="803" w:firstLineChars="250"/>
        <w:jc w:val="center"/>
        <w:rPr>
          <w:rFonts w:hint="eastAsia" w:ascii="宋体" w:hAnsi="宋体" w:cs="宋体"/>
          <w:b/>
          <w:color w:val="auto"/>
          <w:kern w:val="0"/>
          <w:sz w:val="32"/>
          <w:szCs w:val="20"/>
          <w:highlight w:val="none"/>
        </w:rPr>
      </w:pPr>
      <w:r>
        <w:rPr>
          <w:rFonts w:hint="eastAsia" w:ascii="宋体" w:hAnsi="宋体" w:cs="宋体"/>
          <w:b/>
          <w:color w:val="auto"/>
          <w:kern w:val="0"/>
          <w:sz w:val="32"/>
          <w:szCs w:val="20"/>
          <w:highlight w:val="none"/>
        </w:rPr>
        <w:t>响 应 函 （格 式）</w:t>
      </w:r>
    </w:p>
    <w:p w14:paraId="418D8DA7">
      <w:pPr>
        <w:spacing w:line="400" w:lineRule="exact"/>
        <w:ind w:firstLine="0" w:firstLineChars="0"/>
        <w:rPr>
          <w:rFonts w:hint="eastAsia" w:ascii="宋体" w:hAnsi="宋体" w:cs="宋体"/>
          <w:color w:val="auto"/>
          <w:kern w:val="0"/>
          <w:sz w:val="21"/>
          <w:szCs w:val="24"/>
          <w:highlight w:val="none"/>
        </w:rPr>
      </w:pPr>
      <w:r>
        <w:rPr>
          <w:rFonts w:hint="eastAsia" w:ascii="宋体" w:hAnsi="宋体" w:cs="宋体"/>
          <w:color w:val="auto"/>
          <w:kern w:val="0"/>
          <w:sz w:val="21"/>
          <w:szCs w:val="21"/>
          <w:highlight w:val="none"/>
        </w:rPr>
        <w:t>致：</w:t>
      </w:r>
      <w:r>
        <w:rPr>
          <w:rFonts w:hint="eastAsia" w:ascii="宋体" w:hAnsi="宋体" w:cs="宋体"/>
          <w:color w:val="auto"/>
          <w:kern w:val="0"/>
          <w:sz w:val="21"/>
          <w:szCs w:val="21"/>
          <w:highlight w:val="none"/>
          <w:u w:val="single"/>
        </w:rPr>
        <w:t xml:space="preserve">云之龙咨询集团有限公司 </w:t>
      </w:r>
    </w:p>
    <w:p w14:paraId="7927E2CF">
      <w:pPr>
        <w:spacing w:line="400" w:lineRule="exact"/>
        <w:ind w:firstLine="0" w:firstLineChars="0"/>
        <w:rPr>
          <w:rFonts w:hint="eastAsia" w:ascii="宋体" w:hAnsi="宋体" w:cs="宋体"/>
          <w:color w:val="auto"/>
          <w:kern w:val="0"/>
          <w:sz w:val="21"/>
          <w:szCs w:val="21"/>
          <w:highlight w:val="none"/>
        </w:rPr>
      </w:pPr>
    </w:p>
    <w:p w14:paraId="3CB29632">
      <w:pPr>
        <w:wordWrap w:val="0"/>
        <w:spacing w:line="320" w:lineRule="exact"/>
        <w:ind w:left="120" w:leftChars="50" w:firstLine="315" w:firstLineChars="15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根据贵方</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项目谈判文件，项目编号</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1"/>
          <w:highlight w:val="none"/>
        </w:rPr>
        <w:t>，签字代表</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（姓名）经正式授权并代表供应商</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1"/>
          <w:highlight w:val="none"/>
        </w:rPr>
        <w:t>供应商单位名称</w:t>
      </w:r>
      <w:r>
        <w:rPr>
          <w:rFonts w:hint="eastAsia" w:ascii="宋体" w:hAnsi="宋体" w:cs="宋体"/>
          <w:color w:val="auto"/>
          <w:kern w:val="0"/>
          <w:sz w:val="21"/>
          <w:szCs w:val="20"/>
          <w:highlight w:val="none"/>
        </w:rPr>
        <w:t>），提交响应文件。</w:t>
      </w:r>
    </w:p>
    <w:p w14:paraId="6524EE47">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据此函，签字代表宣布同意如下：</w:t>
      </w:r>
    </w:p>
    <w:p w14:paraId="53E718B1">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1.按谈判文件采购需求，谈判报价详见“谈判报价表”。</w:t>
      </w:r>
    </w:p>
    <w:p w14:paraId="63A9CCFA">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2.我方承诺已具备谈判文件规定的供应商资格条件。</w:t>
      </w:r>
    </w:p>
    <w:p w14:paraId="1B919379">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 xml:space="preserve">3.我方已详细审核谈判文件，包括修改文件（如有的话）和有关附件，将自行承担因对全部谈判文件理解不正确或误解而产生的相应后果。 </w:t>
      </w:r>
    </w:p>
    <w:p w14:paraId="12020E70">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4.响应文件有效期为</w:t>
      </w:r>
      <w:r>
        <w:rPr>
          <w:rFonts w:hint="eastAsia" w:ascii="宋体" w:hAnsi="宋体" w:cs="宋体"/>
          <w:color w:val="auto"/>
          <w:kern w:val="0"/>
          <w:sz w:val="21"/>
          <w:szCs w:val="21"/>
          <w:highlight w:val="none"/>
        </w:rPr>
        <w:t>自响应文件提交截止时间之日起90天。</w:t>
      </w:r>
    </w:p>
    <w:p w14:paraId="7D808C08">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5.如我方成交：</w:t>
      </w:r>
    </w:p>
    <w:p w14:paraId="7ACEA55F">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（1）我方承诺在收到成交通知书后，在成交通知书规定的期限内与采购人签订合同。</w:t>
      </w:r>
    </w:p>
    <w:p w14:paraId="00B76E20">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（2）我方承诺按照谈判文件规定提交履约担保。</w:t>
      </w:r>
    </w:p>
    <w:p w14:paraId="6E8143D3">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（3）我方承诺本响应文件至本项目合同履行完毕止均保持有效，按谈判文件及政府采购法律、法规的规定履行合同责任和义务。</w:t>
      </w:r>
    </w:p>
    <w:p w14:paraId="3B280686">
      <w:pPr>
        <w:spacing w:line="32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（4）保证在成交公告发布之日起5个工作日内，按本项目谈判文件的规定及标准向贵单位一次性足额支付代理服务费。代理服务费发票我方选择开具：□</w:t>
      </w:r>
      <w:r>
        <w:rPr>
          <w:rFonts w:hint="eastAsia" w:ascii="宋体" w:hAnsi="宋体" w:cs="宋体"/>
          <w:color w:val="auto"/>
          <w:kern w:val="0"/>
          <w:sz w:val="21"/>
          <w:szCs w:val="21"/>
          <w:highlight w:val="none"/>
          <w:u w:val="single"/>
        </w:rPr>
        <w:t>增值税普通发票</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u w:val="single"/>
        </w:rPr>
        <w:t>增值税专用发票。</w:t>
      </w:r>
    </w:p>
    <w:p w14:paraId="64B729DD">
      <w:pPr>
        <w:spacing w:line="320" w:lineRule="exact"/>
        <w:ind w:firstLine="420" w:firstLineChars="0"/>
        <w:rPr>
          <w:rFonts w:hint="eastAsia" w:ascii="宋体" w:hAnsi="宋体" w:cs="宋体"/>
          <w:color w:val="auto"/>
          <w:kern w:val="0"/>
          <w:sz w:val="21"/>
          <w:szCs w:val="20"/>
          <w:highlight w:val="none"/>
        </w:rPr>
      </w:pPr>
    </w:p>
    <w:p w14:paraId="5EA58CB6">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与本响应有关的正式通讯地址为：</w:t>
      </w:r>
      <w:r>
        <w:rPr>
          <w:rFonts w:hint="eastAsia" w:ascii="宋体" w:hAnsi="宋体" w:cs="宋体"/>
          <w:color w:val="auto"/>
          <w:kern w:val="0"/>
          <w:sz w:val="21"/>
          <w:szCs w:val="20"/>
          <w:highlight w:val="none"/>
          <w:u w:val="single"/>
        </w:rPr>
        <w:t xml:space="preserve">                      </w:t>
      </w:r>
    </w:p>
    <w:p w14:paraId="68A1EC55">
      <w:pPr>
        <w:spacing w:line="320" w:lineRule="exact"/>
        <w:ind w:firstLine="420" w:firstLineChars="0"/>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地址：邮编：邮箱：</w:t>
      </w:r>
      <w:r>
        <w:rPr>
          <w:rFonts w:hint="eastAsia" w:ascii="宋体" w:hAnsi="宋体" w:cs="宋体"/>
          <w:color w:val="auto"/>
          <w:kern w:val="0"/>
          <w:sz w:val="21"/>
          <w:szCs w:val="20"/>
          <w:highlight w:val="none"/>
          <w:u w:val="single"/>
        </w:rPr>
        <w:t xml:space="preserve">                                  </w:t>
      </w:r>
    </w:p>
    <w:p w14:paraId="6C97880F">
      <w:pPr>
        <w:spacing w:line="320" w:lineRule="exact"/>
        <w:ind w:firstLine="420" w:firstLineChars="0"/>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办公电话：传真：</w:t>
      </w:r>
      <w:r>
        <w:rPr>
          <w:rFonts w:hint="eastAsia" w:ascii="宋体" w:hAnsi="宋体" w:cs="宋体"/>
          <w:color w:val="auto"/>
          <w:kern w:val="0"/>
          <w:sz w:val="21"/>
          <w:szCs w:val="20"/>
          <w:highlight w:val="none"/>
          <w:u w:val="single"/>
        </w:rPr>
        <w:t xml:space="preserve">                                    </w:t>
      </w:r>
    </w:p>
    <w:p w14:paraId="42E951E6">
      <w:pPr>
        <w:spacing w:line="320" w:lineRule="exact"/>
        <w:ind w:firstLine="420" w:firstLineChars="0"/>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委托代理人联系电话：</w:t>
      </w:r>
      <w:r>
        <w:rPr>
          <w:rFonts w:hint="eastAsia" w:ascii="宋体" w:hAnsi="宋体" w:cs="宋体"/>
          <w:color w:val="auto"/>
          <w:kern w:val="0"/>
          <w:sz w:val="21"/>
          <w:szCs w:val="20"/>
          <w:highlight w:val="none"/>
          <w:u w:val="single"/>
        </w:rPr>
        <w:t xml:space="preserve">                                </w:t>
      </w:r>
    </w:p>
    <w:p w14:paraId="350FD823">
      <w:pPr>
        <w:spacing w:line="320" w:lineRule="exact"/>
        <w:ind w:firstLine="420" w:firstLineChars="0"/>
        <w:rPr>
          <w:rFonts w:hint="eastAsia" w:ascii="宋体" w:hAnsi="宋体" w:cs="宋体"/>
          <w:color w:val="auto"/>
          <w:kern w:val="0"/>
          <w:sz w:val="21"/>
          <w:szCs w:val="20"/>
          <w:highlight w:val="none"/>
          <w:u w:val="single"/>
        </w:rPr>
      </w:pPr>
      <w:r>
        <w:rPr>
          <w:rFonts w:hint="eastAsia" w:ascii="宋体" w:hAnsi="宋体" w:cs="宋体"/>
          <w:color w:val="auto"/>
          <w:kern w:val="0"/>
          <w:sz w:val="21"/>
          <w:szCs w:val="20"/>
          <w:highlight w:val="none"/>
        </w:rPr>
        <w:t>开户名称：</w:t>
      </w:r>
      <w:r>
        <w:rPr>
          <w:rFonts w:hint="eastAsia" w:ascii="宋体" w:hAnsi="宋体" w:cs="宋体"/>
          <w:color w:val="auto"/>
          <w:kern w:val="0"/>
          <w:sz w:val="21"/>
          <w:szCs w:val="20"/>
          <w:highlight w:val="none"/>
          <w:u w:val="single"/>
        </w:rPr>
        <w:t xml:space="preserve">                                         </w:t>
      </w:r>
    </w:p>
    <w:p w14:paraId="71347011">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开户银行：</w:t>
      </w:r>
      <w:r>
        <w:rPr>
          <w:rFonts w:hint="eastAsia" w:ascii="宋体" w:hAnsi="宋体" w:cs="宋体"/>
          <w:color w:val="auto"/>
          <w:kern w:val="0"/>
          <w:sz w:val="21"/>
          <w:szCs w:val="20"/>
          <w:highlight w:val="none"/>
          <w:u w:val="single"/>
        </w:rPr>
        <w:t xml:space="preserve">                               　       </w:t>
      </w:r>
    </w:p>
    <w:p w14:paraId="68CD31A6">
      <w:pPr>
        <w:spacing w:line="320" w:lineRule="exact"/>
        <w:ind w:firstLine="420" w:firstLineChars="0"/>
        <w:rPr>
          <w:rFonts w:hint="eastAsia" w:ascii="宋体" w:hAnsi="宋体" w:cs="宋体"/>
          <w:color w:val="auto"/>
          <w:kern w:val="0"/>
          <w:sz w:val="21"/>
          <w:szCs w:val="20"/>
          <w:highlight w:val="none"/>
        </w:rPr>
      </w:pPr>
      <w:r>
        <w:rPr>
          <w:rFonts w:hint="eastAsia" w:ascii="宋体" w:hAnsi="宋体" w:cs="宋体"/>
          <w:color w:val="auto"/>
          <w:kern w:val="0"/>
          <w:sz w:val="21"/>
          <w:szCs w:val="20"/>
          <w:highlight w:val="none"/>
        </w:rPr>
        <w:t>账号：</w:t>
      </w:r>
      <w:r>
        <w:rPr>
          <w:rFonts w:hint="eastAsia" w:ascii="宋体" w:hAnsi="宋体" w:cs="宋体"/>
          <w:color w:val="auto"/>
          <w:kern w:val="0"/>
          <w:sz w:val="21"/>
          <w:szCs w:val="20"/>
          <w:highlight w:val="none"/>
          <w:u w:val="single"/>
        </w:rPr>
        <w:t xml:space="preserve">                                   　　　   </w:t>
      </w:r>
    </w:p>
    <w:p w14:paraId="44410972">
      <w:pPr>
        <w:spacing w:line="340" w:lineRule="exact"/>
        <w:ind w:firstLine="420" w:firstLineChars="0"/>
        <w:rPr>
          <w:rFonts w:hint="eastAsia" w:ascii="宋体" w:hAnsi="宋体" w:cs="宋体"/>
          <w:color w:val="auto"/>
          <w:kern w:val="0"/>
          <w:sz w:val="21"/>
          <w:szCs w:val="20"/>
          <w:highlight w:val="none"/>
        </w:rPr>
      </w:pPr>
    </w:p>
    <w:p w14:paraId="12512F74">
      <w:pPr>
        <w:spacing w:line="340" w:lineRule="exact"/>
        <w:ind w:firstLine="420" w:firstLineChars="0"/>
        <w:rPr>
          <w:rFonts w:hint="eastAsia" w:ascii="宋体" w:hAnsi="宋体" w:cs="宋体"/>
          <w:color w:val="auto"/>
          <w:sz w:val="21"/>
          <w:szCs w:val="20"/>
          <w:highlight w:val="none"/>
        </w:rPr>
      </w:pPr>
      <w:r>
        <w:rPr>
          <w:rFonts w:hint="eastAsia" w:ascii="宋体" w:hAnsi="宋体" w:cs="宋体"/>
          <w:color w:val="auto"/>
          <w:sz w:val="21"/>
          <w:szCs w:val="20"/>
          <w:highlight w:val="none"/>
        </w:rPr>
        <w:t>供应商</w:t>
      </w:r>
      <w:r>
        <w:rPr>
          <w:rFonts w:hint="eastAsia" w:ascii="宋体" w:hAnsi="宋体" w:cs="宋体"/>
          <w:bCs/>
          <w:color w:val="auto"/>
          <w:sz w:val="21"/>
          <w:szCs w:val="21"/>
          <w:highlight w:val="none"/>
        </w:rPr>
        <w:t>（</w:t>
      </w:r>
      <w:r>
        <w:rPr>
          <w:rFonts w:ascii="宋体" w:hAnsi="宋体" w:cs="宋体"/>
          <w:bCs/>
          <w:color w:val="auto"/>
          <w:sz w:val="21"/>
          <w:szCs w:val="21"/>
          <w:highlight w:val="none"/>
        </w:rPr>
        <w:t>电子签章</w:t>
      </w:r>
      <w:r>
        <w:rPr>
          <w:rFonts w:hint="eastAsia" w:ascii="宋体" w:hAnsi="宋体" w:cs="宋体"/>
          <w:bCs/>
          <w:color w:val="auto"/>
          <w:sz w:val="21"/>
          <w:szCs w:val="21"/>
          <w:highlight w:val="none"/>
        </w:rPr>
        <w:t>）</w:t>
      </w:r>
      <w:r>
        <w:rPr>
          <w:rFonts w:hint="eastAsia" w:ascii="宋体" w:hAnsi="宋体" w:cs="宋体"/>
          <w:color w:val="auto"/>
          <w:sz w:val="21"/>
          <w:szCs w:val="20"/>
          <w:highlight w:val="none"/>
        </w:rPr>
        <w:t>：</w:t>
      </w:r>
      <w:r>
        <w:rPr>
          <w:rFonts w:hint="eastAsia" w:ascii="宋体" w:hAnsi="宋体" w:cs="宋体"/>
          <w:color w:val="auto"/>
          <w:kern w:val="0"/>
          <w:sz w:val="21"/>
          <w:szCs w:val="20"/>
          <w:highlight w:val="none"/>
          <w:u w:val="single"/>
        </w:rPr>
        <w:t xml:space="preserve">                      </w:t>
      </w:r>
    </w:p>
    <w:p w14:paraId="155794FE">
      <w:pPr>
        <w:spacing w:line="340" w:lineRule="exact"/>
        <w:ind w:firstLine="420" w:firstLineChars="0"/>
        <w:rPr>
          <w:rFonts w:hint="eastAsia" w:ascii="宋体" w:hAnsi="宋体" w:cs="宋体"/>
          <w:color w:val="auto"/>
          <w:sz w:val="21"/>
          <w:szCs w:val="20"/>
          <w:highlight w:val="none"/>
        </w:rPr>
      </w:pPr>
      <w:r>
        <w:rPr>
          <w:rFonts w:hint="eastAsia" w:ascii="宋体" w:hAnsi="宋体" w:cs="宋体"/>
          <w:color w:val="auto"/>
          <w:sz w:val="21"/>
          <w:szCs w:val="20"/>
          <w:highlight w:val="none"/>
        </w:rPr>
        <w:t>法定代表人或相应的委托代理人签字</w:t>
      </w:r>
      <w:r>
        <w:rPr>
          <w:rFonts w:hint="eastAsia" w:ascii="宋体" w:hAnsi="宋体" w:cs="宋体"/>
          <w:bCs/>
          <w:color w:val="auto"/>
          <w:sz w:val="21"/>
          <w:szCs w:val="21"/>
          <w:highlight w:val="none"/>
        </w:rPr>
        <w:t>（或电子签名）</w:t>
      </w:r>
      <w:r>
        <w:rPr>
          <w:rFonts w:hint="eastAsia" w:ascii="宋体" w:hAnsi="宋体" w:cs="宋体"/>
          <w:color w:val="auto"/>
          <w:sz w:val="21"/>
          <w:szCs w:val="20"/>
          <w:highlight w:val="none"/>
        </w:rPr>
        <w:t>：</w:t>
      </w:r>
      <w:r>
        <w:rPr>
          <w:rFonts w:hint="eastAsia" w:ascii="宋体" w:hAnsi="宋体" w:cs="宋体"/>
          <w:color w:val="auto"/>
          <w:kern w:val="0"/>
          <w:sz w:val="21"/>
          <w:szCs w:val="20"/>
          <w:highlight w:val="none"/>
          <w:u w:val="single"/>
        </w:rPr>
        <w:t xml:space="preserve">                      </w:t>
      </w:r>
    </w:p>
    <w:p w14:paraId="5C204D34">
      <w:pPr>
        <w:spacing w:line="340" w:lineRule="exact"/>
        <w:ind w:firstLine="420" w:firstLineChars="0"/>
        <w:rPr>
          <w:rFonts w:hint="eastAsia" w:ascii="宋体" w:hAnsi="宋体" w:cs="宋体"/>
          <w:color w:val="auto"/>
          <w:sz w:val="21"/>
          <w:szCs w:val="20"/>
          <w:highlight w:val="none"/>
          <w:u w:val="single"/>
        </w:rPr>
      </w:pPr>
      <w:r>
        <w:rPr>
          <w:rFonts w:hint="eastAsia" w:ascii="宋体" w:hAnsi="宋体" w:cs="宋体"/>
          <w:color w:val="auto"/>
          <w:sz w:val="21"/>
          <w:szCs w:val="20"/>
          <w:highlight w:val="none"/>
        </w:rPr>
        <w:t>日期：</w:t>
      </w:r>
      <w:r>
        <w:rPr>
          <w:rFonts w:hint="eastAsia" w:ascii="宋体" w:hAnsi="宋体" w:cs="宋体"/>
          <w:color w:val="auto"/>
          <w:kern w:val="0"/>
          <w:sz w:val="21"/>
          <w:szCs w:val="20"/>
          <w:highlight w:val="none"/>
          <w:u w:val="single"/>
        </w:rPr>
        <w:t xml:space="preserve">                      </w:t>
      </w:r>
    </w:p>
    <w:p w14:paraId="325430A6">
      <w:pPr>
        <w:spacing w:line="340" w:lineRule="exact"/>
        <w:ind w:firstLine="420"/>
        <w:rPr>
          <w:rFonts w:hint="eastAsia" w:ascii="宋体" w:hAnsi="宋体" w:cs="宋体"/>
          <w:bCs/>
          <w:color w:val="auto"/>
          <w:sz w:val="21"/>
          <w:szCs w:val="20"/>
          <w:highlight w:val="none"/>
        </w:rPr>
      </w:pPr>
    </w:p>
    <w:p w14:paraId="3F366C9D">
      <w:pPr>
        <w:spacing w:line="340" w:lineRule="exact"/>
        <w:ind w:firstLine="420"/>
        <w:rPr>
          <w:rFonts w:hint="eastAsia" w:ascii="宋体" w:hAnsi="宋体" w:cs="宋体"/>
          <w:bCs/>
          <w:color w:val="auto"/>
          <w:sz w:val="21"/>
          <w:szCs w:val="20"/>
          <w:highlight w:val="none"/>
        </w:rPr>
      </w:pPr>
    </w:p>
    <w:p w14:paraId="344F791F">
      <w:pPr>
        <w:spacing w:line="34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0"/>
          <w:highlight w:val="none"/>
        </w:rPr>
        <w:t>注：1.未按照本响应函（格式）要求填报的响应函将被视为非实质性响应竞争性谈判文件要求，从而导致该响应被拒绝。</w:t>
      </w:r>
    </w:p>
    <w:p w14:paraId="5AB327F6">
      <w:pPr>
        <w:spacing w:line="340" w:lineRule="exact"/>
        <w:ind w:firstLine="420"/>
        <w:rPr>
          <w:rFonts w:hint="eastAsia" w:ascii="宋体" w:hAnsi="宋体" w:cs="宋体"/>
          <w:bCs/>
          <w:color w:val="auto"/>
          <w:sz w:val="21"/>
          <w:szCs w:val="20"/>
          <w:highlight w:val="none"/>
        </w:rPr>
      </w:pPr>
      <w:r>
        <w:rPr>
          <w:rFonts w:hint="eastAsia" w:ascii="宋体" w:hAnsi="宋体" w:cs="宋体"/>
          <w:bCs/>
          <w:color w:val="auto"/>
          <w:sz w:val="21"/>
          <w:szCs w:val="21"/>
          <w:highlight w:val="none"/>
        </w:rPr>
        <w:t>2.供应商必须按</w:t>
      </w:r>
      <w:r>
        <w:rPr>
          <w:rFonts w:hint="eastAsia" w:ascii="宋体" w:hAnsi="宋体" w:cs="宋体"/>
          <w:bCs/>
          <w:color w:val="auto"/>
          <w:sz w:val="21"/>
          <w:szCs w:val="20"/>
          <w:highlight w:val="none"/>
        </w:rPr>
        <w:t>本响应函（格式）</w:t>
      </w:r>
      <w:r>
        <w:rPr>
          <w:rFonts w:hint="eastAsia" w:ascii="宋体" w:hAnsi="宋体" w:cs="宋体"/>
          <w:bCs/>
          <w:color w:val="auto"/>
          <w:sz w:val="21"/>
          <w:szCs w:val="21"/>
          <w:highlight w:val="none"/>
        </w:rPr>
        <w:t>要求注明清楚联系方式（包括地址、邮编、邮箱、电话等），从而确保成交结果等相关信息能及时通知到位。</w:t>
      </w:r>
    </w:p>
    <w:p w14:paraId="094B8751">
      <w:pPr>
        <w:spacing w:line="340" w:lineRule="exact"/>
        <w:ind w:left="960" w:leftChars="400" w:firstLine="0" w:firstLineChars="0"/>
        <w:rPr>
          <w:rFonts w:hint="eastAsia" w:ascii="宋体" w:hAnsi="宋体" w:cs="宋体"/>
          <w:bCs/>
          <w:color w:val="auto"/>
          <w:sz w:val="21"/>
          <w:szCs w:val="21"/>
          <w:highlight w:val="none"/>
        </w:rPr>
      </w:pPr>
    </w:p>
    <w:p w14:paraId="23E8BD51">
      <w:pPr>
        <w:spacing w:line="320" w:lineRule="exact"/>
        <w:ind w:firstLine="0" w:firstLineChars="0"/>
        <w:rPr>
          <w:rFonts w:hint="eastAsia" w:ascii="宋体" w:hAnsi="宋体"/>
          <w:b/>
          <w:color w:val="auto"/>
          <w:kern w:val="0"/>
          <w:sz w:val="28"/>
          <w:szCs w:val="28"/>
          <w:highlight w:val="none"/>
        </w:rPr>
        <w:sectPr>
          <w:headerReference r:id="rId19" w:type="first"/>
          <w:footerReference r:id="rId22" w:type="first"/>
          <w:headerReference r:id="rId17" w:type="default"/>
          <w:footerReference r:id="rId20" w:type="default"/>
          <w:headerReference r:id="rId18" w:type="even"/>
          <w:footerReference r:id="rId21" w:type="even"/>
          <w:pgSz w:w="11906" w:h="16838"/>
          <w:pgMar w:top="1440" w:right="1800" w:bottom="1440" w:left="1418" w:header="851" w:footer="992" w:gutter="0"/>
          <w:cols w:space="720" w:num="1"/>
          <w:docGrid w:type="lines" w:linePitch="326" w:charSpace="0"/>
        </w:sectPr>
      </w:pPr>
    </w:p>
    <w:p w14:paraId="65B8CA83">
      <w:pPr>
        <w:spacing w:line="320" w:lineRule="exact"/>
        <w:ind w:firstLine="0" w:firstLineChars="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2.谈判报价表（必须提供）</w:t>
      </w:r>
    </w:p>
    <w:p w14:paraId="64C64504">
      <w:pPr>
        <w:spacing w:line="300" w:lineRule="exact"/>
        <w:ind w:firstLine="0" w:firstLineChars="0"/>
        <w:jc w:val="left"/>
        <w:rPr>
          <w:rFonts w:hint="eastAsia" w:ascii="宋体" w:hAnsi="宋体" w:cs="宋体"/>
          <w:b/>
          <w:color w:val="auto"/>
          <w:kern w:val="0"/>
          <w:sz w:val="30"/>
          <w:szCs w:val="30"/>
          <w:highlight w:val="none"/>
        </w:rPr>
      </w:pPr>
      <w:r>
        <w:rPr>
          <w:rFonts w:hint="eastAsia" w:ascii="宋体" w:hAnsi="宋体" w:cs="宋体"/>
          <w:b/>
          <w:color w:val="auto"/>
          <w:kern w:val="0"/>
          <w:sz w:val="30"/>
          <w:szCs w:val="30"/>
          <w:highlight w:val="none"/>
        </w:rPr>
        <w:t xml:space="preserve">附件：                                      </w:t>
      </w:r>
    </w:p>
    <w:p w14:paraId="45F3856A">
      <w:pPr>
        <w:spacing w:line="500" w:lineRule="exact"/>
        <w:ind w:left="420" w:firstLine="0" w:firstLineChars="0"/>
        <w:jc w:val="center"/>
        <w:rPr>
          <w:rFonts w:hint="eastAsia" w:ascii="宋体" w:hAnsi="宋体" w:cs="宋体"/>
          <w:b/>
          <w:color w:val="auto"/>
          <w:kern w:val="0"/>
          <w:sz w:val="32"/>
          <w:szCs w:val="20"/>
          <w:highlight w:val="none"/>
        </w:rPr>
      </w:pPr>
      <w:r>
        <w:rPr>
          <w:rFonts w:hint="eastAsia" w:ascii="宋体" w:hAnsi="宋体" w:cs="宋体"/>
          <w:b/>
          <w:color w:val="auto"/>
          <w:kern w:val="0"/>
          <w:sz w:val="32"/>
          <w:szCs w:val="20"/>
          <w:highlight w:val="none"/>
        </w:rPr>
        <w:t>谈判报价表（格式）</w:t>
      </w:r>
    </w:p>
    <w:tbl>
      <w:tblPr>
        <w:tblStyle w:val="43"/>
        <w:tblW w:w="1389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7"/>
        <w:gridCol w:w="1410"/>
        <w:gridCol w:w="2151"/>
        <w:gridCol w:w="1110"/>
        <w:gridCol w:w="1276"/>
        <w:gridCol w:w="1826"/>
        <w:gridCol w:w="966"/>
        <w:gridCol w:w="841"/>
        <w:gridCol w:w="1530"/>
        <w:gridCol w:w="2068"/>
      </w:tblGrid>
      <w:tr w14:paraId="3ED4DC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3" w:hRule="atLeast"/>
        </w:trPr>
        <w:tc>
          <w:tcPr>
            <w:tcW w:w="717" w:type="dxa"/>
            <w:tcBorders>
              <w:top w:val="single" w:color="auto" w:sz="4" w:space="0"/>
              <w:left w:val="single" w:color="auto" w:sz="4" w:space="0"/>
              <w:bottom w:val="single" w:color="auto" w:sz="4" w:space="0"/>
              <w:right w:val="single" w:color="auto" w:sz="4" w:space="0"/>
            </w:tcBorders>
            <w:vAlign w:val="center"/>
          </w:tcPr>
          <w:p w14:paraId="115A3FE7">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项号</w:t>
            </w:r>
          </w:p>
        </w:tc>
        <w:tc>
          <w:tcPr>
            <w:tcW w:w="1410" w:type="dxa"/>
            <w:tcBorders>
              <w:top w:val="single" w:color="auto" w:sz="4" w:space="0"/>
              <w:left w:val="single" w:color="auto" w:sz="4" w:space="0"/>
              <w:bottom w:val="single" w:color="auto" w:sz="4" w:space="0"/>
              <w:right w:val="single" w:color="auto" w:sz="4" w:space="0"/>
            </w:tcBorders>
            <w:vAlign w:val="center"/>
          </w:tcPr>
          <w:p w14:paraId="0274FB5C">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标的名称</w:t>
            </w:r>
          </w:p>
        </w:tc>
        <w:tc>
          <w:tcPr>
            <w:tcW w:w="2151" w:type="dxa"/>
            <w:tcBorders>
              <w:top w:val="single" w:color="auto" w:sz="4" w:space="0"/>
              <w:left w:val="single" w:color="auto" w:sz="4" w:space="0"/>
              <w:bottom w:val="single" w:color="auto" w:sz="4" w:space="0"/>
              <w:right w:val="single" w:color="auto" w:sz="4" w:space="0"/>
            </w:tcBorders>
            <w:vAlign w:val="center"/>
          </w:tcPr>
          <w:p w14:paraId="20E7FA0B">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生产厂家（或制造商）</w:t>
            </w:r>
          </w:p>
        </w:tc>
        <w:tc>
          <w:tcPr>
            <w:tcW w:w="1110" w:type="dxa"/>
            <w:tcBorders>
              <w:top w:val="single" w:color="auto" w:sz="4" w:space="0"/>
              <w:left w:val="single" w:color="auto" w:sz="4" w:space="0"/>
              <w:bottom w:val="single" w:color="auto" w:sz="4" w:space="0"/>
              <w:right w:val="single" w:color="auto" w:sz="4" w:space="0"/>
            </w:tcBorders>
            <w:vAlign w:val="center"/>
          </w:tcPr>
          <w:p w14:paraId="1D27861F">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品牌</w:t>
            </w:r>
          </w:p>
        </w:tc>
        <w:tc>
          <w:tcPr>
            <w:tcW w:w="1276" w:type="dxa"/>
            <w:tcBorders>
              <w:top w:val="single" w:color="auto" w:sz="4" w:space="0"/>
              <w:left w:val="single" w:color="auto" w:sz="4" w:space="0"/>
              <w:bottom w:val="single" w:color="auto" w:sz="4" w:space="0"/>
              <w:right w:val="single" w:color="auto" w:sz="4" w:space="0"/>
            </w:tcBorders>
            <w:vAlign w:val="center"/>
          </w:tcPr>
          <w:p w14:paraId="52DB2DF5">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规格型号</w:t>
            </w:r>
          </w:p>
        </w:tc>
        <w:tc>
          <w:tcPr>
            <w:tcW w:w="1826" w:type="dxa"/>
            <w:tcBorders>
              <w:top w:val="single" w:color="auto" w:sz="4" w:space="0"/>
              <w:left w:val="single" w:color="auto" w:sz="4" w:space="0"/>
              <w:bottom w:val="single" w:color="auto" w:sz="4" w:space="0"/>
              <w:right w:val="single" w:color="auto" w:sz="4" w:space="0"/>
            </w:tcBorders>
            <w:vAlign w:val="center"/>
          </w:tcPr>
          <w:p w14:paraId="38683CDD">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技术参数、性能、配置</w:t>
            </w:r>
          </w:p>
        </w:tc>
        <w:tc>
          <w:tcPr>
            <w:tcW w:w="966" w:type="dxa"/>
            <w:tcBorders>
              <w:top w:val="single" w:color="auto" w:sz="4" w:space="0"/>
              <w:left w:val="single" w:color="auto" w:sz="4" w:space="0"/>
              <w:bottom w:val="single" w:color="auto" w:sz="4" w:space="0"/>
              <w:right w:val="single" w:color="auto" w:sz="4" w:space="0"/>
            </w:tcBorders>
            <w:vAlign w:val="center"/>
          </w:tcPr>
          <w:p w14:paraId="4AF932C2">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数量①</w:t>
            </w:r>
          </w:p>
        </w:tc>
        <w:tc>
          <w:tcPr>
            <w:tcW w:w="841" w:type="dxa"/>
            <w:tcBorders>
              <w:top w:val="single" w:color="auto" w:sz="4" w:space="0"/>
              <w:left w:val="single" w:color="auto" w:sz="4" w:space="0"/>
              <w:bottom w:val="single" w:color="auto" w:sz="4" w:space="0"/>
              <w:right w:val="single" w:color="auto" w:sz="4" w:space="0"/>
            </w:tcBorders>
            <w:vAlign w:val="center"/>
          </w:tcPr>
          <w:p w14:paraId="34B4AEB3">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单位</w:t>
            </w:r>
          </w:p>
        </w:tc>
        <w:tc>
          <w:tcPr>
            <w:tcW w:w="1530" w:type="dxa"/>
            <w:tcBorders>
              <w:top w:val="single" w:color="auto" w:sz="4" w:space="0"/>
              <w:left w:val="single" w:color="auto" w:sz="4" w:space="0"/>
              <w:bottom w:val="single" w:color="auto" w:sz="4" w:space="0"/>
              <w:right w:val="single" w:color="auto" w:sz="4" w:space="0"/>
            </w:tcBorders>
            <w:vAlign w:val="center"/>
          </w:tcPr>
          <w:p w14:paraId="70BDD93A">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单价（元）</w:t>
            </w:r>
          </w:p>
          <w:p w14:paraId="6B39B0CB">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②</w:t>
            </w:r>
          </w:p>
        </w:tc>
        <w:tc>
          <w:tcPr>
            <w:tcW w:w="2068" w:type="dxa"/>
            <w:tcBorders>
              <w:top w:val="single" w:color="auto" w:sz="4" w:space="0"/>
              <w:left w:val="single" w:color="auto" w:sz="4" w:space="0"/>
              <w:bottom w:val="single" w:color="auto" w:sz="4" w:space="0"/>
            </w:tcBorders>
            <w:vAlign w:val="center"/>
          </w:tcPr>
          <w:p w14:paraId="109A4414">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合计金额=数量×单价③＝①×②</w:t>
            </w:r>
          </w:p>
        </w:tc>
      </w:tr>
      <w:tr w14:paraId="747E1E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2" w:hRule="atLeast"/>
        </w:trPr>
        <w:tc>
          <w:tcPr>
            <w:tcW w:w="717" w:type="dxa"/>
            <w:tcBorders>
              <w:top w:val="single" w:color="auto" w:sz="4" w:space="0"/>
              <w:left w:val="single" w:color="auto" w:sz="4" w:space="0"/>
              <w:bottom w:val="nil"/>
              <w:right w:val="single" w:color="auto" w:sz="4" w:space="0"/>
            </w:tcBorders>
            <w:vAlign w:val="center"/>
          </w:tcPr>
          <w:p w14:paraId="4E790C58">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1</w:t>
            </w:r>
          </w:p>
        </w:tc>
        <w:tc>
          <w:tcPr>
            <w:tcW w:w="1410" w:type="dxa"/>
            <w:tcBorders>
              <w:top w:val="single" w:color="auto" w:sz="4" w:space="0"/>
              <w:left w:val="single" w:color="auto" w:sz="4" w:space="0"/>
              <w:bottom w:val="nil"/>
              <w:right w:val="single" w:color="auto" w:sz="4" w:space="0"/>
            </w:tcBorders>
            <w:vAlign w:val="center"/>
          </w:tcPr>
          <w:p w14:paraId="52B44F87">
            <w:pPr>
              <w:adjustRightInd w:val="0"/>
              <w:snapToGrid w:val="0"/>
              <w:spacing w:line="320" w:lineRule="exact"/>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夏凉被</w:t>
            </w:r>
          </w:p>
        </w:tc>
        <w:tc>
          <w:tcPr>
            <w:tcW w:w="2151" w:type="dxa"/>
            <w:tcBorders>
              <w:top w:val="single" w:color="auto" w:sz="4" w:space="0"/>
              <w:left w:val="single" w:color="auto" w:sz="4" w:space="0"/>
              <w:bottom w:val="nil"/>
              <w:right w:val="single" w:color="auto" w:sz="4" w:space="0"/>
            </w:tcBorders>
            <w:vAlign w:val="center"/>
          </w:tcPr>
          <w:p w14:paraId="6CF262A4">
            <w:pPr>
              <w:adjustRightInd w:val="0"/>
              <w:snapToGrid w:val="0"/>
              <w:spacing w:line="320" w:lineRule="exact"/>
              <w:ind w:firstLine="0" w:firstLineChars="0"/>
              <w:jc w:val="center"/>
              <w:rPr>
                <w:rFonts w:hint="eastAsia" w:ascii="宋体" w:hAnsi="宋体"/>
                <w:color w:val="auto"/>
                <w:sz w:val="21"/>
                <w:szCs w:val="21"/>
                <w:highlight w:val="none"/>
              </w:rPr>
            </w:pPr>
          </w:p>
        </w:tc>
        <w:tc>
          <w:tcPr>
            <w:tcW w:w="1110" w:type="dxa"/>
            <w:tcBorders>
              <w:top w:val="single" w:color="auto" w:sz="4" w:space="0"/>
              <w:left w:val="single" w:color="auto" w:sz="4" w:space="0"/>
              <w:bottom w:val="nil"/>
              <w:right w:val="single" w:color="auto" w:sz="4" w:space="0"/>
            </w:tcBorders>
            <w:vAlign w:val="center"/>
          </w:tcPr>
          <w:p w14:paraId="7602F5A6">
            <w:pPr>
              <w:adjustRightInd w:val="0"/>
              <w:snapToGrid w:val="0"/>
              <w:spacing w:line="320" w:lineRule="exact"/>
              <w:ind w:firstLine="0" w:firstLineChars="0"/>
              <w:jc w:val="center"/>
              <w:rPr>
                <w:rFonts w:hint="eastAsia" w:ascii="宋体" w:hAnsi="宋体" w:cs="宋体"/>
                <w:color w:val="auto"/>
                <w:sz w:val="21"/>
                <w:szCs w:val="21"/>
                <w:highlight w:val="none"/>
              </w:rPr>
            </w:pPr>
          </w:p>
        </w:tc>
        <w:tc>
          <w:tcPr>
            <w:tcW w:w="1276" w:type="dxa"/>
            <w:tcBorders>
              <w:top w:val="single" w:color="auto" w:sz="4" w:space="0"/>
              <w:left w:val="single" w:color="auto" w:sz="4" w:space="0"/>
              <w:bottom w:val="nil"/>
              <w:right w:val="single" w:color="auto" w:sz="4" w:space="0"/>
            </w:tcBorders>
            <w:vAlign w:val="center"/>
          </w:tcPr>
          <w:p w14:paraId="50B6BED6">
            <w:pPr>
              <w:adjustRightInd w:val="0"/>
              <w:snapToGrid w:val="0"/>
              <w:spacing w:line="320" w:lineRule="exact"/>
              <w:ind w:firstLine="0" w:firstLineChars="0"/>
              <w:jc w:val="center"/>
              <w:rPr>
                <w:rFonts w:hint="eastAsia" w:ascii="宋体" w:hAnsi="宋体" w:cs="宋体"/>
                <w:color w:val="auto"/>
                <w:sz w:val="21"/>
                <w:szCs w:val="21"/>
                <w:highlight w:val="none"/>
              </w:rPr>
            </w:pPr>
          </w:p>
        </w:tc>
        <w:tc>
          <w:tcPr>
            <w:tcW w:w="1826" w:type="dxa"/>
            <w:vMerge w:val="restart"/>
            <w:tcBorders>
              <w:left w:val="single" w:color="auto" w:sz="4" w:space="0"/>
              <w:right w:val="single" w:color="auto" w:sz="4" w:space="0"/>
            </w:tcBorders>
            <w:vAlign w:val="center"/>
          </w:tcPr>
          <w:p w14:paraId="3F238D4A">
            <w:pPr>
              <w:adjustRightInd w:val="0"/>
              <w:snapToGrid w:val="0"/>
              <w:spacing w:line="320" w:lineRule="exac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详见技术响应承诺书</w:t>
            </w:r>
          </w:p>
        </w:tc>
        <w:tc>
          <w:tcPr>
            <w:tcW w:w="966" w:type="dxa"/>
            <w:tcBorders>
              <w:top w:val="single" w:color="auto" w:sz="4" w:space="0"/>
              <w:left w:val="single" w:color="auto" w:sz="4" w:space="0"/>
              <w:bottom w:val="nil"/>
              <w:right w:val="single" w:color="auto" w:sz="4" w:space="0"/>
            </w:tcBorders>
            <w:vAlign w:val="center"/>
          </w:tcPr>
          <w:p w14:paraId="08B52EB7">
            <w:pPr>
              <w:adjustRightInd w:val="0"/>
              <w:snapToGrid w:val="0"/>
              <w:spacing w:line="320" w:lineRule="exact"/>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9800</w:t>
            </w:r>
          </w:p>
        </w:tc>
        <w:tc>
          <w:tcPr>
            <w:tcW w:w="841" w:type="dxa"/>
            <w:tcBorders>
              <w:top w:val="single" w:color="auto" w:sz="4" w:space="0"/>
              <w:left w:val="single" w:color="auto" w:sz="4" w:space="0"/>
              <w:bottom w:val="nil"/>
              <w:right w:val="single" w:color="auto" w:sz="4" w:space="0"/>
            </w:tcBorders>
            <w:vAlign w:val="center"/>
          </w:tcPr>
          <w:p w14:paraId="5E87095A">
            <w:pPr>
              <w:adjustRightInd w:val="0"/>
              <w:snapToGrid w:val="0"/>
              <w:spacing w:line="320" w:lineRule="exact"/>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床</w:t>
            </w:r>
          </w:p>
        </w:tc>
        <w:tc>
          <w:tcPr>
            <w:tcW w:w="1530" w:type="dxa"/>
            <w:tcBorders>
              <w:top w:val="single" w:color="auto" w:sz="4" w:space="0"/>
              <w:left w:val="single" w:color="auto" w:sz="4" w:space="0"/>
              <w:bottom w:val="nil"/>
              <w:right w:val="single" w:color="auto" w:sz="4" w:space="0"/>
            </w:tcBorders>
            <w:vAlign w:val="center"/>
          </w:tcPr>
          <w:p w14:paraId="08439007">
            <w:pPr>
              <w:adjustRightInd w:val="0"/>
              <w:snapToGrid w:val="0"/>
              <w:spacing w:line="320" w:lineRule="exact"/>
              <w:ind w:firstLine="0" w:firstLineChars="0"/>
              <w:jc w:val="center"/>
              <w:rPr>
                <w:rFonts w:hint="eastAsia" w:ascii="宋体" w:hAnsi="宋体"/>
                <w:b/>
                <w:bCs/>
                <w:color w:val="auto"/>
                <w:sz w:val="21"/>
                <w:szCs w:val="21"/>
                <w:highlight w:val="none"/>
              </w:rPr>
            </w:pPr>
          </w:p>
        </w:tc>
        <w:tc>
          <w:tcPr>
            <w:tcW w:w="2068" w:type="dxa"/>
            <w:tcBorders>
              <w:top w:val="single" w:color="auto" w:sz="4" w:space="0"/>
              <w:left w:val="single" w:color="auto" w:sz="4" w:space="0"/>
              <w:bottom w:val="nil"/>
            </w:tcBorders>
            <w:vAlign w:val="center"/>
          </w:tcPr>
          <w:p w14:paraId="540C83C5">
            <w:pPr>
              <w:adjustRightInd w:val="0"/>
              <w:snapToGrid w:val="0"/>
              <w:spacing w:line="320" w:lineRule="exact"/>
              <w:ind w:firstLine="0" w:firstLineChars="0"/>
              <w:jc w:val="center"/>
              <w:rPr>
                <w:rFonts w:hint="eastAsia" w:ascii="宋体" w:hAnsi="宋体"/>
                <w:b/>
                <w:bCs/>
                <w:color w:val="auto"/>
                <w:sz w:val="21"/>
                <w:szCs w:val="21"/>
                <w:highlight w:val="none"/>
              </w:rPr>
            </w:pPr>
          </w:p>
        </w:tc>
      </w:tr>
      <w:tr w14:paraId="1E124C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2" w:hRule="atLeast"/>
        </w:trPr>
        <w:tc>
          <w:tcPr>
            <w:tcW w:w="717" w:type="dxa"/>
            <w:tcBorders>
              <w:top w:val="single" w:color="auto" w:sz="4" w:space="0"/>
              <w:left w:val="single" w:color="auto" w:sz="4" w:space="0"/>
              <w:bottom w:val="nil"/>
              <w:right w:val="single" w:color="auto" w:sz="4" w:space="0"/>
            </w:tcBorders>
            <w:vAlign w:val="center"/>
          </w:tcPr>
          <w:p w14:paraId="2323E699">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2</w:t>
            </w:r>
          </w:p>
        </w:tc>
        <w:tc>
          <w:tcPr>
            <w:tcW w:w="1410" w:type="dxa"/>
            <w:tcBorders>
              <w:top w:val="single" w:color="auto" w:sz="4" w:space="0"/>
              <w:left w:val="single" w:color="auto" w:sz="4" w:space="0"/>
              <w:bottom w:val="nil"/>
              <w:right w:val="single" w:color="auto" w:sz="4" w:space="0"/>
            </w:tcBorders>
            <w:vAlign w:val="center"/>
          </w:tcPr>
          <w:p w14:paraId="64EF11FA">
            <w:pPr>
              <w:adjustRightInd w:val="0"/>
              <w:snapToGrid w:val="0"/>
              <w:spacing w:line="320" w:lineRule="exact"/>
              <w:ind w:firstLine="0" w:firstLineChars="0"/>
              <w:jc w:val="center"/>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台式</w:t>
            </w:r>
            <w:r>
              <w:rPr>
                <w:rFonts w:hint="eastAsia" w:ascii="宋体" w:hAnsi="宋体" w:eastAsia="宋体" w:cs="Times New Roman"/>
                <w:color w:val="auto"/>
                <w:sz w:val="21"/>
                <w:szCs w:val="21"/>
                <w:highlight w:val="none"/>
              </w:rPr>
              <w:t>风扇</w:t>
            </w:r>
          </w:p>
        </w:tc>
        <w:tc>
          <w:tcPr>
            <w:tcW w:w="2151" w:type="dxa"/>
            <w:tcBorders>
              <w:top w:val="single" w:color="auto" w:sz="4" w:space="0"/>
              <w:left w:val="single" w:color="auto" w:sz="4" w:space="0"/>
              <w:bottom w:val="nil"/>
              <w:right w:val="single" w:color="auto" w:sz="4" w:space="0"/>
            </w:tcBorders>
            <w:vAlign w:val="center"/>
          </w:tcPr>
          <w:p w14:paraId="244CB5C0">
            <w:pPr>
              <w:adjustRightInd w:val="0"/>
              <w:snapToGrid w:val="0"/>
              <w:spacing w:line="320" w:lineRule="exact"/>
              <w:ind w:firstLine="0" w:firstLineChars="0"/>
              <w:jc w:val="center"/>
              <w:rPr>
                <w:rFonts w:hint="eastAsia" w:ascii="宋体" w:hAnsi="宋体"/>
                <w:color w:val="auto"/>
                <w:sz w:val="21"/>
                <w:szCs w:val="21"/>
                <w:highlight w:val="none"/>
              </w:rPr>
            </w:pPr>
          </w:p>
        </w:tc>
        <w:tc>
          <w:tcPr>
            <w:tcW w:w="1110" w:type="dxa"/>
            <w:tcBorders>
              <w:top w:val="single" w:color="auto" w:sz="4" w:space="0"/>
              <w:left w:val="single" w:color="auto" w:sz="4" w:space="0"/>
              <w:bottom w:val="nil"/>
              <w:right w:val="single" w:color="auto" w:sz="4" w:space="0"/>
            </w:tcBorders>
            <w:vAlign w:val="center"/>
          </w:tcPr>
          <w:p w14:paraId="7AA554A6">
            <w:pPr>
              <w:adjustRightInd w:val="0"/>
              <w:snapToGrid w:val="0"/>
              <w:spacing w:line="320" w:lineRule="exact"/>
              <w:ind w:firstLine="0" w:firstLineChars="0"/>
              <w:jc w:val="center"/>
              <w:rPr>
                <w:rFonts w:hint="eastAsia" w:ascii="宋体" w:hAnsi="宋体" w:cs="宋体"/>
                <w:color w:val="auto"/>
                <w:sz w:val="21"/>
                <w:szCs w:val="21"/>
                <w:highlight w:val="none"/>
              </w:rPr>
            </w:pPr>
          </w:p>
        </w:tc>
        <w:tc>
          <w:tcPr>
            <w:tcW w:w="1276" w:type="dxa"/>
            <w:tcBorders>
              <w:top w:val="single" w:color="auto" w:sz="4" w:space="0"/>
              <w:left w:val="single" w:color="auto" w:sz="4" w:space="0"/>
              <w:bottom w:val="nil"/>
              <w:right w:val="single" w:color="auto" w:sz="4" w:space="0"/>
            </w:tcBorders>
            <w:vAlign w:val="center"/>
          </w:tcPr>
          <w:p w14:paraId="12E7BD76">
            <w:pPr>
              <w:adjustRightInd w:val="0"/>
              <w:snapToGrid w:val="0"/>
              <w:spacing w:line="320" w:lineRule="exact"/>
              <w:ind w:firstLine="0" w:firstLineChars="0"/>
              <w:jc w:val="center"/>
              <w:rPr>
                <w:rFonts w:hint="eastAsia" w:ascii="宋体" w:hAnsi="宋体" w:cs="宋体"/>
                <w:color w:val="auto"/>
                <w:sz w:val="21"/>
                <w:szCs w:val="21"/>
                <w:highlight w:val="none"/>
              </w:rPr>
            </w:pPr>
          </w:p>
        </w:tc>
        <w:tc>
          <w:tcPr>
            <w:tcW w:w="1826" w:type="dxa"/>
            <w:vMerge w:val="continue"/>
            <w:tcBorders>
              <w:left w:val="single" w:color="auto" w:sz="4" w:space="0"/>
              <w:right w:val="single" w:color="auto" w:sz="4" w:space="0"/>
            </w:tcBorders>
            <w:vAlign w:val="center"/>
          </w:tcPr>
          <w:p w14:paraId="089307B8">
            <w:pPr>
              <w:adjustRightInd w:val="0"/>
              <w:snapToGrid w:val="0"/>
              <w:spacing w:line="320" w:lineRule="exact"/>
              <w:ind w:firstLine="0" w:firstLineChars="0"/>
              <w:jc w:val="center"/>
              <w:rPr>
                <w:rFonts w:hint="eastAsia" w:ascii="宋体" w:hAnsi="宋体" w:cs="宋体"/>
                <w:color w:val="auto"/>
                <w:sz w:val="21"/>
                <w:szCs w:val="21"/>
                <w:highlight w:val="none"/>
              </w:rPr>
            </w:pPr>
          </w:p>
        </w:tc>
        <w:tc>
          <w:tcPr>
            <w:tcW w:w="966" w:type="dxa"/>
            <w:tcBorders>
              <w:top w:val="single" w:color="auto" w:sz="4" w:space="0"/>
              <w:left w:val="single" w:color="auto" w:sz="4" w:space="0"/>
              <w:bottom w:val="nil"/>
              <w:right w:val="single" w:color="auto" w:sz="4" w:space="0"/>
            </w:tcBorders>
            <w:vAlign w:val="center"/>
          </w:tcPr>
          <w:p w14:paraId="32D9AA3E">
            <w:pPr>
              <w:adjustRightInd w:val="0"/>
              <w:snapToGrid w:val="0"/>
              <w:spacing w:line="320" w:lineRule="exact"/>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9800</w:t>
            </w:r>
          </w:p>
        </w:tc>
        <w:tc>
          <w:tcPr>
            <w:tcW w:w="841" w:type="dxa"/>
            <w:tcBorders>
              <w:top w:val="single" w:color="auto" w:sz="4" w:space="0"/>
              <w:left w:val="single" w:color="auto" w:sz="4" w:space="0"/>
              <w:bottom w:val="nil"/>
              <w:right w:val="single" w:color="auto" w:sz="4" w:space="0"/>
            </w:tcBorders>
            <w:vAlign w:val="center"/>
          </w:tcPr>
          <w:p w14:paraId="45AA94BA">
            <w:pPr>
              <w:adjustRightInd w:val="0"/>
              <w:snapToGrid w:val="0"/>
              <w:spacing w:line="320" w:lineRule="exact"/>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台</w:t>
            </w:r>
          </w:p>
        </w:tc>
        <w:tc>
          <w:tcPr>
            <w:tcW w:w="1530" w:type="dxa"/>
            <w:tcBorders>
              <w:top w:val="single" w:color="auto" w:sz="4" w:space="0"/>
              <w:left w:val="single" w:color="auto" w:sz="4" w:space="0"/>
              <w:bottom w:val="nil"/>
              <w:right w:val="single" w:color="auto" w:sz="4" w:space="0"/>
            </w:tcBorders>
            <w:vAlign w:val="center"/>
          </w:tcPr>
          <w:p w14:paraId="4A257C39">
            <w:pPr>
              <w:adjustRightInd w:val="0"/>
              <w:snapToGrid w:val="0"/>
              <w:spacing w:line="320" w:lineRule="exact"/>
              <w:ind w:firstLine="0" w:firstLineChars="0"/>
              <w:jc w:val="center"/>
              <w:rPr>
                <w:rFonts w:hint="eastAsia" w:ascii="宋体" w:hAnsi="宋体"/>
                <w:b/>
                <w:bCs/>
                <w:color w:val="auto"/>
                <w:sz w:val="21"/>
                <w:szCs w:val="21"/>
                <w:highlight w:val="none"/>
              </w:rPr>
            </w:pPr>
          </w:p>
        </w:tc>
        <w:tc>
          <w:tcPr>
            <w:tcW w:w="2068" w:type="dxa"/>
            <w:tcBorders>
              <w:top w:val="single" w:color="auto" w:sz="4" w:space="0"/>
              <w:left w:val="single" w:color="auto" w:sz="4" w:space="0"/>
              <w:bottom w:val="nil"/>
            </w:tcBorders>
            <w:vAlign w:val="center"/>
          </w:tcPr>
          <w:p w14:paraId="5BC22C82">
            <w:pPr>
              <w:adjustRightInd w:val="0"/>
              <w:snapToGrid w:val="0"/>
              <w:spacing w:line="320" w:lineRule="exact"/>
              <w:ind w:firstLine="0" w:firstLineChars="0"/>
              <w:jc w:val="center"/>
              <w:rPr>
                <w:rFonts w:hint="eastAsia" w:ascii="宋体" w:hAnsi="宋体"/>
                <w:b/>
                <w:bCs/>
                <w:color w:val="auto"/>
                <w:sz w:val="21"/>
                <w:szCs w:val="21"/>
                <w:highlight w:val="none"/>
              </w:rPr>
            </w:pPr>
          </w:p>
        </w:tc>
      </w:tr>
      <w:tr w14:paraId="1B2471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2" w:hRule="atLeast"/>
        </w:trPr>
        <w:tc>
          <w:tcPr>
            <w:tcW w:w="717" w:type="dxa"/>
            <w:tcBorders>
              <w:top w:val="single" w:color="auto" w:sz="4" w:space="0"/>
              <w:left w:val="single" w:color="auto" w:sz="4" w:space="0"/>
              <w:bottom w:val="nil"/>
              <w:right w:val="single" w:color="auto" w:sz="4" w:space="0"/>
            </w:tcBorders>
            <w:vAlign w:val="center"/>
          </w:tcPr>
          <w:p w14:paraId="5946BCCE">
            <w:pPr>
              <w:adjustRightInd w:val="0"/>
              <w:snapToGrid w:val="0"/>
              <w:spacing w:line="320" w:lineRule="exact"/>
              <w:ind w:firstLine="0" w:firstLineChars="0"/>
              <w:jc w:val="center"/>
              <w:rPr>
                <w:rFonts w:hint="eastAsia" w:ascii="宋体" w:hAnsi="宋体"/>
                <w:color w:val="auto"/>
                <w:sz w:val="21"/>
                <w:szCs w:val="21"/>
                <w:highlight w:val="none"/>
              </w:rPr>
            </w:pPr>
            <w:r>
              <w:rPr>
                <w:rFonts w:hint="eastAsia" w:ascii="宋体" w:hAnsi="宋体"/>
                <w:color w:val="auto"/>
                <w:sz w:val="21"/>
                <w:szCs w:val="21"/>
                <w:highlight w:val="none"/>
              </w:rPr>
              <w:t>3</w:t>
            </w:r>
          </w:p>
        </w:tc>
        <w:tc>
          <w:tcPr>
            <w:tcW w:w="1410" w:type="dxa"/>
            <w:tcBorders>
              <w:top w:val="single" w:color="auto" w:sz="4" w:space="0"/>
              <w:left w:val="single" w:color="auto" w:sz="4" w:space="0"/>
              <w:bottom w:val="nil"/>
              <w:right w:val="single" w:color="auto" w:sz="4" w:space="0"/>
            </w:tcBorders>
            <w:vAlign w:val="center"/>
          </w:tcPr>
          <w:p w14:paraId="73706F07">
            <w:pPr>
              <w:adjustRightInd w:val="0"/>
              <w:snapToGrid w:val="0"/>
              <w:spacing w:line="320" w:lineRule="exact"/>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慰问信</w:t>
            </w:r>
          </w:p>
        </w:tc>
        <w:tc>
          <w:tcPr>
            <w:tcW w:w="2151" w:type="dxa"/>
            <w:tcBorders>
              <w:top w:val="single" w:color="auto" w:sz="4" w:space="0"/>
              <w:left w:val="single" w:color="auto" w:sz="4" w:space="0"/>
              <w:bottom w:val="nil"/>
              <w:right w:val="single" w:color="auto" w:sz="4" w:space="0"/>
            </w:tcBorders>
            <w:vAlign w:val="center"/>
          </w:tcPr>
          <w:p w14:paraId="5336E9B2">
            <w:pPr>
              <w:adjustRightInd w:val="0"/>
              <w:snapToGrid w:val="0"/>
              <w:spacing w:line="320" w:lineRule="exact"/>
              <w:ind w:firstLine="0" w:firstLineChars="0"/>
              <w:jc w:val="center"/>
              <w:rPr>
                <w:rFonts w:hint="eastAsia" w:ascii="宋体" w:hAnsi="宋体"/>
                <w:color w:val="auto"/>
                <w:sz w:val="21"/>
                <w:szCs w:val="21"/>
                <w:highlight w:val="none"/>
              </w:rPr>
            </w:pPr>
          </w:p>
        </w:tc>
        <w:tc>
          <w:tcPr>
            <w:tcW w:w="1110" w:type="dxa"/>
            <w:tcBorders>
              <w:top w:val="single" w:color="auto" w:sz="4" w:space="0"/>
              <w:left w:val="single" w:color="auto" w:sz="4" w:space="0"/>
              <w:bottom w:val="nil"/>
              <w:right w:val="single" w:color="auto" w:sz="4" w:space="0"/>
            </w:tcBorders>
            <w:vAlign w:val="center"/>
          </w:tcPr>
          <w:p w14:paraId="2230E930">
            <w:pPr>
              <w:adjustRightInd w:val="0"/>
              <w:snapToGrid w:val="0"/>
              <w:spacing w:line="320" w:lineRule="exact"/>
              <w:ind w:firstLine="0" w:firstLineChars="0"/>
              <w:jc w:val="center"/>
              <w:rPr>
                <w:rFonts w:hint="eastAsia" w:ascii="宋体" w:hAnsi="宋体" w:cs="宋体"/>
                <w:color w:val="auto"/>
                <w:sz w:val="21"/>
                <w:szCs w:val="21"/>
                <w:highlight w:val="none"/>
              </w:rPr>
            </w:pPr>
          </w:p>
        </w:tc>
        <w:tc>
          <w:tcPr>
            <w:tcW w:w="1276" w:type="dxa"/>
            <w:tcBorders>
              <w:top w:val="single" w:color="auto" w:sz="4" w:space="0"/>
              <w:left w:val="single" w:color="auto" w:sz="4" w:space="0"/>
              <w:bottom w:val="nil"/>
              <w:right w:val="single" w:color="auto" w:sz="4" w:space="0"/>
            </w:tcBorders>
            <w:vAlign w:val="center"/>
          </w:tcPr>
          <w:p w14:paraId="6701A6DE">
            <w:pPr>
              <w:adjustRightInd w:val="0"/>
              <w:snapToGrid w:val="0"/>
              <w:spacing w:line="320" w:lineRule="exact"/>
              <w:ind w:firstLine="0" w:firstLineChars="0"/>
              <w:jc w:val="center"/>
              <w:rPr>
                <w:rFonts w:hint="eastAsia" w:ascii="宋体" w:hAnsi="宋体" w:cs="宋体"/>
                <w:color w:val="auto"/>
                <w:sz w:val="21"/>
                <w:szCs w:val="21"/>
                <w:highlight w:val="none"/>
              </w:rPr>
            </w:pPr>
          </w:p>
        </w:tc>
        <w:tc>
          <w:tcPr>
            <w:tcW w:w="1826" w:type="dxa"/>
            <w:vMerge w:val="continue"/>
            <w:tcBorders>
              <w:left w:val="single" w:color="auto" w:sz="4" w:space="0"/>
              <w:right w:val="single" w:color="auto" w:sz="4" w:space="0"/>
            </w:tcBorders>
            <w:vAlign w:val="center"/>
          </w:tcPr>
          <w:p w14:paraId="03C576C7">
            <w:pPr>
              <w:adjustRightInd w:val="0"/>
              <w:snapToGrid w:val="0"/>
              <w:spacing w:line="320" w:lineRule="exact"/>
              <w:ind w:firstLine="0" w:firstLineChars="0"/>
              <w:jc w:val="center"/>
              <w:rPr>
                <w:rFonts w:hint="eastAsia" w:ascii="宋体" w:hAnsi="宋体" w:cs="宋体"/>
                <w:color w:val="auto"/>
                <w:sz w:val="21"/>
                <w:szCs w:val="21"/>
                <w:highlight w:val="none"/>
              </w:rPr>
            </w:pPr>
          </w:p>
        </w:tc>
        <w:tc>
          <w:tcPr>
            <w:tcW w:w="966" w:type="dxa"/>
            <w:tcBorders>
              <w:top w:val="single" w:color="auto" w:sz="4" w:space="0"/>
              <w:left w:val="single" w:color="auto" w:sz="4" w:space="0"/>
              <w:bottom w:val="nil"/>
              <w:right w:val="single" w:color="auto" w:sz="4" w:space="0"/>
            </w:tcBorders>
            <w:vAlign w:val="center"/>
          </w:tcPr>
          <w:p w14:paraId="389F2016">
            <w:pPr>
              <w:adjustRightInd w:val="0"/>
              <w:snapToGrid w:val="0"/>
              <w:spacing w:line="320" w:lineRule="exact"/>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9800</w:t>
            </w:r>
          </w:p>
        </w:tc>
        <w:tc>
          <w:tcPr>
            <w:tcW w:w="841" w:type="dxa"/>
            <w:tcBorders>
              <w:top w:val="single" w:color="auto" w:sz="4" w:space="0"/>
              <w:left w:val="single" w:color="auto" w:sz="4" w:space="0"/>
              <w:bottom w:val="nil"/>
              <w:right w:val="single" w:color="auto" w:sz="4" w:space="0"/>
            </w:tcBorders>
            <w:vAlign w:val="center"/>
          </w:tcPr>
          <w:p w14:paraId="0EEDC693">
            <w:pPr>
              <w:adjustRightInd w:val="0"/>
              <w:snapToGrid w:val="0"/>
              <w:spacing w:line="320" w:lineRule="exact"/>
              <w:ind w:firstLine="0" w:firstLineChars="0"/>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份</w:t>
            </w:r>
          </w:p>
        </w:tc>
        <w:tc>
          <w:tcPr>
            <w:tcW w:w="1530" w:type="dxa"/>
            <w:tcBorders>
              <w:top w:val="single" w:color="auto" w:sz="4" w:space="0"/>
              <w:left w:val="single" w:color="auto" w:sz="4" w:space="0"/>
              <w:bottom w:val="nil"/>
              <w:right w:val="single" w:color="auto" w:sz="4" w:space="0"/>
            </w:tcBorders>
            <w:vAlign w:val="center"/>
          </w:tcPr>
          <w:p w14:paraId="6AD0ECBF">
            <w:pPr>
              <w:adjustRightInd w:val="0"/>
              <w:snapToGrid w:val="0"/>
              <w:spacing w:line="320" w:lineRule="exact"/>
              <w:ind w:firstLine="0" w:firstLineChars="0"/>
              <w:jc w:val="center"/>
              <w:rPr>
                <w:rFonts w:hint="eastAsia" w:ascii="宋体" w:hAnsi="宋体"/>
                <w:b/>
                <w:bCs/>
                <w:color w:val="auto"/>
                <w:sz w:val="21"/>
                <w:szCs w:val="21"/>
                <w:highlight w:val="none"/>
              </w:rPr>
            </w:pPr>
          </w:p>
        </w:tc>
        <w:tc>
          <w:tcPr>
            <w:tcW w:w="2068" w:type="dxa"/>
            <w:tcBorders>
              <w:top w:val="single" w:color="auto" w:sz="4" w:space="0"/>
              <w:left w:val="single" w:color="auto" w:sz="4" w:space="0"/>
              <w:bottom w:val="nil"/>
            </w:tcBorders>
            <w:vAlign w:val="center"/>
          </w:tcPr>
          <w:p w14:paraId="4AA557DD">
            <w:pPr>
              <w:adjustRightInd w:val="0"/>
              <w:snapToGrid w:val="0"/>
              <w:spacing w:line="320" w:lineRule="exact"/>
              <w:ind w:firstLine="0" w:firstLineChars="0"/>
              <w:jc w:val="center"/>
              <w:rPr>
                <w:rFonts w:hint="eastAsia" w:ascii="宋体" w:hAnsi="宋体"/>
                <w:b/>
                <w:bCs/>
                <w:color w:val="auto"/>
                <w:sz w:val="21"/>
                <w:szCs w:val="21"/>
                <w:highlight w:val="none"/>
              </w:rPr>
            </w:pPr>
          </w:p>
        </w:tc>
      </w:tr>
      <w:tr w14:paraId="7CB891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2" w:hRule="atLeast"/>
        </w:trPr>
        <w:tc>
          <w:tcPr>
            <w:tcW w:w="13895" w:type="dxa"/>
            <w:gridSpan w:val="10"/>
            <w:tcBorders>
              <w:top w:val="single" w:color="auto" w:sz="4" w:space="0"/>
              <w:left w:val="single" w:color="auto" w:sz="4" w:space="0"/>
              <w:bottom w:val="single" w:color="auto" w:sz="4" w:space="0"/>
            </w:tcBorders>
          </w:tcPr>
          <w:p w14:paraId="2E40F737">
            <w:pPr>
              <w:adjustRightInd w:val="0"/>
              <w:snapToGrid w:val="0"/>
              <w:spacing w:line="320" w:lineRule="exact"/>
              <w:ind w:firstLine="0" w:firstLineChars="0"/>
              <w:rPr>
                <w:rFonts w:hint="eastAsia" w:ascii="宋体" w:hAnsi="宋体"/>
                <w:b/>
                <w:bCs/>
                <w:color w:val="auto"/>
                <w:szCs w:val="24"/>
                <w:highlight w:val="none"/>
              </w:rPr>
            </w:pPr>
            <w:r>
              <w:rPr>
                <w:rFonts w:hint="eastAsia" w:ascii="宋体" w:hAnsi="宋体"/>
                <w:color w:val="auto"/>
                <w:spacing w:val="-6"/>
                <w:szCs w:val="24"/>
                <w:highlight w:val="none"/>
              </w:rPr>
              <w:t>谈判</w:t>
            </w:r>
            <w:r>
              <w:rPr>
                <w:rFonts w:ascii="宋体" w:hAnsi="宋体"/>
                <w:color w:val="auto"/>
                <w:spacing w:val="-6"/>
                <w:szCs w:val="24"/>
                <w:highlight w:val="none"/>
              </w:rPr>
              <w:t>报价（</w:t>
            </w:r>
            <w:r>
              <w:rPr>
                <w:rFonts w:hint="eastAsia" w:ascii="宋体" w:hAnsi="宋体"/>
                <w:color w:val="auto"/>
                <w:spacing w:val="-6"/>
                <w:szCs w:val="24"/>
                <w:highlight w:val="none"/>
              </w:rPr>
              <w:t>即合计金额</w:t>
            </w:r>
            <w:r>
              <w:rPr>
                <w:rFonts w:ascii="宋体" w:hAnsi="宋体"/>
                <w:color w:val="auto"/>
                <w:spacing w:val="-6"/>
                <w:szCs w:val="24"/>
                <w:highlight w:val="none"/>
              </w:rPr>
              <w:t>）大写：</w:t>
            </w:r>
            <w:r>
              <w:rPr>
                <w:rFonts w:hint="eastAsia" w:ascii="宋体" w:hAnsi="宋体" w:cs="宋体"/>
                <w:color w:val="auto"/>
                <w:kern w:val="0"/>
                <w:sz w:val="21"/>
                <w:szCs w:val="20"/>
                <w:highlight w:val="none"/>
                <w:u w:val="single"/>
              </w:rPr>
              <w:t xml:space="preserve">                      </w:t>
            </w:r>
            <w:r>
              <w:rPr>
                <w:rFonts w:hint="eastAsia" w:ascii="宋体" w:hAnsi="宋体"/>
                <w:color w:val="auto"/>
                <w:spacing w:val="-6"/>
                <w:szCs w:val="24"/>
                <w:highlight w:val="none"/>
              </w:rPr>
              <w:t>元</w:t>
            </w:r>
            <w:r>
              <w:rPr>
                <w:rFonts w:ascii="宋体" w:hAnsi="宋体"/>
                <w:color w:val="auto"/>
                <w:spacing w:val="-6"/>
                <w:szCs w:val="24"/>
                <w:highlight w:val="none"/>
              </w:rPr>
              <w:t>人民币（¥</w:t>
            </w:r>
            <w:r>
              <w:rPr>
                <w:rFonts w:hint="eastAsia" w:ascii="宋体" w:hAnsi="宋体" w:cs="宋体"/>
                <w:color w:val="auto"/>
                <w:kern w:val="0"/>
                <w:sz w:val="21"/>
                <w:szCs w:val="20"/>
                <w:highlight w:val="none"/>
                <w:u w:val="single"/>
              </w:rPr>
              <w:t xml:space="preserve">                      </w:t>
            </w:r>
            <w:r>
              <w:rPr>
                <w:rFonts w:ascii="宋体" w:hAnsi="宋体"/>
                <w:color w:val="auto"/>
                <w:spacing w:val="-6"/>
                <w:szCs w:val="24"/>
                <w:highlight w:val="none"/>
              </w:rPr>
              <w:t>）</w:t>
            </w:r>
          </w:p>
        </w:tc>
      </w:tr>
      <w:tr w14:paraId="632CDE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85" w:hRule="atLeast"/>
        </w:trPr>
        <w:tc>
          <w:tcPr>
            <w:tcW w:w="13895" w:type="dxa"/>
            <w:gridSpan w:val="10"/>
            <w:tcBorders>
              <w:top w:val="single" w:color="auto" w:sz="4" w:space="0"/>
              <w:left w:val="single" w:color="auto" w:sz="4" w:space="0"/>
              <w:bottom w:val="single" w:color="auto" w:sz="4" w:space="0"/>
            </w:tcBorders>
          </w:tcPr>
          <w:p w14:paraId="79ADAA7F">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宋体" w:hAnsi="宋体"/>
                <w:color w:val="auto"/>
                <w:spacing w:val="-6"/>
                <w:sz w:val="21"/>
                <w:szCs w:val="21"/>
                <w:highlight w:val="none"/>
              </w:rPr>
            </w:pPr>
            <w:r>
              <w:rPr>
                <w:rFonts w:hint="eastAsia" w:ascii="宋体" w:hAnsi="宋体"/>
                <w:color w:val="auto"/>
                <w:spacing w:val="-6"/>
                <w:sz w:val="21"/>
                <w:szCs w:val="21"/>
                <w:highlight w:val="none"/>
              </w:rPr>
              <w:t>其中：属于财政部</w:t>
            </w:r>
            <w:r>
              <w:rPr>
                <w:rFonts w:hint="eastAsia" w:hAnsi="宋体"/>
                <w:bCs/>
                <w:color w:val="auto"/>
                <w:sz w:val="21"/>
                <w:szCs w:val="21"/>
                <w:highlight w:val="none"/>
              </w:rPr>
              <w:t>《节能产品政府采购品目清单》</w:t>
            </w:r>
            <w:r>
              <w:rPr>
                <w:rFonts w:hint="eastAsia" w:ascii="宋体" w:hAnsi="宋体"/>
                <w:color w:val="auto"/>
                <w:spacing w:val="-6"/>
                <w:sz w:val="21"/>
                <w:szCs w:val="21"/>
                <w:highlight w:val="none"/>
              </w:rPr>
              <w:t>内产品的总金额为</w:t>
            </w:r>
            <w:r>
              <w:rPr>
                <w:rFonts w:ascii="宋体" w:hAnsi="宋体"/>
                <w:color w:val="auto"/>
                <w:spacing w:val="-6"/>
                <w:sz w:val="21"/>
                <w:szCs w:val="21"/>
                <w:highlight w:val="none"/>
              </w:rPr>
              <w:t>人民币</w:t>
            </w:r>
            <w:r>
              <w:rPr>
                <w:rFonts w:hint="eastAsia" w:ascii="宋体" w:hAnsi="宋体"/>
                <w:color w:val="auto"/>
                <w:spacing w:val="-6"/>
                <w:sz w:val="21"/>
                <w:szCs w:val="21"/>
                <w:highlight w:val="none"/>
              </w:rPr>
              <w:t>（大写）：</w:t>
            </w:r>
            <w:r>
              <w:rPr>
                <w:rFonts w:hint="eastAsia" w:ascii="宋体" w:hAnsi="宋体"/>
                <w:color w:val="auto"/>
                <w:spacing w:val="-6"/>
                <w:sz w:val="21"/>
                <w:szCs w:val="21"/>
                <w:highlight w:val="none"/>
                <w:u w:val="single"/>
                <w:lang w:val="en-US" w:eastAsia="zh-CN"/>
              </w:rPr>
              <w:t xml:space="preserve">          </w:t>
            </w:r>
            <w:r>
              <w:rPr>
                <w:rFonts w:hint="eastAsia" w:ascii="宋体" w:hAnsi="宋体"/>
                <w:color w:val="auto"/>
                <w:spacing w:val="-6"/>
                <w:sz w:val="21"/>
                <w:szCs w:val="21"/>
                <w:highlight w:val="none"/>
                <w:lang w:val="en-US" w:eastAsia="zh-CN"/>
              </w:rPr>
              <w:t xml:space="preserve"> </w:t>
            </w:r>
            <w:r>
              <w:rPr>
                <w:rFonts w:hint="eastAsia" w:ascii="宋体" w:hAnsi="宋体"/>
                <w:color w:val="auto"/>
                <w:spacing w:val="-6"/>
                <w:sz w:val="21"/>
                <w:szCs w:val="21"/>
                <w:highlight w:val="none"/>
              </w:rPr>
              <w:t>元</w:t>
            </w:r>
            <w:r>
              <w:rPr>
                <w:rFonts w:ascii="宋体" w:hAnsi="宋体"/>
                <w:color w:val="auto"/>
                <w:spacing w:val="-6"/>
                <w:sz w:val="21"/>
                <w:szCs w:val="21"/>
                <w:highlight w:val="none"/>
              </w:rPr>
              <w:t>（¥</w:t>
            </w:r>
            <w:r>
              <w:rPr>
                <w:rFonts w:hint="eastAsia" w:ascii="宋体" w:hAnsi="宋体"/>
                <w:color w:val="auto"/>
                <w:spacing w:val="-6"/>
                <w:sz w:val="21"/>
                <w:szCs w:val="21"/>
                <w:highlight w:val="none"/>
                <w:u w:val="single"/>
                <w:lang w:val="en-US" w:eastAsia="zh-CN"/>
              </w:rPr>
              <w:t xml:space="preserve">            </w:t>
            </w:r>
            <w:r>
              <w:rPr>
                <w:rFonts w:ascii="宋体" w:hAnsi="宋体"/>
                <w:color w:val="auto"/>
                <w:spacing w:val="-6"/>
                <w:sz w:val="21"/>
                <w:szCs w:val="21"/>
                <w:highlight w:val="none"/>
              </w:rPr>
              <w:t>）</w:t>
            </w:r>
            <w:r>
              <w:rPr>
                <w:rFonts w:hint="eastAsia" w:ascii="宋体" w:hAnsi="宋体"/>
                <w:color w:val="auto"/>
                <w:spacing w:val="-6"/>
                <w:sz w:val="21"/>
                <w:szCs w:val="21"/>
                <w:highlight w:val="none"/>
              </w:rPr>
              <w:t>；</w:t>
            </w:r>
          </w:p>
          <w:p w14:paraId="6CA90A0B">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宋体" w:hAnsi="宋体"/>
                <w:color w:val="auto"/>
                <w:spacing w:val="-6"/>
                <w:sz w:val="21"/>
                <w:szCs w:val="21"/>
                <w:highlight w:val="none"/>
              </w:rPr>
            </w:pPr>
            <w:r>
              <w:rPr>
                <w:rFonts w:hint="eastAsia" w:ascii="宋体" w:hAnsi="宋体"/>
                <w:color w:val="auto"/>
                <w:spacing w:val="-6"/>
                <w:sz w:val="21"/>
                <w:szCs w:val="21"/>
                <w:highlight w:val="none"/>
              </w:rPr>
              <w:t>属于财政部</w:t>
            </w:r>
            <w:r>
              <w:rPr>
                <w:rFonts w:hint="eastAsia" w:hAnsi="宋体"/>
                <w:bCs/>
                <w:color w:val="auto"/>
                <w:sz w:val="21"/>
                <w:szCs w:val="21"/>
                <w:highlight w:val="none"/>
              </w:rPr>
              <w:t>《环境标志产品政府采购品目清单》</w:t>
            </w:r>
            <w:r>
              <w:rPr>
                <w:rFonts w:hint="eastAsia" w:ascii="宋体" w:hAnsi="宋体"/>
                <w:color w:val="auto"/>
                <w:spacing w:val="-6"/>
                <w:sz w:val="21"/>
                <w:szCs w:val="21"/>
                <w:highlight w:val="none"/>
              </w:rPr>
              <w:t>内产品的总金额为</w:t>
            </w:r>
            <w:r>
              <w:rPr>
                <w:rFonts w:ascii="宋体" w:hAnsi="宋体"/>
                <w:color w:val="auto"/>
                <w:spacing w:val="-6"/>
                <w:sz w:val="21"/>
                <w:szCs w:val="21"/>
                <w:highlight w:val="none"/>
              </w:rPr>
              <w:t>人民币</w:t>
            </w:r>
            <w:r>
              <w:rPr>
                <w:rFonts w:hint="eastAsia" w:ascii="宋体" w:hAnsi="宋体"/>
                <w:color w:val="auto"/>
                <w:spacing w:val="-6"/>
                <w:sz w:val="21"/>
                <w:szCs w:val="21"/>
                <w:highlight w:val="none"/>
              </w:rPr>
              <w:t>（大写）：</w:t>
            </w:r>
            <w:r>
              <w:rPr>
                <w:rFonts w:hint="eastAsia" w:ascii="宋体" w:hAnsi="宋体"/>
                <w:color w:val="auto"/>
                <w:spacing w:val="-6"/>
                <w:sz w:val="21"/>
                <w:szCs w:val="21"/>
                <w:highlight w:val="none"/>
                <w:u w:val="single"/>
                <w:lang w:val="en-US" w:eastAsia="zh-CN"/>
              </w:rPr>
              <w:t xml:space="preserve">          </w:t>
            </w:r>
            <w:r>
              <w:rPr>
                <w:rFonts w:hint="eastAsia" w:ascii="宋体" w:hAnsi="宋体"/>
                <w:color w:val="auto"/>
                <w:spacing w:val="-6"/>
                <w:sz w:val="21"/>
                <w:szCs w:val="21"/>
                <w:highlight w:val="none"/>
                <w:lang w:val="en-US" w:eastAsia="zh-CN"/>
              </w:rPr>
              <w:t xml:space="preserve"> </w:t>
            </w:r>
            <w:r>
              <w:rPr>
                <w:rFonts w:hint="eastAsia" w:ascii="宋体" w:hAnsi="宋体"/>
                <w:color w:val="auto"/>
                <w:spacing w:val="-6"/>
                <w:sz w:val="21"/>
                <w:szCs w:val="21"/>
                <w:highlight w:val="none"/>
              </w:rPr>
              <w:t>元</w:t>
            </w:r>
            <w:r>
              <w:rPr>
                <w:rFonts w:ascii="宋体" w:hAnsi="宋体"/>
                <w:color w:val="auto"/>
                <w:spacing w:val="-6"/>
                <w:sz w:val="21"/>
                <w:szCs w:val="21"/>
                <w:highlight w:val="none"/>
              </w:rPr>
              <w:t>（¥</w:t>
            </w:r>
            <w:r>
              <w:rPr>
                <w:rFonts w:hint="eastAsia" w:ascii="宋体" w:hAnsi="宋体"/>
                <w:color w:val="auto"/>
                <w:spacing w:val="-6"/>
                <w:sz w:val="21"/>
                <w:szCs w:val="21"/>
                <w:highlight w:val="none"/>
                <w:u w:val="single"/>
                <w:lang w:val="en-US" w:eastAsia="zh-CN"/>
              </w:rPr>
              <w:t xml:space="preserve">            </w:t>
            </w:r>
            <w:r>
              <w:rPr>
                <w:rFonts w:ascii="宋体" w:hAnsi="宋体"/>
                <w:color w:val="auto"/>
                <w:spacing w:val="-6"/>
                <w:sz w:val="21"/>
                <w:szCs w:val="21"/>
                <w:highlight w:val="none"/>
              </w:rPr>
              <w:t>）</w:t>
            </w:r>
            <w:r>
              <w:rPr>
                <w:rFonts w:hint="eastAsia" w:ascii="宋体" w:hAnsi="宋体"/>
                <w:color w:val="auto"/>
                <w:spacing w:val="-6"/>
                <w:sz w:val="21"/>
                <w:szCs w:val="21"/>
                <w:highlight w:val="none"/>
              </w:rPr>
              <w:t>。</w:t>
            </w:r>
          </w:p>
          <w:p w14:paraId="27C8E484">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宋体" w:hAnsi="宋体"/>
                <w:b/>
                <w:bCs/>
                <w:color w:val="auto"/>
                <w:sz w:val="21"/>
                <w:szCs w:val="21"/>
                <w:highlight w:val="none"/>
              </w:rPr>
            </w:pPr>
            <w:r>
              <w:rPr>
                <w:rFonts w:hint="eastAsia" w:ascii="宋体" w:hAnsi="宋体"/>
                <w:b/>
                <w:color w:val="auto"/>
                <w:spacing w:val="-6"/>
                <w:sz w:val="21"/>
                <w:szCs w:val="21"/>
                <w:highlight w:val="none"/>
              </w:rPr>
              <w:t>备注：若不属于财政部《节能产品政府采购品目清单》及《环境标志产品政府采购品目清单》内产品的，则该处填写“无”字样。</w:t>
            </w:r>
          </w:p>
        </w:tc>
      </w:tr>
      <w:tr w14:paraId="6BCC27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4" w:hRule="atLeast"/>
        </w:trPr>
        <w:tc>
          <w:tcPr>
            <w:tcW w:w="13895" w:type="dxa"/>
            <w:gridSpan w:val="10"/>
            <w:tcBorders>
              <w:top w:val="single" w:color="auto" w:sz="4" w:space="0"/>
              <w:left w:val="single" w:color="auto" w:sz="4" w:space="0"/>
              <w:bottom w:val="single" w:color="auto" w:sz="4" w:space="0"/>
            </w:tcBorders>
          </w:tcPr>
          <w:p w14:paraId="15BE2E1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宋体" w:hAnsi="宋体"/>
                <w:b/>
                <w:bCs/>
                <w:color w:val="auto"/>
                <w:sz w:val="21"/>
                <w:szCs w:val="21"/>
                <w:highlight w:val="none"/>
              </w:rPr>
            </w:pPr>
            <w:r>
              <w:rPr>
                <w:rFonts w:hint="eastAsia" w:ascii="宋体" w:hAnsi="宋体"/>
                <w:color w:val="auto"/>
                <w:sz w:val="21"/>
                <w:szCs w:val="21"/>
                <w:highlight w:val="none"/>
              </w:rPr>
              <w:t>说明：供应商谈判报价应包括本次采购范围内货物价款、货物随配标准附件、包装、运输、装卸、保险、税金、货到位以及安装、安装所需辅材、调试、检验、售后服务、培训、保修</w:t>
            </w:r>
            <w:r>
              <w:rPr>
                <w:rFonts w:hint="eastAsia" w:ascii="宋体" w:hAnsi="宋体"/>
                <w:color w:val="auto"/>
                <w:sz w:val="21"/>
                <w:szCs w:val="21"/>
                <w:highlight w:val="none"/>
                <w:lang w:eastAsia="zh-CN"/>
              </w:rPr>
              <w:t>（质保）</w:t>
            </w:r>
            <w:r>
              <w:rPr>
                <w:rFonts w:hint="eastAsia" w:ascii="宋体" w:hAnsi="宋体"/>
                <w:color w:val="auto"/>
                <w:sz w:val="21"/>
                <w:szCs w:val="21"/>
                <w:highlight w:val="none"/>
              </w:rPr>
              <w:t>、验收及其他所有成本费用的总和，供应商应综合考虑在报价中。</w:t>
            </w:r>
          </w:p>
        </w:tc>
      </w:tr>
      <w:tr w14:paraId="2430C3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1" w:hRule="atLeast"/>
        </w:trPr>
        <w:tc>
          <w:tcPr>
            <w:tcW w:w="13895" w:type="dxa"/>
            <w:gridSpan w:val="10"/>
            <w:tcBorders>
              <w:top w:val="single" w:color="auto" w:sz="4" w:space="0"/>
              <w:left w:val="single" w:color="auto" w:sz="4" w:space="0"/>
              <w:bottom w:val="single" w:color="auto" w:sz="4" w:space="0"/>
            </w:tcBorders>
          </w:tcPr>
          <w:p w14:paraId="4FA7E789">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textAlignment w:val="auto"/>
              <w:rPr>
                <w:rFonts w:hint="eastAsia" w:ascii="宋体" w:hAnsi="宋体"/>
                <w:color w:val="auto"/>
                <w:sz w:val="21"/>
                <w:szCs w:val="21"/>
                <w:highlight w:val="none"/>
              </w:rPr>
            </w:pPr>
            <w:r>
              <w:rPr>
                <w:rFonts w:hint="eastAsia" w:ascii="宋体" w:hAnsi="宋体" w:cs="仿宋_GB2312"/>
                <w:b/>
                <w:bCs/>
                <w:i w:val="0"/>
                <w:iCs/>
                <w:color w:val="auto"/>
                <w:sz w:val="24"/>
                <w:highlight w:val="none"/>
                <w:u w:val="single"/>
              </w:rPr>
              <w:t>响应产品中，属于本国产品总值为</w:t>
            </w:r>
            <w:r>
              <w:rPr>
                <w:rFonts w:hint="eastAsia" w:ascii="宋体" w:hAnsi="宋体"/>
                <w:color w:val="auto"/>
                <w:spacing w:val="-6"/>
                <w:sz w:val="21"/>
                <w:szCs w:val="21"/>
                <w:highlight w:val="none"/>
                <w:u w:val="single"/>
                <w:lang w:val="en-US" w:eastAsia="zh-CN"/>
              </w:rPr>
              <w:t xml:space="preserve">          </w:t>
            </w:r>
            <w:r>
              <w:rPr>
                <w:rFonts w:hint="eastAsia" w:ascii="宋体" w:hAnsi="宋体"/>
                <w:color w:val="auto"/>
                <w:spacing w:val="-6"/>
                <w:sz w:val="21"/>
                <w:szCs w:val="21"/>
                <w:highlight w:val="none"/>
                <w:lang w:val="en-US" w:eastAsia="zh-CN"/>
              </w:rPr>
              <w:t xml:space="preserve"> </w:t>
            </w:r>
            <w:r>
              <w:rPr>
                <w:rFonts w:hint="eastAsia" w:ascii="宋体" w:hAnsi="宋体"/>
                <w:color w:val="auto"/>
                <w:spacing w:val="-6"/>
                <w:sz w:val="21"/>
                <w:szCs w:val="21"/>
                <w:highlight w:val="none"/>
              </w:rPr>
              <w:t>元</w:t>
            </w:r>
            <w:r>
              <w:rPr>
                <w:rFonts w:ascii="宋体" w:hAnsi="宋体"/>
                <w:color w:val="auto"/>
                <w:spacing w:val="-6"/>
                <w:sz w:val="21"/>
                <w:szCs w:val="21"/>
                <w:highlight w:val="none"/>
              </w:rPr>
              <w:t>（¥</w:t>
            </w:r>
            <w:r>
              <w:rPr>
                <w:rFonts w:hint="eastAsia" w:ascii="宋体" w:hAnsi="宋体"/>
                <w:color w:val="auto"/>
                <w:spacing w:val="-6"/>
                <w:sz w:val="21"/>
                <w:szCs w:val="21"/>
                <w:highlight w:val="none"/>
                <w:u w:val="single"/>
                <w:lang w:val="en-US" w:eastAsia="zh-CN"/>
              </w:rPr>
              <w:t xml:space="preserve">            </w:t>
            </w:r>
            <w:r>
              <w:rPr>
                <w:rFonts w:ascii="宋体" w:hAnsi="宋体"/>
                <w:color w:val="auto"/>
                <w:spacing w:val="-6"/>
                <w:sz w:val="21"/>
                <w:szCs w:val="21"/>
                <w:highlight w:val="none"/>
              </w:rPr>
              <w:t>）</w:t>
            </w:r>
            <w:r>
              <w:rPr>
                <w:rFonts w:hint="eastAsia" w:ascii="宋体" w:hAnsi="宋体" w:cs="仿宋_GB2312"/>
                <w:b/>
                <w:bCs/>
                <w:i w:val="0"/>
                <w:iCs/>
                <w:color w:val="auto"/>
                <w:sz w:val="24"/>
                <w:highlight w:val="none"/>
                <w:u w:val="single"/>
              </w:rPr>
              <w:t>（具体明细详见附表，附表格式自拟），占响应产品的比例为    %。</w:t>
            </w:r>
          </w:p>
        </w:tc>
      </w:tr>
    </w:tbl>
    <w:p w14:paraId="654E0AD5">
      <w:pPr>
        <w:keepNext w:val="0"/>
        <w:keepLines w:val="0"/>
        <w:pageBreakBefore w:val="0"/>
        <w:widowControl w:val="0"/>
        <w:kinsoku/>
        <w:wordWrap/>
        <w:overflowPunct/>
        <w:topLinePunct w:val="0"/>
        <w:autoSpaceDE/>
        <w:autoSpaceDN/>
        <w:bidi w:val="0"/>
        <w:adjustRightInd/>
        <w:snapToGrid w:val="0"/>
        <w:spacing w:line="280" w:lineRule="exact"/>
        <w:ind w:firstLine="0" w:firstLineChars="0"/>
        <w:textAlignment w:val="auto"/>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2FFC6E58">
      <w:pPr>
        <w:keepNext w:val="0"/>
        <w:keepLines w:val="0"/>
        <w:pageBreakBefore w:val="0"/>
        <w:widowControl w:val="0"/>
        <w:kinsoku/>
        <w:wordWrap/>
        <w:overflowPunct/>
        <w:topLinePunct w:val="0"/>
        <w:autoSpaceDE/>
        <w:autoSpaceDN/>
        <w:bidi w:val="0"/>
        <w:adjustRightInd/>
        <w:spacing w:line="280" w:lineRule="exact"/>
        <w:ind w:firstLine="0" w:firstLineChars="0"/>
        <w:textAlignment w:val="auto"/>
        <w:rPr>
          <w:rFonts w:hint="eastAsia"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62464EE2">
      <w:pPr>
        <w:keepNext w:val="0"/>
        <w:keepLines w:val="0"/>
        <w:pageBreakBefore w:val="0"/>
        <w:widowControl w:val="0"/>
        <w:kinsoku/>
        <w:wordWrap/>
        <w:overflowPunct/>
        <w:topLinePunct w:val="0"/>
        <w:autoSpaceDE/>
        <w:autoSpaceDN/>
        <w:bidi w:val="0"/>
        <w:adjustRightInd/>
        <w:spacing w:line="280" w:lineRule="exact"/>
        <w:ind w:firstLine="0" w:firstLineChars="0"/>
        <w:textAlignment w:val="auto"/>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2499B7FE">
      <w:pPr>
        <w:keepNext w:val="0"/>
        <w:keepLines w:val="0"/>
        <w:pageBreakBefore w:val="0"/>
        <w:widowControl w:val="0"/>
        <w:tabs>
          <w:tab w:val="left" w:pos="1305"/>
        </w:tabs>
        <w:kinsoku/>
        <w:wordWrap/>
        <w:overflowPunct/>
        <w:topLinePunct w:val="0"/>
        <w:autoSpaceDE/>
        <w:autoSpaceDN/>
        <w:bidi w:val="0"/>
        <w:adjustRightInd/>
        <w:spacing w:line="280" w:lineRule="exact"/>
        <w:ind w:firstLine="0" w:firstLineChars="0"/>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注：</w:t>
      </w:r>
    </w:p>
    <w:p w14:paraId="4356F118">
      <w:pPr>
        <w:keepNext w:val="0"/>
        <w:keepLines w:val="0"/>
        <w:pageBreakBefore w:val="0"/>
        <w:widowControl w:val="0"/>
        <w:kinsoku/>
        <w:wordWrap/>
        <w:overflowPunct/>
        <w:topLinePunct w:val="0"/>
        <w:autoSpaceDE/>
        <w:autoSpaceDN/>
        <w:bidi w:val="0"/>
        <w:adjustRightInd/>
        <w:spacing w:line="280" w:lineRule="exact"/>
        <w:ind w:firstLine="422"/>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rPr>
        <w:t>1.</w:t>
      </w:r>
      <w:r>
        <w:rPr>
          <w:rFonts w:hint="eastAsia" w:ascii="宋体" w:hAnsi="宋体" w:cs="宋体"/>
          <w:b/>
          <w:bCs/>
          <w:color w:val="auto"/>
          <w:kern w:val="0"/>
          <w:sz w:val="21"/>
          <w:szCs w:val="21"/>
          <w:highlight w:val="none"/>
        </w:rPr>
        <w:t>“谈判报价表”中标的名称、数量、单位、单价、合计金额必须如实填写</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rPr>
        <w:t>其中，</w:t>
      </w:r>
      <w:r>
        <w:rPr>
          <w:rFonts w:hint="eastAsia" w:ascii="宋体" w:hAnsi="宋体" w:cs="宋体"/>
          <w:b/>
          <w:bCs/>
          <w:color w:val="auto"/>
          <w:kern w:val="0"/>
          <w:sz w:val="21"/>
          <w:szCs w:val="21"/>
          <w:highlight w:val="none"/>
          <w:lang w:eastAsia="zh-CN"/>
        </w:rPr>
        <w:t>就</w:t>
      </w:r>
      <w:r>
        <w:rPr>
          <w:rFonts w:hint="eastAsia" w:ascii="宋体" w:hAnsi="宋体" w:cs="宋体"/>
          <w:b/>
          <w:bCs/>
          <w:color w:val="auto"/>
          <w:kern w:val="0"/>
          <w:sz w:val="21"/>
          <w:szCs w:val="21"/>
          <w:highlight w:val="none"/>
        </w:rPr>
        <w:t>所竞</w:t>
      </w:r>
      <w:r>
        <w:rPr>
          <w:rFonts w:hint="eastAsia" w:ascii="宋体" w:hAnsi="宋体" w:cs="宋体"/>
          <w:b/>
          <w:bCs/>
          <w:color w:val="auto"/>
          <w:kern w:val="0"/>
          <w:sz w:val="21"/>
          <w:szCs w:val="21"/>
          <w:highlight w:val="none"/>
          <w:lang w:eastAsia="zh-CN"/>
        </w:rPr>
        <w:t>标的“</w:t>
      </w:r>
      <w:r>
        <w:rPr>
          <w:rFonts w:hint="eastAsia" w:ascii="宋体" w:hAnsi="宋体" w:cs="宋体"/>
          <w:b/>
          <w:bCs/>
          <w:color w:val="auto"/>
          <w:kern w:val="0"/>
          <w:sz w:val="21"/>
          <w:szCs w:val="21"/>
          <w:highlight w:val="none"/>
        </w:rPr>
        <w:t>夏凉被</w:t>
      </w:r>
      <w:r>
        <w:rPr>
          <w:rFonts w:hint="eastAsia" w:ascii="宋体" w:hAnsi="宋体" w:cs="宋体"/>
          <w:b/>
          <w:bCs/>
          <w:color w:val="auto"/>
          <w:kern w:val="0"/>
          <w:sz w:val="21"/>
          <w:szCs w:val="21"/>
          <w:highlight w:val="none"/>
          <w:lang w:eastAsia="zh-CN"/>
        </w:rPr>
        <w:t>”、“台式</w:t>
      </w:r>
      <w:r>
        <w:rPr>
          <w:rFonts w:hint="eastAsia" w:ascii="宋体" w:hAnsi="宋体" w:cs="宋体"/>
          <w:b/>
          <w:bCs/>
          <w:color w:val="auto"/>
          <w:kern w:val="0"/>
          <w:sz w:val="21"/>
          <w:szCs w:val="21"/>
          <w:highlight w:val="none"/>
        </w:rPr>
        <w:t>风扇</w:t>
      </w:r>
      <w:r>
        <w:rPr>
          <w:rFonts w:hint="eastAsia" w:ascii="宋体" w:hAnsi="宋体" w:cs="宋体"/>
          <w:b/>
          <w:bCs/>
          <w:color w:val="auto"/>
          <w:kern w:val="0"/>
          <w:sz w:val="21"/>
          <w:szCs w:val="21"/>
          <w:highlight w:val="none"/>
          <w:lang w:eastAsia="zh-CN"/>
        </w:rPr>
        <w:t>”须同时填报</w:t>
      </w:r>
      <w:r>
        <w:rPr>
          <w:rFonts w:hint="eastAsia" w:ascii="宋体" w:hAnsi="宋体" w:cs="宋体"/>
          <w:b/>
          <w:bCs/>
          <w:color w:val="auto"/>
          <w:kern w:val="0"/>
          <w:sz w:val="21"/>
          <w:szCs w:val="21"/>
          <w:highlight w:val="none"/>
        </w:rPr>
        <w:t>生产厂家（或制造商）、品牌、规格型号</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lang w:val="en-US" w:eastAsia="zh-CN"/>
        </w:rPr>
        <w:t>如</w:t>
      </w:r>
      <w:r>
        <w:rPr>
          <w:rFonts w:hint="eastAsia" w:ascii="宋体" w:hAnsi="宋体" w:cs="宋体"/>
          <w:b/>
          <w:bCs/>
          <w:color w:val="auto"/>
          <w:kern w:val="0"/>
          <w:sz w:val="21"/>
          <w:szCs w:val="21"/>
          <w:highlight w:val="none"/>
        </w:rPr>
        <w:t>有缺漏的，响应文件按无效处理。慰问信无品牌规格型号的，则无需填写。</w:t>
      </w:r>
    </w:p>
    <w:p w14:paraId="1EF03AC1">
      <w:pPr>
        <w:keepNext w:val="0"/>
        <w:keepLines w:val="0"/>
        <w:pageBreakBefore w:val="0"/>
        <w:widowControl w:val="0"/>
        <w:kinsoku/>
        <w:wordWrap/>
        <w:overflowPunct/>
        <w:topLinePunct w:val="0"/>
        <w:autoSpaceDE/>
        <w:autoSpaceDN/>
        <w:bidi w:val="0"/>
        <w:adjustRightInd/>
        <w:spacing w:line="280" w:lineRule="exact"/>
        <w:ind w:firstLine="422"/>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rPr>
        <w:t>2.供应商必须就“采购需求”中的所有内容作完整唯一报价，响应文件只允许有一个报价方案，不接受有选择的或有条件的报价，否则响应文件按无效处理。</w:t>
      </w:r>
    </w:p>
    <w:p w14:paraId="26DD0735">
      <w:pPr>
        <w:keepNext w:val="0"/>
        <w:keepLines w:val="0"/>
        <w:pageBreakBefore w:val="0"/>
        <w:widowControl w:val="0"/>
        <w:kinsoku/>
        <w:wordWrap/>
        <w:overflowPunct/>
        <w:topLinePunct w:val="0"/>
        <w:autoSpaceDE/>
        <w:autoSpaceDN/>
        <w:bidi w:val="0"/>
        <w:adjustRightInd/>
        <w:spacing w:line="280" w:lineRule="exact"/>
        <w:ind w:firstLine="422"/>
        <w:textAlignment w:val="auto"/>
        <w:rPr>
          <w:rFonts w:hint="eastAsia" w:ascii="宋体" w:hAnsi="宋体" w:cs="宋体"/>
          <w:b/>
          <w:color w:val="auto"/>
          <w:sz w:val="21"/>
          <w:szCs w:val="21"/>
          <w:highlight w:val="none"/>
          <w:lang w:val="en-GB"/>
        </w:rPr>
      </w:pPr>
      <w:r>
        <w:rPr>
          <w:rFonts w:hint="eastAsia" w:ascii="宋体" w:hAnsi="宋体" w:cs="宋体"/>
          <w:b/>
          <w:color w:val="auto"/>
          <w:sz w:val="21"/>
          <w:szCs w:val="21"/>
          <w:highlight w:val="none"/>
        </w:rPr>
        <w:t>3.供应商应如实填写谈判报价表的各项内容，否则，响应无效。</w:t>
      </w:r>
    </w:p>
    <w:p w14:paraId="2C8EF159">
      <w:pPr>
        <w:spacing w:line="260" w:lineRule="exact"/>
        <w:ind w:firstLine="422"/>
        <w:rPr>
          <w:rFonts w:hint="eastAsia" w:ascii="宋体" w:hAnsi="宋体" w:cs="宋体"/>
          <w:b/>
          <w:color w:val="auto"/>
          <w:sz w:val="21"/>
          <w:szCs w:val="21"/>
          <w:highlight w:val="none"/>
        </w:rPr>
        <w:sectPr>
          <w:pgSz w:w="16838" w:h="11906" w:orient="landscape"/>
          <w:pgMar w:top="1418" w:right="1440" w:bottom="1797" w:left="1440" w:header="851" w:footer="992" w:gutter="0"/>
          <w:cols w:space="720" w:num="1"/>
          <w:docGrid w:type="linesAndChars" w:linePitch="326" w:charSpace="0"/>
        </w:sectPr>
      </w:pPr>
    </w:p>
    <w:p w14:paraId="287A6705">
      <w:pPr>
        <w:pStyle w:val="24"/>
        <w:spacing w:line="340" w:lineRule="exact"/>
        <w:rPr>
          <w:b/>
          <w:color w:val="auto"/>
          <w:sz w:val="28"/>
          <w:szCs w:val="28"/>
          <w:highlight w:val="none"/>
        </w:rPr>
      </w:pPr>
      <w:r>
        <w:rPr>
          <w:rFonts w:hint="eastAsia"/>
          <w:b/>
          <w:color w:val="auto"/>
          <w:sz w:val="28"/>
          <w:szCs w:val="28"/>
          <w:highlight w:val="none"/>
          <w:lang w:val="en-US"/>
        </w:rPr>
        <w:t>3</w:t>
      </w:r>
      <w:r>
        <w:rPr>
          <w:rFonts w:hint="eastAsia"/>
          <w:b/>
          <w:color w:val="auto"/>
          <w:sz w:val="28"/>
          <w:szCs w:val="28"/>
          <w:highlight w:val="none"/>
        </w:rPr>
        <w:t>.技术响应承诺书（必须提供）</w:t>
      </w:r>
    </w:p>
    <w:p w14:paraId="7F7B57B8">
      <w:pPr>
        <w:pStyle w:val="24"/>
        <w:rPr>
          <w:rFonts w:hint="eastAsia" w:hAnsi="宋体"/>
          <w:b/>
          <w:color w:val="auto"/>
          <w:szCs w:val="24"/>
          <w:highlight w:val="none"/>
        </w:rPr>
      </w:pPr>
      <w:r>
        <w:rPr>
          <w:rFonts w:hint="eastAsia" w:hAnsi="宋体"/>
          <w:b/>
          <w:bCs/>
          <w:color w:val="auto"/>
          <w:sz w:val="32"/>
          <w:szCs w:val="32"/>
          <w:highlight w:val="none"/>
        </w:rPr>
        <w:t>附件：</w:t>
      </w:r>
    </w:p>
    <w:p w14:paraId="73749CBA">
      <w:pPr>
        <w:pStyle w:val="24"/>
        <w:ind w:firstLine="472" w:firstLineChars="147"/>
        <w:jc w:val="center"/>
        <w:rPr>
          <w:rFonts w:hint="eastAsia" w:hAnsi="宋体"/>
          <w:b/>
          <w:bCs/>
          <w:color w:val="auto"/>
          <w:sz w:val="32"/>
          <w:highlight w:val="none"/>
        </w:rPr>
      </w:pPr>
      <w:r>
        <w:rPr>
          <w:rFonts w:hint="eastAsia" w:hAnsi="宋体"/>
          <w:b/>
          <w:bCs/>
          <w:color w:val="auto"/>
          <w:sz w:val="32"/>
          <w:highlight w:val="none"/>
        </w:rPr>
        <w:t>技术响应承诺书（格式）</w:t>
      </w:r>
    </w:p>
    <w:p w14:paraId="58484E86">
      <w:pPr>
        <w:pStyle w:val="24"/>
        <w:rPr>
          <w:rFonts w:hint="eastAsia" w:hAnsi="宋体"/>
          <w:b/>
          <w:color w:val="auto"/>
          <w:szCs w:val="24"/>
          <w:highlight w:val="none"/>
        </w:rPr>
      </w:pPr>
    </w:p>
    <w:tbl>
      <w:tblPr>
        <w:tblStyle w:val="43"/>
        <w:tblW w:w="4851"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2232"/>
        <w:gridCol w:w="5525"/>
      </w:tblGrid>
      <w:tr w14:paraId="48BA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2" w:type="pct"/>
            <w:vAlign w:val="center"/>
          </w:tcPr>
          <w:p w14:paraId="18932CA8">
            <w:pPr>
              <w:pStyle w:val="24"/>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rPr>
              <w:t>项号</w:t>
            </w:r>
          </w:p>
        </w:tc>
        <w:tc>
          <w:tcPr>
            <w:tcW w:w="1291" w:type="pct"/>
            <w:vAlign w:val="center"/>
          </w:tcPr>
          <w:p w14:paraId="760606C0">
            <w:pPr>
              <w:pStyle w:val="24"/>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rPr>
              <w:t>标的名称</w:t>
            </w:r>
          </w:p>
        </w:tc>
        <w:tc>
          <w:tcPr>
            <w:tcW w:w="3196" w:type="pct"/>
            <w:vAlign w:val="center"/>
          </w:tcPr>
          <w:p w14:paraId="7F21553D">
            <w:pPr>
              <w:pStyle w:val="24"/>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rPr>
              <w:t>对应</w:t>
            </w:r>
            <w:r>
              <w:rPr>
                <w:rFonts w:hint="eastAsia" w:ascii="宋体" w:hAnsi="宋体"/>
                <w:color w:val="auto"/>
                <w:kern w:val="2"/>
                <w:sz w:val="21"/>
                <w:szCs w:val="21"/>
                <w:highlight w:val="none"/>
              </w:rPr>
              <w:t>竞争性谈判文件第三章 采购需求的</w:t>
            </w:r>
            <w:r>
              <w:rPr>
                <w:rFonts w:hint="eastAsia" w:hAnsi="宋体"/>
                <w:color w:val="auto"/>
                <w:kern w:val="2"/>
                <w:sz w:val="21"/>
                <w:szCs w:val="21"/>
                <w:highlight w:val="none"/>
              </w:rPr>
              <w:t>“技术要求”，供应商的详细技术要求响应承诺</w:t>
            </w:r>
          </w:p>
        </w:tc>
      </w:tr>
      <w:tr w14:paraId="195E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885" w:type="dxa"/>
            <w:vAlign w:val="center"/>
          </w:tcPr>
          <w:p w14:paraId="10500C29">
            <w:pPr>
              <w:pStyle w:val="24"/>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lang w:val="en-US"/>
              </w:rPr>
              <w:t>1</w:t>
            </w:r>
          </w:p>
        </w:tc>
        <w:tc>
          <w:tcPr>
            <w:tcW w:w="2232" w:type="dxa"/>
            <w:vAlign w:val="center"/>
          </w:tcPr>
          <w:p w14:paraId="7251C45A">
            <w:pPr>
              <w:pStyle w:val="24"/>
              <w:adjustRightInd w:val="0"/>
              <w:snapToGrid w:val="0"/>
              <w:spacing w:line="320" w:lineRule="exact"/>
              <w:jc w:val="center"/>
              <w:rPr>
                <w:rFonts w:hint="eastAsia" w:hAnsi="宋体"/>
                <w:color w:val="auto"/>
                <w:kern w:val="2"/>
                <w:sz w:val="21"/>
                <w:szCs w:val="21"/>
                <w:highlight w:val="none"/>
              </w:rPr>
            </w:pPr>
          </w:p>
        </w:tc>
        <w:tc>
          <w:tcPr>
            <w:tcW w:w="3196" w:type="pct"/>
            <w:vAlign w:val="center"/>
          </w:tcPr>
          <w:p w14:paraId="6C820A9D">
            <w:pPr>
              <w:ind w:firstLine="420"/>
              <w:rPr>
                <w:rFonts w:hint="eastAsia" w:hAnsi="宋体"/>
                <w:color w:val="auto"/>
                <w:sz w:val="21"/>
                <w:szCs w:val="21"/>
                <w:highlight w:val="none"/>
              </w:rPr>
            </w:pPr>
          </w:p>
        </w:tc>
      </w:tr>
      <w:tr w14:paraId="4767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885" w:type="dxa"/>
            <w:vAlign w:val="center"/>
          </w:tcPr>
          <w:p w14:paraId="0DF38745">
            <w:pPr>
              <w:pStyle w:val="24"/>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lang w:val="en-US"/>
              </w:rPr>
              <w:t>2</w:t>
            </w:r>
          </w:p>
        </w:tc>
        <w:tc>
          <w:tcPr>
            <w:tcW w:w="2232" w:type="dxa"/>
            <w:vAlign w:val="center"/>
          </w:tcPr>
          <w:p w14:paraId="400EFEEE">
            <w:pPr>
              <w:pStyle w:val="24"/>
              <w:adjustRightInd w:val="0"/>
              <w:snapToGrid w:val="0"/>
              <w:spacing w:line="320" w:lineRule="exact"/>
              <w:jc w:val="center"/>
              <w:rPr>
                <w:rFonts w:hint="eastAsia" w:hAnsi="宋体"/>
                <w:color w:val="auto"/>
                <w:kern w:val="2"/>
                <w:sz w:val="21"/>
                <w:szCs w:val="21"/>
                <w:highlight w:val="none"/>
              </w:rPr>
            </w:pPr>
          </w:p>
        </w:tc>
        <w:tc>
          <w:tcPr>
            <w:tcW w:w="3196" w:type="pct"/>
            <w:vAlign w:val="center"/>
          </w:tcPr>
          <w:p w14:paraId="1ECBD092">
            <w:pPr>
              <w:ind w:firstLine="420"/>
              <w:rPr>
                <w:rFonts w:hint="eastAsia" w:hAnsi="宋体"/>
                <w:color w:val="auto"/>
                <w:sz w:val="21"/>
                <w:szCs w:val="21"/>
                <w:highlight w:val="none"/>
              </w:rPr>
            </w:pPr>
          </w:p>
        </w:tc>
      </w:tr>
      <w:tr w14:paraId="7584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885" w:type="dxa"/>
            <w:vAlign w:val="center"/>
          </w:tcPr>
          <w:p w14:paraId="62989A3E">
            <w:pPr>
              <w:pStyle w:val="24"/>
              <w:adjustRightInd w:val="0"/>
              <w:snapToGrid w:val="0"/>
              <w:spacing w:line="320" w:lineRule="exact"/>
              <w:jc w:val="center"/>
              <w:rPr>
                <w:rFonts w:hint="eastAsia" w:hAnsi="宋体"/>
                <w:color w:val="auto"/>
                <w:kern w:val="2"/>
                <w:sz w:val="21"/>
                <w:szCs w:val="21"/>
                <w:highlight w:val="none"/>
              </w:rPr>
            </w:pPr>
            <w:r>
              <w:rPr>
                <w:rFonts w:hint="eastAsia" w:hAnsi="宋体"/>
                <w:color w:val="auto"/>
                <w:kern w:val="2"/>
                <w:sz w:val="21"/>
                <w:szCs w:val="21"/>
                <w:highlight w:val="none"/>
                <w:lang w:val="en-US"/>
              </w:rPr>
              <w:t>3</w:t>
            </w:r>
          </w:p>
        </w:tc>
        <w:tc>
          <w:tcPr>
            <w:tcW w:w="2232" w:type="dxa"/>
            <w:vAlign w:val="center"/>
          </w:tcPr>
          <w:p w14:paraId="315221D0">
            <w:pPr>
              <w:pStyle w:val="24"/>
              <w:adjustRightInd w:val="0"/>
              <w:snapToGrid w:val="0"/>
              <w:spacing w:line="320" w:lineRule="exact"/>
              <w:jc w:val="center"/>
              <w:rPr>
                <w:rFonts w:hint="eastAsia" w:hAnsi="宋体"/>
                <w:color w:val="auto"/>
                <w:kern w:val="2"/>
                <w:sz w:val="21"/>
                <w:szCs w:val="21"/>
                <w:highlight w:val="none"/>
              </w:rPr>
            </w:pPr>
          </w:p>
        </w:tc>
        <w:tc>
          <w:tcPr>
            <w:tcW w:w="3196" w:type="pct"/>
            <w:vAlign w:val="center"/>
          </w:tcPr>
          <w:p w14:paraId="3A924C68">
            <w:pPr>
              <w:ind w:firstLine="420"/>
              <w:rPr>
                <w:rFonts w:hint="eastAsia" w:hAnsi="宋体"/>
                <w:color w:val="auto"/>
                <w:sz w:val="21"/>
                <w:szCs w:val="21"/>
                <w:highlight w:val="none"/>
              </w:rPr>
            </w:pPr>
          </w:p>
        </w:tc>
      </w:tr>
    </w:tbl>
    <w:p w14:paraId="6F2B4597">
      <w:pPr>
        <w:adjustRightInd w:val="0"/>
        <w:snapToGrid w:val="0"/>
        <w:spacing w:line="360" w:lineRule="exact"/>
        <w:ind w:firstLine="0" w:firstLineChars="0"/>
        <w:jc w:val="center"/>
        <w:rPr>
          <w:rFonts w:hint="eastAsia" w:ascii="宋体" w:hAnsi="宋体"/>
          <w:b/>
          <w:bCs/>
          <w:color w:val="auto"/>
          <w:kern w:val="44"/>
          <w:szCs w:val="24"/>
          <w:highlight w:val="none"/>
          <w:lang w:val="zh-CN"/>
        </w:rPr>
      </w:pPr>
    </w:p>
    <w:p w14:paraId="58300B28">
      <w:pPr>
        <w:snapToGrid w:val="0"/>
        <w:spacing w:line="400" w:lineRule="exact"/>
        <w:ind w:firstLine="0" w:firstLineChars="0"/>
        <w:rPr>
          <w:rFonts w:hint="eastAsia" w:hAnsi="宋体"/>
          <w:color w:val="auto"/>
          <w:sz w:val="21"/>
          <w:szCs w:val="21"/>
          <w:highlight w:val="none"/>
        </w:rPr>
      </w:pPr>
      <w:r>
        <w:rPr>
          <w:rFonts w:hint="eastAsia" w:hAnsi="宋体"/>
          <w:color w:val="auto"/>
          <w:sz w:val="21"/>
          <w:szCs w:val="21"/>
          <w:highlight w:val="none"/>
        </w:rPr>
        <w:t>注：</w:t>
      </w:r>
    </w:p>
    <w:p w14:paraId="4B35D0B9">
      <w:pPr>
        <w:snapToGrid w:val="0"/>
        <w:spacing w:line="400" w:lineRule="exact"/>
        <w:ind w:firstLine="0" w:firstLineChars="0"/>
        <w:rPr>
          <w:rFonts w:hint="eastAsia" w:hAnsi="宋体"/>
          <w:color w:val="auto"/>
          <w:sz w:val="21"/>
          <w:szCs w:val="21"/>
          <w:highlight w:val="none"/>
        </w:rPr>
      </w:pPr>
      <w:r>
        <w:rPr>
          <w:rFonts w:hint="eastAsia" w:hAnsi="宋体"/>
          <w:color w:val="auto"/>
          <w:sz w:val="21"/>
          <w:szCs w:val="21"/>
          <w:highlight w:val="none"/>
          <w:lang w:val="en-US" w:eastAsia="zh-CN"/>
        </w:rPr>
        <w:t>1.</w:t>
      </w:r>
      <w:r>
        <w:rPr>
          <w:rFonts w:hint="eastAsia" w:hAnsi="宋体"/>
          <w:color w:val="auto"/>
          <w:sz w:val="21"/>
          <w:szCs w:val="21"/>
          <w:highlight w:val="none"/>
        </w:rPr>
        <w:t>应对照谈判文件“第三章采购需求”中的技术要求逐条实质性响应。</w:t>
      </w:r>
    </w:p>
    <w:p w14:paraId="3A278D20">
      <w:pPr>
        <w:snapToGrid w:val="0"/>
        <w:spacing w:line="400" w:lineRule="exact"/>
        <w:ind w:firstLine="0" w:firstLineChars="0"/>
        <w:rPr>
          <w:rFonts w:hint="default" w:hAnsi="宋体"/>
          <w:color w:val="auto"/>
          <w:sz w:val="21"/>
          <w:szCs w:val="21"/>
          <w:highlight w:val="none"/>
          <w:lang w:val="en-US" w:eastAsia="zh-CN"/>
        </w:rPr>
      </w:pPr>
      <w:r>
        <w:rPr>
          <w:rFonts w:hint="eastAsia" w:hAnsi="宋体"/>
          <w:color w:val="auto"/>
          <w:sz w:val="21"/>
          <w:szCs w:val="21"/>
          <w:highlight w:val="none"/>
          <w:lang w:val="en-US" w:eastAsia="zh-CN"/>
        </w:rPr>
        <w:t>2.如</w:t>
      </w:r>
      <w:r>
        <w:rPr>
          <w:rFonts w:hint="eastAsia" w:hAnsi="宋体"/>
          <w:color w:val="auto"/>
          <w:sz w:val="21"/>
          <w:szCs w:val="21"/>
          <w:highlight w:val="none"/>
        </w:rPr>
        <w:t>“第三章采购需求”中</w:t>
      </w:r>
      <w:r>
        <w:rPr>
          <w:rFonts w:hint="eastAsia" w:hAnsi="宋体"/>
          <w:color w:val="auto"/>
          <w:sz w:val="21"/>
          <w:szCs w:val="21"/>
          <w:highlight w:val="none"/>
          <w:lang w:val="en-US" w:eastAsia="zh-CN"/>
        </w:rPr>
        <w:t>要求必须提供相关证明材料的，供应商须对应如实提供。</w:t>
      </w:r>
    </w:p>
    <w:p w14:paraId="030E22E8">
      <w:pPr>
        <w:snapToGrid w:val="0"/>
        <w:spacing w:line="400" w:lineRule="exact"/>
        <w:ind w:firstLine="4200" w:firstLineChars="2000"/>
        <w:rPr>
          <w:rFonts w:hint="eastAsia" w:ascii="宋体" w:hAnsi="宋体" w:cs="宋体"/>
          <w:color w:val="auto"/>
          <w:sz w:val="21"/>
          <w:szCs w:val="21"/>
          <w:highlight w:val="none"/>
        </w:rPr>
      </w:pPr>
    </w:p>
    <w:p w14:paraId="0E78636D">
      <w:pPr>
        <w:snapToGrid w:val="0"/>
        <w:spacing w:line="400" w:lineRule="exact"/>
        <w:ind w:firstLine="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5B7E313A">
      <w:pPr>
        <w:spacing w:line="340" w:lineRule="exact"/>
        <w:ind w:firstLine="0" w:firstLineChars="0"/>
        <w:rPr>
          <w:rFonts w:hint="eastAsia"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58EB88C2">
      <w:pPr>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65B233CF">
      <w:pPr>
        <w:spacing w:line="240" w:lineRule="auto"/>
        <w:ind w:firstLine="4200" w:firstLineChars="2000"/>
        <w:rPr>
          <w:rFonts w:hint="eastAsia" w:ascii="宋体" w:hAnsi="宋体"/>
          <w:color w:val="auto"/>
          <w:sz w:val="21"/>
          <w:szCs w:val="20"/>
          <w:highlight w:val="none"/>
          <w:u w:val="single"/>
        </w:rPr>
      </w:pPr>
    </w:p>
    <w:p w14:paraId="54B54CD7">
      <w:pPr>
        <w:spacing w:line="240" w:lineRule="auto"/>
        <w:ind w:firstLine="4200" w:firstLineChars="2000"/>
        <w:rPr>
          <w:rFonts w:hint="eastAsia" w:ascii="宋体" w:hAnsi="宋体"/>
          <w:color w:val="auto"/>
          <w:sz w:val="21"/>
          <w:szCs w:val="20"/>
          <w:highlight w:val="none"/>
          <w:u w:val="single"/>
        </w:rPr>
      </w:pPr>
    </w:p>
    <w:p w14:paraId="7E7C0AE0">
      <w:pPr>
        <w:pStyle w:val="24"/>
        <w:adjustRightInd w:val="0"/>
        <w:snapToGrid w:val="0"/>
        <w:spacing w:line="320" w:lineRule="exact"/>
        <w:jc w:val="left"/>
        <w:rPr>
          <w:rFonts w:hint="eastAsia" w:hAnsi="宋体"/>
          <w:color w:val="auto"/>
          <w:kern w:val="2"/>
          <w:sz w:val="21"/>
          <w:szCs w:val="21"/>
          <w:highlight w:val="none"/>
        </w:rPr>
      </w:pPr>
    </w:p>
    <w:p w14:paraId="5844B9D4">
      <w:pPr>
        <w:spacing w:line="240" w:lineRule="auto"/>
        <w:ind w:firstLine="4200" w:firstLineChars="2000"/>
        <w:rPr>
          <w:rFonts w:hint="eastAsia" w:ascii="宋体" w:hAnsi="宋体"/>
          <w:color w:val="auto"/>
          <w:sz w:val="21"/>
          <w:szCs w:val="20"/>
          <w:highlight w:val="none"/>
          <w:u w:val="single"/>
        </w:rPr>
      </w:pPr>
    </w:p>
    <w:p w14:paraId="171F8118">
      <w:pPr>
        <w:pStyle w:val="24"/>
        <w:spacing w:line="340" w:lineRule="exact"/>
        <w:rPr>
          <w:b/>
          <w:color w:val="auto"/>
          <w:sz w:val="28"/>
          <w:szCs w:val="28"/>
          <w:highlight w:val="none"/>
        </w:rPr>
      </w:pPr>
    </w:p>
    <w:p w14:paraId="56B0F516">
      <w:pPr>
        <w:pStyle w:val="24"/>
        <w:spacing w:line="340" w:lineRule="exact"/>
        <w:rPr>
          <w:b/>
          <w:color w:val="auto"/>
          <w:sz w:val="28"/>
          <w:szCs w:val="28"/>
          <w:highlight w:val="none"/>
        </w:rPr>
      </w:pPr>
    </w:p>
    <w:p w14:paraId="25F046A2">
      <w:pPr>
        <w:ind w:firstLine="480"/>
        <w:rPr>
          <w:color w:val="auto"/>
          <w:highlight w:val="none"/>
          <w:lang w:val="en-GB"/>
        </w:rPr>
      </w:pPr>
    </w:p>
    <w:p w14:paraId="295C8317">
      <w:pPr>
        <w:pStyle w:val="22"/>
        <w:rPr>
          <w:color w:val="auto"/>
          <w:highlight w:val="none"/>
          <w:lang w:val="en-GB"/>
        </w:rPr>
      </w:pPr>
    </w:p>
    <w:p w14:paraId="07B1E693">
      <w:pPr>
        <w:pStyle w:val="22"/>
        <w:rPr>
          <w:color w:val="auto"/>
          <w:highlight w:val="none"/>
          <w:lang w:val="en-GB"/>
        </w:rPr>
      </w:pPr>
    </w:p>
    <w:p w14:paraId="0DCFC021">
      <w:pPr>
        <w:pStyle w:val="22"/>
        <w:rPr>
          <w:color w:val="auto"/>
          <w:highlight w:val="none"/>
          <w:lang w:val="en-GB"/>
        </w:rPr>
      </w:pPr>
    </w:p>
    <w:p w14:paraId="74F70D43">
      <w:pPr>
        <w:pStyle w:val="24"/>
        <w:spacing w:line="340" w:lineRule="exact"/>
        <w:rPr>
          <w:rFonts w:hint="eastAsia" w:ascii="宋体" w:hAnsi="宋体" w:cs="宋体"/>
          <w:b/>
          <w:color w:val="auto"/>
          <w:sz w:val="28"/>
          <w:szCs w:val="28"/>
          <w:highlight w:val="none"/>
        </w:rPr>
      </w:pPr>
      <w:r>
        <w:rPr>
          <w:color w:val="auto"/>
          <w:highlight w:val="none"/>
        </w:rPr>
        <w:br w:type="page"/>
      </w:r>
      <w:r>
        <w:rPr>
          <w:rFonts w:hint="eastAsia" w:ascii="宋体" w:hAnsi="宋体" w:cs="宋体"/>
          <w:b/>
          <w:color w:val="auto"/>
          <w:sz w:val="28"/>
          <w:szCs w:val="28"/>
          <w:highlight w:val="none"/>
          <w:lang w:val="en-US"/>
        </w:rPr>
        <w:t>4.</w:t>
      </w:r>
      <w:r>
        <w:rPr>
          <w:rFonts w:hint="eastAsia" w:ascii="宋体" w:hAnsi="宋体" w:cs="宋体"/>
          <w:b/>
          <w:color w:val="auto"/>
          <w:sz w:val="28"/>
          <w:szCs w:val="28"/>
          <w:highlight w:val="none"/>
        </w:rPr>
        <w:t>商务要求响应承诺书（必须提供）</w:t>
      </w:r>
    </w:p>
    <w:p w14:paraId="6D7A0A14">
      <w:pPr>
        <w:pStyle w:val="24"/>
        <w:rPr>
          <w:rFonts w:hint="eastAsia" w:hAnsi="宋体"/>
          <w:b/>
          <w:bCs/>
          <w:color w:val="auto"/>
          <w:sz w:val="32"/>
          <w:szCs w:val="32"/>
          <w:highlight w:val="none"/>
        </w:rPr>
      </w:pPr>
      <w:r>
        <w:rPr>
          <w:rFonts w:hint="eastAsia" w:hAnsi="宋体"/>
          <w:b/>
          <w:bCs/>
          <w:color w:val="auto"/>
          <w:sz w:val="32"/>
          <w:szCs w:val="32"/>
          <w:highlight w:val="none"/>
        </w:rPr>
        <w:t>附件：</w:t>
      </w:r>
    </w:p>
    <w:p w14:paraId="6FCDE210">
      <w:pPr>
        <w:pStyle w:val="24"/>
        <w:jc w:val="center"/>
        <w:rPr>
          <w:b/>
          <w:bCs/>
          <w:color w:val="auto"/>
          <w:sz w:val="28"/>
          <w:szCs w:val="28"/>
          <w:highlight w:val="none"/>
        </w:rPr>
      </w:pPr>
      <w:r>
        <w:rPr>
          <w:rFonts w:hint="eastAsia"/>
          <w:b/>
          <w:color w:val="auto"/>
          <w:sz w:val="28"/>
          <w:szCs w:val="28"/>
          <w:highlight w:val="none"/>
        </w:rPr>
        <w:t>商务要求响应承诺书</w:t>
      </w:r>
      <w:r>
        <w:rPr>
          <w:rFonts w:hint="eastAsia"/>
          <w:b/>
          <w:bCs/>
          <w:color w:val="auto"/>
          <w:sz w:val="28"/>
          <w:szCs w:val="28"/>
          <w:highlight w:val="none"/>
        </w:rPr>
        <w:t>（格式）</w:t>
      </w:r>
    </w:p>
    <w:p w14:paraId="0FFC33A4">
      <w:pPr>
        <w:pStyle w:val="24"/>
        <w:jc w:val="left"/>
        <w:rPr>
          <w:b/>
          <w:bCs/>
          <w:color w:val="auto"/>
          <w:sz w:val="28"/>
          <w:szCs w:val="28"/>
          <w:highlight w:val="none"/>
        </w:rPr>
      </w:pPr>
    </w:p>
    <w:tbl>
      <w:tblPr>
        <w:tblStyle w:val="43"/>
        <w:tblW w:w="4462"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040"/>
        <w:gridCol w:w="5909"/>
      </w:tblGrid>
      <w:tr w14:paraId="0653A1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283" w:type="pct"/>
            <w:tcBorders>
              <w:top w:val="single" w:color="auto" w:sz="4" w:space="0"/>
              <w:left w:val="single" w:color="auto" w:sz="4" w:space="0"/>
              <w:bottom w:val="single" w:color="auto" w:sz="4" w:space="0"/>
              <w:right w:val="single" w:color="auto" w:sz="4" w:space="0"/>
            </w:tcBorders>
            <w:vAlign w:val="center"/>
          </w:tcPr>
          <w:p w14:paraId="6C74E170">
            <w:pPr>
              <w:snapToGrid w:val="0"/>
              <w:spacing w:line="300" w:lineRule="exact"/>
              <w:ind w:firstLine="0" w:firstLineChars="0"/>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条款内容</w:t>
            </w:r>
          </w:p>
        </w:tc>
        <w:tc>
          <w:tcPr>
            <w:tcW w:w="3716" w:type="pct"/>
            <w:tcBorders>
              <w:top w:val="single" w:color="auto" w:sz="4" w:space="0"/>
              <w:left w:val="single" w:color="auto" w:sz="4" w:space="0"/>
              <w:bottom w:val="single" w:color="auto" w:sz="4" w:space="0"/>
              <w:right w:val="single" w:color="auto" w:sz="4" w:space="0"/>
            </w:tcBorders>
            <w:vAlign w:val="center"/>
          </w:tcPr>
          <w:p w14:paraId="341D0F8A">
            <w:pPr>
              <w:snapToGrid w:val="0"/>
              <w:spacing w:line="300" w:lineRule="exact"/>
              <w:ind w:firstLine="0" w:firstLineChars="0"/>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对应竞争性谈判文件第三章采购需求的“商务要求”，供应商的详细响应承诺</w:t>
            </w:r>
          </w:p>
        </w:tc>
      </w:tr>
      <w:tr w14:paraId="1E4746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1ED9F067">
            <w:pPr>
              <w:keepLines w:val="0"/>
              <w:pageBreakBefore w:val="0"/>
              <w:tabs>
                <w:tab w:val="left" w:pos="180"/>
                <w:tab w:val="left" w:pos="1620"/>
              </w:tabs>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b/>
                <w:color w:val="auto"/>
                <w:sz w:val="21"/>
                <w:szCs w:val="21"/>
                <w:highlight w:val="none"/>
              </w:rPr>
            </w:pPr>
            <w:r>
              <w:rPr>
                <w:rFonts w:hint="eastAsia" w:ascii="宋体" w:hAnsi="宋体" w:cs="新宋体"/>
                <w:b/>
                <w:color w:val="auto"/>
                <w:sz w:val="21"/>
                <w:szCs w:val="21"/>
                <w:highlight w:val="none"/>
              </w:rPr>
              <w:t>（一）</w:t>
            </w:r>
            <w:r>
              <w:rPr>
                <w:rFonts w:hint="eastAsia" w:ascii="宋体" w:hAnsi="宋体" w:cs="新宋体"/>
                <w:b/>
                <w:color w:val="auto"/>
                <w:kern w:val="0"/>
                <w:sz w:val="21"/>
                <w:szCs w:val="21"/>
                <w:highlight w:val="none"/>
              </w:rPr>
              <w:t>售后服务</w:t>
            </w:r>
          </w:p>
        </w:tc>
        <w:tc>
          <w:tcPr>
            <w:tcW w:w="3716" w:type="pct"/>
            <w:tcBorders>
              <w:top w:val="single" w:color="auto" w:sz="4" w:space="0"/>
              <w:left w:val="single" w:color="auto" w:sz="4" w:space="0"/>
              <w:bottom w:val="single" w:color="auto" w:sz="4" w:space="0"/>
              <w:right w:val="single" w:color="auto" w:sz="4" w:space="0"/>
            </w:tcBorders>
            <w:vAlign w:val="center"/>
          </w:tcPr>
          <w:p w14:paraId="066395FD">
            <w:pPr>
              <w:pStyle w:val="24"/>
              <w:snapToGrid w:val="0"/>
              <w:spacing w:before="295" w:after="295" w:line="300" w:lineRule="exact"/>
              <w:jc w:val="center"/>
              <w:outlineLvl w:val="0"/>
              <w:rPr>
                <w:rFonts w:cs="宋体"/>
                <w:b/>
                <w:color w:val="auto"/>
                <w:kern w:val="2"/>
                <w:sz w:val="21"/>
                <w:szCs w:val="21"/>
                <w:highlight w:val="none"/>
              </w:rPr>
            </w:pPr>
          </w:p>
        </w:tc>
      </w:tr>
      <w:tr w14:paraId="6DDBD2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4376B670">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b/>
                <w:color w:val="auto"/>
                <w:sz w:val="21"/>
                <w:szCs w:val="21"/>
                <w:highlight w:val="none"/>
              </w:rPr>
            </w:pPr>
            <w:r>
              <w:rPr>
                <w:rFonts w:hint="eastAsia" w:ascii="宋体" w:hAnsi="宋体" w:cs="新宋体"/>
                <w:b/>
                <w:color w:val="auto"/>
                <w:kern w:val="0"/>
                <w:sz w:val="21"/>
                <w:szCs w:val="21"/>
                <w:highlight w:val="none"/>
              </w:rPr>
              <w:t>（二）标的交付</w:t>
            </w:r>
          </w:p>
        </w:tc>
        <w:tc>
          <w:tcPr>
            <w:tcW w:w="3716" w:type="pct"/>
            <w:tcBorders>
              <w:top w:val="single" w:color="auto" w:sz="4" w:space="0"/>
              <w:left w:val="single" w:color="auto" w:sz="4" w:space="0"/>
              <w:bottom w:val="single" w:color="auto" w:sz="4" w:space="0"/>
              <w:right w:val="single" w:color="auto" w:sz="4" w:space="0"/>
            </w:tcBorders>
            <w:vAlign w:val="center"/>
          </w:tcPr>
          <w:p w14:paraId="4D45BC26">
            <w:pPr>
              <w:pStyle w:val="24"/>
              <w:snapToGrid w:val="0"/>
              <w:spacing w:before="295" w:after="295" w:line="300" w:lineRule="exact"/>
              <w:jc w:val="center"/>
              <w:outlineLvl w:val="0"/>
              <w:rPr>
                <w:rFonts w:cs="宋体"/>
                <w:b/>
                <w:color w:val="auto"/>
                <w:kern w:val="2"/>
                <w:sz w:val="21"/>
                <w:szCs w:val="21"/>
                <w:highlight w:val="none"/>
              </w:rPr>
            </w:pPr>
          </w:p>
        </w:tc>
      </w:tr>
      <w:tr w14:paraId="2B647E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110FCD84">
            <w:pPr>
              <w:keepLines w:val="0"/>
              <w:pageBreakBefore w:val="0"/>
              <w:tabs>
                <w:tab w:val="left" w:pos="180"/>
                <w:tab w:val="left" w:pos="1620"/>
              </w:tabs>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b/>
                <w:color w:val="auto"/>
                <w:sz w:val="21"/>
                <w:szCs w:val="21"/>
                <w:highlight w:val="none"/>
              </w:rPr>
            </w:pPr>
            <w:r>
              <w:rPr>
                <w:rFonts w:hint="eastAsia" w:ascii="宋体" w:hAnsi="宋体" w:cs="新宋体"/>
                <w:b/>
                <w:color w:val="auto"/>
                <w:kern w:val="0"/>
                <w:sz w:val="21"/>
                <w:szCs w:val="21"/>
                <w:highlight w:val="none"/>
              </w:rPr>
              <w:t>（三）付款方式</w:t>
            </w:r>
          </w:p>
        </w:tc>
        <w:tc>
          <w:tcPr>
            <w:tcW w:w="3716" w:type="pct"/>
            <w:tcBorders>
              <w:top w:val="single" w:color="auto" w:sz="4" w:space="0"/>
              <w:left w:val="single" w:color="auto" w:sz="4" w:space="0"/>
              <w:bottom w:val="single" w:color="auto" w:sz="4" w:space="0"/>
              <w:right w:val="single" w:color="auto" w:sz="4" w:space="0"/>
            </w:tcBorders>
            <w:vAlign w:val="center"/>
          </w:tcPr>
          <w:p w14:paraId="46D8848A">
            <w:pPr>
              <w:pStyle w:val="24"/>
              <w:snapToGrid w:val="0"/>
              <w:spacing w:before="295" w:after="295" w:line="300" w:lineRule="exact"/>
              <w:jc w:val="center"/>
              <w:outlineLvl w:val="0"/>
              <w:rPr>
                <w:rFonts w:cs="宋体"/>
                <w:b/>
                <w:color w:val="auto"/>
                <w:kern w:val="2"/>
                <w:sz w:val="21"/>
                <w:szCs w:val="21"/>
                <w:highlight w:val="none"/>
              </w:rPr>
            </w:pPr>
          </w:p>
        </w:tc>
      </w:tr>
      <w:tr w14:paraId="6E69CB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0147C475">
            <w:pPr>
              <w:keepLines w:val="0"/>
              <w:pageBreakBefore w:val="0"/>
              <w:tabs>
                <w:tab w:val="left" w:pos="180"/>
                <w:tab w:val="left" w:pos="1620"/>
              </w:tabs>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b/>
                <w:color w:val="auto"/>
                <w:sz w:val="21"/>
                <w:szCs w:val="21"/>
                <w:highlight w:val="none"/>
              </w:rPr>
            </w:pPr>
            <w:r>
              <w:rPr>
                <w:rFonts w:hint="eastAsia" w:ascii="宋体" w:hAnsi="宋体" w:cs="新宋体"/>
                <w:b/>
                <w:color w:val="auto"/>
                <w:kern w:val="0"/>
                <w:sz w:val="21"/>
                <w:szCs w:val="21"/>
                <w:highlight w:val="none"/>
              </w:rPr>
              <w:t>（四）包装和运输</w:t>
            </w:r>
          </w:p>
        </w:tc>
        <w:tc>
          <w:tcPr>
            <w:tcW w:w="3716" w:type="pct"/>
            <w:tcBorders>
              <w:top w:val="single" w:color="auto" w:sz="4" w:space="0"/>
              <w:left w:val="single" w:color="auto" w:sz="4" w:space="0"/>
              <w:bottom w:val="single" w:color="auto" w:sz="4" w:space="0"/>
              <w:right w:val="single" w:color="auto" w:sz="4" w:space="0"/>
            </w:tcBorders>
            <w:vAlign w:val="center"/>
          </w:tcPr>
          <w:p w14:paraId="64557C6F">
            <w:pPr>
              <w:pStyle w:val="24"/>
              <w:snapToGrid w:val="0"/>
              <w:spacing w:before="295" w:after="295" w:line="300" w:lineRule="exact"/>
              <w:jc w:val="center"/>
              <w:outlineLvl w:val="0"/>
              <w:rPr>
                <w:rFonts w:cs="宋体"/>
                <w:b/>
                <w:color w:val="auto"/>
                <w:kern w:val="2"/>
                <w:sz w:val="21"/>
                <w:szCs w:val="21"/>
                <w:highlight w:val="none"/>
              </w:rPr>
            </w:pPr>
          </w:p>
        </w:tc>
      </w:tr>
      <w:tr w14:paraId="267CD0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30F400B5">
            <w:pPr>
              <w:keepLines w:val="0"/>
              <w:pageBreakBefore w:val="0"/>
              <w:tabs>
                <w:tab w:val="left" w:pos="180"/>
                <w:tab w:val="left" w:pos="1620"/>
              </w:tabs>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b/>
                <w:color w:val="auto"/>
                <w:sz w:val="21"/>
                <w:szCs w:val="21"/>
                <w:highlight w:val="none"/>
              </w:rPr>
            </w:pPr>
            <w:r>
              <w:rPr>
                <w:rFonts w:hint="eastAsia" w:ascii="宋体" w:hAnsi="宋体" w:cs="新宋体"/>
                <w:b/>
                <w:color w:val="auto"/>
                <w:kern w:val="0"/>
                <w:sz w:val="21"/>
                <w:szCs w:val="21"/>
                <w:highlight w:val="none"/>
              </w:rPr>
              <w:t>（</w:t>
            </w:r>
            <w:r>
              <w:rPr>
                <w:rFonts w:hint="eastAsia" w:ascii="宋体" w:hAnsi="宋体" w:cs="新宋体"/>
                <w:b/>
                <w:color w:val="auto"/>
                <w:kern w:val="0"/>
                <w:sz w:val="21"/>
                <w:szCs w:val="21"/>
                <w:highlight w:val="none"/>
                <w:lang w:eastAsia="zh-CN"/>
              </w:rPr>
              <w:t>五</w:t>
            </w:r>
            <w:r>
              <w:rPr>
                <w:rFonts w:hint="eastAsia" w:ascii="宋体" w:hAnsi="宋体" w:cs="新宋体"/>
                <w:b/>
                <w:color w:val="auto"/>
                <w:kern w:val="0"/>
                <w:sz w:val="21"/>
                <w:szCs w:val="21"/>
                <w:highlight w:val="none"/>
              </w:rPr>
              <w:t>）</w:t>
            </w:r>
            <w:r>
              <w:rPr>
                <w:rFonts w:hint="eastAsia" w:ascii="宋体" w:hAnsi="宋体" w:cs="新宋体"/>
                <w:b/>
                <w:color w:val="auto"/>
                <w:kern w:val="0"/>
                <w:sz w:val="21"/>
                <w:szCs w:val="21"/>
                <w:highlight w:val="none"/>
                <w:lang w:eastAsia="zh-CN"/>
              </w:rPr>
              <w:t>印制主题标语要求</w:t>
            </w:r>
          </w:p>
        </w:tc>
        <w:tc>
          <w:tcPr>
            <w:tcW w:w="3716" w:type="pct"/>
            <w:tcBorders>
              <w:top w:val="single" w:color="auto" w:sz="4" w:space="0"/>
              <w:left w:val="single" w:color="auto" w:sz="4" w:space="0"/>
              <w:bottom w:val="single" w:color="auto" w:sz="4" w:space="0"/>
              <w:right w:val="single" w:color="auto" w:sz="4" w:space="0"/>
            </w:tcBorders>
            <w:vAlign w:val="center"/>
          </w:tcPr>
          <w:p w14:paraId="7462C040">
            <w:pPr>
              <w:pStyle w:val="24"/>
              <w:snapToGrid w:val="0"/>
              <w:spacing w:before="295" w:after="295" w:line="300" w:lineRule="exact"/>
              <w:jc w:val="center"/>
              <w:outlineLvl w:val="0"/>
              <w:rPr>
                <w:rFonts w:cs="宋体"/>
                <w:b/>
                <w:color w:val="auto"/>
                <w:kern w:val="2"/>
                <w:sz w:val="21"/>
                <w:szCs w:val="21"/>
                <w:highlight w:val="none"/>
              </w:rPr>
            </w:pPr>
          </w:p>
        </w:tc>
      </w:tr>
      <w:tr w14:paraId="074120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740E22BD">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b/>
                <w:color w:val="auto"/>
                <w:sz w:val="21"/>
                <w:szCs w:val="21"/>
                <w:highlight w:val="none"/>
              </w:rPr>
            </w:pPr>
            <w:r>
              <w:rPr>
                <w:rFonts w:hint="eastAsia" w:ascii="宋体" w:hAnsi="宋体" w:cs="新宋体"/>
                <w:b/>
                <w:color w:val="auto"/>
                <w:kern w:val="0"/>
                <w:sz w:val="21"/>
                <w:szCs w:val="21"/>
                <w:highlight w:val="none"/>
              </w:rPr>
              <w:t>（</w:t>
            </w:r>
            <w:r>
              <w:rPr>
                <w:rFonts w:hint="eastAsia" w:ascii="宋体" w:hAnsi="宋体" w:cs="新宋体"/>
                <w:b/>
                <w:color w:val="auto"/>
                <w:kern w:val="0"/>
                <w:sz w:val="21"/>
                <w:szCs w:val="21"/>
                <w:highlight w:val="none"/>
                <w:lang w:eastAsia="zh-CN"/>
              </w:rPr>
              <w:t>六</w:t>
            </w:r>
            <w:r>
              <w:rPr>
                <w:rFonts w:hint="eastAsia" w:ascii="宋体" w:hAnsi="宋体" w:cs="新宋体"/>
                <w:b/>
                <w:color w:val="auto"/>
                <w:kern w:val="0"/>
                <w:sz w:val="21"/>
                <w:szCs w:val="21"/>
                <w:highlight w:val="none"/>
              </w:rPr>
              <w:t>）质量标准及验收标准</w:t>
            </w:r>
          </w:p>
        </w:tc>
        <w:tc>
          <w:tcPr>
            <w:tcW w:w="3716" w:type="pct"/>
            <w:tcBorders>
              <w:top w:val="single" w:color="auto" w:sz="4" w:space="0"/>
              <w:left w:val="single" w:color="auto" w:sz="4" w:space="0"/>
              <w:bottom w:val="single" w:color="auto" w:sz="4" w:space="0"/>
              <w:right w:val="single" w:color="auto" w:sz="4" w:space="0"/>
            </w:tcBorders>
            <w:vAlign w:val="center"/>
          </w:tcPr>
          <w:p w14:paraId="4C202DA3">
            <w:pPr>
              <w:pStyle w:val="24"/>
              <w:snapToGrid w:val="0"/>
              <w:spacing w:before="295" w:after="295" w:line="300" w:lineRule="exact"/>
              <w:jc w:val="center"/>
              <w:outlineLvl w:val="0"/>
              <w:rPr>
                <w:rFonts w:cs="宋体"/>
                <w:b/>
                <w:color w:val="auto"/>
                <w:kern w:val="2"/>
                <w:sz w:val="21"/>
                <w:szCs w:val="21"/>
                <w:highlight w:val="none"/>
              </w:rPr>
            </w:pPr>
          </w:p>
        </w:tc>
      </w:tr>
      <w:tr w14:paraId="24350B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0" w:type="dxa"/>
            <w:tcBorders>
              <w:top w:val="single" w:color="auto" w:sz="4" w:space="0"/>
              <w:left w:val="single" w:color="auto" w:sz="4" w:space="0"/>
              <w:bottom w:val="single" w:color="auto" w:sz="4" w:space="0"/>
              <w:right w:val="single" w:color="auto" w:sz="4" w:space="0"/>
            </w:tcBorders>
            <w:vAlign w:val="center"/>
          </w:tcPr>
          <w:p w14:paraId="156D202E">
            <w:pPr>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cs="宋体"/>
                <w:b/>
                <w:color w:val="auto"/>
                <w:sz w:val="21"/>
                <w:szCs w:val="21"/>
                <w:highlight w:val="none"/>
              </w:rPr>
            </w:pPr>
            <w:r>
              <w:rPr>
                <w:rFonts w:hint="eastAsia" w:ascii="宋体" w:hAnsi="宋体" w:cs="新宋体"/>
                <w:b/>
                <w:color w:val="auto"/>
                <w:kern w:val="0"/>
                <w:sz w:val="21"/>
                <w:szCs w:val="21"/>
                <w:highlight w:val="none"/>
              </w:rPr>
              <w:t>（</w:t>
            </w:r>
            <w:r>
              <w:rPr>
                <w:rFonts w:hint="eastAsia" w:ascii="宋体" w:hAnsi="宋体" w:cs="新宋体"/>
                <w:b/>
                <w:color w:val="auto"/>
                <w:kern w:val="0"/>
                <w:sz w:val="21"/>
                <w:szCs w:val="21"/>
                <w:highlight w:val="none"/>
                <w:lang w:eastAsia="zh-CN"/>
              </w:rPr>
              <w:t>七</w:t>
            </w:r>
            <w:r>
              <w:rPr>
                <w:rFonts w:hint="eastAsia" w:ascii="宋体" w:hAnsi="宋体" w:cs="新宋体"/>
                <w:b/>
                <w:color w:val="auto"/>
                <w:kern w:val="0"/>
                <w:sz w:val="21"/>
                <w:szCs w:val="21"/>
                <w:highlight w:val="none"/>
              </w:rPr>
              <w:t>）</w:t>
            </w:r>
            <w:r>
              <w:rPr>
                <w:rFonts w:hint="eastAsia" w:cs="新宋体"/>
                <w:b/>
                <w:color w:val="auto"/>
                <w:kern w:val="0"/>
                <w:sz w:val="21"/>
                <w:szCs w:val="21"/>
                <w:highlight w:val="none"/>
              </w:rPr>
              <w:t>其他要求</w:t>
            </w:r>
          </w:p>
        </w:tc>
        <w:tc>
          <w:tcPr>
            <w:tcW w:w="3716" w:type="pct"/>
            <w:tcBorders>
              <w:top w:val="single" w:color="auto" w:sz="4" w:space="0"/>
              <w:left w:val="single" w:color="auto" w:sz="4" w:space="0"/>
              <w:bottom w:val="single" w:color="auto" w:sz="4" w:space="0"/>
              <w:right w:val="single" w:color="auto" w:sz="4" w:space="0"/>
            </w:tcBorders>
            <w:vAlign w:val="center"/>
          </w:tcPr>
          <w:p w14:paraId="06421D6E">
            <w:pPr>
              <w:pStyle w:val="24"/>
              <w:snapToGrid w:val="0"/>
              <w:spacing w:before="295" w:after="295" w:line="300" w:lineRule="exact"/>
              <w:jc w:val="center"/>
              <w:outlineLvl w:val="0"/>
              <w:rPr>
                <w:rFonts w:cs="宋体"/>
                <w:b/>
                <w:color w:val="auto"/>
                <w:kern w:val="2"/>
                <w:sz w:val="21"/>
                <w:szCs w:val="21"/>
                <w:highlight w:val="none"/>
              </w:rPr>
            </w:pPr>
          </w:p>
        </w:tc>
      </w:tr>
    </w:tbl>
    <w:p w14:paraId="2DCB09C5">
      <w:pPr>
        <w:snapToGrid w:val="0"/>
        <w:spacing w:line="400" w:lineRule="exact"/>
        <w:ind w:firstLine="0" w:firstLineChars="0"/>
        <w:rPr>
          <w:rFonts w:hint="eastAsia" w:ascii="宋体" w:hAnsi="宋体" w:cs="宋体"/>
          <w:color w:val="auto"/>
          <w:sz w:val="21"/>
          <w:szCs w:val="21"/>
          <w:highlight w:val="none"/>
        </w:rPr>
      </w:pPr>
    </w:p>
    <w:p w14:paraId="3E108BB8">
      <w:pPr>
        <w:snapToGrid w:val="0"/>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注：应对照谈判文件“第三章 采购需求”中的商务要求逐条明确响应承诺。</w:t>
      </w:r>
    </w:p>
    <w:p w14:paraId="72F16AAE">
      <w:pPr>
        <w:snapToGrid w:val="0"/>
        <w:spacing w:line="400" w:lineRule="exact"/>
        <w:ind w:firstLine="0" w:firstLineChars="0"/>
        <w:rPr>
          <w:rFonts w:hint="eastAsia" w:ascii="宋体" w:hAnsi="宋体" w:cs="宋体"/>
          <w:color w:val="auto"/>
          <w:sz w:val="21"/>
          <w:szCs w:val="21"/>
          <w:highlight w:val="none"/>
        </w:rPr>
      </w:pPr>
    </w:p>
    <w:p w14:paraId="1D23B502">
      <w:pPr>
        <w:snapToGrid w:val="0"/>
        <w:spacing w:line="400" w:lineRule="exact"/>
        <w:ind w:firstLine="0" w:firstLineChars="0"/>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4710086F">
      <w:pPr>
        <w:spacing w:line="340" w:lineRule="exact"/>
        <w:ind w:firstLine="0" w:firstLineChars="0"/>
        <w:rPr>
          <w:rFonts w:hint="eastAsia"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197E9813">
      <w:pPr>
        <w:spacing w:line="400" w:lineRule="exact"/>
        <w:ind w:firstLine="0" w:firstLineChars="0"/>
        <w:rPr>
          <w:rFonts w:hint="eastAsia" w:ascii="宋体" w:hAnsi="宋体" w:cs="宋体"/>
          <w:color w:val="auto"/>
          <w:sz w:val="21"/>
          <w:szCs w:val="21"/>
          <w:highlight w:val="none"/>
        </w:rPr>
      </w:pPr>
      <w:r>
        <w:rPr>
          <w:rFonts w:hint="eastAsia" w:ascii="宋体" w:hAnsi="宋体" w:cs="宋体"/>
          <w:color w:val="auto"/>
          <w:sz w:val="21"/>
          <w:szCs w:val="20"/>
          <w:highlight w:val="none"/>
        </w:rPr>
        <w:t>日          期：</w:t>
      </w:r>
    </w:p>
    <w:p w14:paraId="3B44F037">
      <w:pPr>
        <w:spacing w:line="240" w:lineRule="auto"/>
        <w:ind w:firstLine="4200" w:firstLineChars="2000"/>
        <w:rPr>
          <w:rFonts w:hint="eastAsia" w:ascii="宋体" w:hAnsi="宋体"/>
          <w:color w:val="auto"/>
          <w:sz w:val="21"/>
          <w:szCs w:val="20"/>
          <w:highlight w:val="none"/>
          <w:u w:val="single"/>
        </w:rPr>
      </w:pPr>
    </w:p>
    <w:p w14:paraId="3589080C">
      <w:pPr>
        <w:pStyle w:val="22"/>
        <w:rPr>
          <w:rFonts w:hint="eastAsia" w:ascii="宋体" w:hAnsi="宋体" w:cs="宋体"/>
          <w:b/>
          <w:color w:val="auto"/>
          <w:sz w:val="21"/>
          <w:szCs w:val="21"/>
          <w:highlight w:val="none"/>
        </w:rPr>
      </w:pPr>
    </w:p>
    <w:p w14:paraId="7C04A9C9">
      <w:pPr>
        <w:pStyle w:val="22"/>
        <w:rPr>
          <w:rFonts w:hint="eastAsia" w:ascii="宋体" w:hAnsi="宋体" w:cs="宋体"/>
          <w:b/>
          <w:color w:val="auto"/>
          <w:sz w:val="21"/>
          <w:szCs w:val="21"/>
          <w:highlight w:val="none"/>
        </w:rPr>
      </w:pPr>
    </w:p>
    <w:p w14:paraId="39F5CA55">
      <w:pPr>
        <w:pStyle w:val="22"/>
        <w:rPr>
          <w:rFonts w:hint="eastAsia" w:ascii="宋体" w:hAnsi="宋体" w:cs="宋体"/>
          <w:b/>
          <w:color w:val="auto"/>
          <w:sz w:val="21"/>
          <w:szCs w:val="21"/>
          <w:highlight w:val="none"/>
        </w:rPr>
      </w:pPr>
    </w:p>
    <w:p w14:paraId="3E5E9E63">
      <w:pPr>
        <w:pStyle w:val="22"/>
        <w:rPr>
          <w:rFonts w:hint="eastAsia" w:ascii="宋体" w:hAnsi="宋体" w:cs="宋体"/>
          <w:b/>
          <w:color w:val="auto"/>
          <w:sz w:val="21"/>
          <w:szCs w:val="21"/>
          <w:highlight w:val="none"/>
        </w:rPr>
      </w:pPr>
    </w:p>
    <w:p w14:paraId="6485F259">
      <w:pPr>
        <w:pStyle w:val="24"/>
        <w:spacing w:line="340" w:lineRule="exact"/>
        <w:rPr>
          <w:rFonts w:hint="eastAsia" w:ascii="宋体" w:hAnsi="宋体" w:cs="宋体"/>
          <w:b/>
          <w:color w:val="auto"/>
          <w:sz w:val="28"/>
          <w:szCs w:val="28"/>
          <w:highlight w:val="none"/>
        </w:rPr>
      </w:pPr>
    </w:p>
    <w:p w14:paraId="3C5181A3">
      <w:pPr>
        <w:spacing w:line="400" w:lineRule="exact"/>
        <w:ind w:firstLine="0" w:firstLineChars="0"/>
        <w:jc w:val="center"/>
        <w:rPr>
          <w:rFonts w:hint="eastAsia" w:ascii="宋体" w:hAnsi="宋体"/>
          <w:b/>
          <w:color w:val="auto"/>
          <w:kern w:val="0"/>
          <w:sz w:val="32"/>
          <w:szCs w:val="32"/>
          <w:highlight w:val="none"/>
        </w:rPr>
      </w:pPr>
      <w:r>
        <w:rPr>
          <w:color w:val="auto"/>
          <w:kern w:val="0"/>
          <w:szCs w:val="20"/>
          <w:highlight w:val="none"/>
        </w:rPr>
        <w:br w:type="page"/>
      </w:r>
      <w:r>
        <w:rPr>
          <w:rFonts w:hint="eastAsia" w:ascii="宋体" w:hAnsi="宋体"/>
          <w:b/>
          <w:color w:val="auto"/>
          <w:kern w:val="0"/>
          <w:sz w:val="32"/>
          <w:szCs w:val="32"/>
          <w:highlight w:val="none"/>
        </w:rPr>
        <w:t>（三）其他有效证明材料目录</w:t>
      </w:r>
    </w:p>
    <w:p w14:paraId="0AAB80EA">
      <w:pPr>
        <w:tabs>
          <w:tab w:val="left" w:pos="1305"/>
        </w:tabs>
        <w:spacing w:line="380" w:lineRule="exact"/>
        <w:ind w:firstLine="420"/>
        <w:rPr>
          <w:rFonts w:hint="eastAsia" w:ascii="宋体" w:hAnsi="宋体" w:cs="宋体"/>
          <w:color w:val="auto"/>
          <w:kern w:val="0"/>
          <w:sz w:val="21"/>
          <w:szCs w:val="21"/>
          <w:highlight w:val="none"/>
        </w:rPr>
      </w:pPr>
    </w:p>
    <w:p w14:paraId="06099B9C">
      <w:pPr>
        <w:keepNext w:val="0"/>
        <w:keepLines w:val="0"/>
        <w:pageBreakBefore w:val="0"/>
        <w:widowControl w:val="0"/>
        <w:tabs>
          <w:tab w:val="left" w:pos="1305"/>
        </w:tabs>
        <w:kinsoku/>
        <w:wordWrap/>
        <w:overflowPunct/>
        <w:topLinePunct w:val="0"/>
        <w:autoSpaceDE/>
        <w:autoSpaceDN/>
        <w:bidi w:val="0"/>
        <w:adjustRightInd/>
        <w:snapToGrid/>
        <w:spacing w:line="520" w:lineRule="exact"/>
        <w:ind w:firstLine="480"/>
        <w:textAlignment w:val="auto"/>
        <w:rPr>
          <w:rFonts w:hint="eastAsia" w:ascii="宋体" w:hAnsi="宋体" w:cs="新宋体"/>
          <w:color w:val="auto"/>
          <w:szCs w:val="24"/>
          <w:highlight w:val="none"/>
        </w:rPr>
      </w:pPr>
      <w:r>
        <w:rPr>
          <w:rFonts w:hint="eastAsia" w:ascii="宋体" w:hAnsi="宋体" w:eastAsia="宋体" w:cs="新宋体"/>
          <w:color w:val="auto"/>
          <w:szCs w:val="24"/>
          <w:highlight w:val="none"/>
        </w:rPr>
        <w:t>1.节能、环保产品</w:t>
      </w:r>
      <w:r>
        <w:rPr>
          <w:rFonts w:hint="eastAsia" w:ascii="宋体" w:hAnsi="宋体" w:cs="新宋体"/>
          <w:color w:val="auto"/>
          <w:szCs w:val="24"/>
          <w:highlight w:val="none"/>
        </w:rPr>
        <w:t>相关证明材料复印件</w:t>
      </w:r>
      <w:r>
        <w:rPr>
          <w:rFonts w:hint="eastAsia" w:ascii="宋体" w:hAnsi="宋体" w:cs="新宋体"/>
          <w:b/>
          <w:color w:val="auto"/>
          <w:szCs w:val="24"/>
          <w:highlight w:val="none"/>
        </w:rPr>
        <w:t>（如有，请提供）</w:t>
      </w:r>
    </w:p>
    <w:p w14:paraId="297C985F">
      <w:pPr>
        <w:pStyle w:val="24"/>
        <w:spacing w:line="360" w:lineRule="exact"/>
        <w:ind w:firstLine="480" w:firstLineChars="200"/>
        <w:rPr>
          <w:rFonts w:hint="eastAsia" w:ascii="宋体" w:hAnsi="宋体" w:eastAsia="宋体" w:cs="Times New Roman"/>
          <w:color w:val="auto"/>
          <w:szCs w:val="21"/>
          <w:highlight w:val="none"/>
          <w:lang w:val="en-US" w:eastAsia="zh-CN"/>
        </w:rPr>
      </w:pPr>
      <w:r>
        <w:rPr>
          <w:rFonts w:hint="eastAsia" w:ascii="宋体" w:hAnsi="宋体" w:eastAsia="宋体" w:cs="新宋体"/>
          <w:color w:val="auto"/>
          <w:kern w:val="2"/>
          <w:sz w:val="24"/>
          <w:szCs w:val="24"/>
          <w:highlight w:val="none"/>
          <w:lang w:val="en-US" w:eastAsia="zh-CN" w:bidi="ar-SA"/>
        </w:rPr>
        <w:t>2.供应商属于中小企业的相关有效证明材料</w:t>
      </w:r>
      <w:r>
        <w:rPr>
          <w:rFonts w:hint="eastAsia" w:ascii="宋体" w:hAnsi="宋体" w:eastAsia="宋体" w:cs="宋体"/>
          <w:b/>
          <w:bCs/>
          <w:color w:val="auto"/>
          <w:kern w:val="0"/>
          <w:sz w:val="21"/>
          <w:szCs w:val="21"/>
          <w:highlight w:val="none"/>
          <w:lang w:val="en-US" w:eastAsia="zh-CN" w:bidi="ar-SA"/>
        </w:rPr>
        <w:t>（如有，请提供）</w:t>
      </w:r>
      <w:r>
        <w:rPr>
          <w:rFonts w:hint="eastAsia" w:ascii="宋体" w:hAnsi="宋体" w:eastAsia="宋体" w:cs="Times New Roman"/>
          <w:b/>
          <w:bCs/>
          <w:color w:val="auto"/>
          <w:szCs w:val="21"/>
          <w:highlight w:val="none"/>
          <w:lang w:val="en-US" w:eastAsia="zh-CN"/>
        </w:rPr>
        <w:t>；</w:t>
      </w:r>
    </w:p>
    <w:p w14:paraId="31CD687A">
      <w:pPr>
        <w:keepNext w:val="0"/>
        <w:keepLines w:val="0"/>
        <w:pageBreakBefore w:val="0"/>
        <w:widowControl w:val="0"/>
        <w:tabs>
          <w:tab w:val="left" w:pos="1305"/>
        </w:tabs>
        <w:kinsoku/>
        <w:wordWrap/>
        <w:overflowPunct/>
        <w:topLinePunct w:val="0"/>
        <w:autoSpaceDE/>
        <w:autoSpaceDN/>
        <w:bidi w:val="0"/>
        <w:adjustRightInd/>
        <w:snapToGrid/>
        <w:spacing w:line="520" w:lineRule="exact"/>
        <w:ind w:firstLine="480"/>
        <w:textAlignment w:val="auto"/>
        <w:rPr>
          <w:rFonts w:hint="eastAsia" w:ascii="宋体" w:hAnsi="宋体" w:cs="宋体"/>
          <w:color w:val="auto"/>
          <w:kern w:val="0"/>
          <w:szCs w:val="24"/>
          <w:highlight w:val="none"/>
        </w:rPr>
      </w:pPr>
      <w:r>
        <w:rPr>
          <w:rFonts w:hint="eastAsia" w:ascii="宋体" w:hAnsi="宋体" w:eastAsia="宋体" w:cs="新宋体"/>
          <w:color w:val="auto"/>
          <w:szCs w:val="24"/>
          <w:highlight w:val="none"/>
        </w:rPr>
        <w:t>3.《关于符合本国产品标准的声明函》或者财政部会同有关部门规定的有关证明文件</w:t>
      </w:r>
      <w:r>
        <w:rPr>
          <w:rFonts w:hint="eastAsia" w:ascii="宋体" w:hAnsi="宋体" w:cs="宋体"/>
          <w:b/>
          <w:color w:val="auto"/>
          <w:kern w:val="0"/>
          <w:szCs w:val="24"/>
          <w:highlight w:val="none"/>
        </w:rPr>
        <w:t>（如有，请提供）</w:t>
      </w:r>
    </w:p>
    <w:p w14:paraId="67066EA6">
      <w:pPr>
        <w:keepNext w:val="0"/>
        <w:keepLines w:val="0"/>
        <w:pageBreakBefore w:val="0"/>
        <w:widowControl w:val="0"/>
        <w:tabs>
          <w:tab w:val="left" w:pos="1305"/>
        </w:tabs>
        <w:kinsoku/>
        <w:wordWrap/>
        <w:overflowPunct/>
        <w:topLinePunct w:val="0"/>
        <w:autoSpaceDE/>
        <w:autoSpaceDN/>
        <w:bidi w:val="0"/>
        <w:adjustRightInd/>
        <w:snapToGrid/>
        <w:spacing w:line="520" w:lineRule="exact"/>
        <w:ind w:firstLine="480"/>
        <w:textAlignment w:val="auto"/>
        <w:rPr>
          <w:rFonts w:hint="eastAsia" w:ascii="宋体" w:hAnsi="宋体" w:cs="宋体"/>
          <w:color w:val="auto"/>
          <w:kern w:val="0"/>
          <w:szCs w:val="24"/>
          <w:highlight w:val="none"/>
        </w:rPr>
      </w:pPr>
      <w:r>
        <w:rPr>
          <w:rFonts w:hint="eastAsia" w:ascii="宋体" w:hAnsi="宋体" w:eastAsia="宋体" w:cs="新宋体"/>
          <w:color w:val="auto"/>
          <w:szCs w:val="24"/>
          <w:highlight w:val="none"/>
        </w:rPr>
        <w:t>4.供应商可结合本项目的评审办法视自身情况自行提交相关证明材料</w:t>
      </w:r>
      <w:r>
        <w:rPr>
          <w:rFonts w:hint="eastAsia" w:ascii="宋体" w:hAnsi="宋体" w:cs="宋体"/>
          <w:b/>
          <w:color w:val="auto"/>
          <w:kern w:val="0"/>
          <w:szCs w:val="24"/>
          <w:highlight w:val="none"/>
        </w:rPr>
        <w:t>（如有，请提供）</w:t>
      </w:r>
    </w:p>
    <w:p w14:paraId="06E119A7">
      <w:pPr>
        <w:tabs>
          <w:tab w:val="left" w:pos="1305"/>
        </w:tabs>
        <w:spacing w:line="440" w:lineRule="exact"/>
        <w:ind w:firstLine="480"/>
        <w:rPr>
          <w:rFonts w:hint="eastAsia" w:ascii="宋体" w:hAnsi="宋体"/>
          <w:color w:val="auto"/>
          <w:kern w:val="0"/>
          <w:szCs w:val="24"/>
          <w:highlight w:val="none"/>
        </w:rPr>
      </w:pPr>
    </w:p>
    <w:p w14:paraId="00507978">
      <w:pPr>
        <w:tabs>
          <w:tab w:val="left" w:pos="1305"/>
        </w:tabs>
        <w:spacing w:line="400" w:lineRule="exact"/>
        <w:ind w:firstLine="422"/>
        <w:rPr>
          <w:rFonts w:hint="eastAsia" w:ascii="宋体" w:hAnsi="宋体"/>
          <w:b/>
          <w:color w:val="auto"/>
          <w:kern w:val="0"/>
          <w:sz w:val="21"/>
          <w:szCs w:val="21"/>
          <w:highlight w:val="none"/>
        </w:rPr>
      </w:pPr>
    </w:p>
    <w:p w14:paraId="52147F48">
      <w:pPr>
        <w:spacing w:line="240" w:lineRule="auto"/>
        <w:ind w:firstLine="0" w:firstLineChars="0"/>
        <w:rPr>
          <w:rFonts w:hint="eastAsia" w:ascii="宋体" w:hAnsi="宋体"/>
          <w:b/>
          <w:bCs/>
          <w:color w:val="auto"/>
          <w:kern w:val="0"/>
          <w:sz w:val="32"/>
          <w:szCs w:val="32"/>
          <w:highlight w:val="none"/>
        </w:rPr>
      </w:pPr>
    </w:p>
    <w:p w14:paraId="377BFDF2">
      <w:pPr>
        <w:spacing w:line="240" w:lineRule="auto"/>
        <w:ind w:firstLine="0" w:firstLineChars="0"/>
        <w:rPr>
          <w:rFonts w:hint="eastAsia" w:ascii="宋体" w:hAnsi="宋体"/>
          <w:b/>
          <w:bCs/>
          <w:color w:val="auto"/>
          <w:kern w:val="0"/>
          <w:sz w:val="32"/>
          <w:szCs w:val="32"/>
          <w:highlight w:val="none"/>
        </w:rPr>
      </w:pPr>
    </w:p>
    <w:p w14:paraId="43055DA4">
      <w:pPr>
        <w:spacing w:line="240" w:lineRule="auto"/>
        <w:ind w:firstLine="0" w:firstLineChars="0"/>
        <w:rPr>
          <w:rFonts w:hint="eastAsia" w:ascii="宋体" w:hAnsi="宋体"/>
          <w:b/>
          <w:bCs/>
          <w:color w:val="auto"/>
          <w:kern w:val="0"/>
          <w:sz w:val="32"/>
          <w:szCs w:val="32"/>
          <w:highlight w:val="none"/>
        </w:rPr>
      </w:pPr>
    </w:p>
    <w:p w14:paraId="18320CA6">
      <w:pPr>
        <w:spacing w:line="240" w:lineRule="auto"/>
        <w:ind w:firstLine="0" w:firstLineChars="0"/>
        <w:rPr>
          <w:rFonts w:hint="eastAsia" w:ascii="宋体" w:hAnsi="宋体"/>
          <w:b/>
          <w:color w:val="auto"/>
          <w:kern w:val="0"/>
          <w:sz w:val="32"/>
          <w:szCs w:val="20"/>
          <w:highlight w:val="none"/>
        </w:rPr>
      </w:pPr>
    </w:p>
    <w:p w14:paraId="73294E51">
      <w:pPr>
        <w:pStyle w:val="22"/>
        <w:rPr>
          <w:color w:val="auto"/>
          <w:highlight w:val="none"/>
        </w:rPr>
      </w:pPr>
    </w:p>
    <w:p w14:paraId="2E696C7F">
      <w:pPr>
        <w:pStyle w:val="22"/>
        <w:rPr>
          <w:color w:val="auto"/>
          <w:highlight w:val="none"/>
        </w:rPr>
      </w:pPr>
    </w:p>
    <w:p w14:paraId="08878712">
      <w:pPr>
        <w:pStyle w:val="22"/>
        <w:rPr>
          <w:color w:val="auto"/>
          <w:highlight w:val="none"/>
        </w:rPr>
      </w:pPr>
    </w:p>
    <w:p w14:paraId="59E75A0C">
      <w:pPr>
        <w:pStyle w:val="22"/>
        <w:rPr>
          <w:color w:val="auto"/>
          <w:highlight w:val="none"/>
        </w:rPr>
      </w:pPr>
    </w:p>
    <w:p w14:paraId="1D1A7122">
      <w:pPr>
        <w:pStyle w:val="22"/>
        <w:rPr>
          <w:color w:val="auto"/>
          <w:highlight w:val="none"/>
        </w:rPr>
      </w:pPr>
    </w:p>
    <w:p w14:paraId="6D2D2AAF">
      <w:pPr>
        <w:pStyle w:val="22"/>
        <w:rPr>
          <w:color w:val="auto"/>
          <w:highlight w:val="none"/>
        </w:rPr>
      </w:pPr>
    </w:p>
    <w:p w14:paraId="6070A909">
      <w:pPr>
        <w:pStyle w:val="22"/>
        <w:rPr>
          <w:color w:val="auto"/>
          <w:highlight w:val="none"/>
        </w:rPr>
      </w:pPr>
    </w:p>
    <w:p w14:paraId="3257C943">
      <w:pPr>
        <w:pStyle w:val="22"/>
        <w:rPr>
          <w:color w:val="auto"/>
          <w:highlight w:val="none"/>
        </w:rPr>
      </w:pPr>
    </w:p>
    <w:p w14:paraId="5B95F46B">
      <w:pPr>
        <w:spacing w:after="120" w:line="240" w:lineRule="auto"/>
        <w:ind w:firstLine="0" w:firstLineChars="0"/>
        <w:rPr>
          <w:rFonts w:hint="eastAsia" w:ascii="宋体" w:hAnsi="宋体"/>
          <w:color w:val="auto"/>
          <w:sz w:val="21"/>
          <w:szCs w:val="20"/>
          <w:highlight w:val="none"/>
          <w:u w:val="single"/>
        </w:rPr>
      </w:pPr>
    </w:p>
    <w:p w14:paraId="0F2015F3">
      <w:pPr>
        <w:pStyle w:val="22"/>
        <w:rPr>
          <w:color w:val="auto"/>
          <w:highlight w:val="none"/>
        </w:rPr>
      </w:pPr>
    </w:p>
    <w:p w14:paraId="5958AE5D">
      <w:pPr>
        <w:pStyle w:val="22"/>
        <w:rPr>
          <w:color w:val="auto"/>
          <w:highlight w:val="none"/>
        </w:rPr>
      </w:pPr>
    </w:p>
    <w:p w14:paraId="7CE386AB">
      <w:pPr>
        <w:pStyle w:val="22"/>
        <w:rPr>
          <w:color w:val="auto"/>
          <w:highlight w:val="none"/>
        </w:rPr>
      </w:pPr>
    </w:p>
    <w:p w14:paraId="70545E93">
      <w:pPr>
        <w:pStyle w:val="22"/>
        <w:rPr>
          <w:color w:val="auto"/>
          <w:highlight w:val="none"/>
        </w:rPr>
      </w:pPr>
    </w:p>
    <w:p w14:paraId="73BF78CE">
      <w:pPr>
        <w:pStyle w:val="22"/>
        <w:rPr>
          <w:color w:val="auto"/>
          <w:highlight w:val="none"/>
        </w:rPr>
      </w:pPr>
    </w:p>
    <w:p w14:paraId="3819C23F">
      <w:pPr>
        <w:pStyle w:val="22"/>
        <w:rPr>
          <w:color w:val="auto"/>
          <w:highlight w:val="none"/>
        </w:rPr>
      </w:pPr>
    </w:p>
    <w:p w14:paraId="35C0C146">
      <w:pPr>
        <w:pStyle w:val="22"/>
        <w:rPr>
          <w:color w:val="auto"/>
          <w:highlight w:val="none"/>
        </w:rPr>
      </w:pPr>
    </w:p>
    <w:p w14:paraId="2C4449D7">
      <w:pPr>
        <w:spacing w:line="400" w:lineRule="exact"/>
        <w:ind w:firstLine="0" w:firstLineChars="0"/>
        <w:rPr>
          <w:rFonts w:hint="eastAsia" w:ascii="宋体" w:hAnsi="宋体" w:cs="宋体"/>
          <w:b/>
          <w:color w:val="auto"/>
          <w:kern w:val="0"/>
          <w:sz w:val="32"/>
          <w:szCs w:val="20"/>
          <w:highlight w:val="none"/>
        </w:rPr>
      </w:pPr>
    </w:p>
    <w:p w14:paraId="49A8B37B">
      <w:pPr>
        <w:spacing w:line="400" w:lineRule="exact"/>
        <w:ind w:firstLine="0" w:firstLineChars="0"/>
        <w:rPr>
          <w:rFonts w:hint="eastAsia" w:ascii="宋体" w:hAnsi="宋体" w:cs="宋体"/>
          <w:b/>
          <w:color w:val="auto"/>
          <w:kern w:val="0"/>
          <w:sz w:val="32"/>
          <w:szCs w:val="20"/>
          <w:highlight w:val="none"/>
        </w:rPr>
      </w:pPr>
    </w:p>
    <w:p w14:paraId="6E4EEFBC">
      <w:pPr>
        <w:spacing w:line="400" w:lineRule="exact"/>
        <w:ind w:firstLine="0" w:firstLineChars="0"/>
        <w:rPr>
          <w:rFonts w:hint="eastAsia" w:ascii="宋体" w:hAnsi="宋体" w:cs="宋体"/>
          <w:b/>
          <w:color w:val="auto"/>
          <w:kern w:val="0"/>
          <w:sz w:val="32"/>
          <w:szCs w:val="20"/>
          <w:highlight w:val="none"/>
        </w:rPr>
      </w:pPr>
    </w:p>
    <w:p w14:paraId="1B82E961">
      <w:pPr>
        <w:spacing w:line="400" w:lineRule="exact"/>
        <w:ind w:firstLine="0" w:firstLineChars="0"/>
        <w:rPr>
          <w:rFonts w:hint="eastAsia" w:ascii="宋体" w:hAnsi="宋体" w:cs="宋体"/>
          <w:b/>
          <w:color w:val="auto"/>
          <w:kern w:val="0"/>
          <w:sz w:val="32"/>
          <w:szCs w:val="20"/>
          <w:highlight w:val="none"/>
        </w:rPr>
      </w:pPr>
      <w:r>
        <w:rPr>
          <w:rFonts w:hint="eastAsia" w:ascii="宋体" w:hAnsi="宋体" w:cs="宋体"/>
          <w:b/>
          <w:color w:val="auto"/>
          <w:kern w:val="0"/>
          <w:sz w:val="32"/>
          <w:szCs w:val="20"/>
          <w:highlight w:val="none"/>
        </w:rPr>
        <w:t>1.节能、环保产品相关证明材料复印件（如有，请提供）</w:t>
      </w:r>
    </w:p>
    <w:p w14:paraId="71B9E64B">
      <w:pPr>
        <w:pStyle w:val="22"/>
        <w:spacing w:line="400" w:lineRule="exact"/>
        <w:rPr>
          <w:color w:val="auto"/>
          <w:highlight w:val="none"/>
        </w:rPr>
      </w:pPr>
    </w:p>
    <w:p w14:paraId="00880DD7">
      <w:pPr>
        <w:pStyle w:val="22"/>
        <w:spacing w:line="400" w:lineRule="exact"/>
        <w:rPr>
          <w:color w:val="auto"/>
          <w:highlight w:val="none"/>
        </w:rPr>
      </w:pPr>
    </w:p>
    <w:p w14:paraId="7075DE72">
      <w:pPr>
        <w:adjustRightInd w:val="0"/>
        <w:snapToGrid w:val="0"/>
        <w:spacing w:line="400" w:lineRule="exact"/>
        <w:ind w:firstLine="0" w:firstLineChars="0"/>
        <w:rPr>
          <w:rFonts w:hint="eastAsia" w:ascii="宋体" w:hAnsi="宋体" w:cs="宋体"/>
          <w:b/>
          <w:color w:val="auto"/>
          <w:kern w:val="0"/>
          <w:sz w:val="32"/>
          <w:szCs w:val="20"/>
          <w:highlight w:val="none"/>
        </w:rPr>
      </w:pPr>
      <w:r>
        <w:rPr>
          <w:rFonts w:hint="eastAsia" w:ascii="宋体" w:hAnsi="宋体" w:cs="宋体"/>
          <w:b/>
          <w:color w:val="auto"/>
          <w:kern w:val="0"/>
          <w:sz w:val="32"/>
          <w:szCs w:val="20"/>
          <w:highlight w:val="none"/>
        </w:rPr>
        <w:t>2.供应商属于中小企业的相关有效证明材料（如有，请提供）</w:t>
      </w:r>
    </w:p>
    <w:p w14:paraId="28E1EDD3">
      <w:pPr>
        <w:adjustRightInd w:val="0"/>
        <w:snapToGrid w:val="0"/>
        <w:spacing w:line="400" w:lineRule="exact"/>
        <w:ind w:firstLine="0" w:firstLineChars="0"/>
        <w:rPr>
          <w:rFonts w:hint="eastAsia" w:ascii="宋体" w:hAnsi="宋体" w:eastAsia="宋体" w:cs="宋体"/>
          <w:b/>
          <w:color w:val="auto"/>
          <w:kern w:val="0"/>
          <w:sz w:val="32"/>
          <w:szCs w:val="20"/>
          <w:highlight w:val="none"/>
        </w:rPr>
      </w:pPr>
      <w:r>
        <w:rPr>
          <w:rFonts w:hint="eastAsia" w:ascii="宋体" w:hAnsi="宋体" w:eastAsia="宋体" w:cs="宋体"/>
          <w:b/>
          <w:color w:val="auto"/>
          <w:kern w:val="0"/>
          <w:sz w:val="32"/>
          <w:szCs w:val="20"/>
          <w:highlight w:val="none"/>
        </w:rPr>
        <w:t>①</w:t>
      </w:r>
      <w:r>
        <w:rPr>
          <w:rFonts w:hint="eastAsia" w:ascii="宋体" w:hAnsi="宋体" w:eastAsia="宋体" w:cs="宋体"/>
          <w:b/>
          <w:color w:val="auto"/>
          <w:kern w:val="0"/>
          <w:sz w:val="32"/>
          <w:szCs w:val="20"/>
          <w:highlight w:val="none"/>
          <w:lang w:eastAsia="zh-CN"/>
        </w:rPr>
        <w:t>供应商提供的货物全部由符合政策要求中小企业制造，响应文件中提供《中小企业声明函》</w:t>
      </w:r>
    </w:p>
    <w:p w14:paraId="29630411">
      <w:pPr>
        <w:pStyle w:val="24"/>
        <w:spacing w:line="320" w:lineRule="exact"/>
        <w:rPr>
          <w:rFonts w:hint="eastAsia" w:hAnsi="宋体"/>
          <w:b/>
          <w:color w:val="auto"/>
          <w:sz w:val="32"/>
          <w:szCs w:val="32"/>
          <w:highlight w:val="none"/>
        </w:rPr>
      </w:pPr>
    </w:p>
    <w:p w14:paraId="246E9527">
      <w:pPr>
        <w:pStyle w:val="24"/>
        <w:spacing w:line="320" w:lineRule="exact"/>
        <w:rPr>
          <w:rFonts w:hint="eastAsia" w:hAnsi="宋体"/>
          <w:b/>
          <w:color w:val="auto"/>
          <w:sz w:val="32"/>
          <w:szCs w:val="32"/>
          <w:highlight w:val="none"/>
        </w:rPr>
      </w:pPr>
      <w:r>
        <w:rPr>
          <w:rFonts w:hint="eastAsia" w:hAnsi="宋体"/>
          <w:b/>
          <w:color w:val="auto"/>
          <w:sz w:val="32"/>
          <w:szCs w:val="32"/>
          <w:highlight w:val="none"/>
        </w:rPr>
        <w:t>附件：</w:t>
      </w:r>
    </w:p>
    <w:p w14:paraId="5D9E100F">
      <w:pPr>
        <w:snapToGrid w:val="0"/>
        <w:spacing w:before="163" w:beforeLines="50" w:after="50" w:line="320" w:lineRule="exact"/>
        <w:ind w:firstLine="643"/>
        <w:jc w:val="center"/>
        <w:rPr>
          <w:rFonts w:hint="eastAsia" w:ascii="宋体" w:hAnsi="宋体"/>
          <w:b/>
          <w:color w:val="auto"/>
          <w:sz w:val="32"/>
          <w:szCs w:val="32"/>
          <w:highlight w:val="none"/>
        </w:rPr>
      </w:pPr>
      <w:r>
        <w:rPr>
          <w:rFonts w:hint="eastAsia" w:ascii="宋体" w:hAnsi="宋体"/>
          <w:b/>
          <w:color w:val="auto"/>
          <w:sz w:val="32"/>
          <w:szCs w:val="32"/>
          <w:highlight w:val="none"/>
        </w:rPr>
        <w:t>中小企业声明函（货物）（格式）</w:t>
      </w:r>
    </w:p>
    <w:p w14:paraId="587EBE6E">
      <w:pPr>
        <w:snapToGrid w:val="0"/>
        <w:spacing w:before="163" w:beforeLines="50" w:after="50" w:line="320" w:lineRule="exact"/>
        <w:ind w:firstLine="643"/>
        <w:jc w:val="center"/>
        <w:rPr>
          <w:rFonts w:hint="eastAsia" w:ascii="宋体" w:hAnsi="宋体"/>
          <w:b/>
          <w:color w:val="auto"/>
          <w:sz w:val="32"/>
          <w:szCs w:val="32"/>
          <w:highlight w:val="none"/>
        </w:rPr>
      </w:pPr>
    </w:p>
    <w:p w14:paraId="5FB4BA8C">
      <w:pPr>
        <w:keepNext w:val="0"/>
        <w:keepLines w:val="0"/>
        <w:pageBreakBefore w:val="0"/>
        <w:widowControl w:val="0"/>
        <w:kinsoku/>
        <w:overflowPunct/>
        <w:topLinePunct w:val="0"/>
        <w:bidi w:val="0"/>
        <w:adjustRightInd/>
        <w:snapToGrid/>
        <w:spacing w:line="380" w:lineRule="exact"/>
        <w:ind w:firstLine="480"/>
        <w:textAlignment w:val="auto"/>
        <w:rPr>
          <w:rFonts w:hint="eastAsia" w:ascii="宋体" w:hAnsi="宋体"/>
          <w:color w:val="auto"/>
          <w:highlight w:val="none"/>
        </w:rPr>
      </w:pPr>
      <w:r>
        <w:rPr>
          <w:rFonts w:hint="eastAsia" w:ascii="宋体" w:hAnsi="宋体"/>
          <w:color w:val="auto"/>
          <w:highlight w:val="none"/>
        </w:rPr>
        <w:t>本公司（联合体）郑重声明，根据《政府采购促进中小企业发展管理办法》（财库﹝2020﹞46 号）的规定，本公司（联合体）参加</w:t>
      </w:r>
      <w:r>
        <w:rPr>
          <w:rFonts w:hint="eastAsia" w:ascii="宋体" w:hAnsi="宋体"/>
          <w:color w:val="auto"/>
          <w:highlight w:val="none"/>
          <w:u w:val="single"/>
        </w:rPr>
        <w:t>（单位名称）</w:t>
      </w:r>
      <w:r>
        <w:rPr>
          <w:rFonts w:hint="eastAsia" w:ascii="宋体" w:hAnsi="宋体"/>
          <w:color w:val="auto"/>
          <w:highlight w:val="none"/>
        </w:rPr>
        <w:t>的</w:t>
      </w:r>
      <w:r>
        <w:rPr>
          <w:rFonts w:hint="eastAsia" w:ascii="宋体" w:hAnsi="宋体"/>
          <w:color w:val="auto"/>
          <w:highlight w:val="none"/>
          <w:u w:val="single"/>
        </w:rPr>
        <w:t>（项目名称）</w:t>
      </w:r>
      <w:r>
        <w:rPr>
          <w:rFonts w:hint="eastAsia" w:ascii="宋体" w:hAnsi="宋体"/>
          <w:color w:val="auto"/>
          <w:highlight w:val="none"/>
        </w:rPr>
        <w:t>采购活动，提供的货物全部由符合政策要求的中小企业制造。相关企业（含联合体中的中小企业、签订分包意向协议的中小企业）的具体情况如下：</w:t>
      </w:r>
    </w:p>
    <w:p w14:paraId="08D420B2">
      <w:pPr>
        <w:keepNext w:val="0"/>
        <w:keepLines w:val="0"/>
        <w:pageBreakBefore w:val="0"/>
        <w:widowControl w:val="0"/>
        <w:kinsoku/>
        <w:wordWrap w:val="0"/>
        <w:overflowPunct/>
        <w:topLinePunct w:val="0"/>
        <w:autoSpaceDE/>
        <w:autoSpaceDN/>
        <w:bidi w:val="0"/>
        <w:adjustRightInd/>
        <w:snapToGrid/>
        <w:spacing w:line="380" w:lineRule="exact"/>
        <w:ind w:firstLine="480"/>
        <w:textAlignment w:val="auto"/>
        <w:rPr>
          <w:rFonts w:hint="eastAsia" w:ascii="宋体" w:hAnsi="宋体" w:eastAsia="宋体" w:cs="宋体"/>
          <w:color w:val="auto"/>
          <w:kern w:val="0"/>
          <w:sz w:val="24"/>
          <w:szCs w:val="24"/>
          <w:highlight w:val="none"/>
          <w:u w:val="single"/>
          <w:lang w:val="en-US" w:eastAsia="zh-CN" w:bidi="zh-CN"/>
        </w:rPr>
      </w:pPr>
    </w:p>
    <w:p w14:paraId="753072E3">
      <w:pPr>
        <w:keepNext w:val="0"/>
        <w:keepLines w:val="0"/>
        <w:pageBreakBefore w:val="0"/>
        <w:widowControl w:val="0"/>
        <w:kinsoku/>
        <w:wordWrap w:val="0"/>
        <w:overflowPunct/>
        <w:topLinePunct w:val="0"/>
        <w:autoSpaceDE/>
        <w:autoSpaceDN/>
        <w:bidi w:val="0"/>
        <w:adjustRightInd/>
        <w:snapToGrid/>
        <w:spacing w:line="380" w:lineRule="exact"/>
        <w:ind w:firstLine="480"/>
        <w:textAlignment w:val="auto"/>
        <w:rPr>
          <w:rFonts w:hint="eastAsia" w:ascii="宋体" w:hAnsi="宋体"/>
          <w:color w:val="auto"/>
          <w:highlight w:val="none"/>
        </w:rPr>
      </w:pPr>
      <w:r>
        <w:rPr>
          <w:rFonts w:hint="eastAsia" w:ascii="宋体" w:hAnsi="宋体" w:eastAsia="宋体" w:cs="宋体"/>
          <w:color w:val="auto"/>
          <w:kern w:val="0"/>
          <w:sz w:val="24"/>
          <w:szCs w:val="24"/>
          <w:highlight w:val="none"/>
          <w:u w:val="single"/>
          <w:lang w:val="en-US" w:eastAsia="zh-CN" w:bidi="zh-CN"/>
        </w:rPr>
        <w:t>夏凉被</w:t>
      </w:r>
      <w:r>
        <w:rPr>
          <w:rFonts w:hint="eastAsia" w:ascii="宋体" w:hAnsi="宋体"/>
          <w:color w:val="auto"/>
          <w:highlight w:val="none"/>
        </w:rPr>
        <w:t>，属于</w:t>
      </w:r>
      <w:r>
        <w:rPr>
          <w:rFonts w:hint="eastAsia" w:ascii="宋体" w:hAnsi="宋体"/>
          <w:color w:val="auto"/>
          <w:highlight w:val="none"/>
          <w:u w:val="none"/>
        </w:rPr>
        <w:t>工业</w:t>
      </w:r>
      <w:r>
        <w:rPr>
          <w:rFonts w:hint="eastAsia" w:ascii="宋体" w:hAnsi="宋体"/>
          <w:color w:val="auto"/>
          <w:highlight w:val="none"/>
        </w:rPr>
        <w:t>行业；制造商为</w:t>
      </w:r>
      <w:r>
        <w:rPr>
          <w:rFonts w:hint="eastAsia" w:ascii="宋体" w:hAnsi="宋体"/>
          <w:color w:val="auto"/>
          <w:highlight w:val="none"/>
          <w:u w:val="single"/>
        </w:rPr>
        <w:t>（企业名称）</w:t>
      </w:r>
      <w:r>
        <w:rPr>
          <w:rFonts w:hint="eastAsia" w:ascii="宋体" w:hAnsi="宋体"/>
          <w:color w:val="auto"/>
          <w:highlight w:val="none"/>
        </w:rPr>
        <w:t>，从业人员</w:t>
      </w:r>
      <w:r>
        <w:rPr>
          <w:rFonts w:hint="eastAsia"/>
          <w:color w:val="auto"/>
          <w:szCs w:val="24"/>
          <w:highlight w:val="none"/>
          <w:u w:val="single"/>
        </w:rPr>
        <w:t xml:space="preserve">        </w:t>
      </w:r>
      <w:r>
        <w:rPr>
          <w:rFonts w:hint="eastAsia" w:ascii="宋体" w:hAnsi="宋体"/>
          <w:color w:val="auto"/>
          <w:highlight w:val="none"/>
          <w:u w:val="none"/>
        </w:rPr>
        <w:t>人</w:t>
      </w:r>
      <w:r>
        <w:rPr>
          <w:rFonts w:hint="eastAsia" w:ascii="宋体" w:hAnsi="宋体"/>
          <w:color w:val="auto"/>
          <w:highlight w:val="none"/>
        </w:rPr>
        <w:t>，营业收入为</w:t>
      </w:r>
      <w:r>
        <w:rPr>
          <w:rFonts w:hint="eastAsia"/>
          <w:color w:val="auto"/>
          <w:szCs w:val="24"/>
          <w:highlight w:val="none"/>
          <w:u w:val="single"/>
        </w:rPr>
        <w:t xml:space="preserve">        </w:t>
      </w:r>
      <w:r>
        <w:rPr>
          <w:rFonts w:hint="eastAsia" w:ascii="宋体" w:hAnsi="宋体"/>
          <w:color w:val="auto"/>
          <w:highlight w:val="none"/>
        </w:rPr>
        <w:t>万元，资产总额为</w:t>
      </w:r>
      <w:r>
        <w:rPr>
          <w:rFonts w:hint="eastAsia"/>
          <w:color w:val="auto"/>
          <w:szCs w:val="24"/>
          <w:highlight w:val="none"/>
          <w:u w:val="single"/>
        </w:rPr>
        <w:t xml:space="preserve">        </w:t>
      </w:r>
      <w:r>
        <w:rPr>
          <w:rFonts w:hint="eastAsia" w:ascii="宋体" w:hAnsi="宋体"/>
          <w:color w:val="auto"/>
          <w:highlight w:val="none"/>
        </w:rPr>
        <w:t>万元，属于</w:t>
      </w:r>
      <w:r>
        <w:rPr>
          <w:rFonts w:hint="eastAsia"/>
          <w:color w:val="auto"/>
          <w:szCs w:val="24"/>
          <w:highlight w:val="none"/>
          <w:u w:val="single"/>
        </w:rPr>
        <w:t xml:space="preserve">         </w:t>
      </w:r>
      <w:r>
        <w:rPr>
          <w:rFonts w:hint="eastAsia" w:ascii="宋体" w:hAnsi="宋体"/>
          <w:color w:val="auto"/>
          <w:highlight w:val="none"/>
        </w:rPr>
        <w:t>（中型企业、小型企业、微型企业）；</w:t>
      </w:r>
    </w:p>
    <w:p w14:paraId="3C331415">
      <w:pPr>
        <w:pStyle w:val="18"/>
        <w:keepNext w:val="0"/>
        <w:keepLines w:val="0"/>
        <w:pageBreakBefore w:val="0"/>
        <w:widowControl w:val="0"/>
        <w:kinsoku/>
        <w:overflowPunct/>
        <w:topLinePunct w:val="0"/>
        <w:bidi w:val="0"/>
        <w:adjustRightInd/>
        <w:snapToGrid/>
        <w:spacing w:line="380" w:lineRule="exact"/>
        <w:ind w:left="0" w:firstLine="480" w:firstLineChars="200"/>
        <w:textAlignment w:val="auto"/>
        <w:rPr>
          <w:rFonts w:hint="eastAsia"/>
          <w:color w:val="auto"/>
          <w:sz w:val="24"/>
          <w:szCs w:val="24"/>
          <w:highlight w:val="none"/>
        </w:rPr>
      </w:pPr>
      <w:r>
        <w:rPr>
          <w:rFonts w:hint="eastAsia" w:cs="宋体"/>
          <w:color w:val="auto"/>
          <w:sz w:val="24"/>
          <w:szCs w:val="24"/>
          <w:highlight w:val="none"/>
          <w:u w:val="single"/>
          <w:lang w:val="en-US" w:eastAsia="zh-CN"/>
        </w:rPr>
        <w:t>台式</w:t>
      </w:r>
      <w:r>
        <w:rPr>
          <w:rFonts w:hint="eastAsia" w:ascii="宋体" w:hAnsi="宋体" w:eastAsia="宋体" w:cs="宋体"/>
          <w:color w:val="auto"/>
          <w:sz w:val="24"/>
          <w:szCs w:val="24"/>
          <w:highlight w:val="none"/>
          <w:u w:val="single"/>
          <w:lang w:val="en-US"/>
        </w:rPr>
        <w:t>风扇</w:t>
      </w:r>
      <w:r>
        <w:rPr>
          <w:rFonts w:hint="eastAsia"/>
          <w:color w:val="auto"/>
          <w:sz w:val="24"/>
          <w:szCs w:val="24"/>
          <w:highlight w:val="none"/>
        </w:rPr>
        <w:t>，属于</w:t>
      </w:r>
      <w:r>
        <w:rPr>
          <w:rFonts w:hint="eastAsia"/>
          <w:color w:val="auto"/>
          <w:sz w:val="24"/>
          <w:szCs w:val="24"/>
          <w:highlight w:val="none"/>
          <w:u w:val="single"/>
        </w:rPr>
        <w:t>工业</w:t>
      </w:r>
      <w:r>
        <w:rPr>
          <w:rFonts w:hint="eastAsia"/>
          <w:color w:val="auto"/>
          <w:sz w:val="24"/>
          <w:szCs w:val="24"/>
          <w:highlight w:val="none"/>
        </w:rPr>
        <w:t>行业；制造商为</w:t>
      </w:r>
      <w:r>
        <w:rPr>
          <w:rFonts w:hint="eastAsia"/>
          <w:color w:val="auto"/>
          <w:sz w:val="24"/>
          <w:szCs w:val="24"/>
          <w:highlight w:val="none"/>
          <w:u w:val="single"/>
        </w:rPr>
        <w:t>（企业名称）</w:t>
      </w:r>
      <w:r>
        <w:rPr>
          <w:rFonts w:hint="eastAsia"/>
          <w:color w:val="auto"/>
          <w:sz w:val="24"/>
          <w:szCs w:val="24"/>
          <w:highlight w:val="none"/>
        </w:rPr>
        <w:t>，从业人员</w:t>
      </w:r>
      <w:r>
        <w:rPr>
          <w:rFonts w:hint="eastAsia"/>
          <w:color w:val="auto"/>
          <w:sz w:val="24"/>
          <w:szCs w:val="24"/>
          <w:highlight w:val="none"/>
          <w:u w:val="single"/>
        </w:rPr>
        <w:t xml:space="preserve">        </w:t>
      </w:r>
      <w:r>
        <w:rPr>
          <w:rFonts w:hint="eastAsia"/>
          <w:color w:val="auto"/>
          <w:sz w:val="24"/>
          <w:szCs w:val="24"/>
          <w:highlight w:val="none"/>
        </w:rPr>
        <w:t>人，</w:t>
      </w:r>
      <w:r>
        <w:rPr>
          <w:rFonts w:hint="eastAsia" w:cs="Times New Roman"/>
          <w:color w:val="auto"/>
          <w:kern w:val="2"/>
          <w:sz w:val="24"/>
          <w:szCs w:val="22"/>
          <w:highlight w:val="none"/>
          <w:lang w:val="en-US" w:bidi="ar-SA"/>
        </w:rPr>
        <w:t>营业收入为</w:t>
      </w:r>
      <w:r>
        <w:rPr>
          <w:rFonts w:hint="eastAsia"/>
          <w:color w:val="auto"/>
          <w:sz w:val="24"/>
          <w:szCs w:val="24"/>
          <w:highlight w:val="none"/>
          <w:u w:val="single"/>
        </w:rPr>
        <w:t xml:space="preserve">        </w:t>
      </w:r>
      <w:r>
        <w:rPr>
          <w:rFonts w:hint="eastAsia"/>
          <w:color w:val="auto"/>
          <w:sz w:val="24"/>
          <w:szCs w:val="24"/>
          <w:highlight w:val="none"/>
        </w:rPr>
        <w:t>万元，资产总额为</w:t>
      </w:r>
      <w:r>
        <w:rPr>
          <w:rFonts w:hint="eastAsia"/>
          <w:color w:val="auto"/>
          <w:sz w:val="24"/>
          <w:szCs w:val="24"/>
          <w:highlight w:val="none"/>
          <w:u w:val="single"/>
        </w:rPr>
        <w:t xml:space="preserve">        </w:t>
      </w:r>
      <w:r>
        <w:rPr>
          <w:rFonts w:hint="eastAsia"/>
          <w:color w:val="auto"/>
          <w:sz w:val="24"/>
          <w:szCs w:val="24"/>
          <w:highlight w:val="none"/>
        </w:rPr>
        <w:t>万元，属于</w:t>
      </w:r>
      <w:r>
        <w:rPr>
          <w:rFonts w:hint="eastAsia"/>
          <w:color w:val="auto"/>
          <w:sz w:val="24"/>
          <w:szCs w:val="24"/>
          <w:highlight w:val="none"/>
          <w:u w:val="single"/>
        </w:rPr>
        <w:t xml:space="preserve">                   </w:t>
      </w:r>
      <w:r>
        <w:rPr>
          <w:rFonts w:hint="eastAsia"/>
          <w:color w:val="auto"/>
          <w:sz w:val="24"/>
          <w:szCs w:val="24"/>
          <w:highlight w:val="none"/>
        </w:rPr>
        <w:t>（中型企业、小型企业、微型企业）；</w:t>
      </w:r>
    </w:p>
    <w:p w14:paraId="2098243C">
      <w:pPr>
        <w:pStyle w:val="18"/>
        <w:keepNext w:val="0"/>
        <w:keepLines w:val="0"/>
        <w:pageBreakBefore w:val="0"/>
        <w:widowControl w:val="0"/>
        <w:kinsoku/>
        <w:overflowPunct/>
        <w:topLinePunct w:val="0"/>
        <w:bidi w:val="0"/>
        <w:adjustRightInd/>
        <w:snapToGrid/>
        <w:spacing w:line="380" w:lineRule="exact"/>
        <w:ind w:left="0" w:firstLine="480" w:firstLineChars="200"/>
        <w:textAlignment w:val="auto"/>
        <w:rPr>
          <w:rFonts w:hint="eastAsia"/>
          <w:color w:val="auto"/>
          <w:sz w:val="24"/>
          <w:szCs w:val="24"/>
          <w:highlight w:val="none"/>
          <w:lang w:val="en-US" w:bidi="ar-SA"/>
        </w:rPr>
      </w:pPr>
      <w:r>
        <w:rPr>
          <w:rFonts w:hint="eastAsia"/>
          <w:color w:val="auto"/>
          <w:sz w:val="24"/>
          <w:szCs w:val="24"/>
          <w:highlight w:val="none"/>
          <w:u w:val="single"/>
          <w:lang w:val="en-US"/>
        </w:rPr>
        <w:t>慰问信</w:t>
      </w:r>
      <w:r>
        <w:rPr>
          <w:rFonts w:hint="eastAsia"/>
          <w:color w:val="auto"/>
          <w:sz w:val="24"/>
          <w:szCs w:val="24"/>
          <w:highlight w:val="none"/>
        </w:rPr>
        <w:t>，属于</w:t>
      </w:r>
      <w:r>
        <w:rPr>
          <w:rFonts w:hint="eastAsia"/>
          <w:color w:val="auto"/>
          <w:sz w:val="24"/>
          <w:szCs w:val="24"/>
          <w:highlight w:val="none"/>
          <w:u w:val="single"/>
        </w:rPr>
        <w:t>工业</w:t>
      </w:r>
      <w:r>
        <w:rPr>
          <w:rFonts w:hint="eastAsia"/>
          <w:color w:val="auto"/>
          <w:sz w:val="24"/>
          <w:szCs w:val="24"/>
          <w:highlight w:val="none"/>
        </w:rPr>
        <w:t>行业；制造商为</w:t>
      </w:r>
      <w:r>
        <w:rPr>
          <w:rFonts w:hint="eastAsia"/>
          <w:color w:val="auto"/>
          <w:sz w:val="24"/>
          <w:szCs w:val="24"/>
          <w:highlight w:val="none"/>
          <w:u w:val="single"/>
        </w:rPr>
        <w:t>（企业名称）</w:t>
      </w:r>
      <w:r>
        <w:rPr>
          <w:rFonts w:hint="eastAsia"/>
          <w:color w:val="auto"/>
          <w:sz w:val="24"/>
          <w:szCs w:val="24"/>
          <w:highlight w:val="none"/>
        </w:rPr>
        <w:t>，从业人员</w:t>
      </w:r>
      <w:r>
        <w:rPr>
          <w:rFonts w:hint="eastAsia"/>
          <w:color w:val="auto"/>
          <w:sz w:val="24"/>
          <w:szCs w:val="24"/>
          <w:highlight w:val="none"/>
          <w:u w:val="single"/>
        </w:rPr>
        <w:t xml:space="preserve">        </w:t>
      </w:r>
      <w:r>
        <w:rPr>
          <w:rFonts w:hint="eastAsia"/>
          <w:color w:val="auto"/>
          <w:sz w:val="24"/>
          <w:szCs w:val="24"/>
          <w:highlight w:val="none"/>
        </w:rPr>
        <w:t>人，营业收入为</w:t>
      </w:r>
      <w:r>
        <w:rPr>
          <w:rFonts w:hint="eastAsia"/>
          <w:color w:val="auto"/>
          <w:sz w:val="24"/>
          <w:szCs w:val="24"/>
          <w:highlight w:val="none"/>
          <w:u w:val="single"/>
        </w:rPr>
        <w:t xml:space="preserve">        </w:t>
      </w:r>
      <w:r>
        <w:rPr>
          <w:rFonts w:hint="eastAsia"/>
          <w:color w:val="auto"/>
          <w:sz w:val="24"/>
          <w:szCs w:val="24"/>
          <w:highlight w:val="none"/>
        </w:rPr>
        <w:t>万元，资产总额为</w:t>
      </w:r>
      <w:r>
        <w:rPr>
          <w:rFonts w:hint="eastAsia"/>
          <w:color w:val="auto"/>
          <w:sz w:val="24"/>
          <w:szCs w:val="24"/>
          <w:highlight w:val="none"/>
          <w:u w:val="single"/>
        </w:rPr>
        <w:t xml:space="preserve">        </w:t>
      </w:r>
      <w:r>
        <w:rPr>
          <w:rFonts w:hint="eastAsia"/>
          <w:color w:val="auto"/>
          <w:sz w:val="24"/>
          <w:szCs w:val="24"/>
          <w:highlight w:val="none"/>
        </w:rPr>
        <w:t>万元，属于</w:t>
      </w:r>
      <w:r>
        <w:rPr>
          <w:rFonts w:hint="eastAsia"/>
          <w:color w:val="auto"/>
          <w:sz w:val="24"/>
          <w:szCs w:val="24"/>
          <w:highlight w:val="none"/>
          <w:u w:val="single"/>
        </w:rPr>
        <w:t xml:space="preserve">                   </w:t>
      </w:r>
      <w:r>
        <w:rPr>
          <w:rFonts w:hint="eastAsia"/>
          <w:color w:val="auto"/>
          <w:sz w:val="24"/>
          <w:szCs w:val="24"/>
          <w:highlight w:val="none"/>
        </w:rPr>
        <w:t>（中型企业、小型企业、微型企业）。</w:t>
      </w:r>
    </w:p>
    <w:p w14:paraId="79628178">
      <w:pPr>
        <w:keepNext w:val="0"/>
        <w:keepLines w:val="0"/>
        <w:pageBreakBefore w:val="0"/>
        <w:widowControl w:val="0"/>
        <w:kinsoku/>
        <w:overflowPunct/>
        <w:topLinePunct w:val="0"/>
        <w:bidi w:val="0"/>
        <w:adjustRightInd/>
        <w:snapToGrid/>
        <w:spacing w:line="380" w:lineRule="exact"/>
        <w:ind w:firstLine="480"/>
        <w:textAlignment w:val="auto"/>
        <w:rPr>
          <w:rFonts w:hint="eastAsia" w:ascii="宋体" w:hAnsi="宋体"/>
          <w:color w:val="auto"/>
          <w:highlight w:val="none"/>
        </w:rPr>
      </w:pPr>
      <w:r>
        <w:rPr>
          <w:rFonts w:hint="eastAsia" w:ascii="宋体" w:hAnsi="宋体"/>
          <w:color w:val="auto"/>
          <w:highlight w:val="none"/>
        </w:rPr>
        <w:t>以上企业，不属于大企业的分支机构，不存在控股股东为大企业的情形，也不存在与大企业的负责人为同一人的情形。</w:t>
      </w:r>
    </w:p>
    <w:p w14:paraId="6725EB46">
      <w:pPr>
        <w:keepNext w:val="0"/>
        <w:keepLines w:val="0"/>
        <w:pageBreakBefore w:val="0"/>
        <w:widowControl w:val="0"/>
        <w:kinsoku/>
        <w:overflowPunct/>
        <w:topLinePunct w:val="0"/>
        <w:bidi w:val="0"/>
        <w:adjustRightInd/>
        <w:snapToGrid/>
        <w:spacing w:line="380" w:lineRule="exact"/>
        <w:ind w:firstLine="480"/>
        <w:textAlignment w:val="auto"/>
        <w:rPr>
          <w:rFonts w:hint="eastAsia" w:ascii="宋体" w:hAnsi="宋体"/>
          <w:color w:val="auto"/>
          <w:highlight w:val="none"/>
        </w:rPr>
      </w:pPr>
      <w:r>
        <w:rPr>
          <w:rFonts w:hint="eastAsia" w:ascii="宋体" w:hAnsi="宋体"/>
          <w:color w:val="auto"/>
          <w:highlight w:val="none"/>
        </w:rPr>
        <w:t>本企业对上述声明内容的真实性负责。如有虚假，将依法承担相应责任。</w:t>
      </w:r>
    </w:p>
    <w:p w14:paraId="39B8A957">
      <w:pPr>
        <w:spacing w:line="320" w:lineRule="exact"/>
        <w:ind w:firstLine="480"/>
        <w:jc w:val="right"/>
        <w:rPr>
          <w:rFonts w:hint="eastAsia" w:ascii="宋体" w:hAnsi="宋体"/>
          <w:color w:val="auto"/>
          <w:highlight w:val="none"/>
        </w:rPr>
      </w:pPr>
    </w:p>
    <w:p w14:paraId="6DB5F809">
      <w:pPr>
        <w:spacing w:line="320" w:lineRule="exact"/>
        <w:ind w:right="960" w:firstLine="480"/>
        <w:jc w:val="center"/>
        <w:rPr>
          <w:rFonts w:hint="eastAsia" w:ascii="宋体" w:hAnsi="宋体"/>
          <w:color w:val="auto"/>
          <w:highlight w:val="none"/>
          <w:u w:val="single"/>
        </w:rPr>
      </w:pPr>
      <w:r>
        <w:rPr>
          <w:rFonts w:hint="eastAsia" w:ascii="宋体" w:hAnsi="宋体"/>
          <w:color w:val="auto"/>
          <w:highlight w:val="none"/>
        </w:rPr>
        <w:t xml:space="preserve">单位名称（电子签章）： </w:t>
      </w:r>
    </w:p>
    <w:p w14:paraId="42C2AF83">
      <w:pPr>
        <w:spacing w:line="320" w:lineRule="exact"/>
        <w:ind w:right="960" w:firstLine="480"/>
        <w:jc w:val="center"/>
        <w:rPr>
          <w:rFonts w:hint="eastAsia" w:ascii="宋体" w:hAnsi="宋体"/>
          <w:color w:val="auto"/>
          <w:highlight w:val="none"/>
          <w:u w:val="single"/>
        </w:rPr>
      </w:pPr>
      <w:r>
        <w:rPr>
          <w:rFonts w:hint="eastAsia" w:ascii="宋体" w:hAnsi="宋体"/>
          <w:color w:val="auto"/>
          <w:highlight w:val="none"/>
        </w:rPr>
        <w:t>日期：</w:t>
      </w:r>
    </w:p>
    <w:p w14:paraId="2B4333B6">
      <w:pPr>
        <w:spacing w:line="320" w:lineRule="exact"/>
        <w:ind w:firstLine="480"/>
        <w:jc w:val="right"/>
        <w:rPr>
          <w:rFonts w:ascii="仿宋_GB2312" w:eastAsia="仿宋_GB2312"/>
          <w:color w:val="auto"/>
          <w:highlight w:val="none"/>
        </w:rPr>
      </w:pPr>
    </w:p>
    <w:p w14:paraId="76245373">
      <w:pPr>
        <w:spacing w:line="320" w:lineRule="exact"/>
        <w:ind w:firstLine="482"/>
        <w:rPr>
          <w:rFonts w:hint="eastAsia" w:ascii="宋体" w:hAnsi="宋体"/>
          <w:b/>
          <w:color w:val="auto"/>
          <w:highlight w:val="none"/>
        </w:rPr>
      </w:pPr>
      <w:r>
        <w:rPr>
          <w:rFonts w:hint="eastAsia" w:ascii="宋体" w:hAnsi="宋体"/>
          <w:b/>
          <w:color w:val="auto"/>
          <w:highlight w:val="none"/>
        </w:rPr>
        <w:t>注：</w:t>
      </w:r>
    </w:p>
    <w:p w14:paraId="3208BFC1">
      <w:pPr>
        <w:spacing w:line="320" w:lineRule="exact"/>
        <w:ind w:firstLine="482"/>
        <w:rPr>
          <w:rFonts w:hint="eastAsia" w:ascii="宋体" w:hAnsi="宋体"/>
          <w:b/>
          <w:color w:val="auto"/>
          <w:highlight w:val="none"/>
        </w:rPr>
      </w:pPr>
      <w:r>
        <w:rPr>
          <w:rFonts w:hint="eastAsia" w:ascii="宋体" w:hAnsi="宋体"/>
          <w:b/>
          <w:color w:val="auto"/>
          <w:highlight w:val="none"/>
        </w:rPr>
        <w:t>1.从业人员、营业收入、资产总额填报上一年度数据，无上一年度数据的新成立企业可不填报。</w:t>
      </w:r>
    </w:p>
    <w:p w14:paraId="51451845">
      <w:pPr>
        <w:spacing w:line="320" w:lineRule="exact"/>
        <w:ind w:firstLine="482"/>
        <w:rPr>
          <w:rFonts w:hint="eastAsia" w:ascii="宋体" w:hAnsi="宋体"/>
          <w:b/>
          <w:color w:val="auto"/>
          <w:highlight w:val="none"/>
        </w:rPr>
      </w:pPr>
      <w:r>
        <w:rPr>
          <w:rFonts w:hint="eastAsia" w:ascii="宋体" w:hAnsi="宋体"/>
          <w:b/>
          <w:color w:val="auto"/>
          <w:highlight w:val="none"/>
        </w:rPr>
        <w:t>2.中小企业在政府采购活动过程中，请根据自己的真实情况出具本声明函。依法享受中小企业优惠政策的，采购人或采购代理机构在公告成交结果时，同时公告其《中小企业声明函》，接受社会监督。</w:t>
      </w:r>
    </w:p>
    <w:p w14:paraId="2F6A0567">
      <w:pPr>
        <w:pStyle w:val="22"/>
        <w:rPr>
          <w:color w:val="auto"/>
          <w:highlight w:val="none"/>
        </w:rPr>
      </w:pPr>
      <w:r>
        <w:rPr>
          <w:color w:val="auto"/>
          <w:highlight w:val="none"/>
        </w:rPr>
        <w:br w:type="page"/>
      </w:r>
    </w:p>
    <w:p w14:paraId="3F572E33">
      <w:pPr>
        <w:pStyle w:val="22"/>
        <w:rPr>
          <w:rFonts w:hint="eastAsia" w:ascii="宋体" w:hAnsi="宋体" w:eastAsia="宋体" w:cs="宋体"/>
          <w:b/>
          <w:color w:val="auto"/>
          <w:kern w:val="0"/>
          <w:sz w:val="32"/>
          <w:szCs w:val="20"/>
          <w:highlight w:val="none"/>
        </w:rPr>
      </w:pPr>
      <w:r>
        <w:rPr>
          <w:rFonts w:hint="eastAsia" w:ascii="宋体" w:hAnsi="宋体" w:eastAsia="宋体" w:cs="宋体"/>
          <w:b/>
          <w:color w:val="auto"/>
          <w:kern w:val="0"/>
          <w:sz w:val="32"/>
          <w:szCs w:val="20"/>
          <w:highlight w:val="none"/>
        </w:rPr>
        <w:t>②</w:t>
      </w:r>
      <w:r>
        <w:rPr>
          <w:rFonts w:hint="eastAsia" w:ascii="宋体" w:hAnsi="宋体" w:eastAsia="宋体" w:cs="宋体"/>
          <w:b/>
          <w:color w:val="auto"/>
          <w:kern w:val="0"/>
          <w:sz w:val="32"/>
          <w:szCs w:val="20"/>
          <w:highlight w:val="none"/>
          <w:lang w:eastAsia="zh-CN"/>
        </w:rPr>
        <w:t>属于监狱企业的，提供由省级以上监狱管理局、戒毒管理局（含新疆生产建设兵团）出具的属于监狱企业的证明文件</w:t>
      </w:r>
    </w:p>
    <w:p w14:paraId="7809552B">
      <w:pPr>
        <w:pStyle w:val="22"/>
        <w:rPr>
          <w:color w:val="auto"/>
          <w:highlight w:val="none"/>
        </w:rPr>
      </w:pPr>
    </w:p>
    <w:p w14:paraId="06E89E91">
      <w:pPr>
        <w:pStyle w:val="22"/>
        <w:rPr>
          <w:color w:val="auto"/>
          <w:highlight w:val="none"/>
        </w:rPr>
      </w:pPr>
    </w:p>
    <w:p w14:paraId="56C7FD4E">
      <w:pPr>
        <w:pStyle w:val="22"/>
        <w:rPr>
          <w:color w:val="auto"/>
          <w:highlight w:val="none"/>
        </w:rPr>
      </w:pPr>
    </w:p>
    <w:p w14:paraId="258AD74B">
      <w:pPr>
        <w:pStyle w:val="22"/>
        <w:rPr>
          <w:rFonts w:hint="eastAsia" w:ascii="宋体" w:hAnsi="宋体" w:cs="宋体"/>
          <w:b/>
          <w:color w:val="auto"/>
          <w:sz w:val="32"/>
          <w:highlight w:val="none"/>
        </w:rPr>
      </w:pPr>
      <w:r>
        <w:rPr>
          <w:rFonts w:hint="eastAsia" w:ascii="宋体" w:hAnsi="宋体" w:cs="宋体"/>
          <w:b/>
          <w:color w:val="auto"/>
          <w:kern w:val="0"/>
          <w:sz w:val="32"/>
          <w:szCs w:val="20"/>
          <w:highlight w:val="none"/>
        </w:rPr>
        <w:t>③符合条件的残疾人福利性单位在参加政府采购活动时，提供《残疾人福利性单位声明函》，并对声明的真实性负责</w:t>
      </w:r>
    </w:p>
    <w:p w14:paraId="142D789F">
      <w:pPr>
        <w:spacing w:line="240" w:lineRule="auto"/>
        <w:ind w:firstLine="472" w:firstLineChars="147"/>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6DB4191D">
      <w:pPr>
        <w:tabs>
          <w:tab w:val="left" w:pos="1305"/>
        </w:tabs>
        <w:spacing w:line="380" w:lineRule="exact"/>
        <w:ind w:firstLine="0" w:firstLineChars="0"/>
        <w:rPr>
          <w:rFonts w:hint="eastAsia" w:ascii="宋体" w:hAnsi="宋体" w:cs="宋体"/>
          <w:b/>
          <w:bCs/>
          <w:color w:val="auto"/>
          <w:kern w:val="0"/>
          <w:sz w:val="32"/>
          <w:szCs w:val="32"/>
          <w:highlight w:val="none"/>
        </w:rPr>
      </w:pPr>
    </w:p>
    <w:p w14:paraId="25FCEE65">
      <w:pPr>
        <w:spacing w:line="588" w:lineRule="exact"/>
        <w:ind w:firstLine="0" w:firstLineChars="0"/>
        <w:jc w:val="center"/>
        <w:rPr>
          <w:rFonts w:hint="eastAsia" w:ascii="宋体" w:hAnsi="宋体" w:cs="宋体"/>
          <w:b/>
          <w:color w:val="auto"/>
          <w:kern w:val="0"/>
          <w:sz w:val="32"/>
          <w:szCs w:val="32"/>
          <w:highlight w:val="none"/>
        </w:rPr>
      </w:pPr>
      <w:bookmarkStart w:id="48" w:name="OLE_LINK14"/>
      <w:bookmarkStart w:id="49" w:name="OLE_LINK13"/>
      <w:r>
        <w:rPr>
          <w:rFonts w:hint="eastAsia" w:ascii="宋体" w:hAnsi="宋体" w:cs="宋体"/>
          <w:b/>
          <w:color w:val="auto"/>
          <w:kern w:val="0"/>
          <w:sz w:val="32"/>
          <w:szCs w:val="32"/>
          <w:highlight w:val="none"/>
        </w:rPr>
        <w:t>残疾人福利性单位声明函（格式）</w:t>
      </w:r>
    </w:p>
    <w:bookmarkEnd w:id="48"/>
    <w:bookmarkEnd w:id="49"/>
    <w:p w14:paraId="023DD15C">
      <w:pPr>
        <w:spacing w:line="588" w:lineRule="exact"/>
        <w:ind w:firstLine="0" w:firstLineChars="0"/>
        <w:rPr>
          <w:rFonts w:hint="eastAsia" w:ascii="宋体" w:hAnsi="宋体" w:cs="宋体"/>
          <w:b/>
          <w:color w:val="auto"/>
          <w:kern w:val="0"/>
          <w:sz w:val="30"/>
          <w:szCs w:val="30"/>
          <w:highlight w:val="none"/>
        </w:rPr>
      </w:pPr>
    </w:p>
    <w:p w14:paraId="057998A8">
      <w:pPr>
        <w:spacing w:line="588" w:lineRule="exact"/>
        <w:ind w:firstLine="600"/>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本单位郑重声明，根据《财政部 民政部 中国残疾人联合会关于促进残疾人就业政府采购政策的通知》（财库</w:t>
      </w:r>
      <w:r>
        <w:rPr>
          <w:rFonts w:hint="eastAsia" w:ascii="宋体" w:hAnsi="宋体" w:cs="宋体"/>
          <w:color w:val="auto"/>
          <w:kern w:val="0"/>
          <w:sz w:val="32"/>
          <w:szCs w:val="32"/>
          <w:highlight w:val="none"/>
        </w:rPr>
        <w:t>〔2017〕 141</w:t>
      </w:r>
      <w:r>
        <w:rPr>
          <w:rFonts w:hint="eastAsia" w:ascii="宋体" w:hAnsi="宋体" w:cs="宋体"/>
          <w:color w:val="auto"/>
          <w:kern w:val="0"/>
          <w:sz w:val="30"/>
          <w:szCs w:val="30"/>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358654D">
      <w:pPr>
        <w:spacing w:line="588" w:lineRule="exact"/>
        <w:ind w:firstLine="600"/>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本单位对上述声明的真实性负责。如有虚假，将依法承担相应责任。</w:t>
      </w:r>
    </w:p>
    <w:p w14:paraId="08CEB5C3">
      <w:pPr>
        <w:spacing w:line="588" w:lineRule="exact"/>
        <w:ind w:firstLine="600"/>
        <w:rPr>
          <w:rFonts w:hint="eastAsia" w:ascii="宋体" w:hAnsi="宋体" w:cs="宋体"/>
          <w:color w:val="auto"/>
          <w:kern w:val="0"/>
          <w:sz w:val="30"/>
          <w:szCs w:val="30"/>
          <w:highlight w:val="none"/>
        </w:rPr>
      </w:pPr>
    </w:p>
    <w:p w14:paraId="7E0B8EB0">
      <w:pPr>
        <w:tabs>
          <w:tab w:val="left" w:pos="4860"/>
        </w:tabs>
        <w:spacing w:line="588" w:lineRule="exact"/>
        <w:ind w:right="1560" w:firstLine="600"/>
        <w:jc w:val="center"/>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 xml:space="preserve">      单位名称（电子签章）：</w:t>
      </w:r>
    </w:p>
    <w:p w14:paraId="0A9A6826">
      <w:pPr>
        <w:tabs>
          <w:tab w:val="left" w:pos="4860"/>
        </w:tabs>
        <w:spacing w:line="588" w:lineRule="exact"/>
        <w:ind w:right="1560" w:firstLine="600"/>
        <w:jc w:val="center"/>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 xml:space="preserve">   日  期：</w:t>
      </w:r>
    </w:p>
    <w:p w14:paraId="173D0FB5">
      <w:pPr>
        <w:pStyle w:val="22"/>
        <w:rPr>
          <w:color w:val="auto"/>
          <w:highlight w:val="none"/>
        </w:rPr>
      </w:pPr>
    </w:p>
    <w:p w14:paraId="621A8EEE">
      <w:pPr>
        <w:pStyle w:val="22"/>
        <w:rPr>
          <w:color w:val="auto"/>
          <w:highlight w:val="none"/>
        </w:rPr>
      </w:pPr>
    </w:p>
    <w:p w14:paraId="542519B4">
      <w:pPr>
        <w:pStyle w:val="22"/>
        <w:rPr>
          <w:color w:val="auto"/>
          <w:highlight w:val="none"/>
        </w:rPr>
      </w:pPr>
    </w:p>
    <w:p w14:paraId="6F79F04C">
      <w:pPr>
        <w:pStyle w:val="22"/>
        <w:rPr>
          <w:color w:val="auto"/>
          <w:highlight w:val="none"/>
        </w:rPr>
      </w:pPr>
    </w:p>
    <w:p w14:paraId="6EA68F28">
      <w:pPr>
        <w:pStyle w:val="22"/>
        <w:rPr>
          <w:color w:val="auto"/>
          <w:highlight w:val="none"/>
        </w:rPr>
      </w:pPr>
      <w:r>
        <w:rPr>
          <w:rFonts w:hint="eastAsia" w:ascii="宋体" w:hAnsi="宋体" w:cs="宋体"/>
          <w:b/>
          <w:color w:val="auto"/>
          <w:kern w:val="0"/>
          <w:sz w:val="32"/>
          <w:szCs w:val="20"/>
          <w:highlight w:val="none"/>
          <w:lang w:val="en-US" w:eastAsia="zh-CN"/>
        </w:rPr>
        <w:t>3</w:t>
      </w:r>
      <w:r>
        <w:rPr>
          <w:rFonts w:hint="eastAsia" w:ascii="宋体" w:hAnsi="宋体" w:cs="宋体"/>
          <w:b/>
          <w:color w:val="auto"/>
          <w:kern w:val="0"/>
          <w:sz w:val="32"/>
          <w:szCs w:val="20"/>
          <w:highlight w:val="none"/>
        </w:rPr>
        <w:t>.《关于符合本国产品标准的声明函》或者财政部会同有关部门规定的有关证明文件（如有，请提供）</w:t>
      </w:r>
    </w:p>
    <w:p w14:paraId="7582BB1A">
      <w:pPr>
        <w:widowControl/>
        <w:shd w:val="clear" w:color="auto" w:fill="FFFFFF"/>
        <w:jc w:val="center"/>
        <w:rPr>
          <w:rFonts w:ascii="宋体" w:hAnsi="宋体" w:cs="宋体"/>
          <w:color w:val="auto"/>
          <w:kern w:val="0"/>
          <w:sz w:val="36"/>
          <w:szCs w:val="36"/>
          <w:highlight w:val="none"/>
        </w:rPr>
      </w:pPr>
      <w:r>
        <w:rPr>
          <w:rFonts w:hint="eastAsia" w:ascii="宋体" w:hAnsi="宋体" w:cs="宋体"/>
          <w:b/>
          <w:bCs/>
          <w:color w:val="auto"/>
          <w:kern w:val="0"/>
          <w:sz w:val="36"/>
          <w:szCs w:val="36"/>
          <w:highlight w:val="none"/>
        </w:rPr>
        <w:t>关于符合本国产品标准的声明函</w:t>
      </w:r>
    </w:p>
    <w:p w14:paraId="3350C6DD">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 </w:t>
      </w:r>
    </w:p>
    <w:p w14:paraId="3CE9CDD9">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本公司（单位）郑重声明，根据《国务院办公厅关于在政府采购中实施本国产品标准及相关政策的通知》（国办发〔2025〕34号）的规定，本公司（单位）提供的以下产品属于本国产品。具体情况如下：</w:t>
      </w:r>
    </w:p>
    <w:p w14:paraId="708AD532">
      <w:pPr>
        <w:widowControl/>
        <w:shd w:val="clear" w:color="auto" w:fill="FFFFFF"/>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i/>
          <w:iCs/>
          <w:color w:val="auto"/>
          <w:kern w:val="0"/>
          <w:sz w:val="24"/>
          <w:highlight w:val="none"/>
          <w:u w:val="single"/>
        </w:rPr>
        <w:t>（产品名称1）</w:t>
      </w:r>
      <w:r>
        <w:rPr>
          <w:rFonts w:hint="eastAsia" w:ascii="宋体" w:hAnsi="宋体" w:cs="宋体"/>
          <w:i/>
          <w:iCs/>
          <w:color w:val="auto"/>
          <w:kern w:val="0"/>
          <w:sz w:val="18"/>
          <w:szCs w:val="18"/>
          <w:highlight w:val="none"/>
          <w:vertAlign w:val="superscript"/>
        </w:rPr>
        <w:t>1</w:t>
      </w:r>
      <w:r>
        <w:rPr>
          <w:rFonts w:hint="eastAsia" w:ascii="宋体" w:hAnsi="宋体" w:cs="宋体"/>
          <w:color w:val="auto"/>
          <w:kern w:val="0"/>
          <w:sz w:val="24"/>
          <w:highlight w:val="none"/>
        </w:rPr>
        <w:t>，生产厂为</w:t>
      </w:r>
      <w:r>
        <w:rPr>
          <w:rFonts w:hint="eastAsia" w:ascii="宋体" w:hAnsi="宋体" w:cs="宋体"/>
          <w:i/>
          <w:iCs/>
          <w:color w:val="auto"/>
          <w:kern w:val="0"/>
          <w:sz w:val="24"/>
          <w:highlight w:val="none"/>
          <w:u w:val="single"/>
        </w:rPr>
        <w:t>（厂名）</w:t>
      </w:r>
      <w:r>
        <w:rPr>
          <w:rFonts w:hint="eastAsia" w:ascii="宋体" w:hAnsi="宋体" w:cs="宋体"/>
          <w:i/>
          <w:iCs/>
          <w:color w:val="auto"/>
          <w:kern w:val="0"/>
          <w:sz w:val="18"/>
          <w:szCs w:val="18"/>
          <w:highlight w:val="none"/>
          <w:vertAlign w:val="superscript"/>
        </w:rPr>
        <w:t>2</w:t>
      </w:r>
      <w:r>
        <w:rPr>
          <w:rFonts w:hint="eastAsia" w:ascii="宋体" w:hAnsi="宋体" w:cs="宋体"/>
          <w:color w:val="auto"/>
          <w:kern w:val="0"/>
          <w:sz w:val="24"/>
          <w:highlight w:val="none"/>
        </w:rPr>
        <w:t>，厂址为</w:t>
      </w:r>
      <w:r>
        <w:rPr>
          <w:rFonts w:hint="eastAsia" w:ascii="宋体" w:hAnsi="宋体" w:cs="宋体"/>
          <w:i/>
          <w:iCs/>
          <w:color w:val="auto"/>
          <w:kern w:val="0"/>
          <w:sz w:val="24"/>
          <w:highlight w:val="none"/>
          <w:u w:val="single"/>
        </w:rPr>
        <w:t>（生产厂址）</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（产品名称1）</w:t>
      </w:r>
      <w:r>
        <w:rPr>
          <w:rFonts w:hint="eastAsia" w:ascii="宋体" w:hAnsi="宋体" w:cs="宋体"/>
          <w:color w:val="auto"/>
          <w:kern w:val="0"/>
          <w:sz w:val="24"/>
          <w:highlight w:val="none"/>
        </w:rPr>
        <w:t>的中国境内生产的组件成本占比≥</w:t>
      </w:r>
      <w:r>
        <w:rPr>
          <w:rFonts w:hint="eastAsia" w:ascii="宋体" w:hAnsi="宋体" w:cs="宋体"/>
          <w:i/>
          <w:iCs/>
          <w:color w:val="auto"/>
          <w:kern w:val="0"/>
          <w:sz w:val="24"/>
          <w:highlight w:val="none"/>
          <w:u w:val="single"/>
        </w:rPr>
        <w:t>（规定比例）</w:t>
      </w:r>
      <w:r>
        <w:rPr>
          <w:rFonts w:hint="eastAsia" w:ascii="宋体" w:hAnsi="宋体" w:cs="宋体"/>
          <w:i/>
          <w:iCs/>
          <w:color w:val="auto"/>
          <w:kern w:val="0"/>
          <w:sz w:val="18"/>
          <w:szCs w:val="18"/>
          <w:highlight w:val="none"/>
          <w:vertAlign w:val="superscript"/>
        </w:rPr>
        <w:t>3</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（产品名称1）</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（关键组件）</w:t>
      </w:r>
      <w:r>
        <w:rPr>
          <w:rFonts w:hint="eastAsia" w:ascii="宋体" w:hAnsi="宋体" w:cs="宋体"/>
          <w:i/>
          <w:iCs/>
          <w:color w:val="auto"/>
          <w:kern w:val="0"/>
          <w:sz w:val="18"/>
          <w:szCs w:val="18"/>
          <w:highlight w:val="none"/>
          <w:vertAlign w:val="superscript"/>
        </w:rPr>
        <w:t>4</w:t>
      </w:r>
      <w:r>
        <w:rPr>
          <w:rFonts w:hint="eastAsia" w:ascii="宋体" w:hAnsi="宋体" w:cs="宋体"/>
          <w:color w:val="auto"/>
          <w:kern w:val="0"/>
          <w:sz w:val="24"/>
          <w:highlight w:val="none"/>
        </w:rPr>
        <w:t>在中国境内生产。</w:t>
      </w:r>
      <w:r>
        <w:rPr>
          <w:rFonts w:hint="eastAsia" w:ascii="宋体" w:hAnsi="宋体" w:cs="宋体"/>
          <w:i/>
          <w:iCs/>
          <w:color w:val="auto"/>
          <w:kern w:val="0"/>
          <w:sz w:val="24"/>
          <w:highlight w:val="none"/>
          <w:u w:val="single"/>
        </w:rPr>
        <w:t>（产品名称1）</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（关键工序）</w:t>
      </w:r>
      <w:r>
        <w:rPr>
          <w:rFonts w:hint="eastAsia" w:ascii="宋体" w:hAnsi="宋体" w:cs="宋体"/>
          <w:i/>
          <w:iCs/>
          <w:color w:val="auto"/>
          <w:kern w:val="0"/>
          <w:sz w:val="18"/>
          <w:szCs w:val="18"/>
          <w:highlight w:val="none"/>
          <w:vertAlign w:val="superscript"/>
        </w:rPr>
        <w:t>5</w:t>
      </w:r>
      <w:r>
        <w:rPr>
          <w:rFonts w:hint="eastAsia" w:ascii="宋体" w:hAnsi="宋体" w:cs="宋体"/>
          <w:color w:val="auto"/>
          <w:kern w:val="0"/>
          <w:sz w:val="24"/>
          <w:highlight w:val="none"/>
        </w:rPr>
        <w:t>在中国境内完成。</w:t>
      </w:r>
    </w:p>
    <w:p w14:paraId="1921D76D">
      <w:pPr>
        <w:widowControl/>
        <w:shd w:val="clear" w:color="auto" w:fill="FFFFFF"/>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，生产厂为</w:t>
      </w:r>
      <w:r>
        <w:rPr>
          <w:rFonts w:hint="eastAsia" w:ascii="宋体" w:hAnsi="宋体" w:cs="宋体"/>
          <w:i/>
          <w:iCs/>
          <w:color w:val="auto"/>
          <w:kern w:val="0"/>
          <w:sz w:val="24"/>
          <w:highlight w:val="none"/>
          <w:u w:val="single"/>
        </w:rPr>
        <w:t>（厂名）</w:t>
      </w:r>
      <w:r>
        <w:rPr>
          <w:rFonts w:hint="eastAsia" w:ascii="宋体" w:hAnsi="宋体" w:cs="宋体"/>
          <w:color w:val="auto"/>
          <w:kern w:val="0"/>
          <w:sz w:val="24"/>
          <w:highlight w:val="none"/>
        </w:rPr>
        <w:t>，厂址为</w:t>
      </w:r>
      <w:r>
        <w:rPr>
          <w:rFonts w:hint="eastAsia" w:ascii="宋体" w:hAnsi="宋体" w:cs="宋体"/>
          <w:i/>
          <w:iCs/>
          <w:color w:val="auto"/>
          <w:kern w:val="0"/>
          <w:sz w:val="24"/>
          <w:highlight w:val="none"/>
          <w:u w:val="single"/>
        </w:rPr>
        <w:t>（生产厂址）</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的中国境内生产的组件成本占比≥</w:t>
      </w:r>
      <w:r>
        <w:rPr>
          <w:rFonts w:hint="eastAsia" w:ascii="宋体" w:hAnsi="宋体" w:cs="宋体"/>
          <w:i/>
          <w:iCs/>
          <w:color w:val="auto"/>
          <w:kern w:val="0"/>
          <w:sz w:val="24"/>
          <w:highlight w:val="none"/>
          <w:u w:val="single"/>
        </w:rPr>
        <w:t>（规定比例）</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（关键组件）</w:t>
      </w:r>
      <w:r>
        <w:rPr>
          <w:rFonts w:hint="eastAsia" w:ascii="宋体" w:hAnsi="宋体" w:cs="宋体"/>
          <w:color w:val="auto"/>
          <w:kern w:val="0"/>
          <w:sz w:val="24"/>
          <w:highlight w:val="none"/>
        </w:rPr>
        <w:t>在中国境内生产。</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（关键工序）</w:t>
      </w:r>
      <w:r>
        <w:rPr>
          <w:rFonts w:hint="eastAsia" w:ascii="宋体" w:hAnsi="宋体" w:cs="宋体"/>
          <w:color w:val="auto"/>
          <w:kern w:val="0"/>
          <w:sz w:val="24"/>
          <w:highlight w:val="none"/>
        </w:rPr>
        <w:t>在中国境内完成。</w:t>
      </w:r>
    </w:p>
    <w:p w14:paraId="4252389B">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w:t>
      </w:r>
    </w:p>
    <w:p w14:paraId="67525B23">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本公司（单位）对上述声明内容的真实性负责。如有虚假，愿承担相应法律责任。</w:t>
      </w:r>
    </w:p>
    <w:p w14:paraId="5D7F3CD5">
      <w:pPr>
        <w:widowControl/>
        <w:shd w:val="clear" w:color="auto" w:fill="FFFFFF"/>
        <w:spacing w:before="30" w:after="30"/>
        <w:jc w:val="left"/>
        <w:rPr>
          <w:rFonts w:ascii="宋体" w:hAnsi="宋体" w:cs="宋体"/>
          <w:color w:val="auto"/>
          <w:kern w:val="0"/>
          <w:sz w:val="24"/>
          <w:highlight w:val="none"/>
        </w:rPr>
      </w:pPr>
      <w:r>
        <w:rPr>
          <w:rFonts w:hint="eastAsia" w:ascii="宋体" w:hAnsi="宋体" w:cs="宋体"/>
          <w:color w:val="auto"/>
          <w:kern w:val="0"/>
          <w:sz w:val="24"/>
          <w:highlight w:val="none"/>
        </w:rPr>
        <w:t> </w:t>
      </w:r>
    </w:p>
    <w:p w14:paraId="754D9F87">
      <w:pPr>
        <w:widowControl/>
        <w:shd w:val="clear" w:color="auto" w:fill="FFFFFF"/>
        <w:spacing w:before="30" w:after="30"/>
        <w:jc w:val="right"/>
        <w:rPr>
          <w:rFonts w:ascii="宋体" w:hAnsi="宋体" w:cs="宋体"/>
          <w:color w:val="auto"/>
          <w:kern w:val="0"/>
          <w:sz w:val="24"/>
          <w:highlight w:val="none"/>
        </w:rPr>
      </w:pPr>
      <w:r>
        <w:rPr>
          <w:rFonts w:hint="eastAsia" w:ascii="宋体" w:hAnsi="宋体" w:cs="宋体"/>
          <w:color w:val="auto"/>
          <w:kern w:val="0"/>
          <w:sz w:val="24"/>
          <w:highlight w:val="none"/>
        </w:rPr>
        <w:t>公司（单位）名称（盖章）：　        </w:t>
      </w:r>
    </w:p>
    <w:p w14:paraId="3DEDEA51">
      <w:pPr>
        <w:widowControl/>
        <w:shd w:val="clear" w:color="auto" w:fill="FFFFFF"/>
        <w:jc w:val="right"/>
        <w:rPr>
          <w:rFonts w:ascii="宋体" w:hAnsi="宋体" w:cs="宋体"/>
          <w:color w:val="auto"/>
          <w:kern w:val="0"/>
          <w:sz w:val="24"/>
          <w:highlight w:val="none"/>
        </w:rPr>
      </w:pPr>
      <w:r>
        <w:rPr>
          <w:rFonts w:hint="eastAsia" w:ascii="宋体" w:hAnsi="宋体" w:cs="宋体"/>
          <w:color w:val="auto"/>
          <w:kern w:val="0"/>
          <w:sz w:val="24"/>
          <w:highlight w:val="none"/>
        </w:rPr>
        <w:t>日期：　     年　  月　  日         </w:t>
      </w:r>
    </w:p>
    <w:p w14:paraId="6B42EB08">
      <w:pPr>
        <w:widowControl/>
        <w:shd w:val="clear" w:color="auto" w:fill="FFFFFF"/>
        <w:spacing w:before="30" w:after="30"/>
        <w:jc w:val="left"/>
        <w:rPr>
          <w:rFonts w:ascii="宋体" w:hAnsi="宋体" w:cs="宋体"/>
          <w:color w:val="auto"/>
          <w:kern w:val="0"/>
          <w:sz w:val="24"/>
          <w:highlight w:val="none"/>
        </w:rPr>
      </w:pPr>
      <w:r>
        <w:rPr>
          <w:rFonts w:hint="eastAsia" w:ascii="宋体" w:hAnsi="宋体" w:cs="宋体"/>
          <w:color w:val="auto"/>
          <w:kern w:val="0"/>
          <w:sz w:val="24"/>
          <w:highlight w:val="none"/>
        </w:rPr>
        <w:t>__________________</w:t>
      </w:r>
    </w:p>
    <w:p w14:paraId="013F884C">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1.产品如有型号，请在“产品名称”栏一并填写。</w:t>
      </w:r>
    </w:p>
    <w:p w14:paraId="7D5C7EC8">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2.生产厂名与厂址应与生产厂营业执照载明的相关信息保持一致。</w:t>
      </w:r>
    </w:p>
    <w:p w14:paraId="6078C12E">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3.该产品的中国境内生产的组件成本占比相关要求实施前，“规定比例”栏可不填，下同。</w:t>
      </w:r>
    </w:p>
    <w:p w14:paraId="1397F720">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4.该产品的关键组件要求实施前，“关键组件”栏可不填，下同。</w:t>
      </w:r>
    </w:p>
    <w:p w14:paraId="47F0524D">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5.该产品的关键工序要求实施前，“关键工序”栏可不填，下同。</w:t>
      </w:r>
    </w:p>
    <w:p w14:paraId="66FBBB4B">
      <w:pPr>
        <w:spacing w:line="240" w:lineRule="auto"/>
        <w:ind w:firstLine="0" w:firstLineChars="0"/>
        <w:rPr>
          <w:rFonts w:hint="eastAsia" w:ascii="宋体" w:hAnsi="宋体"/>
          <w:b/>
          <w:color w:val="auto"/>
          <w:sz w:val="32"/>
          <w:szCs w:val="32"/>
          <w:highlight w:val="none"/>
        </w:rPr>
      </w:pPr>
      <w:r>
        <w:rPr>
          <w:rFonts w:hint="eastAsia" w:ascii="宋体" w:hAnsi="宋体" w:cs="宋体"/>
          <w:b/>
          <w:color w:val="auto"/>
          <w:kern w:val="0"/>
          <w:sz w:val="32"/>
          <w:szCs w:val="20"/>
          <w:highlight w:val="none"/>
        </w:rPr>
        <w:t>4.供应商可结合本项目的评审办法视自身情况自行提交相关证明材料（如有，请提供）</w:t>
      </w:r>
    </w:p>
    <w:p w14:paraId="5DD033D3">
      <w:pPr>
        <w:spacing w:line="320" w:lineRule="exact"/>
        <w:ind w:firstLine="0" w:firstLineChars="0"/>
        <w:rPr>
          <w:rFonts w:hint="eastAsia" w:ascii="宋体" w:hAnsi="宋体" w:cs="宋体"/>
          <w:b/>
          <w:bCs/>
          <w:color w:val="auto"/>
          <w:kern w:val="0"/>
          <w:sz w:val="32"/>
          <w:szCs w:val="32"/>
          <w:highlight w:val="none"/>
        </w:rPr>
      </w:pPr>
    </w:p>
    <w:p w14:paraId="77B5E90A">
      <w:pPr>
        <w:spacing w:line="320" w:lineRule="exact"/>
        <w:ind w:firstLine="0" w:firstLineChars="0"/>
        <w:rPr>
          <w:rFonts w:hint="eastAsia" w:ascii="宋体" w:hAnsi="宋体" w:cs="宋体"/>
          <w:b/>
          <w:bCs/>
          <w:color w:val="auto"/>
          <w:kern w:val="0"/>
          <w:sz w:val="32"/>
          <w:szCs w:val="32"/>
          <w:highlight w:val="none"/>
        </w:rPr>
      </w:pPr>
    </w:p>
    <w:sectPr>
      <w:pgSz w:w="11906" w:h="16838"/>
      <w:pgMar w:top="1440" w:right="1797" w:bottom="1440" w:left="1418" w:header="851" w:footer="992" w:gutter="0"/>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758F2EE-6478-4FD4-B8DD-5CADA5915C82}"/>
  </w:font>
  <w:font w:name="黑体">
    <w:panose1 w:val="02010609060101010101"/>
    <w:charset w:val="86"/>
    <w:family w:val="auto"/>
    <w:pitch w:val="default"/>
    <w:sig w:usb0="800002BF" w:usb1="38CF7CFA" w:usb2="00000016" w:usb3="00000000" w:csb0="00040001" w:csb1="00000000"/>
    <w:embedRegular r:id="rId2" w:fontKey="{4DB41316-C436-47D1-ACA8-9DDE159C16A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ingLiU">
    <w:panose1 w:val="02020509000000000000"/>
    <w:charset w:val="88"/>
    <w:family w:val="modern"/>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embedRegular r:id="rId3" w:fontKey="{9140B83F-85AF-4CFD-96E7-D5622128EDFE}"/>
  </w:font>
  <w:font w:name="新宋体">
    <w:panose1 w:val="02010609030101010101"/>
    <w:charset w:val="86"/>
    <w:family w:val="modern"/>
    <w:pitch w:val="default"/>
    <w:sig w:usb0="00000003" w:usb1="288F0000" w:usb2="00000006" w:usb3="00000000" w:csb0="00040001" w:csb1="00000000"/>
    <w:embedRegular r:id="rId4" w:fontKey="{68E541C1-49AE-4AD5-866E-BBCAD980831C}"/>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embedRegular r:id="rId5" w:fontKey="{A8838D3F-EFC8-4A55-9DD6-687DD59CD0C7}"/>
  </w:font>
  <w:font w:name="楷体_GB2312">
    <w:panose1 w:val="02010609030101010101"/>
    <w:charset w:val="86"/>
    <w:family w:val="modern"/>
    <w:pitch w:val="default"/>
    <w:sig w:usb0="00000001" w:usb1="080E0000" w:usb2="00000000" w:usb3="00000000" w:csb0="00040000" w:csb1="00000000"/>
    <w:embedRegular r:id="rId6" w:fontKey="{78B76FC9-961D-433D-BDE8-A865B44A07A2}"/>
  </w:font>
  <w:font w:name="华文新魏">
    <w:panose1 w:val="02010800040101010101"/>
    <w:charset w:val="86"/>
    <w:family w:val="auto"/>
    <w:pitch w:val="default"/>
    <w:sig w:usb0="00000001" w:usb1="080F0000" w:usb2="00000000" w:usb3="00000000" w:csb0="00040000" w:csb1="00000000"/>
    <w:embedRegular r:id="rId7" w:fontKey="{93B4CE05-4D32-48BF-AAD5-C92724F06D5A}"/>
  </w:font>
  <w:font w:name="文鼎中隶简">
    <w:altName w:val="宋体"/>
    <w:panose1 w:val="00000000000000000000"/>
    <w:charset w:val="86"/>
    <w:family w:val="modern"/>
    <w:pitch w:val="default"/>
    <w:sig w:usb0="00000000" w:usb1="00000000" w:usb2="00000000" w:usb3="00000000" w:csb0="00040001" w:csb1="00000000"/>
    <w:embedRegular r:id="rId8" w:fontKey="{4584195E-6E41-4FD4-A02F-283F3E45409F}"/>
  </w:font>
  <w:font w:name="方正小标宋简体">
    <w:panose1 w:val="02000000000000000000"/>
    <w:charset w:val="86"/>
    <w:family w:val="script"/>
    <w:pitch w:val="default"/>
    <w:sig w:usb0="00000001" w:usb1="08000000" w:usb2="00000000" w:usb3="00000000" w:csb0="00040000" w:csb1="00000000"/>
    <w:embedRegular r:id="rId9" w:fontKey="{226CD3F6-39D1-40EA-84EC-FDC60CF7177F}"/>
  </w:font>
  <w:font w:name="WPSEMBED13">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2AAB8">
    <w:pPr>
      <w:pStyle w:val="28"/>
      <w:ind w:firstLine="360"/>
      <w:jc w:val="center"/>
    </w:pPr>
    <w:r>
      <w:fldChar w:fldCharType="begin"/>
    </w:r>
    <w:r>
      <w:instrText xml:space="preserve"> PAGE   \* MERGEFORMAT </w:instrText>
    </w:r>
    <w:r>
      <w:fldChar w:fldCharType="separate"/>
    </w:r>
    <w:r>
      <w:rPr>
        <w:lang w:val="zh-CN"/>
      </w:rPr>
      <w:t>1</w:t>
    </w:r>
    <w:r>
      <w:fldChar w:fldCharType="end"/>
    </w:r>
  </w:p>
  <w:p w14:paraId="703DC471">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9C06E">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1</w:t>
    </w:r>
    <w:r>
      <w:fldChar w:fldCharType="end"/>
    </w:r>
  </w:p>
  <w:p w14:paraId="56E6044C">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18DE9">
    <w:pPr>
      <w:pStyle w:val="28"/>
      <w:ind w:firstLine="360"/>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C797035">
                          <w:pPr>
                            <w:pStyle w:val="28"/>
                            <w:ind w:firstLine="360"/>
                          </w:pP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w1/8cBAACcAwAADgAAAGRycy9lMm9Eb2MueG1srVPNjtMwEL6vxDtY&#10;vtNkK4S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GNuENZ05YevHzzx/nX4/nh+9s&#10;mfTpPVZUduepMA7vYaDaOY4UTLSHNtj0JUKM8qTu6aKuGiKT6dJquVqVlJKUmx3CL56u+4DxgwLL&#10;klHzQM+XVRXHTxjH0rkkdXNwq43JT2jcXwHCHCMq78B0OzEZJ05WHHbDRG8HzYnY9bQHNXe09pyZ&#10;j45kTiszG2E2dpOROqJ/d4g0Rp4uoY5QxCo59GiZ37RgaSv+9HPV00+1+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kw1/8cBAACcAwAADgAAAAAAAAABACAAAAAeAQAAZHJzL2Uyb0RvYy54&#10;bWxQSwUGAAAAAAYABgBZAQAAVwUAAAAA&#10;">
              <v:fill on="f" focussize="0,0"/>
              <v:stroke on="f"/>
              <v:imagedata o:title=""/>
              <o:lock v:ext="edit" aspectratio="f"/>
              <v:textbox inset="0mm,0mm,0mm,0mm" style="mso-fit-shape-to-text:t;">
                <w:txbxContent>
                  <w:p w14:paraId="4C797035">
                    <w:pPr>
                      <w:pStyle w:val="28"/>
                      <w:ind w:firstLine="3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368F">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33</w:t>
    </w:r>
    <w:r>
      <w:fldChar w:fldCharType="end"/>
    </w:r>
  </w:p>
  <w:p w14:paraId="56E831EF">
    <w:pPr>
      <w:pStyle w:val="28"/>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8CDFD">
    <w:pPr>
      <w:pStyle w:val="28"/>
      <w:framePr w:wrap="around" w:vAnchor="text" w:hAnchor="margin" w:xAlign="center" w:y="1"/>
      <w:ind w:firstLine="360"/>
      <w:rPr>
        <w:rStyle w:val="47"/>
      </w:rPr>
    </w:pPr>
    <w:r>
      <w:fldChar w:fldCharType="begin"/>
    </w:r>
    <w:r>
      <w:rPr>
        <w:rStyle w:val="47"/>
      </w:rPr>
      <w:instrText xml:space="preserve">PAGE  </w:instrText>
    </w:r>
    <w:r>
      <w:fldChar w:fldCharType="separate"/>
    </w:r>
    <w:r>
      <w:rPr>
        <w:rStyle w:val="47"/>
      </w:rPr>
      <w:t>52</w:t>
    </w:r>
    <w:r>
      <w:fldChar w:fldCharType="end"/>
    </w:r>
  </w:p>
  <w:p w14:paraId="5EAA82E0">
    <w:pPr>
      <w:pStyle w:val="28"/>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83F38">
    <w:pPr>
      <w:pStyle w:val="28"/>
      <w:ind w:firstLine="360"/>
      <w:jc w:val="center"/>
    </w:pPr>
    <w:r>
      <w:fldChar w:fldCharType="begin"/>
    </w:r>
    <w:r>
      <w:instrText xml:space="preserve"> PAGE   \* MERGEFORMAT </w:instrText>
    </w:r>
    <w:r>
      <w:fldChar w:fldCharType="separate"/>
    </w:r>
    <w:r>
      <w:rPr>
        <w:lang w:val="zh-CN"/>
      </w:rPr>
      <w:t>1</w:t>
    </w:r>
    <w:r>
      <w:fldChar w:fldCharType="end"/>
    </w:r>
  </w:p>
  <w:p w14:paraId="726E898C">
    <w:pPr>
      <w:pStyle w:val="2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20C80">
    <w:pPr>
      <w:pStyle w:val="28"/>
      <w:ind w:firstLine="360"/>
      <w:jc w:val="center"/>
    </w:pPr>
    <w:r>
      <w:fldChar w:fldCharType="begin"/>
    </w:r>
    <w:r>
      <w:instrText xml:space="preserve"> PAGE   \* MERGEFORMAT </w:instrText>
    </w:r>
    <w:r>
      <w:fldChar w:fldCharType="separate"/>
    </w:r>
    <w:r>
      <w:rPr>
        <w:lang w:val="zh-CN"/>
      </w:rPr>
      <w:t>54</w:t>
    </w:r>
    <w:r>
      <w:fldChar w:fldCharType="end"/>
    </w:r>
  </w:p>
  <w:p w14:paraId="3D52E3CC">
    <w:pPr>
      <w:pStyle w:val="2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0A2B0">
    <w:pPr>
      <w:pStyle w:val="28"/>
      <w:ind w:firstLine="360"/>
      <w:jc w:val="center"/>
    </w:pPr>
    <w:r>
      <w:fldChar w:fldCharType="begin"/>
    </w:r>
    <w:r>
      <w:instrText xml:space="preserve"> PAGE   \* MERGEFORMAT </w:instrText>
    </w:r>
    <w:r>
      <w:fldChar w:fldCharType="separate"/>
    </w:r>
    <w:r>
      <w:rPr>
        <w:lang w:val="zh-CN"/>
      </w:rPr>
      <w:t>56</w:t>
    </w:r>
    <w:r>
      <w:fldChar w:fldCharType="end"/>
    </w:r>
  </w:p>
  <w:p w14:paraId="43DA1DA3">
    <w:pPr>
      <w:pStyle w:val="2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E3B45">
    <w:pPr>
      <w:pStyle w:val="2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9F469">
    <w:pPr>
      <w:pStyle w:val="29"/>
      <w:pBdr>
        <w:bottom w:val="none" w:color="auto" w:sz="0" w:space="0"/>
      </w:pBdr>
      <w:ind w:firstLine="360"/>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902325" cy="5230495"/>
          <wp:effectExtent l="0" t="0" r="3175" b="8255"/>
          <wp:wrapNone/>
          <wp:docPr id="6" name="WordPictureWatermark9583533"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9583533"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E3571">
    <w:pPr>
      <w:pStyle w:val="29"/>
      <w:ind w:firstLine="360"/>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02325" cy="5230495"/>
          <wp:effectExtent l="0" t="0" r="3175" b="8255"/>
          <wp:wrapNone/>
          <wp:docPr id="5" name="WordPictureWatermark9583532"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9583532"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C5C54">
    <w:pPr>
      <w:pStyle w:val="29"/>
      <w:pBdr>
        <w:bottom w:val="none" w:color="auto" w:sz="0" w:space="0"/>
      </w:pBdr>
      <w:ind w:firstLine="360"/>
    </w:pPr>
    <w:r>
      <w:rPr>
        <w:rFonts w:hint="eastAsia"/>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902325" cy="5230495"/>
          <wp:effectExtent l="0" t="0" r="3175" b="8255"/>
          <wp:wrapNone/>
          <wp:docPr id="4" name="WordPictureWatermark9583531"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9583531"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19F71">
    <w:pPr>
      <w:pStyle w:val="29"/>
      <w:pBdr>
        <w:bottom w:val="none" w:color="auto" w:sz="0" w:space="0"/>
      </w:pBdr>
      <w:ind w:firstLine="360"/>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902325" cy="5230495"/>
          <wp:effectExtent l="0" t="0" r="3175" b="8255"/>
          <wp:wrapNone/>
          <wp:docPr id="9" name="WordPictureWatermark9583536"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9583536"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28829">
    <w:pPr>
      <w:pStyle w:val="29"/>
      <w:ind w:firstLine="360"/>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902325" cy="5230495"/>
          <wp:effectExtent l="0" t="0" r="3175" b="8255"/>
          <wp:wrapNone/>
          <wp:docPr id="8" name="WordPictureWatermark9583535"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9583535"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6A37D">
    <w:pPr>
      <w:ind w:left="480" w:firstLine="0" w:firstLineChars="0"/>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902325" cy="5230495"/>
          <wp:effectExtent l="0" t="0" r="3175" b="8255"/>
          <wp:wrapNone/>
          <wp:docPr id="7" name="WordPictureWatermark9583534"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9583534"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ED9D0">
    <w:pPr>
      <w:ind w:left="480" w:firstLine="0" w:firstLineChars="0"/>
    </w:pPr>
    <w:r>
      <w:rPr>
        <w:rFonts w:hint="eastAsia"/>
      </w:rPr>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902325" cy="5230495"/>
          <wp:effectExtent l="0" t="0" r="3175" b="8255"/>
          <wp:wrapNone/>
          <wp:docPr id="12" name="WordPictureWatermark9583539"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9583539"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3E0B9">
    <w:pPr>
      <w:pStyle w:val="29"/>
      <w:ind w:firstLine="360"/>
    </w:pPr>
    <w: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902325" cy="5230495"/>
          <wp:effectExtent l="0" t="0" r="3175" b="8255"/>
          <wp:wrapNone/>
          <wp:docPr id="11" name="WordPictureWatermark9583538"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9583538"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E1DB4">
    <w:pPr>
      <w:pStyle w:val="29"/>
      <w:ind w:firstLine="360"/>
    </w:pPr>
    <w: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902325" cy="5230495"/>
          <wp:effectExtent l="0" t="0" r="3175" b="8255"/>
          <wp:wrapNone/>
          <wp:docPr id="10" name="WordPictureWatermark9583537"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9583537"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B26C46"/>
    <w:multiLevelType w:val="multilevel"/>
    <w:tmpl w:val="24B26C46"/>
    <w:lvl w:ilvl="0" w:tentative="0">
      <w:start w:val="1"/>
      <w:numFmt w:val="decimal"/>
      <w:pStyle w:val="2"/>
      <w:lvlText w:val="%1."/>
      <w:lvlJc w:val="left"/>
      <w:pPr>
        <w:ind w:left="432" w:hanging="432"/>
      </w:pPr>
      <w:rPr>
        <w:rFonts w:hint="eastAsia"/>
      </w:rPr>
    </w:lvl>
    <w:lvl w:ilvl="1" w:tentative="0">
      <w:start w:val="1"/>
      <w:numFmt w:val="decimal"/>
      <w:pStyle w:val="3"/>
      <w:suff w:val="space"/>
      <w:lvlText w:val="%1.%2"/>
      <w:lvlJc w:val="left"/>
      <w:pPr>
        <w:ind w:left="1002" w:hanging="576"/>
      </w:pPr>
      <w:rPr>
        <w:rFonts w:hint="eastAsia"/>
        <w:lang w:val="en-US"/>
      </w:rPr>
    </w:lvl>
    <w:lvl w:ilvl="2" w:tentative="0">
      <w:start w:val="1"/>
      <w:numFmt w:val="decimal"/>
      <w:pStyle w:val="4"/>
      <w:suff w:val="space"/>
      <w:lvlText w:val="%1.%2.%3"/>
      <w:lvlJc w:val="left"/>
      <w:pPr>
        <w:ind w:left="720" w:hanging="720"/>
      </w:pPr>
      <w:rPr>
        <w:rFonts w:hint="eastAsia"/>
      </w:rPr>
    </w:lvl>
    <w:lvl w:ilvl="3" w:tentative="0">
      <w:start w:val="1"/>
      <w:numFmt w:val="decimal"/>
      <w:pStyle w:val="5"/>
      <w:suff w:val="space"/>
      <w:lvlText w:val="%1.%2.%3.%4"/>
      <w:lvlJc w:val="left"/>
      <w:pPr>
        <w:ind w:left="864" w:hanging="864"/>
      </w:pPr>
      <w:rPr>
        <w:rFonts w:hint="eastAsia"/>
      </w:rPr>
    </w:lvl>
    <w:lvl w:ilvl="4" w:tentative="0">
      <w:start w:val="1"/>
      <w:numFmt w:val="decimal"/>
      <w:pStyle w:val="6"/>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7"/>
      <w:suff w:val="space"/>
      <w:lvlText w:val="%1.%2.%3.%4.%5.%6.%7"/>
      <w:lvlJc w:val="left"/>
      <w:pPr>
        <w:ind w:left="1296" w:hanging="1296"/>
      </w:pPr>
      <w:rPr>
        <w:rFonts w:hint="eastAsia"/>
      </w:rPr>
    </w:lvl>
    <w:lvl w:ilvl="7" w:tentative="0">
      <w:start w:val="1"/>
      <w:numFmt w:val="decimal"/>
      <w:pStyle w:val="9"/>
      <w:suff w:val="space"/>
      <w:lvlText w:val="%1.%2.%3.%4.%5.%6.%7.%8"/>
      <w:lvlJc w:val="left"/>
      <w:pPr>
        <w:ind w:left="1440" w:hanging="1440"/>
      </w:pPr>
      <w:rPr>
        <w:rFonts w:hint="eastAsia"/>
      </w:rPr>
    </w:lvl>
    <w:lvl w:ilvl="8" w:tentative="0">
      <w:start w:val="1"/>
      <w:numFmt w:val="decimal"/>
      <w:pStyle w:val="10"/>
      <w:suff w:val="space"/>
      <w:lvlText w:val="%1.%2.%3.%4.%5.%6.%7.%8.%9"/>
      <w:lvlJc w:val="left"/>
      <w:pPr>
        <w:ind w:left="1584" w:hanging="1584"/>
      </w:pPr>
      <w:rPr>
        <w:rFonts w:hint="eastAsia"/>
      </w:rPr>
    </w:lvl>
  </w:abstractNum>
  <w:abstractNum w:abstractNumId="1">
    <w:nsid w:val="78E2D185"/>
    <w:multiLevelType w:val="singleLevel"/>
    <w:tmpl w:val="78E2D185"/>
    <w:lvl w:ilvl="0" w:tentative="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2ZTQzYmM1OTQzMTRhMzg5NzJmNGVkNTA3ZmNiODMifQ=="/>
  </w:docVars>
  <w:rsids>
    <w:rsidRoot w:val="00D0178C"/>
    <w:rsid w:val="000017A7"/>
    <w:rsid w:val="00002E39"/>
    <w:rsid w:val="00003B4D"/>
    <w:rsid w:val="00003B58"/>
    <w:rsid w:val="0000457E"/>
    <w:rsid w:val="00005BA2"/>
    <w:rsid w:val="00005CC6"/>
    <w:rsid w:val="000065F3"/>
    <w:rsid w:val="000072AE"/>
    <w:rsid w:val="00010902"/>
    <w:rsid w:val="00011604"/>
    <w:rsid w:val="00011B6F"/>
    <w:rsid w:val="00011E36"/>
    <w:rsid w:val="00013764"/>
    <w:rsid w:val="00013F0C"/>
    <w:rsid w:val="000149A0"/>
    <w:rsid w:val="00015AD6"/>
    <w:rsid w:val="00016D42"/>
    <w:rsid w:val="00017577"/>
    <w:rsid w:val="00020A4E"/>
    <w:rsid w:val="00021013"/>
    <w:rsid w:val="0002126F"/>
    <w:rsid w:val="000213E4"/>
    <w:rsid w:val="00021A0D"/>
    <w:rsid w:val="000222F1"/>
    <w:rsid w:val="000228F2"/>
    <w:rsid w:val="00022D5E"/>
    <w:rsid w:val="0002368C"/>
    <w:rsid w:val="000248B4"/>
    <w:rsid w:val="00024A0A"/>
    <w:rsid w:val="0002561E"/>
    <w:rsid w:val="00025A05"/>
    <w:rsid w:val="00026660"/>
    <w:rsid w:val="00027A30"/>
    <w:rsid w:val="0003080B"/>
    <w:rsid w:val="00030BCD"/>
    <w:rsid w:val="0003110B"/>
    <w:rsid w:val="00031798"/>
    <w:rsid w:val="00032A8C"/>
    <w:rsid w:val="0003345B"/>
    <w:rsid w:val="000339EF"/>
    <w:rsid w:val="000342BC"/>
    <w:rsid w:val="00035019"/>
    <w:rsid w:val="00035BB7"/>
    <w:rsid w:val="000363A8"/>
    <w:rsid w:val="00036B99"/>
    <w:rsid w:val="00037376"/>
    <w:rsid w:val="00037EF0"/>
    <w:rsid w:val="00041B33"/>
    <w:rsid w:val="00042185"/>
    <w:rsid w:val="00042648"/>
    <w:rsid w:val="00043953"/>
    <w:rsid w:val="00045E4C"/>
    <w:rsid w:val="00046658"/>
    <w:rsid w:val="00046752"/>
    <w:rsid w:val="00046B06"/>
    <w:rsid w:val="0004796A"/>
    <w:rsid w:val="00050586"/>
    <w:rsid w:val="00050B45"/>
    <w:rsid w:val="00051213"/>
    <w:rsid w:val="0005205D"/>
    <w:rsid w:val="000520FD"/>
    <w:rsid w:val="0005263D"/>
    <w:rsid w:val="00052D0A"/>
    <w:rsid w:val="000530C4"/>
    <w:rsid w:val="00054F2A"/>
    <w:rsid w:val="00055B12"/>
    <w:rsid w:val="00056360"/>
    <w:rsid w:val="0005677F"/>
    <w:rsid w:val="00057EEC"/>
    <w:rsid w:val="000605BE"/>
    <w:rsid w:val="00060608"/>
    <w:rsid w:val="000611CE"/>
    <w:rsid w:val="0006211E"/>
    <w:rsid w:val="00062135"/>
    <w:rsid w:val="0006242B"/>
    <w:rsid w:val="00062D9A"/>
    <w:rsid w:val="00063451"/>
    <w:rsid w:val="00063890"/>
    <w:rsid w:val="00063E65"/>
    <w:rsid w:val="00064C4B"/>
    <w:rsid w:val="00065D5E"/>
    <w:rsid w:val="000668B7"/>
    <w:rsid w:val="00066ACE"/>
    <w:rsid w:val="0006703C"/>
    <w:rsid w:val="000671FF"/>
    <w:rsid w:val="00067A6F"/>
    <w:rsid w:val="00070B66"/>
    <w:rsid w:val="00073741"/>
    <w:rsid w:val="0007375E"/>
    <w:rsid w:val="00073D86"/>
    <w:rsid w:val="00073E58"/>
    <w:rsid w:val="0007440B"/>
    <w:rsid w:val="00075B4F"/>
    <w:rsid w:val="000763F7"/>
    <w:rsid w:val="00076C0E"/>
    <w:rsid w:val="000776B2"/>
    <w:rsid w:val="000778AE"/>
    <w:rsid w:val="00077909"/>
    <w:rsid w:val="000779C2"/>
    <w:rsid w:val="00077BF0"/>
    <w:rsid w:val="00080903"/>
    <w:rsid w:val="00084747"/>
    <w:rsid w:val="000849C5"/>
    <w:rsid w:val="0008533B"/>
    <w:rsid w:val="00087A2E"/>
    <w:rsid w:val="00091772"/>
    <w:rsid w:val="00091AAF"/>
    <w:rsid w:val="0009398E"/>
    <w:rsid w:val="00094A0B"/>
    <w:rsid w:val="0009610B"/>
    <w:rsid w:val="000970D0"/>
    <w:rsid w:val="00097846"/>
    <w:rsid w:val="000978DA"/>
    <w:rsid w:val="00097E2E"/>
    <w:rsid w:val="000A079C"/>
    <w:rsid w:val="000A11C8"/>
    <w:rsid w:val="000A120C"/>
    <w:rsid w:val="000A1ABC"/>
    <w:rsid w:val="000A1DBD"/>
    <w:rsid w:val="000A3377"/>
    <w:rsid w:val="000A3645"/>
    <w:rsid w:val="000A3D95"/>
    <w:rsid w:val="000A44DE"/>
    <w:rsid w:val="000A50BB"/>
    <w:rsid w:val="000A564E"/>
    <w:rsid w:val="000A5765"/>
    <w:rsid w:val="000B0544"/>
    <w:rsid w:val="000B0893"/>
    <w:rsid w:val="000B19AD"/>
    <w:rsid w:val="000B1A00"/>
    <w:rsid w:val="000B1FCB"/>
    <w:rsid w:val="000B281C"/>
    <w:rsid w:val="000B29AA"/>
    <w:rsid w:val="000B2DE1"/>
    <w:rsid w:val="000B312E"/>
    <w:rsid w:val="000B329C"/>
    <w:rsid w:val="000B3F8B"/>
    <w:rsid w:val="000B4363"/>
    <w:rsid w:val="000B4C2E"/>
    <w:rsid w:val="000B5167"/>
    <w:rsid w:val="000B6405"/>
    <w:rsid w:val="000B6E67"/>
    <w:rsid w:val="000C0995"/>
    <w:rsid w:val="000C0D3B"/>
    <w:rsid w:val="000C142E"/>
    <w:rsid w:val="000C165A"/>
    <w:rsid w:val="000C1886"/>
    <w:rsid w:val="000C1A53"/>
    <w:rsid w:val="000C3689"/>
    <w:rsid w:val="000C4E6A"/>
    <w:rsid w:val="000C50CB"/>
    <w:rsid w:val="000C633E"/>
    <w:rsid w:val="000C6709"/>
    <w:rsid w:val="000C6DB8"/>
    <w:rsid w:val="000C7596"/>
    <w:rsid w:val="000C7B02"/>
    <w:rsid w:val="000D0791"/>
    <w:rsid w:val="000D0D54"/>
    <w:rsid w:val="000D1BA9"/>
    <w:rsid w:val="000D3EC8"/>
    <w:rsid w:val="000D4354"/>
    <w:rsid w:val="000D44E6"/>
    <w:rsid w:val="000D5323"/>
    <w:rsid w:val="000D5420"/>
    <w:rsid w:val="000D63FE"/>
    <w:rsid w:val="000E0029"/>
    <w:rsid w:val="000E3EFB"/>
    <w:rsid w:val="000E3FCF"/>
    <w:rsid w:val="000E445D"/>
    <w:rsid w:val="000E4F4C"/>
    <w:rsid w:val="000E4FDC"/>
    <w:rsid w:val="000E502D"/>
    <w:rsid w:val="000E5487"/>
    <w:rsid w:val="000E597F"/>
    <w:rsid w:val="000E6020"/>
    <w:rsid w:val="000E6529"/>
    <w:rsid w:val="000E6D3D"/>
    <w:rsid w:val="000E75E4"/>
    <w:rsid w:val="000E7B39"/>
    <w:rsid w:val="000E7F29"/>
    <w:rsid w:val="000F0466"/>
    <w:rsid w:val="000F0BAA"/>
    <w:rsid w:val="000F0E88"/>
    <w:rsid w:val="000F2C09"/>
    <w:rsid w:val="000F2D7F"/>
    <w:rsid w:val="000F3222"/>
    <w:rsid w:val="000F37FE"/>
    <w:rsid w:val="000F382F"/>
    <w:rsid w:val="000F3F2A"/>
    <w:rsid w:val="000F4FC8"/>
    <w:rsid w:val="000F6641"/>
    <w:rsid w:val="000F7D22"/>
    <w:rsid w:val="0010061F"/>
    <w:rsid w:val="0010075A"/>
    <w:rsid w:val="001008F8"/>
    <w:rsid w:val="00101C20"/>
    <w:rsid w:val="00102F04"/>
    <w:rsid w:val="00104FA2"/>
    <w:rsid w:val="00110020"/>
    <w:rsid w:val="001106B5"/>
    <w:rsid w:val="001116D5"/>
    <w:rsid w:val="00112437"/>
    <w:rsid w:val="0011289C"/>
    <w:rsid w:val="00112B0A"/>
    <w:rsid w:val="00113844"/>
    <w:rsid w:val="00115619"/>
    <w:rsid w:val="001158B1"/>
    <w:rsid w:val="00117464"/>
    <w:rsid w:val="001205DF"/>
    <w:rsid w:val="00120795"/>
    <w:rsid w:val="001214F5"/>
    <w:rsid w:val="001215D8"/>
    <w:rsid w:val="00121AB1"/>
    <w:rsid w:val="00122456"/>
    <w:rsid w:val="001234B2"/>
    <w:rsid w:val="0012400D"/>
    <w:rsid w:val="00124116"/>
    <w:rsid w:val="0012433D"/>
    <w:rsid w:val="0012451C"/>
    <w:rsid w:val="00124772"/>
    <w:rsid w:val="00124A8E"/>
    <w:rsid w:val="0012530A"/>
    <w:rsid w:val="001257F2"/>
    <w:rsid w:val="001258FD"/>
    <w:rsid w:val="00125AAE"/>
    <w:rsid w:val="00125E04"/>
    <w:rsid w:val="00126320"/>
    <w:rsid w:val="00127E36"/>
    <w:rsid w:val="00130020"/>
    <w:rsid w:val="00130ADF"/>
    <w:rsid w:val="00131A89"/>
    <w:rsid w:val="001322EC"/>
    <w:rsid w:val="0013395D"/>
    <w:rsid w:val="001344B8"/>
    <w:rsid w:val="00134EE8"/>
    <w:rsid w:val="00136202"/>
    <w:rsid w:val="00136B54"/>
    <w:rsid w:val="001370FF"/>
    <w:rsid w:val="001374FE"/>
    <w:rsid w:val="00137741"/>
    <w:rsid w:val="00137BBA"/>
    <w:rsid w:val="00140202"/>
    <w:rsid w:val="001409B8"/>
    <w:rsid w:val="001412A6"/>
    <w:rsid w:val="00141ED3"/>
    <w:rsid w:val="00142261"/>
    <w:rsid w:val="00142B92"/>
    <w:rsid w:val="0014306D"/>
    <w:rsid w:val="00143334"/>
    <w:rsid w:val="00144795"/>
    <w:rsid w:val="00144D46"/>
    <w:rsid w:val="00145136"/>
    <w:rsid w:val="00145E28"/>
    <w:rsid w:val="001464B7"/>
    <w:rsid w:val="00146EDD"/>
    <w:rsid w:val="00147154"/>
    <w:rsid w:val="00147417"/>
    <w:rsid w:val="00150E04"/>
    <w:rsid w:val="00151D34"/>
    <w:rsid w:val="001522C9"/>
    <w:rsid w:val="001526EB"/>
    <w:rsid w:val="00152EB8"/>
    <w:rsid w:val="00153203"/>
    <w:rsid w:val="001536B8"/>
    <w:rsid w:val="00153D8A"/>
    <w:rsid w:val="00155584"/>
    <w:rsid w:val="00155B2E"/>
    <w:rsid w:val="001569CF"/>
    <w:rsid w:val="001576CC"/>
    <w:rsid w:val="0016042F"/>
    <w:rsid w:val="00161DC4"/>
    <w:rsid w:val="001622C1"/>
    <w:rsid w:val="00162866"/>
    <w:rsid w:val="00163BA0"/>
    <w:rsid w:val="0016425B"/>
    <w:rsid w:val="001649A5"/>
    <w:rsid w:val="00164D11"/>
    <w:rsid w:val="001656CF"/>
    <w:rsid w:val="00165A12"/>
    <w:rsid w:val="00165C95"/>
    <w:rsid w:val="00166D8C"/>
    <w:rsid w:val="00167516"/>
    <w:rsid w:val="00167FA5"/>
    <w:rsid w:val="00171E5F"/>
    <w:rsid w:val="00172BDE"/>
    <w:rsid w:val="00172E39"/>
    <w:rsid w:val="0017352A"/>
    <w:rsid w:val="00173C5F"/>
    <w:rsid w:val="00174FA5"/>
    <w:rsid w:val="0017520F"/>
    <w:rsid w:val="0017541E"/>
    <w:rsid w:val="00176103"/>
    <w:rsid w:val="00176FAD"/>
    <w:rsid w:val="00177000"/>
    <w:rsid w:val="0017764B"/>
    <w:rsid w:val="00177959"/>
    <w:rsid w:val="00177F87"/>
    <w:rsid w:val="00180CD8"/>
    <w:rsid w:val="00180E07"/>
    <w:rsid w:val="0018132D"/>
    <w:rsid w:val="00181861"/>
    <w:rsid w:val="001819C0"/>
    <w:rsid w:val="00181F7E"/>
    <w:rsid w:val="00183745"/>
    <w:rsid w:val="00184A42"/>
    <w:rsid w:val="00186290"/>
    <w:rsid w:val="00186BD8"/>
    <w:rsid w:val="00186E76"/>
    <w:rsid w:val="00187515"/>
    <w:rsid w:val="00187D1A"/>
    <w:rsid w:val="001903F9"/>
    <w:rsid w:val="00192113"/>
    <w:rsid w:val="00193329"/>
    <w:rsid w:val="001934FD"/>
    <w:rsid w:val="00193E5D"/>
    <w:rsid w:val="001942B8"/>
    <w:rsid w:val="0019452C"/>
    <w:rsid w:val="00194916"/>
    <w:rsid w:val="0019527B"/>
    <w:rsid w:val="00195763"/>
    <w:rsid w:val="00195785"/>
    <w:rsid w:val="001964DE"/>
    <w:rsid w:val="00196E9D"/>
    <w:rsid w:val="001A059E"/>
    <w:rsid w:val="001A0EE9"/>
    <w:rsid w:val="001A1C75"/>
    <w:rsid w:val="001A1DC9"/>
    <w:rsid w:val="001A21BE"/>
    <w:rsid w:val="001A2C4F"/>
    <w:rsid w:val="001A342B"/>
    <w:rsid w:val="001A3C69"/>
    <w:rsid w:val="001A508D"/>
    <w:rsid w:val="001A5AB2"/>
    <w:rsid w:val="001A65C7"/>
    <w:rsid w:val="001A75E4"/>
    <w:rsid w:val="001B03A1"/>
    <w:rsid w:val="001B047D"/>
    <w:rsid w:val="001B0954"/>
    <w:rsid w:val="001B09AB"/>
    <w:rsid w:val="001B0FA2"/>
    <w:rsid w:val="001B102D"/>
    <w:rsid w:val="001B1321"/>
    <w:rsid w:val="001B38D4"/>
    <w:rsid w:val="001B40C6"/>
    <w:rsid w:val="001B4F43"/>
    <w:rsid w:val="001B58D7"/>
    <w:rsid w:val="001B5A44"/>
    <w:rsid w:val="001B7921"/>
    <w:rsid w:val="001B7E77"/>
    <w:rsid w:val="001C013D"/>
    <w:rsid w:val="001C0506"/>
    <w:rsid w:val="001C0A0B"/>
    <w:rsid w:val="001C1658"/>
    <w:rsid w:val="001C18A9"/>
    <w:rsid w:val="001C1A62"/>
    <w:rsid w:val="001C2211"/>
    <w:rsid w:val="001C24E1"/>
    <w:rsid w:val="001C3732"/>
    <w:rsid w:val="001C3DF6"/>
    <w:rsid w:val="001C4526"/>
    <w:rsid w:val="001C48E1"/>
    <w:rsid w:val="001C521C"/>
    <w:rsid w:val="001C5D7C"/>
    <w:rsid w:val="001C72E6"/>
    <w:rsid w:val="001C770F"/>
    <w:rsid w:val="001C7FB2"/>
    <w:rsid w:val="001D0817"/>
    <w:rsid w:val="001D1B02"/>
    <w:rsid w:val="001D2460"/>
    <w:rsid w:val="001D2B68"/>
    <w:rsid w:val="001D3188"/>
    <w:rsid w:val="001D3E4B"/>
    <w:rsid w:val="001D4788"/>
    <w:rsid w:val="001D48C7"/>
    <w:rsid w:val="001D4EDA"/>
    <w:rsid w:val="001D51C9"/>
    <w:rsid w:val="001D6655"/>
    <w:rsid w:val="001D79DA"/>
    <w:rsid w:val="001D7E26"/>
    <w:rsid w:val="001D7EC2"/>
    <w:rsid w:val="001E0CC8"/>
    <w:rsid w:val="001E1B1F"/>
    <w:rsid w:val="001E21E8"/>
    <w:rsid w:val="001E3598"/>
    <w:rsid w:val="001E7A5C"/>
    <w:rsid w:val="001F0937"/>
    <w:rsid w:val="001F121B"/>
    <w:rsid w:val="001F24DF"/>
    <w:rsid w:val="001F2862"/>
    <w:rsid w:val="001F41D6"/>
    <w:rsid w:val="001F4406"/>
    <w:rsid w:val="001F4C74"/>
    <w:rsid w:val="001F60D7"/>
    <w:rsid w:val="001F61BF"/>
    <w:rsid w:val="001F7168"/>
    <w:rsid w:val="00201649"/>
    <w:rsid w:val="00201AEA"/>
    <w:rsid w:val="00202096"/>
    <w:rsid w:val="0020286E"/>
    <w:rsid w:val="00202E26"/>
    <w:rsid w:val="00203CD3"/>
    <w:rsid w:val="00205549"/>
    <w:rsid w:val="002055B5"/>
    <w:rsid w:val="002056E5"/>
    <w:rsid w:val="002062D2"/>
    <w:rsid w:val="00206B6C"/>
    <w:rsid w:val="00207214"/>
    <w:rsid w:val="00207B6D"/>
    <w:rsid w:val="00210C10"/>
    <w:rsid w:val="00212982"/>
    <w:rsid w:val="0021324B"/>
    <w:rsid w:val="002135D5"/>
    <w:rsid w:val="00213B18"/>
    <w:rsid w:val="002140EA"/>
    <w:rsid w:val="0021432B"/>
    <w:rsid w:val="00214537"/>
    <w:rsid w:val="00214A79"/>
    <w:rsid w:val="00214E42"/>
    <w:rsid w:val="00214F42"/>
    <w:rsid w:val="00215196"/>
    <w:rsid w:val="0021533F"/>
    <w:rsid w:val="00215A5E"/>
    <w:rsid w:val="00216496"/>
    <w:rsid w:val="002174C6"/>
    <w:rsid w:val="00222679"/>
    <w:rsid w:val="002229F9"/>
    <w:rsid w:val="002231C3"/>
    <w:rsid w:val="00224649"/>
    <w:rsid w:val="002249D8"/>
    <w:rsid w:val="00226933"/>
    <w:rsid w:val="00227B3C"/>
    <w:rsid w:val="002302A4"/>
    <w:rsid w:val="00230E89"/>
    <w:rsid w:val="002316C9"/>
    <w:rsid w:val="00231AA6"/>
    <w:rsid w:val="00232E5F"/>
    <w:rsid w:val="002333AE"/>
    <w:rsid w:val="002347D9"/>
    <w:rsid w:val="00235982"/>
    <w:rsid w:val="002369CB"/>
    <w:rsid w:val="00240990"/>
    <w:rsid w:val="00241580"/>
    <w:rsid w:val="0024338D"/>
    <w:rsid w:val="00243842"/>
    <w:rsid w:val="002447ED"/>
    <w:rsid w:val="002477BA"/>
    <w:rsid w:val="00247934"/>
    <w:rsid w:val="00250391"/>
    <w:rsid w:val="00252EB5"/>
    <w:rsid w:val="00254095"/>
    <w:rsid w:val="00254170"/>
    <w:rsid w:val="0025449F"/>
    <w:rsid w:val="00254578"/>
    <w:rsid w:val="00254B9B"/>
    <w:rsid w:val="00255BE0"/>
    <w:rsid w:val="0025725D"/>
    <w:rsid w:val="00257620"/>
    <w:rsid w:val="002600AA"/>
    <w:rsid w:val="002604C0"/>
    <w:rsid w:val="0026312C"/>
    <w:rsid w:val="00263C25"/>
    <w:rsid w:val="00264DD7"/>
    <w:rsid w:val="00267288"/>
    <w:rsid w:val="00271389"/>
    <w:rsid w:val="00271CB6"/>
    <w:rsid w:val="00271CDF"/>
    <w:rsid w:val="00272D57"/>
    <w:rsid w:val="002751B6"/>
    <w:rsid w:val="00275278"/>
    <w:rsid w:val="00275365"/>
    <w:rsid w:val="00275554"/>
    <w:rsid w:val="00275972"/>
    <w:rsid w:val="00275BDA"/>
    <w:rsid w:val="00276256"/>
    <w:rsid w:val="002763BC"/>
    <w:rsid w:val="00276B9E"/>
    <w:rsid w:val="002812F5"/>
    <w:rsid w:val="00282969"/>
    <w:rsid w:val="00284339"/>
    <w:rsid w:val="0028539C"/>
    <w:rsid w:val="00286A8E"/>
    <w:rsid w:val="00286F93"/>
    <w:rsid w:val="002870EB"/>
    <w:rsid w:val="0028765D"/>
    <w:rsid w:val="002909CB"/>
    <w:rsid w:val="00290B8D"/>
    <w:rsid w:val="00291054"/>
    <w:rsid w:val="002911CF"/>
    <w:rsid w:val="00291B69"/>
    <w:rsid w:val="002923C6"/>
    <w:rsid w:val="002927B4"/>
    <w:rsid w:val="00292C74"/>
    <w:rsid w:val="0029331D"/>
    <w:rsid w:val="00293E1D"/>
    <w:rsid w:val="00294170"/>
    <w:rsid w:val="002948C3"/>
    <w:rsid w:val="00294E69"/>
    <w:rsid w:val="00295052"/>
    <w:rsid w:val="00295D37"/>
    <w:rsid w:val="00296096"/>
    <w:rsid w:val="002969D5"/>
    <w:rsid w:val="00297332"/>
    <w:rsid w:val="002A05A3"/>
    <w:rsid w:val="002A0B59"/>
    <w:rsid w:val="002A149D"/>
    <w:rsid w:val="002A2230"/>
    <w:rsid w:val="002A2D87"/>
    <w:rsid w:val="002A3B55"/>
    <w:rsid w:val="002A3C05"/>
    <w:rsid w:val="002A5D1F"/>
    <w:rsid w:val="002A5D6C"/>
    <w:rsid w:val="002A6515"/>
    <w:rsid w:val="002A6A95"/>
    <w:rsid w:val="002A6C3E"/>
    <w:rsid w:val="002A7B97"/>
    <w:rsid w:val="002B0705"/>
    <w:rsid w:val="002B09B9"/>
    <w:rsid w:val="002B1497"/>
    <w:rsid w:val="002B1E58"/>
    <w:rsid w:val="002B2BF2"/>
    <w:rsid w:val="002B30FA"/>
    <w:rsid w:val="002B631B"/>
    <w:rsid w:val="002B7F49"/>
    <w:rsid w:val="002C08D2"/>
    <w:rsid w:val="002C0CB3"/>
    <w:rsid w:val="002C11CA"/>
    <w:rsid w:val="002C220E"/>
    <w:rsid w:val="002C22C5"/>
    <w:rsid w:val="002C3BF2"/>
    <w:rsid w:val="002C3EB8"/>
    <w:rsid w:val="002C49A5"/>
    <w:rsid w:val="002C5653"/>
    <w:rsid w:val="002C5BA5"/>
    <w:rsid w:val="002C5CAA"/>
    <w:rsid w:val="002C6207"/>
    <w:rsid w:val="002C6C26"/>
    <w:rsid w:val="002C6C87"/>
    <w:rsid w:val="002C7769"/>
    <w:rsid w:val="002D09B4"/>
    <w:rsid w:val="002D16B3"/>
    <w:rsid w:val="002D1F6E"/>
    <w:rsid w:val="002D2C8A"/>
    <w:rsid w:val="002D2FA9"/>
    <w:rsid w:val="002D40CD"/>
    <w:rsid w:val="002D52B0"/>
    <w:rsid w:val="002D5378"/>
    <w:rsid w:val="002D5EF3"/>
    <w:rsid w:val="002D6085"/>
    <w:rsid w:val="002D7F96"/>
    <w:rsid w:val="002E0200"/>
    <w:rsid w:val="002E045A"/>
    <w:rsid w:val="002E13C5"/>
    <w:rsid w:val="002E181C"/>
    <w:rsid w:val="002E486C"/>
    <w:rsid w:val="002E60DC"/>
    <w:rsid w:val="002E658C"/>
    <w:rsid w:val="002E6D80"/>
    <w:rsid w:val="002E7D21"/>
    <w:rsid w:val="002F194B"/>
    <w:rsid w:val="002F1DCC"/>
    <w:rsid w:val="002F2C3B"/>
    <w:rsid w:val="002F2E36"/>
    <w:rsid w:val="002F3F8E"/>
    <w:rsid w:val="002F45DF"/>
    <w:rsid w:val="002F601E"/>
    <w:rsid w:val="002F622E"/>
    <w:rsid w:val="002F71C3"/>
    <w:rsid w:val="002F7C97"/>
    <w:rsid w:val="00300DB9"/>
    <w:rsid w:val="003014FF"/>
    <w:rsid w:val="00303757"/>
    <w:rsid w:val="003040DD"/>
    <w:rsid w:val="00304888"/>
    <w:rsid w:val="00304900"/>
    <w:rsid w:val="00304AEE"/>
    <w:rsid w:val="00304F89"/>
    <w:rsid w:val="00305E13"/>
    <w:rsid w:val="00305F1C"/>
    <w:rsid w:val="00306710"/>
    <w:rsid w:val="00307AAE"/>
    <w:rsid w:val="00310701"/>
    <w:rsid w:val="0031227B"/>
    <w:rsid w:val="00312CD8"/>
    <w:rsid w:val="00312D07"/>
    <w:rsid w:val="00313881"/>
    <w:rsid w:val="0031508C"/>
    <w:rsid w:val="00315CFB"/>
    <w:rsid w:val="0031686A"/>
    <w:rsid w:val="00316D1E"/>
    <w:rsid w:val="0031723D"/>
    <w:rsid w:val="0032091F"/>
    <w:rsid w:val="00320C30"/>
    <w:rsid w:val="003211E6"/>
    <w:rsid w:val="00322106"/>
    <w:rsid w:val="00322568"/>
    <w:rsid w:val="00322EDA"/>
    <w:rsid w:val="00322F74"/>
    <w:rsid w:val="003230B2"/>
    <w:rsid w:val="0032422B"/>
    <w:rsid w:val="00326CE6"/>
    <w:rsid w:val="003277A3"/>
    <w:rsid w:val="0033051C"/>
    <w:rsid w:val="003308E6"/>
    <w:rsid w:val="00332691"/>
    <w:rsid w:val="00332D69"/>
    <w:rsid w:val="00333E8B"/>
    <w:rsid w:val="0033463B"/>
    <w:rsid w:val="00334945"/>
    <w:rsid w:val="00334B80"/>
    <w:rsid w:val="00335581"/>
    <w:rsid w:val="00336E10"/>
    <w:rsid w:val="00337D69"/>
    <w:rsid w:val="003403D2"/>
    <w:rsid w:val="00340A89"/>
    <w:rsid w:val="00341554"/>
    <w:rsid w:val="00341631"/>
    <w:rsid w:val="003418C9"/>
    <w:rsid w:val="00341F20"/>
    <w:rsid w:val="00342A00"/>
    <w:rsid w:val="00342D56"/>
    <w:rsid w:val="00343997"/>
    <w:rsid w:val="00344A20"/>
    <w:rsid w:val="00345663"/>
    <w:rsid w:val="00345D6B"/>
    <w:rsid w:val="00346D17"/>
    <w:rsid w:val="00347AAA"/>
    <w:rsid w:val="00350254"/>
    <w:rsid w:val="00350382"/>
    <w:rsid w:val="00350DCC"/>
    <w:rsid w:val="003527E0"/>
    <w:rsid w:val="00353B22"/>
    <w:rsid w:val="00353C4E"/>
    <w:rsid w:val="0035416E"/>
    <w:rsid w:val="003549B3"/>
    <w:rsid w:val="00354D43"/>
    <w:rsid w:val="0035540C"/>
    <w:rsid w:val="00356617"/>
    <w:rsid w:val="00357015"/>
    <w:rsid w:val="00360052"/>
    <w:rsid w:val="00360827"/>
    <w:rsid w:val="00360D62"/>
    <w:rsid w:val="003632AA"/>
    <w:rsid w:val="003637B1"/>
    <w:rsid w:val="00363A50"/>
    <w:rsid w:val="00363CB3"/>
    <w:rsid w:val="003647A1"/>
    <w:rsid w:val="00364924"/>
    <w:rsid w:val="00367775"/>
    <w:rsid w:val="00370360"/>
    <w:rsid w:val="00370A02"/>
    <w:rsid w:val="00372A96"/>
    <w:rsid w:val="00372FC6"/>
    <w:rsid w:val="003739E1"/>
    <w:rsid w:val="00373C03"/>
    <w:rsid w:val="00374692"/>
    <w:rsid w:val="00374E72"/>
    <w:rsid w:val="003765E1"/>
    <w:rsid w:val="0037724E"/>
    <w:rsid w:val="00377411"/>
    <w:rsid w:val="003775CF"/>
    <w:rsid w:val="00377C02"/>
    <w:rsid w:val="00380297"/>
    <w:rsid w:val="00380444"/>
    <w:rsid w:val="00382A99"/>
    <w:rsid w:val="0038318C"/>
    <w:rsid w:val="0038343A"/>
    <w:rsid w:val="00384214"/>
    <w:rsid w:val="00385D2C"/>
    <w:rsid w:val="00386CCF"/>
    <w:rsid w:val="003872AD"/>
    <w:rsid w:val="00390639"/>
    <w:rsid w:val="00391024"/>
    <w:rsid w:val="003919E6"/>
    <w:rsid w:val="00392B9A"/>
    <w:rsid w:val="003930E9"/>
    <w:rsid w:val="003936FD"/>
    <w:rsid w:val="00394B71"/>
    <w:rsid w:val="00394BB8"/>
    <w:rsid w:val="00395EFB"/>
    <w:rsid w:val="00397EB3"/>
    <w:rsid w:val="003A017D"/>
    <w:rsid w:val="003A1852"/>
    <w:rsid w:val="003A3D9F"/>
    <w:rsid w:val="003A4712"/>
    <w:rsid w:val="003A4CC1"/>
    <w:rsid w:val="003A5FB7"/>
    <w:rsid w:val="003A7F29"/>
    <w:rsid w:val="003B0E0D"/>
    <w:rsid w:val="003B136E"/>
    <w:rsid w:val="003B1705"/>
    <w:rsid w:val="003B1972"/>
    <w:rsid w:val="003B1B8E"/>
    <w:rsid w:val="003B274A"/>
    <w:rsid w:val="003B399C"/>
    <w:rsid w:val="003B43A0"/>
    <w:rsid w:val="003B447B"/>
    <w:rsid w:val="003B4755"/>
    <w:rsid w:val="003B6E13"/>
    <w:rsid w:val="003B7497"/>
    <w:rsid w:val="003B7D4E"/>
    <w:rsid w:val="003C185D"/>
    <w:rsid w:val="003C24D4"/>
    <w:rsid w:val="003C2AC0"/>
    <w:rsid w:val="003C3B92"/>
    <w:rsid w:val="003C5A42"/>
    <w:rsid w:val="003C5B10"/>
    <w:rsid w:val="003C5F47"/>
    <w:rsid w:val="003C6528"/>
    <w:rsid w:val="003C669A"/>
    <w:rsid w:val="003C6717"/>
    <w:rsid w:val="003C695B"/>
    <w:rsid w:val="003C6AEC"/>
    <w:rsid w:val="003D0A90"/>
    <w:rsid w:val="003D0C3B"/>
    <w:rsid w:val="003D15CE"/>
    <w:rsid w:val="003D1BC5"/>
    <w:rsid w:val="003D2CE6"/>
    <w:rsid w:val="003D358E"/>
    <w:rsid w:val="003D3AC6"/>
    <w:rsid w:val="003D3B52"/>
    <w:rsid w:val="003D4B20"/>
    <w:rsid w:val="003D4CCD"/>
    <w:rsid w:val="003D5B6D"/>
    <w:rsid w:val="003D63CF"/>
    <w:rsid w:val="003D6469"/>
    <w:rsid w:val="003D71D3"/>
    <w:rsid w:val="003E1A0F"/>
    <w:rsid w:val="003E1D21"/>
    <w:rsid w:val="003E23CE"/>
    <w:rsid w:val="003E268E"/>
    <w:rsid w:val="003E290E"/>
    <w:rsid w:val="003E3E8B"/>
    <w:rsid w:val="003E41FB"/>
    <w:rsid w:val="003E45C3"/>
    <w:rsid w:val="003E46E3"/>
    <w:rsid w:val="003E54EB"/>
    <w:rsid w:val="003E601E"/>
    <w:rsid w:val="003E7BAF"/>
    <w:rsid w:val="003E7C75"/>
    <w:rsid w:val="003F00F3"/>
    <w:rsid w:val="003F01E3"/>
    <w:rsid w:val="003F060B"/>
    <w:rsid w:val="003F1991"/>
    <w:rsid w:val="003F2055"/>
    <w:rsid w:val="003F215D"/>
    <w:rsid w:val="003F252E"/>
    <w:rsid w:val="003F2BCB"/>
    <w:rsid w:val="003F30EC"/>
    <w:rsid w:val="003F389A"/>
    <w:rsid w:val="003F3A98"/>
    <w:rsid w:val="003F3C0C"/>
    <w:rsid w:val="003F4385"/>
    <w:rsid w:val="003F4473"/>
    <w:rsid w:val="003F4B69"/>
    <w:rsid w:val="003F50C0"/>
    <w:rsid w:val="003F5697"/>
    <w:rsid w:val="003F6AA8"/>
    <w:rsid w:val="003F734C"/>
    <w:rsid w:val="003F77AC"/>
    <w:rsid w:val="003F78D8"/>
    <w:rsid w:val="003F7E37"/>
    <w:rsid w:val="00400FA8"/>
    <w:rsid w:val="00401181"/>
    <w:rsid w:val="0040126C"/>
    <w:rsid w:val="0040142A"/>
    <w:rsid w:val="00401E37"/>
    <w:rsid w:val="0040357A"/>
    <w:rsid w:val="00403C6A"/>
    <w:rsid w:val="00404945"/>
    <w:rsid w:val="00404EE0"/>
    <w:rsid w:val="00404F12"/>
    <w:rsid w:val="00405677"/>
    <w:rsid w:val="00405CF2"/>
    <w:rsid w:val="00407DD2"/>
    <w:rsid w:val="00410136"/>
    <w:rsid w:val="0041055F"/>
    <w:rsid w:val="00410D7E"/>
    <w:rsid w:val="00412BFA"/>
    <w:rsid w:val="004133D0"/>
    <w:rsid w:val="00413DD3"/>
    <w:rsid w:val="004141DB"/>
    <w:rsid w:val="00414428"/>
    <w:rsid w:val="00414936"/>
    <w:rsid w:val="00414B14"/>
    <w:rsid w:val="00414E20"/>
    <w:rsid w:val="0041547E"/>
    <w:rsid w:val="00415992"/>
    <w:rsid w:val="00417279"/>
    <w:rsid w:val="004179C5"/>
    <w:rsid w:val="004218BC"/>
    <w:rsid w:val="00423448"/>
    <w:rsid w:val="00424C73"/>
    <w:rsid w:val="00424D78"/>
    <w:rsid w:val="00425563"/>
    <w:rsid w:val="004263DD"/>
    <w:rsid w:val="0042667F"/>
    <w:rsid w:val="00427A09"/>
    <w:rsid w:val="0043022A"/>
    <w:rsid w:val="004331DA"/>
    <w:rsid w:val="00433C38"/>
    <w:rsid w:val="004343CB"/>
    <w:rsid w:val="0043506F"/>
    <w:rsid w:val="004352B5"/>
    <w:rsid w:val="00435559"/>
    <w:rsid w:val="00436D4E"/>
    <w:rsid w:val="00437B2C"/>
    <w:rsid w:val="00440846"/>
    <w:rsid w:val="00440A70"/>
    <w:rsid w:val="00440C7E"/>
    <w:rsid w:val="00440D07"/>
    <w:rsid w:val="00441155"/>
    <w:rsid w:val="004413E6"/>
    <w:rsid w:val="004416DD"/>
    <w:rsid w:val="004432FB"/>
    <w:rsid w:val="00447458"/>
    <w:rsid w:val="00451790"/>
    <w:rsid w:val="004517E1"/>
    <w:rsid w:val="0045268B"/>
    <w:rsid w:val="00452D45"/>
    <w:rsid w:val="00453004"/>
    <w:rsid w:val="004534A3"/>
    <w:rsid w:val="00454DCC"/>
    <w:rsid w:val="0045526B"/>
    <w:rsid w:val="0045556F"/>
    <w:rsid w:val="004564A0"/>
    <w:rsid w:val="004564B0"/>
    <w:rsid w:val="004576A9"/>
    <w:rsid w:val="00457C0B"/>
    <w:rsid w:val="00457E03"/>
    <w:rsid w:val="00457E61"/>
    <w:rsid w:val="00457F26"/>
    <w:rsid w:val="00460A5B"/>
    <w:rsid w:val="00460BED"/>
    <w:rsid w:val="00460CA1"/>
    <w:rsid w:val="00460E2B"/>
    <w:rsid w:val="00460E69"/>
    <w:rsid w:val="00461193"/>
    <w:rsid w:val="00461E9D"/>
    <w:rsid w:val="00463965"/>
    <w:rsid w:val="00463DAC"/>
    <w:rsid w:val="00465DE1"/>
    <w:rsid w:val="004665C0"/>
    <w:rsid w:val="00466633"/>
    <w:rsid w:val="00467306"/>
    <w:rsid w:val="00467859"/>
    <w:rsid w:val="00470A35"/>
    <w:rsid w:val="00471341"/>
    <w:rsid w:val="0047179B"/>
    <w:rsid w:val="00472A2C"/>
    <w:rsid w:val="00473509"/>
    <w:rsid w:val="0047424F"/>
    <w:rsid w:val="00474A93"/>
    <w:rsid w:val="00474BC9"/>
    <w:rsid w:val="00475781"/>
    <w:rsid w:val="00476337"/>
    <w:rsid w:val="00477A27"/>
    <w:rsid w:val="00477E07"/>
    <w:rsid w:val="00480D8A"/>
    <w:rsid w:val="00480FAB"/>
    <w:rsid w:val="0048117E"/>
    <w:rsid w:val="00481755"/>
    <w:rsid w:val="0048192B"/>
    <w:rsid w:val="004824E1"/>
    <w:rsid w:val="00482A54"/>
    <w:rsid w:val="00484F6C"/>
    <w:rsid w:val="004855D1"/>
    <w:rsid w:val="00485E34"/>
    <w:rsid w:val="00487034"/>
    <w:rsid w:val="00490043"/>
    <w:rsid w:val="00490563"/>
    <w:rsid w:val="0049075B"/>
    <w:rsid w:val="00490CBE"/>
    <w:rsid w:val="00490D99"/>
    <w:rsid w:val="00491574"/>
    <w:rsid w:val="00492C9A"/>
    <w:rsid w:val="00493720"/>
    <w:rsid w:val="00493CB7"/>
    <w:rsid w:val="00494672"/>
    <w:rsid w:val="00494DFC"/>
    <w:rsid w:val="0049568D"/>
    <w:rsid w:val="00497042"/>
    <w:rsid w:val="0049778E"/>
    <w:rsid w:val="004977AC"/>
    <w:rsid w:val="00497B57"/>
    <w:rsid w:val="00497EC9"/>
    <w:rsid w:val="00497FC1"/>
    <w:rsid w:val="004A0C16"/>
    <w:rsid w:val="004A2FF1"/>
    <w:rsid w:val="004A4255"/>
    <w:rsid w:val="004A542E"/>
    <w:rsid w:val="004A5CAF"/>
    <w:rsid w:val="004A5E1A"/>
    <w:rsid w:val="004A5E55"/>
    <w:rsid w:val="004A6023"/>
    <w:rsid w:val="004A67E7"/>
    <w:rsid w:val="004A6983"/>
    <w:rsid w:val="004A7AA1"/>
    <w:rsid w:val="004A7B75"/>
    <w:rsid w:val="004B006A"/>
    <w:rsid w:val="004B085B"/>
    <w:rsid w:val="004B0BFE"/>
    <w:rsid w:val="004B2BC6"/>
    <w:rsid w:val="004B2CED"/>
    <w:rsid w:val="004B2F23"/>
    <w:rsid w:val="004B5906"/>
    <w:rsid w:val="004B6DF3"/>
    <w:rsid w:val="004B6E14"/>
    <w:rsid w:val="004B761C"/>
    <w:rsid w:val="004B7F95"/>
    <w:rsid w:val="004C01C7"/>
    <w:rsid w:val="004C0714"/>
    <w:rsid w:val="004C119F"/>
    <w:rsid w:val="004C16B7"/>
    <w:rsid w:val="004C2558"/>
    <w:rsid w:val="004C5DC2"/>
    <w:rsid w:val="004C6889"/>
    <w:rsid w:val="004C68F1"/>
    <w:rsid w:val="004C6DEC"/>
    <w:rsid w:val="004C7109"/>
    <w:rsid w:val="004C76AA"/>
    <w:rsid w:val="004D0BC6"/>
    <w:rsid w:val="004D22EE"/>
    <w:rsid w:val="004D253C"/>
    <w:rsid w:val="004D35DA"/>
    <w:rsid w:val="004D4298"/>
    <w:rsid w:val="004D5745"/>
    <w:rsid w:val="004D5A61"/>
    <w:rsid w:val="004D6E7D"/>
    <w:rsid w:val="004D7074"/>
    <w:rsid w:val="004D7819"/>
    <w:rsid w:val="004E1A39"/>
    <w:rsid w:val="004E1DFD"/>
    <w:rsid w:val="004E1E0C"/>
    <w:rsid w:val="004E23C6"/>
    <w:rsid w:val="004E2E15"/>
    <w:rsid w:val="004E38DD"/>
    <w:rsid w:val="004E39CA"/>
    <w:rsid w:val="004E3C23"/>
    <w:rsid w:val="004E3D16"/>
    <w:rsid w:val="004E527C"/>
    <w:rsid w:val="004E6722"/>
    <w:rsid w:val="004E6881"/>
    <w:rsid w:val="004E6A12"/>
    <w:rsid w:val="004E708B"/>
    <w:rsid w:val="004E71EF"/>
    <w:rsid w:val="004E7200"/>
    <w:rsid w:val="004E73F4"/>
    <w:rsid w:val="004E7415"/>
    <w:rsid w:val="004F01B2"/>
    <w:rsid w:val="004F1E75"/>
    <w:rsid w:val="004F25A2"/>
    <w:rsid w:val="004F263E"/>
    <w:rsid w:val="004F3A1D"/>
    <w:rsid w:val="004F414C"/>
    <w:rsid w:val="004F4736"/>
    <w:rsid w:val="004F4D6F"/>
    <w:rsid w:val="004F50A7"/>
    <w:rsid w:val="004F6207"/>
    <w:rsid w:val="004F63A6"/>
    <w:rsid w:val="004F67A8"/>
    <w:rsid w:val="004F7118"/>
    <w:rsid w:val="005003E3"/>
    <w:rsid w:val="005007D4"/>
    <w:rsid w:val="00501341"/>
    <w:rsid w:val="00501BFB"/>
    <w:rsid w:val="00502481"/>
    <w:rsid w:val="00502B90"/>
    <w:rsid w:val="00502F60"/>
    <w:rsid w:val="005033A4"/>
    <w:rsid w:val="005033CF"/>
    <w:rsid w:val="00504787"/>
    <w:rsid w:val="0050548F"/>
    <w:rsid w:val="00505B9E"/>
    <w:rsid w:val="00505FA6"/>
    <w:rsid w:val="005060AD"/>
    <w:rsid w:val="00507BB9"/>
    <w:rsid w:val="00507C0A"/>
    <w:rsid w:val="00510587"/>
    <w:rsid w:val="00511B53"/>
    <w:rsid w:val="005131F2"/>
    <w:rsid w:val="0051332B"/>
    <w:rsid w:val="00513C4C"/>
    <w:rsid w:val="0051634D"/>
    <w:rsid w:val="00517580"/>
    <w:rsid w:val="0052137F"/>
    <w:rsid w:val="00521C44"/>
    <w:rsid w:val="00521F86"/>
    <w:rsid w:val="00521FEC"/>
    <w:rsid w:val="00522A3E"/>
    <w:rsid w:val="00522E18"/>
    <w:rsid w:val="00523A65"/>
    <w:rsid w:val="00524BD1"/>
    <w:rsid w:val="00524CEE"/>
    <w:rsid w:val="005274B7"/>
    <w:rsid w:val="0052761C"/>
    <w:rsid w:val="00527C19"/>
    <w:rsid w:val="00527DC4"/>
    <w:rsid w:val="00530579"/>
    <w:rsid w:val="005306F3"/>
    <w:rsid w:val="00530991"/>
    <w:rsid w:val="00531F58"/>
    <w:rsid w:val="00531FE3"/>
    <w:rsid w:val="00532DC9"/>
    <w:rsid w:val="0053365C"/>
    <w:rsid w:val="00533DB6"/>
    <w:rsid w:val="005351B7"/>
    <w:rsid w:val="00535D23"/>
    <w:rsid w:val="0053626C"/>
    <w:rsid w:val="00536313"/>
    <w:rsid w:val="00536472"/>
    <w:rsid w:val="00540107"/>
    <w:rsid w:val="00540A83"/>
    <w:rsid w:val="00541585"/>
    <w:rsid w:val="0054182E"/>
    <w:rsid w:val="00541A00"/>
    <w:rsid w:val="00541B85"/>
    <w:rsid w:val="00542B01"/>
    <w:rsid w:val="00544101"/>
    <w:rsid w:val="00544462"/>
    <w:rsid w:val="00544B61"/>
    <w:rsid w:val="00544CB9"/>
    <w:rsid w:val="00545370"/>
    <w:rsid w:val="005455A2"/>
    <w:rsid w:val="005457B6"/>
    <w:rsid w:val="005460AF"/>
    <w:rsid w:val="00546F81"/>
    <w:rsid w:val="00547982"/>
    <w:rsid w:val="00551104"/>
    <w:rsid w:val="00551A71"/>
    <w:rsid w:val="00552A31"/>
    <w:rsid w:val="00552AED"/>
    <w:rsid w:val="005546FD"/>
    <w:rsid w:val="00554DAE"/>
    <w:rsid w:val="005562DD"/>
    <w:rsid w:val="0055675C"/>
    <w:rsid w:val="005568F6"/>
    <w:rsid w:val="00556C20"/>
    <w:rsid w:val="00556D89"/>
    <w:rsid w:val="00556F9A"/>
    <w:rsid w:val="00557348"/>
    <w:rsid w:val="0056028B"/>
    <w:rsid w:val="005609CE"/>
    <w:rsid w:val="00560E3D"/>
    <w:rsid w:val="00561495"/>
    <w:rsid w:val="00561648"/>
    <w:rsid w:val="005620B0"/>
    <w:rsid w:val="00563A66"/>
    <w:rsid w:val="0056558B"/>
    <w:rsid w:val="00566A8C"/>
    <w:rsid w:val="00571AFC"/>
    <w:rsid w:val="0057212A"/>
    <w:rsid w:val="0057236C"/>
    <w:rsid w:val="00572730"/>
    <w:rsid w:val="00573E17"/>
    <w:rsid w:val="00574119"/>
    <w:rsid w:val="00574142"/>
    <w:rsid w:val="00574C67"/>
    <w:rsid w:val="00575441"/>
    <w:rsid w:val="00576217"/>
    <w:rsid w:val="00576799"/>
    <w:rsid w:val="00576F17"/>
    <w:rsid w:val="00577236"/>
    <w:rsid w:val="0058043C"/>
    <w:rsid w:val="00581766"/>
    <w:rsid w:val="00581B76"/>
    <w:rsid w:val="00581B82"/>
    <w:rsid w:val="0058203F"/>
    <w:rsid w:val="00582951"/>
    <w:rsid w:val="0058340D"/>
    <w:rsid w:val="00585A2B"/>
    <w:rsid w:val="005862EA"/>
    <w:rsid w:val="0058771A"/>
    <w:rsid w:val="00587F07"/>
    <w:rsid w:val="0059056C"/>
    <w:rsid w:val="00590889"/>
    <w:rsid w:val="00591354"/>
    <w:rsid w:val="00591700"/>
    <w:rsid w:val="00591CE1"/>
    <w:rsid w:val="005921F5"/>
    <w:rsid w:val="0059436E"/>
    <w:rsid w:val="005943C1"/>
    <w:rsid w:val="0059473D"/>
    <w:rsid w:val="00595F7E"/>
    <w:rsid w:val="00596E73"/>
    <w:rsid w:val="005A12B4"/>
    <w:rsid w:val="005A3174"/>
    <w:rsid w:val="005A343A"/>
    <w:rsid w:val="005A543F"/>
    <w:rsid w:val="005A5BF0"/>
    <w:rsid w:val="005A64E8"/>
    <w:rsid w:val="005A6E49"/>
    <w:rsid w:val="005A7065"/>
    <w:rsid w:val="005B0924"/>
    <w:rsid w:val="005B1526"/>
    <w:rsid w:val="005B1A22"/>
    <w:rsid w:val="005B1B45"/>
    <w:rsid w:val="005B1F9C"/>
    <w:rsid w:val="005B279D"/>
    <w:rsid w:val="005B2B60"/>
    <w:rsid w:val="005B435E"/>
    <w:rsid w:val="005B651D"/>
    <w:rsid w:val="005B6BBF"/>
    <w:rsid w:val="005B7A8D"/>
    <w:rsid w:val="005C016B"/>
    <w:rsid w:val="005C1A3F"/>
    <w:rsid w:val="005C1B87"/>
    <w:rsid w:val="005C3215"/>
    <w:rsid w:val="005C3281"/>
    <w:rsid w:val="005C3894"/>
    <w:rsid w:val="005C416A"/>
    <w:rsid w:val="005C420E"/>
    <w:rsid w:val="005C441D"/>
    <w:rsid w:val="005C506E"/>
    <w:rsid w:val="005C61FD"/>
    <w:rsid w:val="005C64AD"/>
    <w:rsid w:val="005D0C59"/>
    <w:rsid w:val="005D1035"/>
    <w:rsid w:val="005D1179"/>
    <w:rsid w:val="005D1222"/>
    <w:rsid w:val="005D128B"/>
    <w:rsid w:val="005D1773"/>
    <w:rsid w:val="005D24DD"/>
    <w:rsid w:val="005D3298"/>
    <w:rsid w:val="005D383D"/>
    <w:rsid w:val="005D4CBB"/>
    <w:rsid w:val="005D4FC0"/>
    <w:rsid w:val="005D5247"/>
    <w:rsid w:val="005D5E40"/>
    <w:rsid w:val="005D6319"/>
    <w:rsid w:val="005D63E1"/>
    <w:rsid w:val="005D69B2"/>
    <w:rsid w:val="005D6B31"/>
    <w:rsid w:val="005D6FA0"/>
    <w:rsid w:val="005D70B1"/>
    <w:rsid w:val="005D7181"/>
    <w:rsid w:val="005E18C1"/>
    <w:rsid w:val="005E214A"/>
    <w:rsid w:val="005E2882"/>
    <w:rsid w:val="005E28F0"/>
    <w:rsid w:val="005E30A5"/>
    <w:rsid w:val="005E35A0"/>
    <w:rsid w:val="005E3C3E"/>
    <w:rsid w:val="005E3F1E"/>
    <w:rsid w:val="005E5168"/>
    <w:rsid w:val="005E7F95"/>
    <w:rsid w:val="005F000E"/>
    <w:rsid w:val="005F16FA"/>
    <w:rsid w:val="005F19D5"/>
    <w:rsid w:val="005F1C74"/>
    <w:rsid w:val="005F1D03"/>
    <w:rsid w:val="005F1D20"/>
    <w:rsid w:val="005F2A21"/>
    <w:rsid w:val="005F2EF2"/>
    <w:rsid w:val="005F4531"/>
    <w:rsid w:val="005F6B4D"/>
    <w:rsid w:val="005F7361"/>
    <w:rsid w:val="006000FA"/>
    <w:rsid w:val="00600171"/>
    <w:rsid w:val="0060105F"/>
    <w:rsid w:val="00601144"/>
    <w:rsid w:val="00602674"/>
    <w:rsid w:val="00605ED3"/>
    <w:rsid w:val="00606C17"/>
    <w:rsid w:val="00607ABA"/>
    <w:rsid w:val="0061146D"/>
    <w:rsid w:val="00611AF6"/>
    <w:rsid w:val="006120A2"/>
    <w:rsid w:val="006127E7"/>
    <w:rsid w:val="00612C56"/>
    <w:rsid w:val="0061404A"/>
    <w:rsid w:val="00615B8C"/>
    <w:rsid w:val="00616886"/>
    <w:rsid w:val="00616D75"/>
    <w:rsid w:val="00616EF8"/>
    <w:rsid w:val="00620620"/>
    <w:rsid w:val="0062110E"/>
    <w:rsid w:val="00621968"/>
    <w:rsid w:val="00621B89"/>
    <w:rsid w:val="00621EEF"/>
    <w:rsid w:val="00622E86"/>
    <w:rsid w:val="006243FB"/>
    <w:rsid w:val="00624759"/>
    <w:rsid w:val="006247DD"/>
    <w:rsid w:val="00625138"/>
    <w:rsid w:val="00626978"/>
    <w:rsid w:val="0062734D"/>
    <w:rsid w:val="006300BA"/>
    <w:rsid w:val="00630AC5"/>
    <w:rsid w:val="006312A1"/>
    <w:rsid w:val="006328B4"/>
    <w:rsid w:val="0063301F"/>
    <w:rsid w:val="00635511"/>
    <w:rsid w:val="006357E1"/>
    <w:rsid w:val="00635DB9"/>
    <w:rsid w:val="00636ED8"/>
    <w:rsid w:val="0063754C"/>
    <w:rsid w:val="00637873"/>
    <w:rsid w:val="0064074B"/>
    <w:rsid w:val="00640BA7"/>
    <w:rsid w:val="00640DDE"/>
    <w:rsid w:val="006427EC"/>
    <w:rsid w:val="00642832"/>
    <w:rsid w:val="00642BAD"/>
    <w:rsid w:val="0064372A"/>
    <w:rsid w:val="00645E62"/>
    <w:rsid w:val="00647A5D"/>
    <w:rsid w:val="00647F69"/>
    <w:rsid w:val="00651556"/>
    <w:rsid w:val="006515C7"/>
    <w:rsid w:val="00652829"/>
    <w:rsid w:val="006530EE"/>
    <w:rsid w:val="006531BF"/>
    <w:rsid w:val="00653CCD"/>
    <w:rsid w:val="00654178"/>
    <w:rsid w:val="00655D09"/>
    <w:rsid w:val="00656215"/>
    <w:rsid w:val="0065650B"/>
    <w:rsid w:val="00656643"/>
    <w:rsid w:val="006570F8"/>
    <w:rsid w:val="00657D98"/>
    <w:rsid w:val="00657E8A"/>
    <w:rsid w:val="00660141"/>
    <w:rsid w:val="006605C6"/>
    <w:rsid w:val="00660F09"/>
    <w:rsid w:val="006611F6"/>
    <w:rsid w:val="00662F13"/>
    <w:rsid w:val="00663BA0"/>
    <w:rsid w:val="00663E95"/>
    <w:rsid w:val="00663F8F"/>
    <w:rsid w:val="00664041"/>
    <w:rsid w:val="00664138"/>
    <w:rsid w:val="00664361"/>
    <w:rsid w:val="006660CD"/>
    <w:rsid w:val="0067016F"/>
    <w:rsid w:val="006704E5"/>
    <w:rsid w:val="00675259"/>
    <w:rsid w:val="006756E3"/>
    <w:rsid w:val="00676128"/>
    <w:rsid w:val="006764FD"/>
    <w:rsid w:val="00676727"/>
    <w:rsid w:val="00676740"/>
    <w:rsid w:val="00677634"/>
    <w:rsid w:val="0067778F"/>
    <w:rsid w:val="006779A5"/>
    <w:rsid w:val="00680FE3"/>
    <w:rsid w:val="0068105E"/>
    <w:rsid w:val="00681323"/>
    <w:rsid w:val="00681716"/>
    <w:rsid w:val="0068183E"/>
    <w:rsid w:val="00683585"/>
    <w:rsid w:val="00684EF9"/>
    <w:rsid w:val="006850E5"/>
    <w:rsid w:val="00685BBA"/>
    <w:rsid w:val="00685D6F"/>
    <w:rsid w:val="00686553"/>
    <w:rsid w:val="00687196"/>
    <w:rsid w:val="0068732B"/>
    <w:rsid w:val="00687498"/>
    <w:rsid w:val="00687663"/>
    <w:rsid w:val="006877FE"/>
    <w:rsid w:val="00687E78"/>
    <w:rsid w:val="00690AA7"/>
    <w:rsid w:val="006917F7"/>
    <w:rsid w:val="00691CE5"/>
    <w:rsid w:val="006924A2"/>
    <w:rsid w:val="00692BEF"/>
    <w:rsid w:val="0069307F"/>
    <w:rsid w:val="0069316F"/>
    <w:rsid w:val="00693ACC"/>
    <w:rsid w:val="00694D9F"/>
    <w:rsid w:val="00695844"/>
    <w:rsid w:val="00696544"/>
    <w:rsid w:val="00697187"/>
    <w:rsid w:val="00697459"/>
    <w:rsid w:val="006975A7"/>
    <w:rsid w:val="006A1189"/>
    <w:rsid w:val="006A136F"/>
    <w:rsid w:val="006A2328"/>
    <w:rsid w:val="006A27AF"/>
    <w:rsid w:val="006A3110"/>
    <w:rsid w:val="006A3507"/>
    <w:rsid w:val="006A3887"/>
    <w:rsid w:val="006A575C"/>
    <w:rsid w:val="006A5DD6"/>
    <w:rsid w:val="006A5DE2"/>
    <w:rsid w:val="006A62FA"/>
    <w:rsid w:val="006A7180"/>
    <w:rsid w:val="006A7AED"/>
    <w:rsid w:val="006A7DAE"/>
    <w:rsid w:val="006A7E01"/>
    <w:rsid w:val="006B0323"/>
    <w:rsid w:val="006B0682"/>
    <w:rsid w:val="006B103A"/>
    <w:rsid w:val="006B1532"/>
    <w:rsid w:val="006B1F4E"/>
    <w:rsid w:val="006B377D"/>
    <w:rsid w:val="006B38B5"/>
    <w:rsid w:val="006B4817"/>
    <w:rsid w:val="006B5F34"/>
    <w:rsid w:val="006B5F3B"/>
    <w:rsid w:val="006B62C3"/>
    <w:rsid w:val="006B69E4"/>
    <w:rsid w:val="006B7208"/>
    <w:rsid w:val="006C086E"/>
    <w:rsid w:val="006C1D41"/>
    <w:rsid w:val="006C20AE"/>
    <w:rsid w:val="006C2626"/>
    <w:rsid w:val="006C43BD"/>
    <w:rsid w:val="006C44BE"/>
    <w:rsid w:val="006C477F"/>
    <w:rsid w:val="006C52B0"/>
    <w:rsid w:val="006C5455"/>
    <w:rsid w:val="006C5D6B"/>
    <w:rsid w:val="006C613D"/>
    <w:rsid w:val="006C6F94"/>
    <w:rsid w:val="006C701E"/>
    <w:rsid w:val="006D063E"/>
    <w:rsid w:val="006D09DD"/>
    <w:rsid w:val="006D16AB"/>
    <w:rsid w:val="006D17FD"/>
    <w:rsid w:val="006D1F23"/>
    <w:rsid w:val="006D311F"/>
    <w:rsid w:val="006D4322"/>
    <w:rsid w:val="006D54AD"/>
    <w:rsid w:val="006D5613"/>
    <w:rsid w:val="006D588B"/>
    <w:rsid w:val="006D5BD2"/>
    <w:rsid w:val="006D70A2"/>
    <w:rsid w:val="006D7259"/>
    <w:rsid w:val="006D78C8"/>
    <w:rsid w:val="006E185E"/>
    <w:rsid w:val="006E2A7A"/>
    <w:rsid w:val="006E3649"/>
    <w:rsid w:val="006E3DDF"/>
    <w:rsid w:val="006E4BC6"/>
    <w:rsid w:val="006E4D07"/>
    <w:rsid w:val="006E4E4F"/>
    <w:rsid w:val="006E4ED2"/>
    <w:rsid w:val="006E5AA0"/>
    <w:rsid w:val="006E72DE"/>
    <w:rsid w:val="006E754F"/>
    <w:rsid w:val="006E7C11"/>
    <w:rsid w:val="006F1256"/>
    <w:rsid w:val="006F248D"/>
    <w:rsid w:val="006F3754"/>
    <w:rsid w:val="006F3DD9"/>
    <w:rsid w:val="006F42AA"/>
    <w:rsid w:val="006F4319"/>
    <w:rsid w:val="006F5AC0"/>
    <w:rsid w:val="006F719F"/>
    <w:rsid w:val="006F75A8"/>
    <w:rsid w:val="007002BD"/>
    <w:rsid w:val="0070095D"/>
    <w:rsid w:val="007018A6"/>
    <w:rsid w:val="00701C4C"/>
    <w:rsid w:val="00701DA5"/>
    <w:rsid w:val="0070251D"/>
    <w:rsid w:val="00703853"/>
    <w:rsid w:val="007048CA"/>
    <w:rsid w:val="00704A7C"/>
    <w:rsid w:val="00705721"/>
    <w:rsid w:val="00706E60"/>
    <w:rsid w:val="007114F4"/>
    <w:rsid w:val="007120FC"/>
    <w:rsid w:val="007125E6"/>
    <w:rsid w:val="00712C51"/>
    <w:rsid w:val="0071315A"/>
    <w:rsid w:val="00713260"/>
    <w:rsid w:val="00713CDF"/>
    <w:rsid w:val="00713EA2"/>
    <w:rsid w:val="00714BDA"/>
    <w:rsid w:val="0071627D"/>
    <w:rsid w:val="00716B33"/>
    <w:rsid w:val="00716F32"/>
    <w:rsid w:val="00717337"/>
    <w:rsid w:val="00717C6C"/>
    <w:rsid w:val="00720AEA"/>
    <w:rsid w:val="00721A9B"/>
    <w:rsid w:val="00721F17"/>
    <w:rsid w:val="00722B5E"/>
    <w:rsid w:val="00722D70"/>
    <w:rsid w:val="00724359"/>
    <w:rsid w:val="007248E7"/>
    <w:rsid w:val="00724C42"/>
    <w:rsid w:val="00724D15"/>
    <w:rsid w:val="00726487"/>
    <w:rsid w:val="007273AB"/>
    <w:rsid w:val="007275B1"/>
    <w:rsid w:val="00727730"/>
    <w:rsid w:val="00730B3D"/>
    <w:rsid w:val="00731687"/>
    <w:rsid w:val="007327AF"/>
    <w:rsid w:val="00732F6F"/>
    <w:rsid w:val="00734F88"/>
    <w:rsid w:val="00735B17"/>
    <w:rsid w:val="007378BA"/>
    <w:rsid w:val="00740597"/>
    <w:rsid w:val="0074059F"/>
    <w:rsid w:val="00740991"/>
    <w:rsid w:val="00744074"/>
    <w:rsid w:val="007442AC"/>
    <w:rsid w:val="00744CC4"/>
    <w:rsid w:val="00744DC5"/>
    <w:rsid w:val="00745127"/>
    <w:rsid w:val="007457F3"/>
    <w:rsid w:val="007461F0"/>
    <w:rsid w:val="007469E8"/>
    <w:rsid w:val="00750C48"/>
    <w:rsid w:val="007543DD"/>
    <w:rsid w:val="00755389"/>
    <w:rsid w:val="0075566B"/>
    <w:rsid w:val="00755888"/>
    <w:rsid w:val="00755B6F"/>
    <w:rsid w:val="007608B5"/>
    <w:rsid w:val="0076147F"/>
    <w:rsid w:val="00761FCA"/>
    <w:rsid w:val="00762D0B"/>
    <w:rsid w:val="00762F96"/>
    <w:rsid w:val="00763607"/>
    <w:rsid w:val="0076396A"/>
    <w:rsid w:val="00764598"/>
    <w:rsid w:val="00764898"/>
    <w:rsid w:val="00764E71"/>
    <w:rsid w:val="0076504A"/>
    <w:rsid w:val="00765109"/>
    <w:rsid w:val="00765747"/>
    <w:rsid w:val="00765E1C"/>
    <w:rsid w:val="00766081"/>
    <w:rsid w:val="00766EFC"/>
    <w:rsid w:val="00767987"/>
    <w:rsid w:val="0077060D"/>
    <w:rsid w:val="00770A82"/>
    <w:rsid w:val="00770E82"/>
    <w:rsid w:val="007715DC"/>
    <w:rsid w:val="00772E86"/>
    <w:rsid w:val="007732AF"/>
    <w:rsid w:val="00773C09"/>
    <w:rsid w:val="00774A40"/>
    <w:rsid w:val="0077573F"/>
    <w:rsid w:val="00775A19"/>
    <w:rsid w:val="007814B7"/>
    <w:rsid w:val="0078313F"/>
    <w:rsid w:val="00783772"/>
    <w:rsid w:val="0078471E"/>
    <w:rsid w:val="00784C20"/>
    <w:rsid w:val="007850DD"/>
    <w:rsid w:val="0078512F"/>
    <w:rsid w:val="00785A92"/>
    <w:rsid w:val="00785DE2"/>
    <w:rsid w:val="00786062"/>
    <w:rsid w:val="007865EA"/>
    <w:rsid w:val="007866D2"/>
    <w:rsid w:val="00786F61"/>
    <w:rsid w:val="0078726D"/>
    <w:rsid w:val="00790224"/>
    <w:rsid w:val="007903AF"/>
    <w:rsid w:val="007909E6"/>
    <w:rsid w:val="00791260"/>
    <w:rsid w:val="007913E1"/>
    <w:rsid w:val="00791592"/>
    <w:rsid w:val="00791A35"/>
    <w:rsid w:val="007925D1"/>
    <w:rsid w:val="0079318D"/>
    <w:rsid w:val="0079336B"/>
    <w:rsid w:val="007936C8"/>
    <w:rsid w:val="0079404D"/>
    <w:rsid w:val="0079448F"/>
    <w:rsid w:val="0079467C"/>
    <w:rsid w:val="00794A7C"/>
    <w:rsid w:val="00794CA1"/>
    <w:rsid w:val="00796A17"/>
    <w:rsid w:val="00796B93"/>
    <w:rsid w:val="00796F95"/>
    <w:rsid w:val="007977E6"/>
    <w:rsid w:val="007A0360"/>
    <w:rsid w:val="007A1AAA"/>
    <w:rsid w:val="007A2CD3"/>
    <w:rsid w:val="007A2DDD"/>
    <w:rsid w:val="007A4EBC"/>
    <w:rsid w:val="007A54AF"/>
    <w:rsid w:val="007A68B1"/>
    <w:rsid w:val="007A7101"/>
    <w:rsid w:val="007A7337"/>
    <w:rsid w:val="007B0D0D"/>
    <w:rsid w:val="007B0EE8"/>
    <w:rsid w:val="007B0FE6"/>
    <w:rsid w:val="007B1743"/>
    <w:rsid w:val="007B1E20"/>
    <w:rsid w:val="007B200D"/>
    <w:rsid w:val="007B36DF"/>
    <w:rsid w:val="007B371D"/>
    <w:rsid w:val="007B5FE0"/>
    <w:rsid w:val="007B617E"/>
    <w:rsid w:val="007B7015"/>
    <w:rsid w:val="007C0211"/>
    <w:rsid w:val="007C0636"/>
    <w:rsid w:val="007C0D00"/>
    <w:rsid w:val="007C4552"/>
    <w:rsid w:val="007C4A92"/>
    <w:rsid w:val="007C5D70"/>
    <w:rsid w:val="007C696D"/>
    <w:rsid w:val="007C77CD"/>
    <w:rsid w:val="007D0EC3"/>
    <w:rsid w:val="007D1AC5"/>
    <w:rsid w:val="007D2484"/>
    <w:rsid w:val="007D2514"/>
    <w:rsid w:val="007D2B5F"/>
    <w:rsid w:val="007D37BA"/>
    <w:rsid w:val="007D4E1D"/>
    <w:rsid w:val="007D5C0B"/>
    <w:rsid w:val="007D5F94"/>
    <w:rsid w:val="007D62A9"/>
    <w:rsid w:val="007D638E"/>
    <w:rsid w:val="007D6B32"/>
    <w:rsid w:val="007D6CD2"/>
    <w:rsid w:val="007D6E4A"/>
    <w:rsid w:val="007D71C3"/>
    <w:rsid w:val="007D7DD1"/>
    <w:rsid w:val="007E04AF"/>
    <w:rsid w:val="007E2D0E"/>
    <w:rsid w:val="007E32E9"/>
    <w:rsid w:val="007E3560"/>
    <w:rsid w:val="007E3E1D"/>
    <w:rsid w:val="007E4237"/>
    <w:rsid w:val="007E4D3C"/>
    <w:rsid w:val="007E5112"/>
    <w:rsid w:val="007E60B3"/>
    <w:rsid w:val="007E6A88"/>
    <w:rsid w:val="007F23FC"/>
    <w:rsid w:val="007F268C"/>
    <w:rsid w:val="007F3871"/>
    <w:rsid w:val="007F3E0C"/>
    <w:rsid w:val="007F4539"/>
    <w:rsid w:val="007F4617"/>
    <w:rsid w:val="007F522D"/>
    <w:rsid w:val="007F55EA"/>
    <w:rsid w:val="007F6572"/>
    <w:rsid w:val="007F6698"/>
    <w:rsid w:val="007F6EC0"/>
    <w:rsid w:val="0080082F"/>
    <w:rsid w:val="00801621"/>
    <w:rsid w:val="00801F3E"/>
    <w:rsid w:val="0080202B"/>
    <w:rsid w:val="008023E9"/>
    <w:rsid w:val="00802646"/>
    <w:rsid w:val="0080310A"/>
    <w:rsid w:val="0080332D"/>
    <w:rsid w:val="00803BD1"/>
    <w:rsid w:val="008045AE"/>
    <w:rsid w:val="00804760"/>
    <w:rsid w:val="00804D43"/>
    <w:rsid w:val="00805474"/>
    <w:rsid w:val="0080599C"/>
    <w:rsid w:val="0080646B"/>
    <w:rsid w:val="00807151"/>
    <w:rsid w:val="0080727C"/>
    <w:rsid w:val="00807649"/>
    <w:rsid w:val="00807748"/>
    <w:rsid w:val="008107F8"/>
    <w:rsid w:val="008109F2"/>
    <w:rsid w:val="00810BDF"/>
    <w:rsid w:val="00810F8F"/>
    <w:rsid w:val="0081100D"/>
    <w:rsid w:val="008119FB"/>
    <w:rsid w:val="00813158"/>
    <w:rsid w:val="00813C19"/>
    <w:rsid w:val="00814242"/>
    <w:rsid w:val="00816259"/>
    <w:rsid w:val="00820150"/>
    <w:rsid w:val="008205EE"/>
    <w:rsid w:val="00820621"/>
    <w:rsid w:val="008216D6"/>
    <w:rsid w:val="0082610B"/>
    <w:rsid w:val="0082636F"/>
    <w:rsid w:val="008265C3"/>
    <w:rsid w:val="00826AF3"/>
    <w:rsid w:val="00827A59"/>
    <w:rsid w:val="00827FD4"/>
    <w:rsid w:val="008306D5"/>
    <w:rsid w:val="00830841"/>
    <w:rsid w:val="008311B7"/>
    <w:rsid w:val="00832600"/>
    <w:rsid w:val="00833C32"/>
    <w:rsid w:val="00833C4E"/>
    <w:rsid w:val="008342AB"/>
    <w:rsid w:val="00834485"/>
    <w:rsid w:val="00835CED"/>
    <w:rsid w:val="008365D7"/>
    <w:rsid w:val="00837595"/>
    <w:rsid w:val="008379C0"/>
    <w:rsid w:val="00837E1A"/>
    <w:rsid w:val="0084006D"/>
    <w:rsid w:val="008403AF"/>
    <w:rsid w:val="00840B0F"/>
    <w:rsid w:val="00840B9B"/>
    <w:rsid w:val="008415E4"/>
    <w:rsid w:val="00843183"/>
    <w:rsid w:val="008432A5"/>
    <w:rsid w:val="00844D9C"/>
    <w:rsid w:val="00845622"/>
    <w:rsid w:val="00846291"/>
    <w:rsid w:val="00846B5F"/>
    <w:rsid w:val="00847880"/>
    <w:rsid w:val="0085141F"/>
    <w:rsid w:val="008516EB"/>
    <w:rsid w:val="00851C5B"/>
    <w:rsid w:val="00852C9B"/>
    <w:rsid w:val="00853CEB"/>
    <w:rsid w:val="00853D4C"/>
    <w:rsid w:val="00853F65"/>
    <w:rsid w:val="00855357"/>
    <w:rsid w:val="008563D7"/>
    <w:rsid w:val="00857E49"/>
    <w:rsid w:val="0086010E"/>
    <w:rsid w:val="00860F64"/>
    <w:rsid w:val="00861910"/>
    <w:rsid w:val="0086260F"/>
    <w:rsid w:val="0086327B"/>
    <w:rsid w:val="0086358B"/>
    <w:rsid w:val="008638DF"/>
    <w:rsid w:val="0086468D"/>
    <w:rsid w:val="00864C28"/>
    <w:rsid w:val="00864D24"/>
    <w:rsid w:val="008661EB"/>
    <w:rsid w:val="00867188"/>
    <w:rsid w:val="00867CCC"/>
    <w:rsid w:val="00867E4E"/>
    <w:rsid w:val="0087020F"/>
    <w:rsid w:val="00873474"/>
    <w:rsid w:val="0087383C"/>
    <w:rsid w:val="0087422F"/>
    <w:rsid w:val="008744EB"/>
    <w:rsid w:val="0087461C"/>
    <w:rsid w:val="008765D6"/>
    <w:rsid w:val="00876611"/>
    <w:rsid w:val="008767E8"/>
    <w:rsid w:val="0088040A"/>
    <w:rsid w:val="008805F0"/>
    <w:rsid w:val="00881E45"/>
    <w:rsid w:val="0088208F"/>
    <w:rsid w:val="00883088"/>
    <w:rsid w:val="008835F1"/>
    <w:rsid w:val="00883ECA"/>
    <w:rsid w:val="00883FCE"/>
    <w:rsid w:val="0088653C"/>
    <w:rsid w:val="00886913"/>
    <w:rsid w:val="00886A13"/>
    <w:rsid w:val="00887204"/>
    <w:rsid w:val="00892CC9"/>
    <w:rsid w:val="00893B22"/>
    <w:rsid w:val="00894E6C"/>
    <w:rsid w:val="00895AD8"/>
    <w:rsid w:val="00896019"/>
    <w:rsid w:val="008962BD"/>
    <w:rsid w:val="0089650D"/>
    <w:rsid w:val="00896882"/>
    <w:rsid w:val="00896E15"/>
    <w:rsid w:val="008975B4"/>
    <w:rsid w:val="00897CCF"/>
    <w:rsid w:val="008A0330"/>
    <w:rsid w:val="008A0716"/>
    <w:rsid w:val="008A12D9"/>
    <w:rsid w:val="008A1861"/>
    <w:rsid w:val="008A1E79"/>
    <w:rsid w:val="008A2A22"/>
    <w:rsid w:val="008A3799"/>
    <w:rsid w:val="008A487C"/>
    <w:rsid w:val="008A645B"/>
    <w:rsid w:val="008A73BE"/>
    <w:rsid w:val="008A781E"/>
    <w:rsid w:val="008B01D3"/>
    <w:rsid w:val="008B261E"/>
    <w:rsid w:val="008B288D"/>
    <w:rsid w:val="008B2E22"/>
    <w:rsid w:val="008B2EFF"/>
    <w:rsid w:val="008B4918"/>
    <w:rsid w:val="008B588B"/>
    <w:rsid w:val="008B7179"/>
    <w:rsid w:val="008B71F3"/>
    <w:rsid w:val="008B7227"/>
    <w:rsid w:val="008C0B06"/>
    <w:rsid w:val="008C0B1B"/>
    <w:rsid w:val="008C0D60"/>
    <w:rsid w:val="008C1FFA"/>
    <w:rsid w:val="008C251B"/>
    <w:rsid w:val="008C28A1"/>
    <w:rsid w:val="008C2BC7"/>
    <w:rsid w:val="008C2C05"/>
    <w:rsid w:val="008C44D2"/>
    <w:rsid w:val="008C5FAF"/>
    <w:rsid w:val="008C613E"/>
    <w:rsid w:val="008C668F"/>
    <w:rsid w:val="008C67C4"/>
    <w:rsid w:val="008C6FD6"/>
    <w:rsid w:val="008C70DC"/>
    <w:rsid w:val="008D1761"/>
    <w:rsid w:val="008D1CE7"/>
    <w:rsid w:val="008D1E1F"/>
    <w:rsid w:val="008D2D97"/>
    <w:rsid w:val="008D2FAB"/>
    <w:rsid w:val="008D3111"/>
    <w:rsid w:val="008D323E"/>
    <w:rsid w:val="008D3BB2"/>
    <w:rsid w:val="008D3DCC"/>
    <w:rsid w:val="008D4087"/>
    <w:rsid w:val="008D5DBB"/>
    <w:rsid w:val="008D6B0E"/>
    <w:rsid w:val="008D73CB"/>
    <w:rsid w:val="008D76E0"/>
    <w:rsid w:val="008E00FD"/>
    <w:rsid w:val="008E045B"/>
    <w:rsid w:val="008E0AD2"/>
    <w:rsid w:val="008E154A"/>
    <w:rsid w:val="008E163A"/>
    <w:rsid w:val="008E1709"/>
    <w:rsid w:val="008E1D57"/>
    <w:rsid w:val="008E2133"/>
    <w:rsid w:val="008E23A7"/>
    <w:rsid w:val="008E27AB"/>
    <w:rsid w:val="008E3AA7"/>
    <w:rsid w:val="008E3AE0"/>
    <w:rsid w:val="008E4A56"/>
    <w:rsid w:val="008E5789"/>
    <w:rsid w:val="008E5A1D"/>
    <w:rsid w:val="008E5F52"/>
    <w:rsid w:val="008E6101"/>
    <w:rsid w:val="008E7555"/>
    <w:rsid w:val="008E782D"/>
    <w:rsid w:val="008E7D62"/>
    <w:rsid w:val="008E7E87"/>
    <w:rsid w:val="008F0C96"/>
    <w:rsid w:val="008F1725"/>
    <w:rsid w:val="008F1FEE"/>
    <w:rsid w:val="008F2011"/>
    <w:rsid w:val="008F2FC2"/>
    <w:rsid w:val="008F315F"/>
    <w:rsid w:val="008F40E9"/>
    <w:rsid w:val="008F410A"/>
    <w:rsid w:val="008F5354"/>
    <w:rsid w:val="008F5A64"/>
    <w:rsid w:val="008F607D"/>
    <w:rsid w:val="00900A26"/>
    <w:rsid w:val="0090149F"/>
    <w:rsid w:val="00902CCA"/>
    <w:rsid w:val="0090320A"/>
    <w:rsid w:val="00905561"/>
    <w:rsid w:val="0091010A"/>
    <w:rsid w:val="009101BB"/>
    <w:rsid w:val="009104FF"/>
    <w:rsid w:val="00910D52"/>
    <w:rsid w:val="0091294D"/>
    <w:rsid w:val="00912B1E"/>
    <w:rsid w:val="00912E65"/>
    <w:rsid w:val="00913161"/>
    <w:rsid w:val="0091341E"/>
    <w:rsid w:val="009145C3"/>
    <w:rsid w:val="009148F2"/>
    <w:rsid w:val="00916276"/>
    <w:rsid w:val="0091650A"/>
    <w:rsid w:val="0091688D"/>
    <w:rsid w:val="00916BFD"/>
    <w:rsid w:val="0091726E"/>
    <w:rsid w:val="00917BE8"/>
    <w:rsid w:val="00920D72"/>
    <w:rsid w:val="009212C4"/>
    <w:rsid w:val="009214D5"/>
    <w:rsid w:val="00922009"/>
    <w:rsid w:val="009220E0"/>
    <w:rsid w:val="009221C4"/>
    <w:rsid w:val="009228E0"/>
    <w:rsid w:val="00922F24"/>
    <w:rsid w:val="0092495A"/>
    <w:rsid w:val="00925295"/>
    <w:rsid w:val="0092587B"/>
    <w:rsid w:val="00925E31"/>
    <w:rsid w:val="009260FB"/>
    <w:rsid w:val="00926327"/>
    <w:rsid w:val="00926337"/>
    <w:rsid w:val="00926501"/>
    <w:rsid w:val="009276EF"/>
    <w:rsid w:val="00927C1C"/>
    <w:rsid w:val="00927E47"/>
    <w:rsid w:val="009311B4"/>
    <w:rsid w:val="00931849"/>
    <w:rsid w:val="009318FB"/>
    <w:rsid w:val="00932153"/>
    <w:rsid w:val="009324CF"/>
    <w:rsid w:val="00932662"/>
    <w:rsid w:val="009326DE"/>
    <w:rsid w:val="00934C01"/>
    <w:rsid w:val="00934DA2"/>
    <w:rsid w:val="00935021"/>
    <w:rsid w:val="00935FC8"/>
    <w:rsid w:val="009409DD"/>
    <w:rsid w:val="00940E61"/>
    <w:rsid w:val="00941991"/>
    <w:rsid w:val="00942EC8"/>
    <w:rsid w:val="00943274"/>
    <w:rsid w:val="009434C0"/>
    <w:rsid w:val="00944D79"/>
    <w:rsid w:val="00944EED"/>
    <w:rsid w:val="0094599D"/>
    <w:rsid w:val="00946873"/>
    <w:rsid w:val="0094748E"/>
    <w:rsid w:val="00947820"/>
    <w:rsid w:val="00951364"/>
    <w:rsid w:val="00953FC7"/>
    <w:rsid w:val="00956921"/>
    <w:rsid w:val="009569C2"/>
    <w:rsid w:val="00957552"/>
    <w:rsid w:val="0095789B"/>
    <w:rsid w:val="009609F0"/>
    <w:rsid w:val="0096147C"/>
    <w:rsid w:val="0096191C"/>
    <w:rsid w:val="00963AAD"/>
    <w:rsid w:val="00964431"/>
    <w:rsid w:val="00964778"/>
    <w:rsid w:val="009653F2"/>
    <w:rsid w:val="00965BFF"/>
    <w:rsid w:val="009662F4"/>
    <w:rsid w:val="00966631"/>
    <w:rsid w:val="00966F4E"/>
    <w:rsid w:val="009675BF"/>
    <w:rsid w:val="00967EEB"/>
    <w:rsid w:val="009711C3"/>
    <w:rsid w:val="009739C3"/>
    <w:rsid w:val="00974A46"/>
    <w:rsid w:val="00974CB4"/>
    <w:rsid w:val="009756A4"/>
    <w:rsid w:val="0097672B"/>
    <w:rsid w:val="00976E01"/>
    <w:rsid w:val="00977A34"/>
    <w:rsid w:val="00977A3C"/>
    <w:rsid w:val="00977FBE"/>
    <w:rsid w:val="0098014C"/>
    <w:rsid w:val="009802D3"/>
    <w:rsid w:val="009811C4"/>
    <w:rsid w:val="0098197F"/>
    <w:rsid w:val="009822B1"/>
    <w:rsid w:val="00982624"/>
    <w:rsid w:val="00983196"/>
    <w:rsid w:val="00983F1B"/>
    <w:rsid w:val="009846B3"/>
    <w:rsid w:val="00985579"/>
    <w:rsid w:val="0098587E"/>
    <w:rsid w:val="00985D4D"/>
    <w:rsid w:val="00987A7B"/>
    <w:rsid w:val="00987D1F"/>
    <w:rsid w:val="00990271"/>
    <w:rsid w:val="009902E1"/>
    <w:rsid w:val="00990A51"/>
    <w:rsid w:val="00991A00"/>
    <w:rsid w:val="00992136"/>
    <w:rsid w:val="009944FA"/>
    <w:rsid w:val="00994507"/>
    <w:rsid w:val="009945F3"/>
    <w:rsid w:val="00996A71"/>
    <w:rsid w:val="00997499"/>
    <w:rsid w:val="0099752E"/>
    <w:rsid w:val="00997605"/>
    <w:rsid w:val="009976C1"/>
    <w:rsid w:val="00997A98"/>
    <w:rsid w:val="00997C47"/>
    <w:rsid w:val="00997F8F"/>
    <w:rsid w:val="009A00F7"/>
    <w:rsid w:val="009A016C"/>
    <w:rsid w:val="009A17A7"/>
    <w:rsid w:val="009A2724"/>
    <w:rsid w:val="009A2EE7"/>
    <w:rsid w:val="009A333F"/>
    <w:rsid w:val="009A3595"/>
    <w:rsid w:val="009A3DDF"/>
    <w:rsid w:val="009A45FF"/>
    <w:rsid w:val="009A655A"/>
    <w:rsid w:val="009A6696"/>
    <w:rsid w:val="009A7909"/>
    <w:rsid w:val="009A7A1B"/>
    <w:rsid w:val="009B1016"/>
    <w:rsid w:val="009B168D"/>
    <w:rsid w:val="009B2B99"/>
    <w:rsid w:val="009B4488"/>
    <w:rsid w:val="009B4969"/>
    <w:rsid w:val="009B4BE8"/>
    <w:rsid w:val="009B4F1D"/>
    <w:rsid w:val="009B5F8D"/>
    <w:rsid w:val="009C0088"/>
    <w:rsid w:val="009C1A01"/>
    <w:rsid w:val="009C20D2"/>
    <w:rsid w:val="009C2656"/>
    <w:rsid w:val="009C33CC"/>
    <w:rsid w:val="009C3502"/>
    <w:rsid w:val="009C403B"/>
    <w:rsid w:val="009C44D3"/>
    <w:rsid w:val="009C4D2E"/>
    <w:rsid w:val="009C4F02"/>
    <w:rsid w:val="009C65FF"/>
    <w:rsid w:val="009C66D1"/>
    <w:rsid w:val="009C7826"/>
    <w:rsid w:val="009C7844"/>
    <w:rsid w:val="009D0D18"/>
    <w:rsid w:val="009D1190"/>
    <w:rsid w:val="009D2657"/>
    <w:rsid w:val="009D2F02"/>
    <w:rsid w:val="009D3217"/>
    <w:rsid w:val="009D34B1"/>
    <w:rsid w:val="009D4216"/>
    <w:rsid w:val="009D4A85"/>
    <w:rsid w:val="009D4C5F"/>
    <w:rsid w:val="009D5592"/>
    <w:rsid w:val="009D55D3"/>
    <w:rsid w:val="009D6D66"/>
    <w:rsid w:val="009E2073"/>
    <w:rsid w:val="009E22DE"/>
    <w:rsid w:val="009E3B6D"/>
    <w:rsid w:val="009E4592"/>
    <w:rsid w:val="009E4EBB"/>
    <w:rsid w:val="009E56A5"/>
    <w:rsid w:val="009E663F"/>
    <w:rsid w:val="009E75A9"/>
    <w:rsid w:val="009F060B"/>
    <w:rsid w:val="009F1976"/>
    <w:rsid w:val="009F1D67"/>
    <w:rsid w:val="009F1D7F"/>
    <w:rsid w:val="009F328D"/>
    <w:rsid w:val="009F36DC"/>
    <w:rsid w:val="009F4409"/>
    <w:rsid w:val="009F45BD"/>
    <w:rsid w:val="009F4798"/>
    <w:rsid w:val="009F4CF7"/>
    <w:rsid w:val="009F526E"/>
    <w:rsid w:val="009F58FD"/>
    <w:rsid w:val="009F6F73"/>
    <w:rsid w:val="00A002FB"/>
    <w:rsid w:val="00A016A8"/>
    <w:rsid w:val="00A0195B"/>
    <w:rsid w:val="00A032DD"/>
    <w:rsid w:val="00A0359A"/>
    <w:rsid w:val="00A0454F"/>
    <w:rsid w:val="00A05586"/>
    <w:rsid w:val="00A06392"/>
    <w:rsid w:val="00A06D66"/>
    <w:rsid w:val="00A0778F"/>
    <w:rsid w:val="00A07BEB"/>
    <w:rsid w:val="00A1011A"/>
    <w:rsid w:val="00A102D5"/>
    <w:rsid w:val="00A10557"/>
    <w:rsid w:val="00A10962"/>
    <w:rsid w:val="00A1115A"/>
    <w:rsid w:val="00A11E44"/>
    <w:rsid w:val="00A1266C"/>
    <w:rsid w:val="00A12C3E"/>
    <w:rsid w:val="00A1353C"/>
    <w:rsid w:val="00A14047"/>
    <w:rsid w:val="00A14051"/>
    <w:rsid w:val="00A1442C"/>
    <w:rsid w:val="00A148E0"/>
    <w:rsid w:val="00A1581B"/>
    <w:rsid w:val="00A1625A"/>
    <w:rsid w:val="00A16569"/>
    <w:rsid w:val="00A17572"/>
    <w:rsid w:val="00A2041C"/>
    <w:rsid w:val="00A20E93"/>
    <w:rsid w:val="00A21176"/>
    <w:rsid w:val="00A21242"/>
    <w:rsid w:val="00A22910"/>
    <w:rsid w:val="00A23AAC"/>
    <w:rsid w:val="00A2428F"/>
    <w:rsid w:val="00A25BD7"/>
    <w:rsid w:val="00A30E20"/>
    <w:rsid w:val="00A31BCC"/>
    <w:rsid w:val="00A32271"/>
    <w:rsid w:val="00A35F16"/>
    <w:rsid w:val="00A360B8"/>
    <w:rsid w:val="00A373FE"/>
    <w:rsid w:val="00A37CD5"/>
    <w:rsid w:val="00A37DA9"/>
    <w:rsid w:val="00A37F99"/>
    <w:rsid w:val="00A41161"/>
    <w:rsid w:val="00A415CF"/>
    <w:rsid w:val="00A41679"/>
    <w:rsid w:val="00A41AC3"/>
    <w:rsid w:val="00A429F7"/>
    <w:rsid w:val="00A42BCC"/>
    <w:rsid w:val="00A42BFE"/>
    <w:rsid w:val="00A42DE3"/>
    <w:rsid w:val="00A42E07"/>
    <w:rsid w:val="00A43132"/>
    <w:rsid w:val="00A43696"/>
    <w:rsid w:val="00A4382E"/>
    <w:rsid w:val="00A43905"/>
    <w:rsid w:val="00A45535"/>
    <w:rsid w:val="00A47C16"/>
    <w:rsid w:val="00A47F00"/>
    <w:rsid w:val="00A50492"/>
    <w:rsid w:val="00A517CA"/>
    <w:rsid w:val="00A5184A"/>
    <w:rsid w:val="00A51A05"/>
    <w:rsid w:val="00A52D55"/>
    <w:rsid w:val="00A534D4"/>
    <w:rsid w:val="00A537F1"/>
    <w:rsid w:val="00A540F5"/>
    <w:rsid w:val="00A54DD0"/>
    <w:rsid w:val="00A55726"/>
    <w:rsid w:val="00A56127"/>
    <w:rsid w:val="00A561B9"/>
    <w:rsid w:val="00A5644F"/>
    <w:rsid w:val="00A60F83"/>
    <w:rsid w:val="00A6155A"/>
    <w:rsid w:val="00A6188F"/>
    <w:rsid w:val="00A61F53"/>
    <w:rsid w:val="00A66894"/>
    <w:rsid w:val="00A66E77"/>
    <w:rsid w:val="00A712F7"/>
    <w:rsid w:val="00A71743"/>
    <w:rsid w:val="00A71B2F"/>
    <w:rsid w:val="00A7214B"/>
    <w:rsid w:val="00A730D6"/>
    <w:rsid w:val="00A733C8"/>
    <w:rsid w:val="00A73844"/>
    <w:rsid w:val="00A7498D"/>
    <w:rsid w:val="00A74E31"/>
    <w:rsid w:val="00A75018"/>
    <w:rsid w:val="00A75E60"/>
    <w:rsid w:val="00A76304"/>
    <w:rsid w:val="00A76621"/>
    <w:rsid w:val="00A7786F"/>
    <w:rsid w:val="00A801C6"/>
    <w:rsid w:val="00A80B9A"/>
    <w:rsid w:val="00A80BDA"/>
    <w:rsid w:val="00A80C9E"/>
    <w:rsid w:val="00A81CAC"/>
    <w:rsid w:val="00A8333A"/>
    <w:rsid w:val="00A847B1"/>
    <w:rsid w:val="00A857B0"/>
    <w:rsid w:val="00A860B5"/>
    <w:rsid w:val="00A862D0"/>
    <w:rsid w:val="00A87CD1"/>
    <w:rsid w:val="00A91228"/>
    <w:rsid w:val="00A92B97"/>
    <w:rsid w:val="00A937BC"/>
    <w:rsid w:val="00A94A2C"/>
    <w:rsid w:val="00A94AA5"/>
    <w:rsid w:val="00A957AA"/>
    <w:rsid w:val="00A962DF"/>
    <w:rsid w:val="00A97302"/>
    <w:rsid w:val="00A97723"/>
    <w:rsid w:val="00A9781B"/>
    <w:rsid w:val="00AA0435"/>
    <w:rsid w:val="00AA0B31"/>
    <w:rsid w:val="00AA0E96"/>
    <w:rsid w:val="00AA2128"/>
    <w:rsid w:val="00AA4218"/>
    <w:rsid w:val="00AA44FF"/>
    <w:rsid w:val="00AA4663"/>
    <w:rsid w:val="00AA4B8F"/>
    <w:rsid w:val="00AA5B00"/>
    <w:rsid w:val="00AA6307"/>
    <w:rsid w:val="00AA665A"/>
    <w:rsid w:val="00AA6C03"/>
    <w:rsid w:val="00AB15B9"/>
    <w:rsid w:val="00AB177D"/>
    <w:rsid w:val="00AB1DB5"/>
    <w:rsid w:val="00AB32F5"/>
    <w:rsid w:val="00AB337F"/>
    <w:rsid w:val="00AB407F"/>
    <w:rsid w:val="00AB43C7"/>
    <w:rsid w:val="00AB45F0"/>
    <w:rsid w:val="00AB4A0A"/>
    <w:rsid w:val="00AB5AFE"/>
    <w:rsid w:val="00AB79D0"/>
    <w:rsid w:val="00AC0949"/>
    <w:rsid w:val="00AC0E86"/>
    <w:rsid w:val="00AC121A"/>
    <w:rsid w:val="00AC140E"/>
    <w:rsid w:val="00AC1BEB"/>
    <w:rsid w:val="00AC2E2E"/>
    <w:rsid w:val="00AC47AE"/>
    <w:rsid w:val="00AC4A1E"/>
    <w:rsid w:val="00AC4CDF"/>
    <w:rsid w:val="00AC508B"/>
    <w:rsid w:val="00AC588D"/>
    <w:rsid w:val="00AC5955"/>
    <w:rsid w:val="00AC5A23"/>
    <w:rsid w:val="00AC72DB"/>
    <w:rsid w:val="00AC7BEC"/>
    <w:rsid w:val="00AD0C36"/>
    <w:rsid w:val="00AD1477"/>
    <w:rsid w:val="00AD181D"/>
    <w:rsid w:val="00AD28E1"/>
    <w:rsid w:val="00AD2B89"/>
    <w:rsid w:val="00AD4261"/>
    <w:rsid w:val="00AD42C1"/>
    <w:rsid w:val="00AD62CE"/>
    <w:rsid w:val="00AD63B8"/>
    <w:rsid w:val="00AD66D0"/>
    <w:rsid w:val="00AD67BD"/>
    <w:rsid w:val="00AD6B29"/>
    <w:rsid w:val="00AD7A28"/>
    <w:rsid w:val="00AD7DFB"/>
    <w:rsid w:val="00AE03AF"/>
    <w:rsid w:val="00AE18AB"/>
    <w:rsid w:val="00AE19A2"/>
    <w:rsid w:val="00AE2F46"/>
    <w:rsid w:val="00AE31AE"/>
    <w:rsid w:val="00AE395F"/>
    <w:rsid w:val="00AE3A23"/>
    <w:rsid w:val="00AE54D6"/>
    <w:rsid w:val="00AE5CFB"/>
    <w:rsid w:val="00AE610E"/>
    <w:rsid w:val="00AE74F4"/>
    <w:rsid w:val="00AE777C"/>
    <w:rsid w:val="00AE794B"/>
    <w:rsid w:val="00AE7C7B"/>
    <w:rsid w:val="00AF0373"/>
    <w:rsid w:val="00AF06E3"/>
    <w:rsid w:val="00AF1005"/>
    <w:rsid w:val="00AF184D"/>
    <w:rsid w:val="00AF276A"/>
    <w:rsid w:val="00AF2A7E"/>
    <w:rsid w:val="00AF2B86"/>
    <w:rsid w:val="00AF2E7C"/>
    <w:rsid w:val="00AF40DF"/>
    <w:rsid w:val="00AF512A"/>
    <w:rsid w:val="00AF5F00"/>
    <w:rsid w:val="00AF6412"/>
    <w:rsid w:val="00AF7837"/>
    <w:rsid w:val="00AF7AA2"/>
    <w:rsid w:val="00AF7ABE"/>
    <w:rsid w:val="00B00D43"/>
    <w:rsid w:val="00B00D45"/>
    <w:rsid w:val="00B00E6D"/>
    <w:rsid w:val="00B01A2F"/>
    <w:rsid w:val="00B02198"/>
    <w:rsid w:val="00B02BF0"/>
    <w:rsid w:val="00B03D3C"/>
    <w:rsid w:val="00B0476D"/>
    <w:rsid w:val="00B04981"/>
    <w:rsid w:val="00B05193"/>
    <w:rsid w:val="00B05478"/>
    <w:rsid w:val="00B0623E"/>
    <w:rsid w:val="00B06486"/>
    <w:rsid w:val="00B06A96"/>
    <w:rsid w:val="00B077A4"/>
    <w:rsid w:val="00B077C2"/>
    <w:rsid w:val="00B079A0"/>
    <w:rsid w:val="00B07D49"/>
    <w:rsid w:val="00B107E0"/>
    <w:rsid w:val="00B11E2F"/>
    <w:rsid w:val="00B127B4"/>
    <w:rsid w:val="00B12C95"/>
    <w:rsid w:val="00B136BA"/>
    <w:rsid w:val="00B14065"/>
    <w:rsid w:val="00B14C6F"/>
    <w:rsid w:val="00B15206"/>
    <w:rsid w:val="00B1566D"/>
    <w:rsid w:val="00B15D19"/>
    <w:rsid w:val="00B16115"/>
    <w:rsid w:val="00B16631"/>
    <w:rsid w:val="00B16A4B"/>
    <w:rsid w:val="00B17417"/>
    <w:rsid w:val="00B17D5D"/>
    <w:rsid w:val="00B20D00"/>
    <w:rsid w:val="00B21C98"/>
    <w:rsid w:val="00B22C9C"/>
    <w:rsid w:val="00B2414B"/>
    <w:rsid w:val="00B248F6"/>
    <w:rsid w:val="00B24A64"/>
    <w:rsid w:val="00B25380"/>
    <w:rsid w:val="00B25B93"/>
    <w:rsid w:val="00B275D6"/>
    <w:rsid w:val="00B27F95"/>
    <w:rsid w:val="00B32830"/>
    <w:rsid w:val="00B35273"/>
    <w:rsid w:val="00B355B4"/>
    <w:rsid w:val="00B35A53"/>
    <w:rsid w:val="00B402D2"/>
    <w:rsid w:val="00B40BC4"/>
    <w:rsid w:val="00B41D94"/>
    <w:rsid w:val="00B43FEA"/>
    <w:rsid w:val="00B44A56"/>
    <w:rsid w:val="00B452DF"/>
    <w:rsid w:val="00B45570"/>
    <w:rsid w:val="00B458D2"/>
    <w:rsid w:val="00B46812"/>
    <w:rsid w:val="00B468DA"/>
    <w:rsid w:val="00B5121B"/>
    <w:rsid w:val="00B51282"/>
    <w:rsid w:val="00B5137F"/>
    <w:rsid w:val="00B51FCE"/>
    <w:rsid w:val="00B52996"/>
    <w:rsid w:val="00B534FE"/>
    <w:rsid w:val="00B5441F"/>
    <w:rsid w:val="00B553A6"/>
    <w:rsid w:val="00B553DB"/>
    <w:rsid w:val="00B555B1"/>
    <w:rsid w:val="00B56718"/>
    <w:rsid w:val="00B56D9D"/>
    <w:rsid w:val="00B57842"/>
    <w:rsid w:val="00B60820"/>
    <w:rsid w:val="00B62D22"/>
    <w:rsid w:val="00B646F2"/>
    <w:rsid w:val="00B662E2"/>
    <w:rsid w:val="00B67E53"/>
    <w:rsid w:val="00B7199E"/>
    <w:rsid w:val="00B72487"/>
    <w:rsid w:val="00B72741"/>
    <w:rsid w:val="00B7283F"/>
    <w:rsid w:val="00B72A4F"/>
    <w:rsid w:val="00B7364E"/>
    <w:rsid w:val="00B748B1"/>
    <w:rsid w:val="00B74A66"/>
    <w:rsid w:val="00B750A4"/>
    <w:rsid w:val="00B7582D"/>
    <w:rsid w:val="00B769A6"/>
    <w:rsid w:val="00B77334"/>
    <w:rsid w:val="00B7737F"/>
    <w:rsid w:val="00B77CF2"/>
    <w:rsid w:val="00B8052F"/>
    <w:rsid w:val="00B807A8"/>
    <w:rsid w:val="00B80D88"/>
    <w:rsid w:val="00B82B8A"/>
    <w:rsid w:val="00B82DBC"/>
    <w:rsid w:val="00B8333B"/>
    <w:rsid w:val="00B83353"/>
    <w:rsid w:val="00B84165"/>
    <w:rsid w:val="00B84659"/>
    <w:rsid w:val="00B8664C"/>
    <w:rsid w:val="00B8678C"/>
    <w:rsid w:val="00B86B47"/>
    <w:rsid w:val="00B86C17"/>
    <w:rsid w:val="00B87C71"/>
    <w:rsid w:val="00B9088F"/>
    <w:rsid w:val="00B91D83"/>
    <w:rsid w:val="00B920C8"/>
    <w:rsid w:val="00B92544"/>
    <w:rsid w:val="00B94434"/>
    <w:rsid w:val="00B9487C"/>
    <w:rsid w:val="00B94BC4"/>
    <w:rsid w:val="00B961CE"/>
    <w:rsid w:val="00B96463"/>
    <w:rsid w:val="00B967CD"/>
    <w:rsid w:val="00B97A51"/>
    <w:rsid w:val="00B97CD5"/>
    <w:rsid w:val="00BA023E"/>
    <w:rsid w:val="00BA0452"/>
    <w:rsid w:val="00BA0665"/>
    <w:rsid w:val="00BA118D"/>
    <w:rsid w:val="00BA20A1"/>
    <w:rsid w:val="00BA2785"/>
    <w:rsid w:val="00BA27C3"/>
    <w:rsid w:val="00BA28DB"/>
    <w:rsid w:val="00BA644A"/>
    <w:rsid w:val="00BA6B39"/>
    <w:rsid w:val="00BA707E"/>
    <w:rsid w:val="00BA77D5"/>
    <w:rsid w:val="00BA7833"/>
    <w:rsid w:val="00BB0327"/>
    <w:rsid w:val="00BB0758"/>
    <w:rsid w:val="00BB0AE4"/>
    <w:rsid w:val="00BB11EC"/>
    <w:rsid w:val="00BB3227"/>
    <w:rsid w:val="00BB3661"/>
    <w:rsid w:val="00BB41DE"/>
    <w:rsid w:val="00BB42C8"/>
    <w:rsid w:val="00BB4711"/>
    <w:rsid w:val="00BB51DF"/>
    <w:rsid w:val="00BB7C96"/>
    <w:rsid w:val="00BC0640"/>
    <w:rsid w:val="00BC152C"/>
    <w:rsid w:val="00BC35CB"/>
    <w:rsid w:val="00BC3C5B"/>
    <w:rsid w:val="00BC3F3F"/>
    <w:rsid w:val="00BC4097"/>
    <w:rsid w:val="00BC4242"/>
    <w:rsid w:val="00BC5470"/>
    <w:rsid w:val="00BC7201"/>
    <w:rsid w:val="00BD07CF"/>
    <w:rsid w:val="00BD094D"/>
    <w:rsid w:val="00BD10FC"/>
    <w:rsid w:val="00BD182E"/>
    <w:rsid w:val="00BD198F"/>
    <w:rsid w:val="00BD1D09"/>
    <w:rsid w:val="00BD26BC"/>
    <w:rsid w:val="00BD34ED"/>
    <w:rsid w:val="00BD3F6A"/>
    <w:rsid w:val="00BD443D"/>
    <w:rsid w:val="00BD44A2"/>
    <w:rsid w:val="00BD458B"/>
    <w:rsid w:val="00BD5C35"/>
    <w:rsid w:val="00BD5F62"/>
    <w:rsid w:val="00BD7CC1"/>
    <w:rsid w:val="00BD7D76"/>
    <w:rsid w:val="00BD7F3B"/>
    <w:rsid w:val="00BE0832"/>
    <w:rsid w:val="00BE0953"/>
    <w:rsid w:val="00BE256C"/>
    <w:rsid w:val="00BE305C"/>
    <w:rsid w:val="00BE3940"/>
    <w:rsid w:val="00BE3D28"/>
    <w:rsid w:val="00BE40FE"/>
    <w:rsid w:val="00BE5207"/>
    <w:rsid w:val="00BE531C"/>
    <w:rsid w:val="00BE5324"/>
    <w:rsid w:val="00BE656F"/>
    <w:rsid w:val="00BE68D7"/>
    <w:rsid w:val="00BE781D"/>
    <w:rsid w:val="00BF0C69"/>
    <w:rsid w:val="00BF1216"/>
    <w:rsid w:val="00BF1574"/>
    <w:rsid w:val="00BF1637"/>
    <w:rsid w:val="00BF18B8"/>
    <w:rsid w:val="00BF1E58"/>
    <w:rsid w:val="00BF25F1"/>
    <w:rsid w:val="00BF3C95"/>
    <w:rsid w:val="00BF479B"/>
    <w:rsid w:val="00BF4D24"/>
    <w:rsid w:val="00BF5309"/>
    <w:rsid w:val="00BF645C"/>
    <w:rsid w:val="00BF6599"/>
    <w:rsid w:val="00BF6A60"/>
    <w:rsid w:val="00BF6EED"/>
    <w:rsid w:val="00BF7921"/>
    <w:rsid w:val="00BF7F0E"/>
    <w:rsid w:val="00C0127D"/>
    <w:rsid w:val="00C01375"/>
    <w:rsid w:val="00C060BF"/>
    <w:rsid w:val="00C06186"/>
    <w:rsid w:val="00C06B67"/>
    <w:rsid w:val="00C06F97"/>
    <w:rsid w:val="00C0744A"/>
    <w:rsid w:val="00C0745F"/>
    <w:rsid w:val="00C106E3"/>
    <w:rsid w:val="00C10717"/>
    <w:rsid w:val="00C10DE1"/>
    <w:rsid w:val="00C11408"/>
    <w:rsid w:val="00C11DE7"/>
    <w:rsid w:val="00C11F99"/>
    <w:rsid w:val="00C1573D"/>
    <w:rsid w:val="00C15840"/>
    <w:rsid w:val="00C16B15"/>
    <w:rsid w:val="00C21AE1"/>
    <w:rsid w:val="00C21F34"/>
    <w:rsid w:val="00C228F6"/>
    <w:rsid w:val="00C23500"/>
    <w:rsid w:val="00C24121"/>
    <w:rsid w:val="00C24256"/>
    <w:rsid w:val="00C25E73"/>
    <w:rsid w:val="00C260F9"/>
    <w:rsid w:val="00C26857"/>
    <w:rsid w:val="00C27397"/>
    <w:rsid w:val="00C27AB7"/>
    <w:rsid w:val="00C3093C"/>
    <w:rsid w:val="00C31CAF"/>
    <w:rsid w:val="00C3263F"/>
    <w:rsid w:val="00C337FB"/>
    <w:rsid w:val="00C33CE5"/>
    <w:rsid w:val="00C3407C"/>
    <w:rsid w:val="00C34CA8"/>
    <w:rsid w:val="00C34DA0"/>
    <w:rsid w:val="00C35D7A"/>
    <w:rsid w:val="00C368F2"/>
    <w:rsid w:val="00C36AC3"/>
    <w:rsid w:val="00C36C68"/>
    <w:rsid w:val="00C404E9"/>
    <w:rsid w:val="00C416EB"/>
    <w:rsid w:val="00C42F6A"/>
    <w:rsid w:val="00C43885"/>
    <w:rsid w:val="00C43E2C"/>
    <w:rsid w:val="00C43E52"/>
    <w:rsid w:val="00C4442B"/>
    <w:rsid w:val="00C44C18"/>
    <w:rsid w:val="00C4558B"/>
    <w:rsid w:val="00C457F8"/>
    <w:rsid w:val="00C46513"/>
    <w:rsid w:val="00C4671A"/>
    <w:rsid w:val="00C527E2"/>
    <w:rsid w:val="00C55813"/>
    <w:rsid w:val="00C55CF3"/>
    <w:rsid w:val="00C56379"/>
    <w:rsid w:val="00C6145A"/>
    <w:rsid w:val="00C614E6"/>
    <w:rsid w:val="00C61C5E"/>
    <w:rsid w:val="00C61F33"/>
    <w:rsid w:val="00C6219D"/>
    <w:rsid w:val="00C625A1"/>
    <w:rsid w:val="00C62C26"/>
    <w:rsid w:val="00C6305A"/>
    <w:rsid w:val="00C63517"/>
    <w:rsid w:val="00C64217"/>
    <w:rsid w:val="00C64247"/>
    <w:rsid w:val="00C64448"/>
    <w:rsid w:val="00C64787"/>
    <w:rsid w:val="00C649B1"/>
    <w:rsid w:val="00C6513E"/>
    <w:rsid w:val="00C666AD"/>
    <w:rsid w:val="00C66D28"/>
    <w:rsid w:val="00C7027D"/>
    <w:rsid w:val="00C71DE0"/>
    <w:rsid w:val="00C73F19"/>
    <w:rsid w:val="00C751D0"/>
    <w:rsid w:val="00C7626B"/>
    <w:rsid w:val="00C76F33"/>
    <w:rsid w:val="00C80BA7"/>
    <w:rsid w:val="00C80C79"/>
    <w:rsid w:val="00C81728"/>
    <w:rsid w:val="00C821AE"/>
    <w:rsid w:val="00C82683"/>
    <w:rsid w:val="00C82BD8"/>
    <w:rsid w:val="00C8467A"/>
    <w:rsid w:val="00C84AF3"/>
    <w:rsid w:val="00C84C91"/>
    <w:rsid w:val="00C84CC8"/>
    <w:rsid w:val="00C85FD9"/>
    <w:rsid w:val="00C863E1"/>
    <w:rsid w:val="00C86C9E"/>
    <w:rsid w:val="00C870F3"/>
    <w:rsid w:val="00C9005A"/>
    <w:rsid w:val="00C90062"/>
    <w:rsid w:val="00C90D6E"/>
    <w:rsid w:val="00C912B5"/>
    <w:rsid w:val="00C91C27"/>
    <w:rsid w:val="00C91E2E"/>
    <w:rsid w:val="00C9299C"/>
    <w:rsid w:val="00C92CC5"/>
    <w:rsid w:val="00C9341D"/>
    <w:rsid w:val="00C93782"/>
    <w:rsid w:val="00C93952"/>
    <w:rsid w:val="00C942CA"/>
    <w:rsid w:val="00C94F37"/>
    <w:rsid w:val="00C94F82"/>
    <w:rsid w:val="00C95066"/>
    <w:rsid w:val="00C95181"/>
    <w:rsid w:val="00C9602F"/>
    <w:rsid w:val="00C96815"/>
    <w:rsid w:val="00C97A93"/>
    <w:rsid w:val="00C97AE9"/>
    <w:rsid w:val="00CA0A58"/>
    <w:rsid w:val="00CA0B19"/>
    <w:rsid w:val="00CA166A"/>
    <w:rsid w:val="00CA335B"/>
    <w:rsid w:val="00CA452F"/>
    <w:rsid w:val="00CA4C2F"/>
    <w:rsid w:val="00CA501A"/>
    <w:rsid w:val="00CA5864"/>
    <w:rsid w:val="00CA6C98"/>
    <w:rsid w:val="00CA7769"/>
    <w:rsid w:val="00CA7790"/>
    <w:rsid w:val="00CA7BEB"/>
    <w:rsid w:val="00CB08CF"/>
    <w:rsid w:val="00CB13AF"/>
    <w:rsid w:val="00CB199D"/>
    <w:rsid w:val="00CB2FEE"/>
    <w:rsid w:val="00CB38BB"/>
    <w:rsid w:val="00CB4069"/>
    <w:rsid w:val="00CB4442"/>
    <w:rsid w:val="00CB4C6D"/>
    <w:rsid w:val="00CB55DC"/>
    <w:rsid w:val="00CB59E8"/>
    <w:rsid w:val="00CB61F3"/>
    <w:rsid w:val="00CB6D81"/>
    <w:rsid w:val="00CB6EEE"/>
    <w:rsid w:val="00CB7B7A"/>
    <w:rsid w:val="00CB7E22"/>
    <w:rsid w:val="00CC00E1"/>
    <w:rsid w:val="00CC042A"/>
    <w:rsid w:val="00CC14CD"/>
    <w:rsid w:val="00CC28D7"/>
    <w:rsid w:val="00CC2BCC"/>
    <w:rsid w:val="00CC30D9"/>
    <w:rsid w:val="00CC54EA"/>
    <w:rsid w:val="00CC5DDC"/>
    <w:rsid w:val="00CC6302"/>
    <w:rsid w:val="00CC6FC6"/>
    <w:rsid w:val="00CC7F4F"/>
    <w:rsid w:val="00CD0C52"/>
    <w:rsid w:val="00CD174E"/>
    <w:rsid w:val="00CD2B67"/>
    <w:rsid w:val="00CD3492"/>
    <w:rsid w:val="00CD34F3"/>
    <w:rsid w:val="00CD4C5A"/>
    <w:rsid w:val="00CD5B78"/>
    <w:rsid w:val="00CD64B3"/>
    <w:rsid w:val="00CD68E0"/>
    <w:rsid w:val="00CD712A"/>
    <w:rsid w:val="00CD7185"/>
    <w:rsid w:val="00CD76E2"/>
    <w:rsid w:val="00CE02F6"/>
    <w:rsid w:val="00CE0D26"/>
    <w:rsid w:val="00CE0E58"/>
    <w:rsid w:val="00CE21D5"/>
    <w:rsid w:val="00CE2D64"/>
    <w:rsid w:val="00CE2FE2"/>
    <w:rsid w:val="00CE3BA6"/>
    <w:rsid w:val="00CE3BEC"/>
    <w:rsid w:val="00CE42BF"/>
    <w:rsid w:val="00CE51CB"/>
    <w:rsid w:val="00CE5992"/>
    <w:rsid w:val="00CE6544"/>
    <w:rsid w:val="00CE687C"/>
    <w:rsid w:val="00CE77ED"/>
    <w:rsid w:val="00CE7EAA"/>
    <w:rsid w:val="00CF0331"/>
    <w:rsid w:val="00CF088B"/>
    <w:rsid w:val="00CF1F5A"/>
    <w:rsid w:val="00CF239F"/>
    <w:rsid w:val="00CF28E1"/>
    <w:rsid w:val="00CF2C4A"/>
    <w:rsid w:val="00CF302A"/>
    <w:rsid w:val="00CF3178"/>
    <w:rsid w:val="00CF340D"/>
    <w:rsid w:val="00CF3B8F"/>
    <w:rsid w:val="00CF462F"/>
    <w:rsid w:val="00CF4D47"/>
    <w:rsid w:val="00CF5284"/>
    <w:rsid w:val="00CF5E72"/>
    <w:rsid w:val="00CF606C"/>
    <w:rsid w:val="00CF6262"/>
    <w:rsid w:val="00CF6A9F"/>
    <w:rsid w:val="00CF6DCC"/>
    <w:rsid w:val="00CF6E10"/>
    <w:rsid w:val="00CF785E"/>
    <w:rsid w:val="00CF78B7"/>
    <w:rsid w:val="00D00EDE"/>
    <w:rsid w:val="00D0178C"/>
    <w:rsid w:val="00D02746"/>
    <w:rsid w:val="00D027FD"/>
    <w:rsid w:val="00D02D3F"/>
    <w:rsid w:val="00D033A3"/>
    <w:rsid w:val="00D03A48"/>
    <w:rsid w:val="00D03CCD"/>
    <w:rsid w:val="00D04743"/>
    <w:rsid w:val="00D05259"/>
    <w:rsid w:val="00D06357"/>
    <w:rsid w:val="00D067AB"/>
    <w:rsid w:val="00D070E3"/>
    <w:rsid w:val="00D07F78"/>
    <w:rsid w:val="00D10823"/>
    <w:rsid w:val="00D10A9D"/>
    <w:rsid w:val="00D11728"/>
    <w:rsid w:val="00D117D1"/>
    <w:rsid w:val="00D11AF3"/>
    <w:rsid w:val="00D12107"/>
    <w:rsid w:val="00D125E0"/>
    <w:rsid w:val="00D144EB"/>
    <w:rsid w:val="00D14E6C"/>
    <w:rsid w:val="00D15426"/>
    <w:rsid w:val="00D156F6"/>
    <w:rsid w:val="00D15CE1"/>
    <w:rsid w:val="00D160F5"/>
    <w:rsid w:val="00D17557"/>
    <w:rsid w:val="00D20C3A"/>
    <w:rsid w:val="00D21E26"/>
    <w:rsid w:val="00D21E27"/>
    <w:rsid w:val="00D22AF2"/>
    <w:rsid w:val="00D237E9"/>
    <w:rsid w:val="00D25F70"/>
    <w:rsid w:val="00D27001"/>
    <w:rsid w:val="00D27690"/>
    <w:rsid w:val="00D30177"/>
    <w:rsid w:val="00D31DC0"/>
    <w:rsid w:val="00D326DA"/>
    <w:rsid w:val="00D34188"/>
    <w:rsid w:val="00D347FC"/>
    <w:rsid w:val="00D3562F"/>
    <w:rsid w:val="00D36A4B"/>
    <w:rsid w:val="00D36E24"/>
    <w:rsid w:val="00D40F03"/>
    <w:rsid w:val="00D4127F"/>
    <w:rsid w:val="00D41DB0"/>
    <w:rsid w:val="00D4289C"/>
    <w:rsid w:val="00D44026"/>
    <w:rsid w:val="00D454FE"/>
    <w:rsid w:val="00D467AD"/>
    <w:rsid w:val="00D47B56"/>
    <w:rsid w:val="00D50A6A"/>
    <w:rsid w:val="00D51739"/>
    <w:rsid w:val="00D51E42"/>
    <w:rsid w:val="00D51F41"/>
    <w:rsid w:val="00D52497"/>
    <w:rsid w:val="00D52A2F"/>
    <w:rsid w:val="00D52BDC"/>
    <w:rsid w:val="00D536FB"/>
    <w:rsid w:val="00D53DDB"/>
    <w:rsid w:val="00D54437"/>
    <w:rsid w:val="00D546DE"/>
    <w:rsid w:val="00D54744"/>
    <w:rsid w:val="00D5552C"/>
    <w:rsid w:val="00D55ACE"/>
    <w:rsid w:val="00D56623"/>
    <w:rsid w:val="00D572A0"/>
    <w:rsid w:val="00D577E0"/>
    <w:rsid w:val="00D57C3F"/>
    <w:rsid w:val="00D57D83"/>
    <w:rsid w:val="00D60540"/>
    <w:rsid w:val="00D6159A"/>
    <w:rsid w:val="00D624D4"/>
    <w:rsid w:val="00D63AF2"/>
    <w:rsid w:val="00D63D2F"/>
    <w:rsid w:val="00D647A6"/>
    <w:rsid w:val="00D66BBB"/>
    <w:rsid w:val="00D66C26"/>
    <w:rsid w:val="00D67047"/>
    <w:rsid w:val="00D70F62"/>
    <w:rsid w:val="00D71D83"/>
    <w:rsid w:val="00D71F13"/>
    <w:rsid w:val="00D7253C"/>
    <w:rsid w:val="00D73E93"/>
    <w:rsid w:val="00D74484"/>
    <w:rsid w:val="00D756E3"/>
    <w:rsid w:val="00D75BCF"/>
    <w:rsid w:val="00D75EF9"/>
    <w:rsid w:val="00D76602"/>
    <w:rsid w:val="00D776BC"/>
    <w:rsid w:val="00D77FA6"/>
    <w:rsid w:val="00D80DF2"/>
    <w:rsid w:val="00D80E40"/>
    <w:rsid w:val="00D8156D"/>
    <w:rsid w:val="00D8201F"/>
    <w:rsid w:val="00D82C52"/>
    <w:rsid w:val="00D83281"/>
    <w:rsid w:val="00D839E5"/>
    <w:rsid w:val="00D84068"/>
    <w:rsid w:val="00D850C3"/>
    <w:rsid w:val="00D850D4"/>
    <w:rsid w:val="00D8538C"/>
    <w:rsid w:val="00D8591C"/>
    <w:rsid w:val="00D85ADB"/>
    <w:rsid w:val="00D860A4"/>
    <w:rsid w:val="00D863CB"/>
    <w:rsid w:val="00D87F71"/>
    <w:rsid w:val="00D902AC"/>
    <w:rsid w:val="00D917CF"/>
    <w:rsid w:val="00D92863"/>
    <w:rsid w:val="00D92F48"/>
    <w:rsid w:val="00D93C0D"/>
    <w:rsid w:val="00D94C7B"/>
    <w:rsid w:val="00D96135"/>
    <w:rsid w:val="00D965AA"/>
    <w:rsid w:val="00D96652"/>
    <w:rsid w:val="00D972F4"/>
    <w:rsid w:val="00DA0711"/>
    <w:rsid w:val="00DA0A3F"/>
    <w:rsid w:val="00DA1058"/>
    <w:rsid w:val="00DA2895"/>
    <w:rsid w:val="00DA3BB7"/>
    <w:rsid w:val="00DA3C97"/>
    <w:rsid w:val="00DA421E"/>
    <w:rsid w:val="00DA4B1E"/>
    <w:rsid w:val="00DA5571"/>
    <w:rsid w:val="00DA5897"/>
    <w:rsid w:val="00DA5DD5"/>
    <w:rsid w:val="00DA69D8"/>
    <w:rsid w:val="00DA7D02"/>
    <w:rsid w:val="00DA7FAF"/>
    <w:rsid w:val="00DB0B24"/>
    <w:rsid w:val="00DB1B52"/>
    <w:rsid w:val="00DB36FF"/>
    <w:rsid w:val="00DB45CD"/>
    <w:rsid w:val="00DB472E"/>
    <w:rsid w:val="00DB4770"/>
    <w:rsid w:val="00DB5E72"/>
    <w:rsid w:val="00DB7C00"/>
    <w:rsid w:val="00DC1BB8"/>
    <w:rsid w:val="00DC2698"/>
    <w:rsid w:val="00DC437E"/>
    <w:rsid w:val="00DC4531"/>
    <w:rsid w:val="00DC45CC"/>
    <w:rsid w:val="00DC468C"/>
    <w:rsid w:val="00DC6592"/>
    <w:rsid w:val="00DC68E3"/>
    <w:rsid w:val="00DC6DA9"/>
    <w:rsid w:val="00DC6EC5"/>
    <w:rsid w:val="00DC6F34"/>
    <w:rsid w:val="00DD035A"/>
    <w:rsid w:val="00DD0432"/>
    <w:rsid w:val="00DD1C46"/>
    <w:rsid w:val="00DD2089"/>
    <w:rsid w:val="00DD22F2"/>
    <w:rsid w:val="00DD3F75"/>
    <w:rsid w:val="00DD4310"/>
    <w:rsid w:val="00DD4F59"/>
    <w:rsid w:val="00DD565F"/>
    <w:rsid w:val="00DD7ADD"/>
    <w:rsid w:val="00DE000C"/>
    <w:rsid w:val="00DE081B"/>
    <w:rsid w:val="00DE11B5"/>
    <w:rsid w:val="00DE1606"/>
    <w:rsid w:val="00DE164C"/>
    <w:rsid w:val="00DE21B2"/>
    <w:rsid w:val="00DE24F9"/>
    <w:rsid w:val="00DE2CCF"/>
    <w:rsid w:val="00DE3C04"/>
    <w:rsid w:val="00DE3FCC"/>
    <w:rsid w:val="00DE4225"/>
    <w:rsid w:val="00DE49BD"/>
    <w:rsid w:val="00DE54BA"/>
    <w:rsid w:val="00DE55A0"/>
    <w:rsid w:val="00DE79EB"/>
    <w:rsid w:val="00DE7BA3"/>
    <w:rsid w:val="00DE7DA9"/>
    <w:rsid w:val="00DE7E02"/>
    <w:rsid w:val="00DE7F08"/>
    <w:rsid w:val="00DF016F"/>
    <w:rsid w:val="00DF068B"/>
    <w:rsid w:val="00DF0AE9"/>
    <w:rsid w:val="00DF3168"/>
    <w:rsid w:val="00DF5572"/>
    <w:rsid w:val="00DF55F6"/>
    <w:rsid w:val="00DF59E0"/>
    <w:rsid w:val="00DF6BB6"/>
    <w:rsid w:val="00DF705E"/>
    <w:rsid w:val="00DF748F"/>
    <w:rsid w:val="00E00E5F"/>
    <w:rsid w:val="00E0168E"/>
    <w:rsid w:val="00E019BE"/>
    <w:rsid w:val="00E025EE"/>
    <w:rsid w:val="00E02734"/>
    <w:rsid w:val="00E03115"/>
    <w:rsid w:val="00E03BAF"/>
    <w:rsid w:val="00E043DD"/>
    <w:rsid w:val="00E04437"/>
    <w:rsid w:val="00E04696"/>
    <w:rsid w:val="00E05189"/>
    <w:rsid w:val="00E05602"/>
    <w:rsid w:val="00E05C05"/>
    <w:rsid w:val="00E0648F"/>
    <w:rsid w:val="00E06C13"/>
    <w:rsid w:val="00E0746D"/>
    <w:rsid w:val="00E074B0"/>
    <w:rsid w:val="00E07A43"/>
    <w:rsid w:val="00E07A8F"/>
    <w:rsid w:val="00E07FFE"/>
    <w:rsid w:val="00E12280"/>
    <w:rsid w:val="00E14318"/>
    <w:rsid w:val="00E15C22"/>
    <w:rsid w:val="00E16064"/>
    <w:rsid w:val="00E1668A"/>
    <w:rsid w:val="00E16DDE"/>
    <w:rsid w:val="00E16DFE"/>
    <w:rsid w:val="00E175B3"/>
    <w:rsid w:val="00E17630"/>
    <w:rsid w:val="00E17DAF"/>
    <w:rsid w:val="00E20216"/>
    <w:rsid w:val="00E21389"/>
    <w:rsid w:val="00E22FAC"/>
    <w:rsid w:val="00E23416"/>
    <w:rsid w:val="00E238F2"/>
    <w:rsid w:val="00E25954"/>
    <w:rsid w:val="00E266B3"/>
    <w:rsid w:val="00E27288"/>
    <w:rsid w:val="00E30122"/>
    <w:rsid w:val="00E301F9"/>
    <w:rsid w:val="00E302DD"/>
    <w:rsid w:val="00E3034D"/>
    <w:rsid w:val="00E30938"/>
    <w:rsid w:val="00E30E97"/>
    <w:rsid w:val="00E31356"/>
    <w:rsid w:val="00E32288"/>
    <w:rsid w:val="00E330E5"/>
    <w:rsid w:val="00E341E0"/>
    <w:rsid w:val="00E36935"/>
    <w:rsid w:val="00E36D71"/>
    <w:rsid w:val="00E37073"/>
    <w:rsid w:val="00E37F0F"/>
    <w:rsid w:val="00E409CD"/>
    <w:rsid w:val="00E41ABF"/>
    <w:rsid w:val="00E41C1E"/>
    <w:rsid w:val="00E41D69"/>
    <w:rsid w:val="00E41E06"/>
    <w:rsid w:val="00E42E3D"/>
    <w:rsid w:val="00E4305C"/>
    <w:rsid w:val="00E4653D"/>
    <w:rsid w:val="00E46971"/>
    <w:rsid w:val="00E46AAE"/>
    <w:rsid w:val="00E46FBB"/>
    <w:rsid w:val="00E506EF"/>
    <w:rsid w:val="00E50E36"/>
    <w:rsid w:val="00E51DBD"/>
    <w:rsid w:val="00E525A4"/>
    <w:rsid w:val="00E52CD7"/>
    <w:rsid w:val="00E53478"/>
    <w:rsid w:val="00E535D2"/>
    <w:rsid w:val="00E53745"/>
    <w:rsid w:val="00E53CD6"/>
    <w:rsid w:val="00E53DAA"/>
    <w:rsid w:val="00E54218"/>
    <w:rsid w:val="00E545C2"/>
    <w:rsid w:val="00E56FEC"/>
    <w:rsid w:val="00E5702A"/>
    <w:rsid w:val="00E57128"/>
    <w:rsid w:val="00E57A64"/>
    <w:rsid w:val="00E57D9F"/>
    <w:rsid w:val="00E62096"/>
    <w:rsid w:val="00E6212A"/>
    <w:rsid w:val="00E62331"/>
    <w:rsid w:val="00E623E7"/>
    <w:rsid w:val="00E62479"/>
    <w:rsid w:val="00E62B87"/>
    <w:rsid w:val="00E62D8B"/>
    <w:rsid w:val="00E63AEA"/>
    <w:rsid w:val="00E63DC2"/>
    <w:rsid w:val="00E64059"/>
    <w:rsid w:val="00E64B78"/>
    <w:rsid w:val="00E64F01"/>
    <w:rsid w:val="00E65640"/>
    <w:rsid w:val="00E660BA"/>
    <w:rsid w:val="00E66931"/>
    <w:rsid w:val="00E66FE5"/>
    <w:rsid w:val="00E67640"/>
    <w:rsid w:val="00E67CD9"/>
    <w:rsid w:val="00E67F3E"/>
    <w:rsid w:val="00E67FCC"/>
    <w:rsid w:val="00E705C8"/>
    <w:rsid w:val="00E7092C"/>
    <w:rsid w:val="00E713E5"/>
    <w:rsid w:val="00E717B3"/>
    <w:rsid w:val="00E721AA"/>
    <w:rsid w:val="00E72904"/>
    <w:rsid w:val="00E72EB1"/>
    <w:rsid w:val="00E73238"/>
    <w:rsid w:val="00E73432"/>
    <w:rsid w:val="00E73C33"/>
    <w:rsid w:val="00E7607D"/>
    <w:rsid w:val="00E76760"/>
    <w:rsid w:val="00E80154"/>
    <w:rsid w:val="00E80407"/>
    <w:rsid w:val="00E81A4F"/>
    <w:rsid w:val="00E83D84"/>
    <w:rsid w:val="00E8519B"/>
    <w:rsid w:val="00E85436"/>
    <w:rsid w:val="00E85637"/>
    <w:rsid w:val="00E857EB"/>
    <w:rsid w:val="00E86E2F"/>
    <w:rsid w:val="00E90E15"/>
    <w:rsid w:val="00E91302"/>
    <w:rsid w:val="00E91E45"/>
    <w:rsid w:val="00E92280"/>
    <w:rsid w:val="00E9245E"/>
    <w:rsid w:val="00E924F7"/>
    <w:rsid w:val="00E929C1"/>
    <w:rsid w:val="00E92C29"/>
    <w:rsid w:val="00E93A91"/>
    <w:rsid w:val="00E940EC"/>
    <w:rsid w:val="00E96D9E"/>
    <w:rsid w:val="00EA0334"/>
    <w:rsid w:val="00EA1005"/>
    <w:rsid w:val="00EA2ACF"/>
    <w:rsid w:val="00EA4934"/>
    <w:rsid w:val="00EA4966"/>
    <w:rsid w:val="00EA4AAA"/>
    <w:rsid w:val="00EA4DEA"/>
    <w:rsid w:val="00EA5AAF"/>
    <w:rsid w:val="00EA5ACB"/>
    <w:rsid w:val="00EA5BCE"/>
    <w:rsid w:val="00EA5DFC"/>
    <w:rsid w:val="00EA7689"/>
    <w:rsid w:val="00EB128B"/>
    <w:rsid w:val="00EB2314"/>
    <w:rsid w:val="00EB25D2"/>
    <w:rsid w:val="00EB2C86"/>
    <w:rsid w:val="00EB31E4"/>
    <w:rsid w:val="00EB31EB"/>
    <w:rsid w:val="00EB3277"/>
    <w:rsid w:val="00EB439A"/>
    <w:rsid w:val="00EB4804"/>
    <w:rsid w:val="00EB4F26"/>
    <w:rsid w:val="00EB5988"/>
    <w:rsid w:val="00EB5FAA"/>
    <w:rsid w:val="00EB68C7"/>
    <w:rsid w:val="00EB6B00"/>
    <w:rsid w:val="00EC00A7"/>
    <w:rsid w:val="00EC23EE"/>
    <w:rsid w:val="00EC25CB"/>
    <w:rsid w:val="00EC303D"/>
    <w:rsid w:val="00EC3151"/>
    <w:rsid w:val="00EC535C"/>
    <w:rsid w:val="00EC7552"/>
    <w:rsid w:val="00EC77AF"/>
    <w:rsid w:val="00EC77DA"/>
    <w:rsid w:val="00EC7B43"/>
    <w:rsid w:val="00ED0100"/>
    <w:rsid w:val="00ED0B30"/>
    <w:rsid w:val="00ED0FEF"/>
    <w:rsid w:val="00ED2AD8"/>
    <w:rsid w:val="00ED3012"/>
    <w:rsid w:val="00ED335B"/>
    <w:rsid w:val="00ED3AD7"/>
    <w:rsid w:val="00ED52B0"/>
    <w:rsid w:val="00ED61F6"/>
    <w:rsid w:val="00ED7C86"/>
    <w:rsid w:val="00EE0338"/>
    <w:rsid w:val="00EE0726"/>
    <w:rsid w:val="00EE09AC"/>
    <w:rsid w:val="00EE18BC"/>
    <w:rsid w:val="00EE2B4E"/>
    <w:rsid w:val="00EE2DE2"/>
    <w:rsid w:val="00EE2E60"/>
    <w:rsid w:val="00EE33BF"/>
    <w:rsid w:val="00EE3961"/>
    <w:rsid w:val="00EE45A1"/>
    <w:rsid w:val="00EE45E8"/>
    <w:rsid w:val="00EE488C"/>
    <w:rsid w:val="00EE6183"/>
    <w:rsid w:val="00EF0647"/>
    <w:rsid w:val="00EF1722"/>
    <w:rsid w:val="00EF1DBD"/>
    <w:rsid w:val="00EF2C42"/>
    <w:rsid w:val="00EF2E7A"/>
    <w:rsid w:val="00EF388F"/>
    <w:rsid w:val="00EF4110"/>
    <w:rsid w:val="00EF41E1"/>
    <w:rsid w:val="00EF425C"/>
    <w:rsid w:val="00EF6BE6"/>
    <w:rsid w:val="00EF6EAE"/>
    <w:rsid w:val="00F00A37"/>
    <w:rsid w:val="00F011E2"/>
    <w:rsid w:val="00F01466"/>
    <w:rsid w:val="00F027B8"/>
    <w:rsid w:val="00F02EE0"/>
    <w:rsid w:val="00F06180"/>
    <w:rsid w:val="00F06C54"/>
    <w:rsid w:val="00F104A6"/>
    <w:rsid w:val="00F1051A"/>
    <w:rsid w:val="00F105E8"/>
    <w:rsid w:val="00F105EE"/>
    <w:rsid w:val="00F118CC"/>
    <w:rsid w:val="00F11B4A"/>
    <w:rsid w:val="00F1274A"/>
    <w:rsid w:val="00F13043"/>
    <w:rsid w:val="00F130E8"/>
    <w:rsid w:val="00F13132"/>
    <w:rsid w:val="00F14BD9"/>
    <w:rsid w:val="00F154B9"/>
    <w:rsid w:val="00F1670A"/>
    <w:rsid w:val="00F17177"/>
    <w:rsid w:val="00F174AB"/>
    <w:rsid w:val="00F17791"/>
    <w:rsid w:val="00F200F7"/>
    <w:rsid w:val="00F20519"/>
    <w:rsid w:val="00F20A11"/>
    <w:rsid w:val="00F20A50"/>
    <w:rsid w:val="00F22E01"/>
    <w:rsid w:val="00F241B7"/>
    <w:rsid w:val="00F2423C"/>
    <w:rsid w:val="00F24C08"/>
    <w:rsid w:val="00F251FD"/>
    <w:rsid w:val="00F2593A"/>
    <w:rsid w:val="00F25C41"/>
    <w:rsid w:val="00F277BB"/>
    <w:rsid w:val="00F27816"/>
    <w:rsid w:val="00F279AE"/>
    <w:rsid w:val="00F27DDD"/>
    <w:rsid w:val="00F30909"/>
    <w:rsid w:val="00F30916"/>
    <w:rsid w:val="00F30E01"/>
    <w:rsid w:val="00F317D8"/>
    <w:rsid w:val="00F31DF0"/>
    <w:rsid w:val="00F3457D"/>
    <w:rsid w:val="00F35191"/>
    <w:rsid w:val="00F35C48"/>
    <w:rsid w:val="00F36497"/>
    <w:rsid w:val="00F36DF3"/>
    <w:rsid w:val="00F4022E"/>
    <w:rsid w:val="00F4147A"/>
    <w:rsid w:val="00F42B90"/>
    <w:rsid w:val="00F42E80"/>
    <w:rsid w:val="00F444CE"/>
    <w:rsid w:val="00F45812"/>
    <w:rsid w:val="00F475F9"/>
    <w:rsid w:val="00F501C9"/>
    <w:rsid w:val="00F5078A"/>
    <w:rsid w:val="00F50B10"/>
    <w:rsid w:val="00F52354"/>
    <w:rsid w:val="00F53C12"/>
    <w:rsid w:val="00F543F6"/>
    <w:rsid w:val="00F547C6"/>
    <w:rsid w:val="00F549A0"/>
    <w:rsid w:val="00F57704"/>
    <w:rsid w:val="00F57CAA"/>
    <w:rsid w:val="00F60428"/>
    <w:rsid w:val="00F6042D"/>
    <w:rsid w:val="00F61F76"/>
    <w:rsid w:val="00F620C7"/>
    <w:rsid w:val="00F6277B"/>
    <w:rsid w:val="00F64F27"/>
    <w:rsid w:val="00F65A7F"/>
    <w:rsid w:val="00F6625F"/>
    <w:rsid w:val="00F66B75"/>
    <w:rsid w:val="00F67B92"/>
    <w:rsid w:val="00F702C1"/>
    <w:rsid w:val="00F70AF7"/>
    <w:rsid w:val="00F71AC5"/>
    <w:rsid w:val="00F71D42"/>
    <w:rsid w:val="00F72331"/>
    <w:rsid w:val="00F72369"/>
    <w:rsid w:val="00F729F3"/>
    <w:rsid w:val="00F72B44"/>
    <w:rsid w:val="00F7319C"/>
    <w:rsid w:val="00F73C96"/>
    <w:rsid w:val="00F74037"/>
    <w:rsid w:val="00F74855"/>
    <w:rsid w:val="00F74EE0"/>
    <w:rsid w:val="00F766F8"/>
    <w:rsid w:val="00F776AD"/>
    <w:rsid w:val="00F80C3E"/>
    <w:rsid w:val="00F80FDA"/>
    <w:rsid w:val="00F81024"/>
    <w:rsid w:val="00F815E2"/>
    <w:rsid w:val="00F82324"/>
    <w:rsid w:val="00F82917"/>
    <w:rsid w:val="00F87366"/>
    <w:rsid w:val="00F87763"/>
    <w:rsid w:val="00F87C88"/>
    <w:rsid w:val="00F9011C"/>
    <w:rsid w:val="00F92255"/>
    <w:rsid w:val="00F94CA0"/>
    <w:rsid w:val="00F94F4E"/>
    <w:rsid w:val="00F95CA5"/>
    <w:rsid w:val="00F9632B"/>
    <w:rsid w:val="00F97C6C"/>
    <w:rsid w:val="00FA0528"/>
    <w:rsid w:val="00FA1230"/>
    <w:rsid w:val="00FA1AC4"/>
    <w:rsid w:val="00FA1DE5"/>
    <w:rsid w:val="00FA245A"/>
    <w:rsid w:val="00FA3301"/>
    <w:rsid w:val="00FA3698"/>
    <w:rsid w:val="00FA40F6"/>
    <w:rsid w:val="00FA467F"/>
    <w:rsid w:val="00FA595D"/>
    <w:rsid w:val="00FA5B64"/>
    <w:rsid w:val="00FA60B0"/>
    <w:rsid w:val="00FA68BA"/>
    <w:rsid w:val="00FA6B22"/>
    <w:rsid w:val="00FA6F45"/>
    <w:rsid w:val="00FA6FD3"/>
    <w:rsid w:val="00FB0333"/>
    <w:rsid w:val="00FB0446"/>
    <w:rsid w:val="00FB059A"/>
    <w:rsid w:val="00FB11A9"/>
    <w:rsid w:val="00FB1E40"/>
    <w:rsid w:val="00FB1FA9"/>
    <w:rsid w:val="00FB2571"/>
    <w:rsid w:val="00FB2D47"/>
    <w:rsid w:val="00FB4BA1"/>
    <w:rsid w:val="00FB6BEE"/>
    <w:rsid w:val="00FB7021"/>
    <w:rsid w:val="00FC0038"/>
    <w:rsid w:val="00FC06CB"/>
    <w:rsid w:val="00FC122B"/>
    <w:rsid w:val="00FC15C9"/>
    <w:rsid w:val="00FC18A8"/>
    <w:rsid w:val="00FC3477"/>
    <w:rsid w:val="00FC41B8"/>
    <w:rsid w:val="00FC4549"/>
    <w:rsid w:val="00FC5429"/>
    <w:rsid w:val="00FC5F24"/>
    <w:rsid w:val="00FC6714"/>
    <w:rsid w:val="00FD0536"/>
    <w:rsid w:val="00FD09FA"/>
    <w:rsid w:val="00FD0FB6"/>
    <w:rsid w:val="00FD2FDC"/>
    <w:rsid w:val="00FD3C5A"/>
    <w:rsid w:val="00FD57F6"/>
    <w:rsid w:val="00FD5A27"/>
    <w:rsid w:val="00FD5F40"/>
    <w:rsid w:val="00FD6970"/>
    <w:rsid w:val="00FD6D6D"/>
    <w:rsid w:val="00FD72B7"/>
    <w:rsid w:val="00FD72C8"/>
    <w:rsid w:val="00FD73AD"/>
    <w:rsid w:val="00FD7462"/>
    <w:rsid w:val="00FD7986"/>
    <w:rsid w:val="00FD7CD9"/>
    <w:rsid w:val="00FE0551"/>
    <w:rsid w:val="00FE0C5C"/>
    <w:rsid w:val="00FE1057"/>
    <w:rsid w:val="00FE1E05"/>
    <w:rsid w:val="00FE1EBF"/>
    <w:rsid w:val="00FE2438"/>
    <w:rsid w:val="00FE24A0"/>
    <w:rsid w:val="00FE2679"/>
    <w:rsid w:val="00FE3555"/>
    <w:rsid w:val="00FE46E7"/>
    <w:rsid w:val="00FE67C1"/>
    <w:rsid w:val="00FE6A8E"/>
    <w:rsid w:val="00FE72A9"/>
    <w:rsid w:val="00FE7F60"/>
    <w:rsid w:val="00FF02C2"/>
    <w:rsid w:val="00FF1AC4"/>
    <w:rsid w:val="00FF1DDA"/>
    <w:rsid w:val="00FF2486"/>
    <w:rsid w:val="00FF2603"/>
    <w:rsid w:val="00FF4233"/>
    <w:rsid w:val="00FF4456"/>
    <w:rsid w:val="00FF5154"/>
    <w:rsid w:val="00FF644C"/>
    <w:rsid w:val="00FF7A58"/>
    <w:rsid w:val="011A6D15"/>
    <w:rsid w:val="01896811"/>
    <w:rsid w:val="018E1BB8"/>
    <w:rsid w:val="01FD609D"/>
    <w:rsid w:val="02221B40"/>
    <w:rsid w:val="025D3C6A"/>
    <w:rsid w:val="02605E16"/>
    <w:rsid w:val="026F57E6"/>
    <w:rsid w:val="028916DF"/>
    <w:rsid w:val="02B770BE"/>
    <w:rsid w:val="02B92B4B"/>
    <w:rsid w:val="02D758AA"/>
    <w:rsid w:val="031E0756"/>
    <w:rsid w:val="032503A7"/>
    <w:rsid w:val="035D2E7F"/>
    <w:rsid w:val="03A33962"/>
    <w:rsid w:val="03F229A5"/>
    <w:rsid w:val="04025BED"/>
    <w:rsid w:val="045439B3"/>
    <w:rsid w:val="04984ED9"/>
    <w:rsid w:val="04E40CC4"/>
    <w:rsid w:val="04F86779"/>
    <w:rsid w:val="051A0570"/>
    <w:rsid w:val="0556761C"/>
    <w:rsid w:val="056401E1"/>
    <w:rsid w:val="058949C6"/>
    <w:rsid w:val="05B11573"/>
    <w:rsid w:val="05D924C7"/>
    <w:rsid w:val="05F43336"/>
    <w:rsid w:val="05FF0636"/>
    <w:rsid w:val="061C0382"/>
    <w:rsid w:val="064216C6"/>
    <w:rsid w:val="064D44EB"/>
    <w:rsid w:val="065663FB"/>
    <w:rsid w:val="06957AF9"/>
    <w:rsid w:val="06A82EB5"/>
    <w:rsid w:val="06AB51DF"/>
    <w:rsid w:val="071E7A58"/>
    <w:rsid w:val="07227412"/>
    <w:rsid w:val="074778FA"/>
    <w:rsid w:val="0754675F"/>
    <w:rsid w:val="079F4185"/>
    <w:rsid w:val="07B70A9C"/>
    <w:rsid w:val="07BA29FE"/>
    <w:rsid w:val="07E163D5"/>
    <w:rsid w:val="07EE1796"/>
    <w:rsid w:val="089C2349"/>
    <w:rsid w:val="089D08A9"/>
    <w:rsid w:val="08C57804"/>
    <w:rsid w:val="090E3278"/>
    <w:rsid w:val="091967B5"/>
    <w:rsid w:val="0923693C"/>
    <w:rsid w:val="092F7BB8"/>
    <w:rsid w:val="096761E7"/>
    <w:rsid w:val="09734E97"/>
    <w:rsid w:val="09C63218"/>
    <w:rsid w:val="09CD0A4B"/>
    <w:rsid w:val="0A053D41"/>
    <w:rsid w:val="0A1348C9"/>
    <w:rsid w:val="0A284A31"/>
    <w:rsid w:val="0A4429FF"/>
    <w:rsid w:val="0AFA4183"/>
    <w:rsid w:val="0B0373BC"/>
    <w:rsid w:val="0B043FF8"/>
    <w:rsid w:val="0B4E5282"/>
    <w:rsid w:val="0B4F3474"/>
    <w:rsid w:val="0B520957"/>
    <w:rsid w:val="0B770C6E"/>
    <w:rsid w:val="0BAC7643"/>
    <w:rsid w:val="0BDA1781"/>
    <w:rsid w:val="0BF5414F"/>
    <w:rsid w:val="0C0900F1"/>
    <w:rsid w:val="0C2A2E85"/>
    <w:rsid w:val="0C545B35"/>
    <w:rsid w:val="0C994AB9"/>
    <w:rsid w:val="0D95362E"/>
    <w:rsid w:val="0DAD5587"/>
    <w:rsid w:val="0DB32F94"/>
    <w:rsid w:val="0DE70459"/>
    <w:rsid w:val="0DF04D08"/>
    <w:rsid w:val="0DFE574F"/>
    <w:rsid w:val="0E010CC3"/>
    <w:rsid w:val="0E0316E4"/>
    <w:rsid w:val="0E19600D"/>
    <w:rsid w:val="0E6B59A2"/>
    <w:rsid w:val="0EAE0ACA"/>
    <w:rsid w:val="0ECA0E0D"/>
    <w:rsid w:val="0EF90EF5"/>
    <w:rsid w:val="0F2271EE"/>
    <w:rsid w:val="0F342DCB"/>
    <w:rsid w:val="0F4D7BD8"/>
    <w:rsid w:val="0F735BF1"/>
    <w:rsid w:val="0FA110A7"/>
    <w:rsid w:val="0FC62D94"/>
    <w:rsid w:val="1088668E"/>
    <w:rsid w:val="10D81154"/>
    <w:rsid w:val="10E24DDC"/>
    <w:rsid w:val="112917DC"/>
    <w:rsid w:val="114A1F19"/>
    <w:rsid w:val="116C28F7"/>
    <w:rsid w:val="11A41EA7"/>
    <w:rsid w:val="11AA3420"/>
    <w:rsid w:val="11C014D4"/>
    <w:rsid w:val="11EE77B0"/>
    <w:rsid w:val="11F05959"/>
    <w:rsid w:val="11FF3F33"/>
    <w:rsid w:val="12156E6D"/>
    <w:rsid w:val="12374CB3"/>
    <w:rsid w:val="12DA6EE0"/>
    <w:rsid w:val="12E25392"/>
    <w:rsid w:val="12EB2C3B"/>
    <w:rsid w:val="13192BB3"/>
    <w:rsid w:val="13C71572"/>
    <w:rsid w:val="14493277"/>
    <w:rsid w:val="1459378E"/>
    <w:rsid w:val="145B379E"/>
    <w:rsid w:val="1488724D"/>
    <w:rsid w:val="149172AB"/>
    <w:rsid w:val="14EA4EA0"/>
    <w:rsid w:val="15221F68"/>
    <w:rsid w:val="154A2F50"/>
    <w:rsid w:val="15535FC6"/>
    <w:rsid w:val="15DD24FA"/>
    <w:rsid w:val="16152D04"/>
    <w:rsid w:val="168460D8"/>
    <w:rsid w:val="16DD784B"/>
    <w:rsid w:val="16F07B71"/>
    <w:rsid w:val="17357800"/>
    <w:rsid w:val="174637C6"/>
    <w:rsid w:val="174C1201"/>
    <w:rsid w:val="178D1100"/>
    <w:rsid w:val="179D7EE2"/>
    <w:rsid w:val="17DA152E"/>
    <w:rsid w:val="17EC16BD"/>
    <w:rsid w:val="18037914"/>
    <w:rsid w:val="180C273E"/>
    <w:rsid w:val="18147899"/>
    <w:rsid w:val="182547F2"/>
    <w:rsid w:val="1853327D"/>
    <w:rsid w:val="18575CB1"/>
    <w:rsid w:val="18710E80"/>
    <w:rsid w:val="187C6833"/>
    <w:rsid w:val="18B65D97"/>
    <w:rsid w:val="18E02D2E"/>
    <w:rsid w:val="18F27B86"/>
    <w:rsid w:val="192963E5"/>
    <w:rsid w:val="192A3C11"/>
    <w:rsid w:val="193E0B05"/>
    <w:rsid w:val="19614D0C"/>
    <w:rsid w:val="19A20750"/>
    <w:rsid w:val="19A5109C"/>
    <w:rsid w:val="19A846E9"/>
    <w:rsid w:val="19B23C41"/>
    <w:rsid w:val="19B5137E"/>
    <w:rsid w:val="1A192A6F"/>
    <w:rsid w:val="1A8F42B1"/>
    <w:rsid w:val="1B210C25"/>
    <w:rsid w:val="1B3C004D"/>
    <w:rsid w:val="1B5E4551"/>
    <w:rsid w:val="1B833F1E"/>
    <w:rsid w:val="1BF71070"/>
    <w:rsid w:val="1C5C3322"/>
    <w:rsid w:val="1C840575"/>
    <w:rsid w:val="1C897E65"/>
    <w:rsid w:val="1CBD6643"/>
    <w:rsid w:val="1D0E026F"/>
    <w:rsid w:val="1D505CF0"/>
    <w:rsid w:val="1D636B59"/>
    <w:rsid w:val="1D9C4564"/>
    <w:rsid w:val="1DB03826"/>
    <w:rsid w:val="1E054F96"/>
    <w:rsid w:val="1E1B2629"/>
    <w:rsid w:val="1E22392C"/>
    <w:rsid w:val="1E2A72DE"/>
    <w:rsid w:val="1E434781"/>
    <w:rsid w:val="1E761259"/>
    <w:rsid w:val="1E7B23CC"/>
    <w:rsid w:val="1E7D5652"/>
    <w:rsid w:val="1EAF7A25"/>
    <w:rsid w:val="1F0B3750"/>
    <w:rsid w:val="1F1545CE"/>
    <w:rsid w:val="1F170346"/>
    <w:rsid w:val="1F424974"/>
    <w:rsid w:val="1F547801"/>
    <w:rsid w:val="1F8F4478"/>
    <w:rsid w:val="1F901EA7"/>
    <w:rsid w:val="1FB1502C"/>
    <w:rsid w:val="1FCD30FB"/>
    <w:rsid w:val="1FE17F61"/>
    <w:rsid w:val="1FF70415"/>
    <w:rsid w:val="20014C4D"/>
    <w:rsid w:val="20071625"/>
    <w:rsid w:val="200F33B5"/>
    <w:rsid w:val="201A67B9"/>
    <w:rsid w:val="20870360"/>
    <w:rsid w:val="20A602F1"/>
    <w:rsid w:val="20EA1A41"/>
    <w:rsid w:val="2101281F"/>
    <w:rsid w:val="21093CBF"/>
    <w:rsid w:val="214F757C"/>
    <w:rsid w:val="21993306"/>
    <w:rsid w:val="21C443C4"/>
    <w:rsid w:val="21E14992"/>
    <w:rsid w:val="220F17A9"/>
    <w:rsid w:val="220F63C0"/>
    <w:rsid w:val="225B4C45"/>
    <w:rsid w:val="22714212"/>
    <w:rsid w:val="22934302"/>
    <w:rsid w:val="22E21A3B"/>
    <w:rsid w:val="22F653E9"/>
    <w:rsid w:val="23130C59"/>
    <w:rsid w:val="235A4636"/>
    <w:rsid w:val="23835A7E"/>
    <w:rsid w:val="23F92711"/>
    <w:rsid w:val="244224C6"/>
    <w:rsid w:val="24D6035C"/>
    <w:rsid w:val="24DE6615"/>
    <w:rsid w:val="25126D74"/>
    <w:rsid w:val="25180974"/>
    <w:rsid w:val="254C15DE"/>
    <w:rsid w:val="25552F8C"/>
    <w:rsid w:val="258268E7"/>
    <w:rsid w:val="25932D52"/>
    <w:rsid w:val="25CF703A"/>
    <w:rsid w:val="26123616"/>
    <w:rsid w:val="264F1E2D"/>
    <w:rsid w:val="267918E7"/>
    <w:rsid w:val="26A5448A"/>
    <w:rsid w:val="26AC0E40"/>
    <w:rsid w:val="26AC3A6A"/>
    <w:rsid w:val="26C528F0"/>
    <w:rsid w:val="26E275C2"/>
    <w:rsid w:val="26EE12D9"/>
    <w:rsid w:val="273852FE"/>
    <w:rsid w:val="277B51EB"/>
    <w:rsid w:val="277E0419"/>
    <w:rsid w:val="279D33B3"/>
    <w:rsid w:val="27D4517B"/>
    <w:rsid w:val="280609E4"/>
    <w:rsid w:val="28117600"/>
    <w:rsid w:val="28326668"/>
    <w:rsid w:val="286914E7"/>
    <w:rsid w:val="28804E01"/>
    <w:rsid w:val="28A902E6"/>
    <w:rsid w:val="28BA7A16"/>
    <w:rsid w:val="28DD58D0"/>
    <w:rsid w:val="28EC4763"/>
    <w:rsid w:val="28EE7CCC"/>
    <w:rsid w:val="28F20771"/>
    <w:rsid w:val="29233D9F"/>
    <w:rsid w:val="29862181"/>
    <w:rsid w:val="29E178AE"/>
    <w:rsid w:val="29FA0F90"/>
    <w:rsid w:val="2A3E7D2C"/>
    <w:rsid w:val="2A65743E"/>
    <w:rsid w:val="2A666952"/>
    <w:rsid w:val="2AF77367"/>
    <w:rsid w:val="2B0B2DFA"/>
    <w:rsid w:val="2B7B3A0B"/>
    <w:rsid w:val="2BA2426B"/>
    <w:rsid w:val="2BB502F7"/>
    <w:rsid w:val="2BD1187D"/>
    <w:rsid w:val="2BF8710F"/>
    <w:rsid w:val="2C22675B"/>
    <w:rsid w:val="2C7965AC"/>
    <w:rsid w:val="2C8261EC"/>
    <w:rsid w:val="2C8D2B52"/>
    <w:rsid w:val="2CB25C57"/>
    <w:rsid w:val="2CB766D2"/>
    <w:rsid w:val="2D19172E"/>
    <w:rsid w:val="2D4349FC"/>
    <w:rsid w:val="2D627B0B"/>
    <w:rsid w:val="2D7E2124"/>
    <w:rsid w:val="2D954434"/>
    <w:rsid w:val="2E075A2A"/>
    <w:rsid w:val="2E9A0F75"/>
    <w:rsid w:val="2EBB7F5F"/>
    <w:rsid w:val="2EBC529A"/>
    <w:rsid w:val="2EC53A26"/>
    <w:rsid w:val="2ECE7A9F"/>
    <w:rsid w:val="2ED10075"/>
    <w:rsid w:val="2F8A06C1"/>
    <w:rsid w:val="30016F1B"/>
    <w:rsid w:val="30072566"/>
    <w:rsid w:val="301E15CC"/>
    <w:rsid w:val="30320B13"/>
    <w:rsid w:val="30466CDD"/>
    <w:rsid w:val="306C3DFF"/>
    <w:rsid w:val="30B67293"/>
    <w:rsid w:val="30E80EFA"/>
    <w:rsid w:val="30FA0A7D"/>
    <w:rsid w:val="31386448"/>
    <w:rsid w:val="315747C3"/>
    <w:rsid w:val="316C30E7"/>
    <w:rsid w:val="319941E5"/>
    <w:rsid w:val="31B732C3"/>
    <w:rsid w:val="31C63D74"/>
    <w:rsid w:val="31C64474"/>
    <w:rsid w:val="31E3055C"/>
    <w:rsid w:val="31F167D5"/>
    <w:rsid w:val="31F712C5"/>
    <w:rsid w:val="320C697E"/>
    <w:rsid w:val="32334EBF"/>
    <w:rsid w:val="323D65DF"/>
    <w:rsid w:val="324148E2"/>
    <w:rsid w:val="32627A4B"/>
    <w:rsid w:val="327C5336"/>
    <w:rsid w:val="32803233"/>
    <w:rsid w:val="32AF07F2"/>
    <w:rsid w:val="32B141B6"/>
    <w:rsid w:val="32B84F32"/>
    <w:rsid w:val="32F114C4"/>
    <w:rsid w:val="32F55942"/>
    <w:rsid w:val="33263E15"/>
    <w:rsid w:val="333252F7"/>
    <w:rsid w:val="33A30117"/>
    <w:rsid w:val="33DF006E"/>
    <w:rsid w:val="34027B43"/>
    <w:rsid w:val="341669C7"/>
    <w:rsid w:val="34476B80"/>
    <w:rsid w:val="348953EB"/>
    <w:rsid w:val="348F0527"/>
    <w:rsid w:val="349249DB"/>
    <w:rsid w:val="34EA39B0"/>
    <w:rsid w:val="354833FF"/>
    <w:rsid w:val="35633883"/>
    <w:rsid w:val="356419B4"/>
    <w:rsid w:val="35E459AD"/>
    <w:rsid w:val="360141E1"/>
    <w:rsid w:val="36184CDB"/>
    <w:rsid w:val="36636708"/>
    <w:rsid w:val="36735088"/>
    <w:rsid w:val="369739A9"/>
    <w:rsid w:val="36C20AD7"/>
    <w:rsid w:val="36C81662"/>
    <w:rsid w:val="370661C1"/>
    <w:rsid w:val="374369B6"/>
    <w:rsid w:val="37603725"/>
    <w:rsid w:val="37711C6B"/>
    <w:rsid w:val="37733277"/>
    <w:rsid w:val="377432D3"/>
    <w:rsid w:val="378402F8"/>
    <w:rsid w:val="37EA3C72"/>
    <w:rsid w:val="37EC5DC8"/>
    <w:rsid w:val="37F80892"/>
    <w:rsid w:val="37FC2378"/>
    <w:rsid w:val="380D7900"/>
    <w:rsid w:val="388866DE"/>
    <w:rsid w:val="38E4330E"/>
    <w:rsid w:val="38F75B2D"/>
    <w:rsid w:val="38F82780"/>
    <w:rsid w:val="39082ACF"/>
    <w:rsid w:val="393B2A2C"/>
    <w:rsid w:val="39553928"/>
    <w:rsid w:val="39711717"/>
    <w:rsid w:val="39797D07"/>
    <w:rsid w:val="397B0F78"/>
    <w:rsid w:val="39BF540B"/>
    <w:rsid w:val="39F71049"/>
    <w:rsid w:val="3A7A6BFE"/>
    <w:rsid w:val="3A7B6D86"/>
    <w:rsid w:val="3A89130F"/>
    <w:rsid w:val="3A892117"/>
    <w:rsid w:val="3A8C3A36"/>
    <w:rsid w:val="3AA72CEC"/>
    <w:rsid w:val="3AA840F1"/>
    <w:rsid w:val="3AC31ED1"/>
    <w:rsid w:val="3ADF293F"/>
    <w:rsid w:val="3AEA03A9"/>
    <w:rsid w:val="3B200C61"/>
    <w:rsid w:val="3B3C44E7"/>
    <w:rsid w:val="3B530501"/>
    <w:rsid w:val="3B801ADB"/>
    <w:rsid w:val="3B8373F1"/>
    <w:rsid w:val="3BB338ED"/>
    <w:rsid w:val="3BDD7D9B"/>
    <w:rsid w:val="3C1014B7"/>
    <w:rsid w:val="3C133476"/>
    <w:rsid w:val="3C3B0C4E"/>
    <w:rsid w:val="3C5B6745"/>
    <w:rsid w:val="3C7F76CC"/>
    <w:rsid w:val="3DD83800"/>
    <w:rsid w:val="3DE41382"/>
    <w:rsid w:val="3DF2368E"/>
    <w:rsid w:val="3E275C99"/>
    <w:rsid w:val="3E2974E0"/>
    <w:rsid w:val="3E4E4FAF"/>
    <w:rsid w:val="3E6B3DB3"/>
    <w:rsid w:val="3E73290A"/>
    <w:rsid w:val="3E9055C8"/>
    <w:rsid w:val="3EC461C9"/>
    <w:rsid w:val="3F596C28"/>
    <w:rsid w:val="3FEF2636"/>
    <w:rsid w:val="3FFD0015"/>
    <w:rsid w:val="3FFD4EDF"/>
    <w:rsid w:val="4009460B"/>
    <w:rsid w:val="401D0C62"/>
    <w:rsid w:val="402A6DF4"/>
    <w:rsid w:val="40662F7F"/>
    <w:rsid w:val="40B97058"/>
    <w:rsid w:val="40E13F83"/>
    <w:rsid w:val="40ED2526"/>
    <w:rsid w:val="414D2792"/>
    <w:rsid w:val="415320C2"/>
    <w:rsid w:val="4157061F"/>
    <w:rsid w:val="41643196"/>
    <w:rsid w:val="41660E4D"/>
    <w:rsid w:val="416D61F7"/>
    <w:rsid w:val="418E1BF4"/>
    <w:rsid w:val="41A039FB"/>
    <w:rsid w:val="41C377F4"/>
    <w:rsid w:val="42220B4A"/>
    <w:rsid w:val="423F1AF4"/>
    <w:rsid w:val="425D063C"/>
    <w:rsid w:val="429733C9"/>
    <w:rsid w:val="42A052C8"/>
    <w:rsid w:val="430E7688"/>
    <w:rsid w:val="433D2B35"/>
    <w:rsid w:val="43CC52F4"/>
    <w:rsid w:val="43D971B1"/>
    <w:rsid w:val="4413504E"/>
    <w:rsid w:val="44370AE5"/>
    <w:rsid w:val="44375AB3"/>
    <w:rsid w:val="44C20D8F"/>
    <w:rsid w:val="44D97CC8"/>
    <w:rsid w:val="45351F4C"/>
    <w:rsid w:val="45735181"/>
    <w:rsid w:val="45B912E4"/>
    <w:rsid w:val="45F4468E"/>
    <w:rsid w:val="462F48EC"/>
    <w:rsid w:val="463902F3"/>
    <w:rsid w:val="46417AF5"/>
    <w:rsid w:val="46601A21"/>
    <w:rsid w:val="467B6B5D"/>
    <w:rsid w:val="46A95795"/>
    <w:rsid w:val="46B67B95"/>
    <w:rsid w:val="46C40504"/>
    <w:rsid w:val="46DC75FC"/>
    <w:rsid w:val="4748551F"/>
    <w:rsid w:val="47797541"/>
    <w:rsid w:val="479036E6"/>
    <w:rsid w:val="4793420A"/>
    <w:rsid w:val="479928B9"/>
    <w:rsid w:val="47AC6A05"/>
    <w:rsid w:val="47EA7AF7"/>
    <w:rsid w:val="47EF335F"/>
    <w:rsid w:val="47FD3CCE"/>
    <w:rsid w:val="48254C34"/>
    <w:rsid w:val="48274C8F"/>
    <w:rsid w:val="487C33A3"/>
    <w:rsid w:val="48923A9B"/>
    <w:rsid w:val="48A04F67"/>
    <w:rsid w:val="48A87371"/>
    <w:rsid w:val="48AD660B"/>
    <w:rsid w:val="48BE3EB0"/>
    <w:rsid w:val="48D80297"/>
    <w:rsid w:val="48F52BF7"/>
    <w:rsid w:val="48FA7DB5"/>
    <w:rsid w:val="49050C83"/>
    <w:rsid w:val="490918C0"/>
    <w:rsid w:val="49094ECF"/>
    <w:rsid w:val="493F07FE"/>
    <w:rsid w:val="49736FDA"/>
    <w:rsid w:val="49AA1C33"/>
    <w:rsid w:val="49B52CB3"/>
    <w:rsid w:val="49E57878"/>
    <w:rsid w:val="49EB1754"/>
    <w:rsid w:val="4A020B0E"/>
    <w:rsid w:val="4A0F187A"/>
    <w:rsid w:val="4A2512BA"/>
    <w:rsid w:val="4A6873F9"/>
    <w:rsid w:val="4A963F66"/>
    <w:rsid w:val="4BBD5166"/>
    <w:rsid w:val="4BCC4DB0"/>
    <w:rsid w:val="4C09031F"/>
    <w:rsid w:val="4C3561F1"/>
    <w:rsid w:val="4C5A7366"/>
    <w:rsid w:val="4C9D15DC"/>
    <w:rsid w:val="4CE30971"/>
    <w:rsid w:val="4CE840AC"/>
    <w:rsid w:val="4D03140D"/>
    <w:rsid w:val="4D085950"/>
    <w:rsid w:val="4D645E9F"/>
    <w:rsid w:val="4D7B0486"/>
    <w:rsid w:val="4D823F55"/>
    <w:rsid w:val="4DA644C0"/>
    <w:rsid w:val="4DB4773B"/>
    <w:rsid w:val="4DCB407C"/>
    <w:rsid w:val="4DF96BA8"/>
    <w:rsid w:val="4DFF10DC"/>
    <w:rsid w:val="4E055563"/>
    <w:rsid w:val="4E0B6A19"/>
    <w:rsid w:val="4E2C3168"/>
    <w:rsid w:val="4E7D4D4D"/>
    <w:rsid w:val="4E8209FF"/>
    <w:rsid w:val="4EAF41AD"/>
    <w:rsid w:val="4ECC57C7"/>
    <w:rsid w:val="4ED214E4"/>
    <w:rsid w:val="4EEA7926"/>
    <w:rsid w:val="4EED14A0"/>
    <w:rsid w:val="4F1D07B2"/>
    <w:rsid w:val="4F1D57D3"/>
    <w:rsid w:val="4F335573"/>
    <w:rsid w:val="4F4A531F"/>
    <w:rsid w:val="4F4D178A"/>
    <w:rsid w:val="4F622684"/>
    <w:rsid w:val="4F82180A"/>
    <w:rsid w:val="4FF40E8B"/>
    <w:rsid w:val="502826FD"/>
    <w:rsid w:val="502C701E"/>
    <w:rsid w:val="50526B81"/>
    <w:rsid w:val="5060129E"/>
    <w:rsid w:val="5064466C"/>
    <w:rsid w:val="50873ECF"/>
    <w:rsid w:val="50954F20"/>
    <w:rsid w:val="509B4084"/>
    <w:rsid w:val="50B2258E"/>
    <w:rsid w:val="50F97DF7"/>
    <w:rsid w:val="50FF0540"/>
    <w:rsid w:val="515F7D14"/>
    <w:rsid w:val="51734888"/>
    <w:rsid w:val="51A13A13"/>
    <w:rsid w:val="52426689"/>
    <w:rsid w:val="526879ED"/>
    <w:rsid w:val="52B14033"/>
    <w:rsid w:val="52B46AED"/>
    <w:rsid w:val="52CF6267"/>
    <w:rsid w:val="52D448ED"/>
    <w:rsid w:val="52EF4B5B"/>
    <w:rsid w:val="52F8236A"/>
    <w:rsid w:val="536559C0"/>
    <w:rsid w:val="53924A31"/>
    <w:rsid w:val="53BA5265"/>
    <w:rsid w:val="53FF492A"/>
    <w:rsid w:val="5480697A"/>
    <w:rsid w:val="549A4E87"/>
    <w:rsid w:val="54AF768F"/>
    <w:rsid w:val="54DB206D"/>
    <w:rsid w:val="54E44C9D"/>
    <w:rsid w:val="552503C0"/>
    <w:rsid w:val="553046B3"/>
    <w:rsid w:val="55384597"/>
    <w:rsid w:val="55410BF9"/>
    <w:rsid w:val="55414C8F"/>
    <w:rsid w:val="55C23AE2"/>
    <w:rsid w:val="55FA72D0"/>
    <w:rsid w:val="56164708"/>
    <w:rsid w:val="562E2EF9"/>
    <w:rsid w:val="565C2507"/>
    <w:rsid w:val="566A0DF9"/>
    <w:rsid w:val="56705FB3"/>
    <w:rsid w:val="567F5ADC"/>
    <w:rsid w:val="568D33A9"/>
    <w:rsid w:val="572A4E1F"/>
    <w:rsid w:val="57655DBD"/>
    <w:rsid w:val="57967CD6"/>
    <w:rsid w:val="57B52184"/>
    <w:rsid w:val="57F00527"/>
    <w:rsid w:val="57F30ED5"/>
    <w:rsid w:val="58311772"/>
    <w:rsid w:val="58507E4A"/>
    <w:rsid w:val="58622433"/>
    <w:rsid w:val="5865762E"/>
    <w:rsid w:val="58CA76EA"/>
    <w:rsid w:val="58FE1654"/>
    <w:rsid w:val="599F6880"/>
    <w:rsid w:val="59B71921"/>
    <w:rsid w:val="5A1A7371"/>
    <w:rsid w:val="5A1D093B"/>
    <w:rsid w:val="5A6B01A4"/>
    <w:rsid w:val="5AC60A34"/>
    <w:rsid w:val="5AE96334"/>
    <w:rsid w:val="5AF504DC"/>
    <w:rsid w:val="5B1F11EF"/>
    <w:rsid w:val="5B577086"/>
    <w:rsid w:val="5B7F6091"/>
    <w:rsid w:val="5B8749F4"/>
    <w:rsid w:val="5BAA2A50"/>
    <w:rsid w:val="5BB8152D"/>
    <w:rsid w:val="5BE307D8"/>
    <w:rsid w:val="5C0C22DA"/>
    <w:rsid w:val="5C3B2232"/>
    <w:rsid w:val="5C3F26AF"/>
    <w:rsid w:val="5C933840"/>
    <w:rsid w:val="5C9B567D"/>
    <w:rsid w:val="5CBD35D4"/>
    <w:rsid w:val="5D270949"/>
    <w:rsid w:val="5D2F0E22"/>
    <w:rsid w:val="5D3A4CF9"/>
    <w:rsid w:val="5D467A6D"/>
    <w:rsid w:val="5D5A26FF"/>
    <w:rsid w:val="5D6254EB"/>
    <w:rsid w:val="5DFB2606"/>
    <w:rsid w:val="5E9D1D6D"/>
    <w:rsid w:val="5EEF62FD"/>
    <w:rsid w:val="5EF64B7B"/>
    <w:rsid w:val="5F1216B0"/>
    <w:rsid w:val="5F4175C1"/>
    <w:rsid w:val="5F452CCB"/>
    <w:rsid w:val="5F572E51"/>
    <w:rsid w:val="5F9279B2"/>
    <w:rsid w:val="6060660E"/>
    <w:rsid w:val="61162463"/>
    <w:rsid w:val="611D1740"/>
    <w:rsid w:val="61563010"/>
    <w:rsid w:val="61BF13D0"/>
    <w:rsid w:val="61DE5900"/>
    <w:rsid w:val="61F20919"/>
    <w:rsid w:val="61F47485"/>
    <w:rsid w:val="621E0F7E"/>
    <w:rsid w:val="62206ADF"/>
    <w:rsid w:val="62300AF6"/>
    <w:rsid w:val="623B15D2"/>
    <w:rsid w:val="6253318F"/>
    <w:rsid w:val="62696B86"/>
    <w:rsid w:val="626D272C"/>
    <w:rsid w:val="6277164E"/>
    <w:rsid w:val="62BF7D78"/>
    <w:rsid w:val="62FD2D82"/>
    <w:rsid w:val="636263E4"/>
    <w:rsid w:val="638E5F28"/>
    <w:rsid w:val="63913F53"/>
    <w:rsid w:val="6399176A"/>
    <w:rsid w:val="63A159FD"/>
    <w:rsid w:val="63BC2B22"/>
    <w:rsid w:val="64356146"/>
    <w:rsid w:val="643D1308"/>
    <w:rsid w:val="64870CE6"/>
    <w:rsid w:val="649E14ED"/>
    <w:rsid w:val="64B1686B"/>
    <w:rsid w:val="64C432EC"/>
    <w:rsid w:val="64C5571C"/>
    <w:rsid w:val="64E67E3E"/>
    <w:rsid w:val="651C1188"/>
    <w:rsid w:val="652F6714"/>
    <w:rsid w:val="656E31E5"/>
    <w:rsid w:val="65851880"/>
    <w:rsid w:val="659C54C1"/>
    <w:rsid w:val="65B118F1"/>
    <w:rsid w:val="65D629B4"/>
    <w:rsid w:val="66292CD9"/>
    <w:rsid w:val="662A5F7E"/>
    <w:rsid w:val="6643320F"/>
    <w:rsid w:val="66690B37"/>
    <w:rsid w:val="66A75A53"/>
    <w:rsid w:val="66C51A03"/>
    <w:rsid w:val="66E14904"/>
    <w:rsid w:val="66E42D65"/>
    <w:rsid w:val="67033415"/>
    <w:rsid w:val="67506BEB"/>
    <w:rsid w:val="675E48FC"/>
    <w:rsid w:val="678338A3"/>
    <w:rsid w:val="67B45394"/>
    <w:rsid w:val="67D03393"/>
    <w:rsid w:val="67E13745"/>
    <w:rsid w:val="681D03B1"/>
    <w:rsid w:val="68923B67"/>
    <w:rsid w:val="689B6EBF"/>
    <w:rsid w:val="68F84BDD"/>
    <w:rsid w:val="69487159"/>
    <w:rsid w:val="695418C6"/>
    <w:rsid w:val="69A21516"/>
    <w:rsid w:val="69F50851"/>
    <w:rsid w:val="69F628F4"/>
    <w:rsid w:val="6A4965A1"/>
    <w:rsid w:val="6A531DD1"/>
    <w:rsid w:val="6A5F2684"/>
    <w:rsid w:val="6A62486A"/>
    <w:rsid w:val="6AA83F04"/>
    <w:rsid w:val="6AB46793"/>
    <w:rsid w:val="6AD95DBE"/>
    <w:rsid w:val="6AEA5EDC"/>
    <w:rsid w:val="6B1B6095"/>
    <w:rsid w:val="6B3B4599"/>
    <w:rsid w:val="6B7B6B34"/>
    <w:rsid w:val="6B8C2AEF"/>
    <w:rsid w:val="6BB37AA8"/>
    <w:rsid w:val="6BFE3D94"/>
    <w:rsid w:val="6BFF530D"/>
    <w:rsid w:val="6BFF769B"/>
    <w:rsid w:val="6C0055D4"/>
    <w:rsid w:val="6C0452F0"/>
    <w:rsid w:val="6C076999"/>
    <w:rsid w:val="6C515AE7"/>
    <w:rsid w:val="6C7B5C9E"/>
    <w:rsid w:val="6CB8656E"/>
    <w:rsid w:val="6CDA4B5F"/>
    <w:rsid w:val="6CDC7AA6"/>
    <w:rsid w:val="6D0A6B1E"/>
    <w:rsid w:val="6D945BD2"/>
    <w:rsid w:val="6D9D7236"/>
    <w:rsid w:val="6DE345CC"/>
    <w:rsid w:val="6E1E7639"/>
    <w:rsid w:val="6E236C5F"/>
    <w:rsid w:val="6EAC74C7"/>
    <w:rsid w:val="6EEE5E8C"/>
    <w:rsid w:val="6F0B0F46"/>
    <w:rsid w:val="6F22575E"/>
    <w:rsid w:val="6F715F30"/>
    <w:rsid w:val="6FB03FF6"/>
    <w:rsid w:val="6FF330B2"/>
    <w:rsid w:val="70215733"/>
    <w:rsid w:val="70631707"/>
    <w:rsid w:val="708D657F"/>
    <w:rsid w:val="70A011AB"/>
    <w:rsid w:val="70A369B7"/>
    <w:rsid w:val="70AE6124"/>
    <w:rsid w:val="711452F5"/>
    <w:rsid w:val="71422650"/>
    <w:rsid w:val="71837A31"/>
    <w:rsid w:val="71A26456"/>
    <w:rsid w:val="722B3491"/>
    <w:rsid w:val="72435ED2"/>
    <w:rsid w:val="72594BA8"/>
    <w:rsid w:val="725F37D1"/>
    <w:rsid w:val="72820EAE"/>
    <w:rsid w:val="72914998"/>
    <w:rsid w:val="72C36CAA"/>
    <w:rsid w:val="72C84B4E"/>
    <w:rsid w:val="73024BE5"/>
    <w:rsid w:val="73307C13"/>
    <w:rsid w:val="733168E2"/>
    <w:rsid w:val="7342659B"/>
    <w:rsid w:val="737A3B75"/>
    <w:rsid w:val="73CA0460"/>
    <w:rsid w:val="73D30734"/>
    <w:rsid w:val="73D657E8"/>
    <w:rsid w:val="743F7D01"/>
    <w:rsid w:val="747E1443"/>
    <w:rsid w:val="74885F06"/>
    <w:rsid w:val="754D4D58"/>
    <w:rsid w:val="758E11CE"/>
    <w:rsid w:val="759575E3"/>
    <w:rsid w:val="75A5099F"/>
    <w:rsid w:val="75BF14D2"/>
    <w:rsid w:val="75BF27F5"/>
    <w:rsid w:val="75E75B47"/>
    <w:rsid w:val="76365F8B"/>
    <w:rsid w:val="76472199"/>
    <w:rsid w:val="76CD04E1"/>
    <w:rsid w:val="76DB2B7D"/>
    <w:rsid w:val="76DE48C7"/>
    <w:rsid w:val="77C27899"/>
    <w:rsid w:val="782D19E6"/>
    <w:rsid w:val="7866291A"/>
    <w:rsid w:val="78704EAB"/>
    <w:rsid w:val="78886D34"/>
    <w:rsid w:val="78BD36C3"/>
    <w:rsid w:val="78F24E38"/>
    <w:rsid w:val="79255191"/>
    <w:rsid w:val="79516830"/>
    <w:rsid w:val="79A261BA"/>
    <w:rsid w:val="7A1E0F39"/>
    <w:rsid w:val="7A2769BC"/>
    <w:rsid w:val="7A5B370E"/>
    <w:rsid w:val="7AA240DD"/>
    <w:rsid w:val="7AAA2635"/>
    <w:rsid w:val="7AF13D30"/>
    <w:rsid w:val="7BAF4748"/>
    <w:rsid w:val="7BD62AB9"/>
    <w:rsid w:val="7C1C1C6D"/>
    <w:rsid w:val="7C62373C"/>
    <w:rsid w:val="7D1961AD"/>
    <w:rsid w:val="7D20578D"/>
    <w:rsid w:val="7D3A5965"/>
    <w:rsid w:val="7D4832A6"/>
    <w:rsid w:val="7D5B16A9"/>
    <w:rsid w:val="7D641B1E"/>
    <w:rsid w:val="7D717D97"/>
    <w:rsid w:val="7D8A4E8A"/>
    <w:rsid w:val="7DC9082F"/>
    <w:rsid w:val="7DEB77F6"/>
    <w:rsid w:val="7E0F7090"/>
    <w:rsid w:val="7E1F3AB5"/>
    <w:rsid w:val="7E2779CC"/>
    <w:rsid w:val="7E406909"/>
    <w:rsid w:val="7E505BFE"/>
    <w:rsid w:val="7E730245"/>
    <w:rsid w:val="7EEA05E4"/>
    <w:rsid w:val="7EFF7C24"/>
    <w:rsid w:val="7F1774C8"/>
    <w:rsid w:val="7F22523B"/>
    <w:rsid w:val="7F3B2A7C"/>
    <w:rsid w:val="7F550DC7"/>
    <w:rsid w:val="7FA34120"/>
    <w:rsid w:val="7FBD539F"/>
    <w:rsid w:val="7FF302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53"/>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3">
    <w:name w:val="heading 2"/>
    <w:basedOn w:val="1"/>
    <w:next w:val="1"/>
    <w:link w:val="54"/>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4">
    <w:name w:val="heading 3"/>
    <w:basedOn w:val="1"/>
    <w:next w:val="1"/>
    <w:link w:val="55"/>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5">
    <w:name w:val="heading 4"/>
    <w:basedOn w:val="1"/>
    <w:next w:val="1"/>
    <w:link w:val="56"/>
    <w:qFormat/>
    <w:uiPriority w:val="99"/>
    <w:pPr>
      <w:keepNext/>
      <w:keepLines/>
      <w:numPr>
        <w:ilvl w:val="3"/>
        <w:numId w:val="1"/>
      </w:numPr>
      <w:ind w:firstLine="0" w:firstLineChars="0"/>
      <w:jc w:val="left"/>
      <w:outlineLvl w:val="3"/>
    </w:pPr>
    <w:rPr>
      <w:rFonts w:ascii="黑体" w:hAnsi="黑体" w:eastAsia="黑体"/>
      <w:szCs w:val="24"/>
      <w:lang w:val="zh-CN"/>
    </w:rPr>
  </w:style>
  <w:style w:type="paragraph" w:styleId="6">
    <w:name w:val="heading 5"/>
    <w:basedOn w:val="1"/>
    <w:next w:val="1"/>
    <w:link w:val="57"/>
    <w:qFormat/>
    <w:uiPriority w:val="0"/>
    <w:pPr>
      <w:keepNext/>
      <w:keepLines/>
      <w:numPr>
        <w:ilvl w:val="4"/>
        <w:numId w:val="1"/>
      </w:numPr>
      <w:ind w:firstLine="0" w:firstLineChars="0"/>
      <w:jc w:val="left"/>
      <w:outlineLvl w:val="4"/>
    </w:pPr>
    <w:rPr>
      <w:rFonts w:ascii="黑体" w:hAnsi="黑体" w:eastAsia="黑体"/>
      <w:szCs w:val="24"/>
      <w:lang w:val="zh-CN"/>
    </w:rPr>
  </w:style>
  <w:style w:type="paragraph" w:styleId="7">
    <w:name w:val="heading 6"/>
    <w:basedOn w:val="1"/>
    <w:next w:val="1"/>
    <w:link w:val="58"/>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8">
    <w:name w:val="heading 7"/>
    <w:basedOn w:val="1"/>
    <w:next w:val="1"/>
    <w:link w:val="59"/>
    <w:qFormat/>
    <w:uiPriority w:val="0"/>
    <w:pPr>
      <w:keepNext/>
      <w:keepLines/>
      <w:spacing w:before="240" w:after="64" w:line="320" w:lineRule="auto"/>
      <w:ind w:firstLine="0" w:firstLineChars="0"/>
      <w:outlineLvl w:val="6"/>
    </w:pPr>
    <w:rPr>
      <w:b/>
      <w:bCs/>
      <w:kern w:val="0"/>
      <w:szCs w:val="24"/>
    </w:rPr>
  </w:style>
  <w:style w:type="paragraph" w:styleId="9">
    <w:name w:val="heading 8"/>
    <w:basedOn w:val="1"/>
    <w:next w:val="1"/>
    <w:link w:val="60"/>
    <w:qFormat/>
    <w:uiPriority w:val="9"/>
    <w:pPr>
      <w:keepNext/>
      <w:keepLines/>
      <w:numPr>
        <w:ilvl w:val="7"/>
        <w:numId w:val="1"/>
      </w:numPr>
      <w:spacing w:before="240" w:after="64" w:line="320" w:lineRule="auto"/>
      <w:ind w:firstLine="0" w:firstLineChars="0"/>
      <w:outlineLvl w:val="7"/>
    </w:pPr>
    <w:rPr>
      <w:rFonts w:ascii="Cambria" w:hAnsi="Cambria"/>
      <w:szCs w:val="24"/>
    </w:rPr>
  </w:style>
  <w:style w:type="paragraph" w:styleId="10">
    <w:name w:val="heading 9"/>
    <w:basedOn w:val="1"/>
    <w:next w:val="1"/>
    <w:link w:val="61"/>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index 8"/>
    <w:basedOn w:val="1"/>
    <w:next w:val="1"/>
    <w:qFormat/>
    <w:uiPriority w:val="0"/>
    <w:pPr>
      <w:spacing w:line="240" w:lineRule="auto"/>
      <w:ind w:left="2940" w:firstLine="0" w:firstLineChars="0"/>
    </w:pPr>
    <w:rPr>
      <w:sz w:val="21"/>
      <w:szCs w:val="24"/>
    </w:rPr>
  </w:style>
  <w:style w:type="paragraph" w:styleId="12">
    <w:name w:val="List Number"/>
    <w:basedOn w:val="1"/>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3">
    <w:name w:val="Normal Indent"/>
    <w:basedOn w:val="1"/>
    <w:link w:val="62"/>
    <w:qFormat/>
    <w:uiPriority w:val="0"/>
    <w:pPr>
      <w:spacing w:line="240" w:lineRule="auto"/>
      <w:ind w:firstLine="420" w:firstLineChars="0"/>
    </w:pPr>
    <w:rPr>
      <w:sz w:val="21"/>
      <w:szCs w:val="20"/>
    </w:rPr>
  </w:style>
  <w:style w:type="paragraph" w:styleId="14">
    <w:name w:val="caption"/>
    <w:basedOn w:val="1"/>
    <w:next w:val="1"/>
    <w:qFormat/>
    <w:uiPriority w:val="0"/>
    <w:pPr>
      <w:ind w:firstLine="0" w:firstLineChars="0"/>
      <w:jc w:val="center"/>
    </w:pPr>
    <w:rPr>
      <w:rFonts w:ascii="Cambria" w:hAnsi="Cambria" w:eastAsia="黑体"/>
      <w:sz w:val="20"/>
      <w:szCs w:val="20"/>
    </w:rPr>
  </w:style>
  <w:style w:type="paragraph" w:styleId="15">
    <w:name w:val="Document Map"/>
    <w:basedOn w:val="1"/>
    <w:link w:val="63"/>
    <w:unhideWhenUsed/>
    <w:qFormat/>
    <w:uiPriority w:val="0"/>
    <w:pPr>
      <w:spacing w:line="240" w:lineRule="auto"/>
      <w:ind w:firstLine="0" w:firstLineChars="0"/>
    </w:pPr>
    <w:rPr>
      <w:rFonts w:ascii="宋体"/>
      <w:sz w:val="18"/>
      <w:szCs w:val="18"/>
    </w:rPr>
  </w:style>
  <w:style w:type="paragraph" w:styleId="16">
    <w:name w:val="annotation text"/>
    <w:basedOn w:val="1"/>
    <w:link w:val="64"/>
    <w:unhideWhenUsed/>
    <w:qFormat/>
    <w:uiPriority w:val="99"/>
    <w:pPr>
      <w:jc w:val="left"/>
    </w:pPr>
    <w:rPr>
      <w:kern w:val="0"/>
      <w:szCs w:val="20"/>
    </w:rPr>
  </w:style>
  <w:style w:type="paragraph" w:styleId="17">
    <w:name w:val="Body Text 3"/>
    <w:basedOn w:val="1"/>
    <w:link w:val="65"/>
    <w:qFormat/>
    <w:uiPriority w:val="0"/>
    <w:pPr>
      <w:spacing w:line="240" w:lineRule="exact"/>
      <w:ind w:firstLine="0" w:firstLineChars="0"/>
    </w:pPr>
    <w:rPr>
      <w:rFonts w:ascii="宋体" w:hAnsi="宋体"/>
      <w:color w:val="000000"/>
      <w:sz w:val="21"/>
      <w:szCs w:val="21"/>
    </w:rPr>
  </w:style>
  <w:style w:type="paragraph" w:styleId="18">
    <w:name w:val="Body Text"/>
    <w:basedOn w:val="1"/>
    <w:link w:val="66"/>
    <w:qFormat/>
    <w:uiPriority w:val="99"/>
    <w:pPr>
      <w:autoSpaceDE w:val="0"/>
      <w:autoSpaceDN w:val="0"/>
      <w:spacing w:line="240" w:lineRule="auto"/>
      <w:ind w:left="252" w:firstLine="0" w:firstLineChars="0"/>
      <w:jc w:val="left"/>
    </w:pPr>
    <w:rPr>
      <w:rFonts w:ascii="宋体" w:hAnsi="宋体" w:cs="宋体"/>
      <w:kern w:val="0"/>
      <w:sz w:val="20"/>
      <w:szCs w:val="21"/>
      <w:lang w:val="zh-CN" w:bidi="zh-CN"/>
    </w:rPr>
  </w:style>
  <w:style w:type="paragraph" w:styleId="19">
    <w:name w:val="Body Text Indent"/>
    <w:basedOn w:val="1"/>
    <w:link w:val="68"/>
    <w:unhideWhenUsed/>
    <w:qFormat/>
    <w:uiPriority w:val="0"/>
    <w:pPr>
      <w:spacing w:after="120" w:line="240" w:lineRule="auto"/>
      <w:ind w:left="420" w:leftChars="200" w:firstLine="0" w:firstLineChars="0"/>
    </w:pPr>
    <w:rPr>
      <w:sz w:val="21"/>
      <w:szCs w:val="24"/>
    </w:rPr>
  </w:style>
  <w:style w:type="paragraph" w:styleId="20">
    <w:name w:val="List Number 3"/>
    <w:basedOn w:val="1"/>
    <w:qFormat/>
    <w:uiPriority w:val="0"/>
    <w:pPr>
      <w:tabs>
        <w:tab w:val="left" w:pos="1350"/>
      </w:tabs>
      <w:spacing w:line="240" w:lineRule="auto"/>
      <w:ind w:left="1350" w:hanging="720" w:firstLineChars="0"/>
    </w:pPr>
    <w:rPr>
      <w:sz w:val="21"/>
      <w:szCs w:val="24"/>
    </w:rPr>
  </w:style>
  <w:style w:type="paragraph" w:styleId="21">
    <w:name w:val="List 2"/>
    <w:basedOn w:val="1"/>
    <w:qFormat/>
    <w:uiPriority w:val="0"/>
    <w:pPr>
      <w:spacing w:line="240" w:lineRule="auto"/>
      <w:ind w:left="100" w:leftChars="200" w:hanging="200" w:hangingChars="200"/>
    </w:pPr>
    <w:rPr>
      <w:sz w:val="28"/>
      <w:szCs w:val="24"/>
    </w:rPr>
  </w:style>
  <w:style w:type="paragraph" w:styleId="22">
    <w:name w:val="Block Text"/>
    <w:basedOn w:val="1"/>
    <w:qFormat/>
    <w:uiPriority w:val="99"/>
    <w:pPr>
      <w:adjustRightInd w:val="0"/>
      <w:spacing w:line="240" w:lineRule="auto"/>
      <w:ind w:left="420" w:right="33" w:firstLine="0" w:firstLineChars="0"/>
      <w:jc w:val="left"/>
      <w:textAlignment w:val="baseline"/>
    </w:pPr>
    <w:rPr>
      <w:kern w:val="0"/>
      <w:szCs w:val="20"/>
    </w:rPr>
  </w:style>
  <w:style w:type="paragraph" w:styleId="23">
    <w:name w:val="toc 3"/>
    <w:basedOn w:val="1"/>
    <w:next w:val="1"/>
    <w:unhideWhenUsed/>
    <w:qFormat/>
    <w:uiPriority w:val="39"/>
    <w:pPr>
      <w:ind w:left="840" w:leftChars="400" w:firstLine="0" w:firstLineChars="0"/>
    </w:pPr>
    <w:rPr>
      <w:rFonts w:ascii="Calibri" w:hAnsi="Calibri"/>
    </w:rPr>
  </w:style>
  <w:style w:type="paragraph" w:styleId="24">
    <w:name w:val="Plain Text"/>
    <w:basedOn w:val="1"/>
    <w:next w:val="11"/>
    <w:link w:val="69"/>
    <w:qFormat/>
    <w:uiPriority w:val="99"/>
    <w:pPr>
      <w:spacing w:line="460" w:lineRule="exact"/>
      <w:ind w:firstLine="0" w:firstLineChars="0"/>
    </w:pPr>
    <w:rPr>
      <w:kern w:val="0"/>
      <w:szCs w:val="20"/>
      <w:lang w:val="en-GB"/>
    </w:rPr>
  </w:style>
  <w:style w:type="paragraph" w:styleId="25">
    <w:name w:val="Date"/>
    <w:basedOn w:val="1"/>
    <w:next w:val="1"/>
    <w:link w:val="70"/>
    <w:unhideWhenUsed/>
    <w:qFormat/>
    <w:uiPriority w:val="0"/>
    <w:pPr>
      <w:ind w:left="100" w:leftChars="2500"/>
    </w:pPr>
    <w:rPr>
      <w:kern w:val="0"/>
      <w:szCs w:val="20"/>
    </w:rPr>
  </w:style>
  <w:style w:type="paragraph" w:styleId="26">
    <w:name w:val="Body Text Indent 2"/>
    <w:basedOn w:val="1"/>
    <w:link w:val="71"/>
    <w:unhideWhenUsed/>
    <w:qFormat/>
    <w:uiPriority w:val="0"/>
    <w:pPr>
      <w:spacing w:after="120" w:line="480" w:lineRule="auto"/>
      <w:ind w:left="420" w:leftChars="200" w:firstLine="0" w:firstLineChars="0"/>
    </w:pPr>
    <w:rPr>
      <w:sz w:val="21"/>
      <w:szCs w:val="20"/>
    </w:rPr>
  </w:style>
  <w:style w:type="paragraph" w:styleId="27">
    <w:name w:val="Balloon Text"/>
    <w:basedOn w:val="1"/>
    <w:link w:val="72"/>
    <w:unhideWhenUsed/>
    <w:qFormat/>
    <w:uiPriority w:val="0"/>
    <w:pPr>
      <w:spacing w:line="240" w:lineRule="auto"/>
    </w:pPr>
    <w:rPr>
      <w:kern w:val="0"/>
      <w:sz w:val="18"/>
      <w:szCs w:val="18"/>
    </w:rPr>
  </w:style>
  <w:style w:type="paragraph" w:styleId="28">
    <w:name w:val="footer"/>
    <w:basedOn w:val="1"/>
    <w:link w:val="73"/>
    <w:unhideWhenUsed/>
    <w:qFormat/>
    <w:uiPriority w:val="99"/>
    <w:pPr>
      <w:tabs>
        <w:tab w:val="center" w:pos="4153"/>
        <w:tab w:val="right" w:pos="8306"/>
      </w:tabs>
      <w:snapToGrid w:val="0"/>
      <w:jc w:val="left"/>
    </w:pPr>
    <w:rPr>
      <w:kern w:val="0"/>
      <w:sz w:val="18"/>
      <w:szCs w:val="18"/>
    </w:rPr>
  </w:style>
  <w:style w:type="paragraph" w:styleId="29">
    <w:name w:val="header"/>
    <w:basedOn w:val="1"/>
    <w:link w:val="74"/>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ind w:firstLine="0" w:firstLineChars="0"/>
    </w:pPr>
    <w:rPr>
      <w:rFonts w:ascii="Calibri" w:hAnsi="Calibri"/>
      <w:b/>
    </w:rPr>
  </w:style>
  <w:style w:type="paragraph" w:styleId="31">
    <w:name w:val="toc 4"/>
    <w:basedOn w:val="1"/>
    <w:next w:val="1"/>
    <w:qFormat/>
    <w:uiPriority w:val="39"/>
    <w:pPr>
      <w:spacing w:line="240" w:lineRule="auto"/>
      <w:ind w:left="630" w:firstLine="0" w:firstLineChars="0"/>
      <w:jc w:val="left"/>
    </w:pPr>
    <w:rPr>
      <w:sz w:val="18"/>
      <w:szCs w:val="18"/>
    </w:rPr>
  </w:style>
  <w:style w:type="paragraph" w:styleId="32">
    <w:name w:val="List"/>
    <w:basedOn w:val="1"/>
    <w:qFormat/>
    <w:uiPriority w:val="0"/>
    <w:pPr>
      <w:spacing w:line="240" w:lineRule="auto"/>
      <w:ind w:left="200" w:hanging="200" w:hangingChars="200"/>
    </w:pPr>
    <w:rPr>
      <w:sz w:val="28"/>
      <w:szCs w:val="24"/>
    </w:rPr>
  </w:style>
  <w:style w:type="paragraph" w:styleId="33">
    <w:name w:val="List 5"/>
    <w:basedOn w:val="1"/>
    <w:qFormat/>
    <w:uiPriority w:val="0"/>
    <w:pPr>
      <w:spacing w:line="240" w:lineRule="auto"/>
      <w:ind w:left="2100" w:hanging="420" w:firstLineChars="0"/>
    </w:pPr>
    <w:rPr>
      <w:sz w:val="21"/>
      <w:szCs w:val="20"/>
    </w:rPr>
  </w:style>
  <w:style w:type="paragraph" w:styleId="34">
    <w:name w:val="Body Text Indent 3"/>
    <w:basedOn w:val="1"/>
    <w:link w:val="75"/>
    <w:unhideWhenUsed/>
    <w:qFormat/>
    <w:uiPriority w:val="0"/>
    <w:pPr>
      <w:spacing w:after="120" w:line="240" w:lineRule="auto"/>
      <w:ind w:left="420" w:leftChars="200" w:firstLine="0" w:firstLineChars="0"/>
    </w:pPr>
    <w:rPr>
      <w:sz w:val="16"/>
      <w:szCs w:val="16"/>
    </w:rPr>
  </w:style>
  <w:style w:type="paragraph" w:styleId="35">
    <w:name w:val="toc 2"/>
    <w:basedOn w:val="1"/>
    <w:next w:val="1"/>
    <w:unhideWhenUsed/>
    <w:qFormat/>
    <w:uiPriority w:val="39"/>
    <w:pPr>
      <w:ind w:left="420" w:leftChars="200" w:firstLine="0" w:firstLineChars="0"/>
    </w:pPr>
    <w:rPr>
      <w:rFonts w:ascii="Calibri" w:hAnsi="Calibri"/>
    </w:rPr>
  </w:style>
  <w:style w:type="paragraph" w:styleId="36">
    <w:name w:val="Body Text 2"/>
    <w:basedOn w:val="1"/>
    <w:link w:val="76"/>
    <w:qFormat/>
    <w:uiPriority w:val="0"/>
    <w:pPr>
      <w:spacing w:after="120" w:line="480" w:lineRule="auto"/>
      <w:ind w:firstLine="0" w:firstLineChars="0"/>
    </w:pPr>
    <w:rPr>
      <w:sz w:val="21"/>
      <w:szCs w:val="24"/>
    </w:rPr>
  </w:style>
  <w:style w:type="paragraph" w:styleId="37">
    <w:name w:val="HTML Preformatted"/>
    <w:basedOn w:val="1"/>
    <w:link w:val="7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38">
    <w:name w:val="Normal (Web)"/>
    <w:basedOn w:val="1"/>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9">
    <w:name w:val="index 1"/>
    <w:basedOn w:val="1"/>
    <w:next w:val="1"/>
    <w:semiHidden/>
    <w:qFormat/>
    <w:uiPriority w:val="0"/>
    <w:pPr>
      <w:spacing w:line="400" w:lineRule="exact"/>
      <w:ind w:firstLine="420"/>
    </w:pPr>
    <w:rPr>
      <w:rFonts w:ascii="宋体" w:hAnsi="Courier New"/>
      <w:b/>
      <w:sz w:val="21"/>
      <w:szCs w:val="20"/>
    </w:rPr>
  </w:style>
  <w:style w:type="paragraph" w:styleId="40">
    <w:name w:val="Title"/>
    <w:basedOn w:val="1"/>
    <w:next w:val="1"/>
    <w:link w:val="67"/>
    <w:qFormat/>
    <w:uiPriority w:val="0"/>
    <w:pPr>
      <w:spacing w:before="240" w:after="60" w:line="240" w:lineRule="auto"/>
      <w:ind w:firstLine="0" w:firstLineChars="0"/>
      <w:jc w:val="center"/>
      <w:outlineLvl w:val="0"/>
    </w:pPr>
    <w:rPr>
      <w:rFonts w:ascii="Cambria" w:hAnsi="Cambria"/>
      <w:b/>
      <w:bCs/>
      <w:sz w:val="32"/>
      <w:szCs w:val="32"/>
    </w:rPr>
  </w:style>
  <w:style w:type="paragraph" w:styleId="41">
    <w:name w:val="annotation subject"/>
    <w:basedOn w:val="16"/>
    <w:next w:val="16"/>
    <w:link w:val="78"/>
    <w:unhideWhenUsed/>
    <w:qFormat/>
    <w:uiPriority w:val="0"/>
    <w:rPr>
      <w:b/>
      <w:bCs/>
      <w:sz w:val="20"/>
    </w:rPr>
  </w:style>
  <w:style w:type="paragraph" w:styleId="42">
    <w:name w:val="Body Text First Indent 2"/>
    <w:basedOn w:val="19"/>
    <w:link w:val="79"/>
    <w:unhideWhenUsed/>
    <w:qFormat/>
    <w:uiPriority w:val="0"/>
    <w:pPr>
      <w:ind w:firstLine="420" w:firstLineChars="200"/>
    </w:pPr>
    <w:rPr>
      <w:kern w:val="0"/>
    </w:rPr>
  </w:style>
  <w:style w:type="table" w:styleId="44">
    <w:name w:val="Table Grid"/>
    <w:basedOn w:val="4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qFormat/>
    <w:uiPriority w:val="0"/>
  </w:style>
  <w:style w:type="character" w:styleId="48">
    <w:name w:val="FollowedHyperlink"/>
    <w:unhideWhenUsed/>
    <w:qFormat/>
    <w:uiPriority w:val="0"/>
    <w:rPr>
      <w:color w:val="800080"/>
      <w:u w:val="single"/>
    </w:rPr>
  </w:style>
  <w:style w:type="character" w:styleId="49">
    <w:name w:val="Emphasis"/>
    <w:qFormat/>
    <w:uiPriority w:val="0"/>
  </w:style>
  <w:style w:type="character" w:styleId="50">
    <w:name w:val="Hyperlink"/>
    <w:unhideWhenUsed/>
    <w:qFormat/>
    <w:uiPriority w:val="99"/>
    <w:rPr>
      <w:color w:val="0000FF"/>
      <w:u w:val="single"/>
    </w:rPr>
  </w:style>
  <w:style w:type="character" w:styleId="51">
    <w:name w:val="annotation reference"/>
    <w:unhideWhenUsed/>
    <w:qFormat/>
    <w:uiPriority w:val="99"/>
    <w:rPr>
      <w:sz w:val="21"/>
      <w:szCs w:val="21"/>
    </w:rPr>
  </w:style>
  <w:style w:type="character" w:styleId="52">
    <w:name w:val="HTML Cite"/>
    <w:basedOn w:val="45"/>
    <w:semiHidden/>
    <w:unhideWhenUsed/>
    <w:qFormat/>
    <w:uiPriority w:val="99"/>
    <w:rPr>
      <w:color w:val="008000"/>
    </w:rPr>
  </w:style>
  <w:style w:type="character" w:customStyle="1" w:styleId="53">
    <w:name w:val="标题 1 字符"/>
    <w:link w:val="2"/>
    <w:qFormat/>
    <w:uiPriority w:val="0"/>
    <w:rPr>
      <w:rFonts w:ascii="黑体" w:hAnsi="黑体" w:eastAsia="黑体"/>
      <w:b/>
      <w:bCs/>
      <w:kern w:val="44"/>
      <w:sz w:val="28"/>
      <w:szCs w:val="28"/>
      <w:lang w:val="zh-CN"/>
    </w:rPr>
  </w:style>
  <w:style w:type="character" w:customStyle="1" w:styleId="54">
    <w:name w:val="标题 2 字符"/>
    <w:link w:val="3"/>
    <w:qFormat/>
    <w:uiPriority w:val="0"/>
    <w:rPr>
      <w:rFonts w:ascii="黑体" w:hAnsi="黑体" w:eastAsia="黑体"/>
      <w:b/>
      <w:bCs/>
      <w:kern w:val="2"/>
      <w:sz w:val="24"/>
      <w:szCs w:val="24"/>
      <w:lang w:val="zh-CN"/>
    </w:rPr>
  </w:style>
  <w:style w:type="character" w:customStyle="1" w:styleId="55">
    <w:name w:val="标题 3 字符"/>
    <w:link w:val="4"/>
    <w:qFormat/>
    <w:uiPriority w:val="0"/>
    <w:rPr>
      <w:rFonts w:ascii="黑体" w:hAnsi="黑体" w:eastAsia="黑体"/>
      <w:b/>
      <w:bCs/>
      <w:kern w:val="2"/>
      <w:sz w:val="24"/>
      <w:szCs w:val="24"/>
      <w:lang w:val="zh-CN"/>
    </w:rPr>
  </w:style>
  <w:style w:type="character" w:customStyle="1" w:styleId="56">
    <w:name w:val="标题 4 字符"/>
    <w:link w:val="5"/>
    <w:qFormat/>
    <w:uiPriority w:val="99"/>
    <w:rPr>
      <w:rFonts w:ascii="黑体" w:hAnsi="黑体" w:eastAsia="黑体"/>
      <w:kern w:val="2"/>
      <w:sz w:val="24"/>
      <w:szCs w:val="24"/>
      <w:lang w:val="zh-CN"/>
    </w:rPr>
  </w:style>
  <w:style w:type="character" w:customStyle="1" w:styleId="57">
    <w:name w:val="标题 5 字符"/>
    <w:link w:val="6"/>
    <w:qFormat/>
    <w:uiPriority w:val="0"/>
    <w:rPr>
      <w:rFonts w:ascii="黑体" w:hAnsi="黑体" w:eastAsia="黑体"/>
      <w:kern w:val="2"/>
      <w:sz w:val="24"/>
      <w:szCs w:val="24"/>
      <w:lang w:val="zh-CN"/>
    </w:rPr>
  </w:style>
  <w:style w:type="character" w:customStyle="1" w:styleId="58">
    <w:name w:val="标题 6 字符"/>
    <w:link w:val="7"/>
    <w:qFormat/>
    <w:uiPriority w:val="0"/>
    <w:rPr>
      <w:rFonts w:ascii="黑体" w:hAnsi="黑体" w:eastAsia="黑体"/>
      <w:kern w:val="2"/>
      <w:sz w:val="24"/>
      <w:szCs w:val="24"/>
      <w:lang w:val="zh-CN"/>
    </w:rPr>
  </w:style>
  <w:style w:type="character" w:customStyle="1" w:styleId="59">
    <w:name w:val="标题 7 字符"/>
    <w:link w:val="8"/>
    <w:qFormat/>
    <w:uiPriority w:val="0"/>
    <w:rPr>
      <w:rFonts w:eastAsia="宋体"/>
      <w:b/>
      <w:bCs/>
      <w:sz w:val="24"/>
      <w:szCs w:val="24"/>
    </w:rPr>
  </w:style>
  <w:style w:type="character" w:customStyle="1" w:styleId="60">
    <w:name w:val="标题 8 字符"/>
    <w:link w:val="9"/>
    <w:qFormat/>
    <w:uiPriority w:val="9"/>
    <w:rPr>
      <w:rFonts w:ascii="Cambria" w:hAnsi="Cambria"/>
      <w:kern w:val="2"/>
      <w:sz w:val="24"/>
      <w:szCs w:val="24"/>
    </w:rPr>
  </w:style>
  <w:style w:type="character" w:customStyle="1" w:styleId="61">
    <w:name w:val="标题 9 字符"/>
    <w:link w:val="10"/>
    <w:qFormat/>
    <w:uiPriority w:val="0"/>
    <w:rPr>
      <w:rFonts w:ascii="Cambria" w:hAnsi="Cambria"/>
      <w:kern w:val="2"/>
      <w:sz w:val="21"/>
      <w:szCs w:val="21"/>
    </w:rPr>
  </w:style>
  <w:style w:type="character" w:customStyle="1" w:styleId="62">
    <w:name w:val="正文缩进 字符"/>
    <w:link w:val="13"/>
    <w:qFormat/>
    <w:locked/>
    <w:uiPriority w:val="0"/>
    <w:rPr>
      <w:rFonts w:ascii="Times New Roman" w:hAnsi="Times New Roman"/>
      <w:kern w:val="2"/>
      <w:sz w:val="21"/>
    </w:rPr>
  </w:style>
  <w:style w:type="character" w:customStyle="1" w:styleId="63">
    <w:name w:val="文档结构图 字符"/>
    <w:link w:val="15"/>
    <w:qFormat/>
    <w:uiPriority w:val="0"/>
    <w:rPr>
      <w:rFonts w:ascii="宋体" w:hAnsi="Times New Roman"/>
      <w:kern w:val="2"/>
      <w:sz w:val="18"/>
      <w:szCs w:val="18"/>
    </w:rPr>
  </w:style>
  <w:style w:type="character" w:customStyle="1" w:styleId="64">
    <w:name w:val="批注文字 字符1"/>
    <w:link w:val="16"/>
    <w:qFormat/>
    <w:uiPriority w:val="99"/>
    <w:rPr>
      <w:rFonts w:eastAsia="宋体"/>
      <w:sz w:val="24"/>
    </w:rPr>
  </w:style>
  <w:style w:type="character" w:customStyle="1" w:styleId="65">
    <w:name w:val="正文文本 3 字符"/>
    <w:link w:val="17"/>
    <w:qFormat/>
    <w:uiPriority w:val="0"/>
    <w:rPr>
      <w:rFonts w:ascii="宋体" w:hAnsi="宋体"/>
      <w:color w:val="000000"/>
      <w:kern w:val="2"/>
      <w:sz w:val="21"/>
      <w:szCs w:val="21"/>
    </w:rPr>
  </w:style>
  <w:style w:type="character" w:customStyle="1" w:styleId="66">
    <w:name w:val="正文文本 字符"/>
    <w:link w:val="18"/>
    <w:qFormat/>
    <w:uiPriority w:val="99"/>
    <w:rPr>
      <w:rFonts w:ascii="宋体" w:hAnsi="宋体" w:eastAsia="宋体" w:cs="宋体"/>
      <w:kern w:val="0"/>
      <w:szCs w:val="21"/>
      <w:lang w:val="zh-CN" w:bidi="zh-CN"/>
    </w:rPr>
  </w:style>
  <w:style w:type="character" w:customStyle="1" w:styleId="67">
    <w:name w:val="标题 字符"/>
    <w:link w:val="40"/>
    <w:qFormat/>
    <w:uiPriority w:val="0"/>
    <w:rPr>
      <w:rFonts w:ascii="Cambria" w:hAnsi="Cambria"/>
      <w:b/>
      <w:bCs/>
      <w:kern w:val="2"/>
      <w:sz w:val="32"/>
      <w:szCs w:val="32"/>
    </w:rPr>
  </w:style>
  <w:style w:type="character" w:customStyle="1" w:styleId="68">
    <w:name w:val="正文文本缩进 字符"/>
    <w:link w:val="19"/>
    <w:qFormat/>
    <w:uiPriority w:val="0"/>
    <w:rPr>
      <w:rFonts w:ascii="Times New Roman" w:hAnsi="Times New Roman"/>
      <w:kern w:val="2"/>
      <w:sz w:val="21"/>
      <w:szCs w:val="24"/>
    </w:rPr>
  </w:style>
  <w:style w:type="character" w:customStyle="1" w:styleId="69">
    <w:name w:val="纯文本 字符1"/>
    <w:link w:val="24"/>
    <w:qFormat/>
    <w:uiPriority w:val="99"/>
    <w:rPr>
      <w:rFonts w:eastAsia="宋体"/>
      <w:sz w:val="24"/>
      <w:lang w:val="en-GB"/>
    </w:rPr>
  </w:style>
  <w:style w:type="character" w:customStyle="1" w:styleId="70">
    <w:name w:val="日期 字符"/>
    <w:link w:val="25"/>
    <w:qFormat/>
    <w:uiPriority w:val="0"/>
    <w:rPr>
      <w:rFonts w:eastAsia="宋体"/>
      <w:sz w:val="24"/>
    </w:rPr>
  </w:style>
  <w:style w:type="character" w:customStyle="1" w:styleId="71">
    <w:name w:val="正文文本缩进 2 字符"/>
    <w:link w:val="26"/>
    <w:qFormat/>
    <w:uiPriority w:val="0"/>
    <w:rPr>
      <w:rFonts w:ascii="Times New Roman" w:hAnsi="Times New Roman"/>
      <w:kern w:val="2"/>
      <w:sz w:val="21"/>
    </w:rPr>
  </w:style>
  <w:style w:type="character" w:customStyle="1" w:styleId="72">
    <w:name w:val="批注框文本 字符"/>
    <w:link w:val="27"/>
    <w:qFormat/>
    <w:uiPriority w:val="0"/>
    <w:rPr>
      <w:rFonts w:eastAsia="宋体"/>
      <w:sz w:val="18"/>
      <w:szCs w:val="18"/>
    </w:rPr>
  </w:style>
  <w:style w:type="character" w:customStyle="1" w:styleId="73">
    <w:name w:val="页脚 字符"/>
    <w:link w:val="28"/>
    <w:qFormat/>
    <w:uiPriority w:val="99"/>
    <w:rPr>
      <w:sz w:val="18"/>
      <w:szCs w:val="18"/>
    </w:rPr>
  </w:style>
  <w:style w:type="character" w:customStyle="1" w:styleId="74">
    <w:name w:val="页眉 字符"/>
    <w:link w:val="29"/>
    <w:qFormat/>
    <w:uiPriority w:val="99"/>
    <w:rPr>
      <w:sz w:val="18"/>
      <w:szCs w:val="18"/>
    </w:rPr>
  </w:style>
  <w:style w:type="character" w:customStyle="1" w:styleId="75">
    <w:name w:val="正文文本缩进 3 字符1"/>
    <w:link w:val="34"/>
    <w:qFormat/>
    <w:uiPriority w:val="0"/>
    <w:rPr>
      <w:rFonts w:ascii="Times New Roman" w:hAnsi="Times New Roman"/>
      <w:kern w:val="2"/>
      <w:sz w:val="16"/>
      <w:szCs w:val="16"/>
    </w:rPr>
  </w:style>
  <w:style w:type="character" w:customStyle="1" w:styleId="76">
    <w:name w:val="正文文本 2 字符"/>
    <w:link w:val="36"/>
    <w:qFormat/>
    <w:uiPriority w:val="0"/>
    <w:rPr>
      <w:rFonts w:ascii="Times New Roman" w:hAnsi="Times New Roman"/>
      <w:kern w:val="2"/>
      <w:sz w:val="21"/>
      <w:szCs w:val="24"/>
    </w:rPr>
  </w:style>
  <w:style w:type="character" w:customStyle="1" w:styleId="77">
    <w:name w:val="HTML 预设格式 字符"/>
    <w:link w:val="37"/>
    <w:qFormat/>
    <w:uiPriority w:val="0"/>
    <w:rPr>
      <w:rFonts w:ascii="宋体" w:hAnsi="宋体"/>
      <w:sz w:val="24"/>
      <w:szCs w:val="24"/>
    </w:rPr>
  </w:style>
  <w:style w:type="character" w:customStyle="1" w:styleId="78">
    <w:name w:val="批注主题 字符"/>
    <w:link w:val="41"/>
    <w:qFormat/>
    <w:uiPriority w:val="0"/>
    <w:rPr>
      <w:b/>
      <w:bCs/>
    </w:rPr>
  </w:style>
  <w:style w:type="character" w:customStyle="1" w:styleId="79">
    <w:name w:val="正文文本首行缩进 2 字符"/>
    <w:link w:val="42"/>
    <w:qFormat/>
    <w:uiPriority w:val="0"/>
    <w:rPr>
      <w:rFonts w:ascii="Times New Roman" w:hAnsi="Times New Roman"/>
      <w:sz w:val="21"/>
      <w:szCs w:val="24"/>
    </w:rPr>
  </w:style>
  <w:style w:type="character" w:customStyle="1" w:styleId="80">
    <w:name w:val="正文文本缩进 Char"/>
    <w:link w:val="81"/>
    <w:qFormat/>
    <w:uiPriority w:val="0"/>
    <w:rPr>
      <w:kern w:val="2"/>
      <w:sz w:val="24"/>
      <w:szCs w:val="22"/>
    </w:rPr>
  </w:style>
  <w:style w:type="paragraph" w:customStyle="1" w:styleId="81">
    <w:name w:val="正文文本缩进1"/>
    <w:basedOn w:val="1"/>
    <w:next w:val="19"/>
    <w:link w:val="80"/>
    <w:qFormat/>
    <w:uiPriority w:val="0"/>
    <w:pPr>
      <w:spacing w:after="120" w:line="240" w:lineRule="auto"/>
      <w:ind w:left="420" w:leftChars="200" w:firstLine="0" w:firstLineChars="0"/>
    </w:pPr>
  </w:style>
  <w:style w:type="paragraph" w:styleId="82">
    <w:name w:val="List Paragraph"/>
    <w:basedOn w:val="1"/>
    <w:qFormat/>
    <w:uiPriority w:val="34"/>
    <w:pPr>
      <w:ind w:firstLine="420"/>
    </w:pPr>
  </w:style>
  <w:style w:type="paragraph" w:styleId="83">
    <w:name w:val="No Spacing"/>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84">
    <w:name w:val="表格标题"/>
    <w:basedOn w:val="85"/>
    <w:link w:val="87"/>
    <w:qFormat/>
    <w:uiPriority w:val="0"/>
    <w:pPr>
      <w:jc w:val="center"/>
    </w:pPr>
    <w:rPr>
      <w:b/>
    </w:rPr>
  </w:style>
  <w:style w:type="paragraph" w:customStyle="1" w:styleId="85">
    <w:name w:val="表格文本"/>
    <w:basedOn w:val="1"/>
    <w:link w:val="86"/>
    <w:qFormat/>
    <w:uiPriority w:val="0"/>
    <w:pPr>
      <w:spacing w:line="276" w:lineRule="auto"/>
      <w:ind w:firstLine="0" w:firstLineChars="0"/>
    </w:pPr>
    <w:rPr>
      <w:rFonts w:ascii="Calibri" w:hAnsi="Calibri"/>
      <w:kern w:val="0"/>
      <w:szCs w:val="20"/>
      <w:lang w:val="zh-CN"/>
    </w:rPr>
  </w:style>
  <w:style w:type="character" w:customStyle="1" w:styleId="86">
    <w:name w:val="表格文本 Char"/>
    <w:link w:val="85"/>
    <w:qFormat/>
    <w:uiPriority w:val="0"/>
    <w:rPr>
      <w:rFonts w:ascii="Calibri" w:hAnsi="Calibri" w:eastAsia="宋体" w:cs="Times New Roman"/>
      <w:sz w:val="24"/>
      <w:lang w:val="zh-CN"/>
    </w:rPr>
  </w:style>
  <w:style w:type="character" w:customStyle="1" w:styleId="87">
    <w:name w:val="表格标题 Char"/>
    <w:link w:val="84"/>
    <w:qFormat/>
    <w:uiPriority w:val="0"/>
    <w:rPr>
      <w:rFonts w:ascii="Calibri" w:hAnsi="Calibri" w:eastAsia="宋体" w:cs="Times New Roman"/>
      <w:b/>
      <w:sz w:val="24"/>
      <w:lang w:val="zh-CN"/>
    </w:rPr>
  </w:style>
  <w:style w:type="paragraph" w:customStyle="1" w:styleId="88">
    <w:name w:val="TOC 标题1"/>
    <w:basedOn w:val="2"/>
    <w:next w:val="1"/>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character" w:customStyle="1" w:styleId="89">
    <w:name w:val="页脚 Char1"/>
    <w:qFormat/>
    <w:uiPriority w:val="0"/>
    <w:rPr>
      <w:rFonts w:eastAsia="宋体"/>
      <w:kern w:val="2"/>
      <w:sz w:val="18"/>
      <w:szCs w:val="18"/>
    </w:rPr>
  </w:style>
  <w:style w:type="character" w:customStyle="1" w:styleId="90">
    <w:name w:val="纯文本 字符"/>
    <w:semiHidden/>
    <w:qFormat/>
    <w:uiPriority w:val="99"/>
    <w:rPr>
      <w:rFonts w:ascii="宋体" w:hAnsi="Courier New" w:cs="Courier New"/>
      <w:sz w:val="24"/>
    </w:rPr>
  </w:style>
  <w:style w:type="character" w:customStyle="1" w:styleId="91">
    <w:name w:val="文档结构图 Char"/>
    <w:link w:val="92"/>
    <w:qFormat/>
    <w:uiPriority w:val="0"/>
    <w:rPr>
      <w:rFonts w:ascii="宋体"/>
      <w:kern w:val="2"/>
      <w:sz w:val="18"/>
      <w:szCs w:val="18"/>
    </w:rPr>
  </w:style>
  <w:style w:type="paragraph" w:customStyle="1" w:styleId="92">
    <w:name w:val="文档结构图1"/>
    <w:basedOn w:val="1"/>
    <w:next w:val="15"/>
    <w:link w:val="91"/>
    <w:unhideWhenUsed/>
    <w:qFormat/>
    <w:uiPriority w:val="0"/>
    <w:pPr>
      <w:spacing w:line="240" w:lineRule="auto"/>
      <w:ind w:firstLine="0" w:firstLineChars="0"/>
    </w:pPr>
    <w:rPr>
      <w:rFonts w:ascii="宋体"/>
      <w:sz w:val="18"/>
      <w:szCs w:val="18"/>
    </w:rPr>
  </w:style>
  <w:style w:type="character" w:customStyle="1" w:styleId="93">
    <w:name w:val="Char Char1"/>
    <w:qFormat/>
    <w:uiPriority w:val="0"/>
    <w:rPr>
      <w:rFonts w:eastAsia="宋体"/>
      <w:kern w:val="2"/>
      <w:sz w:val="21"/>
      <w:szCs w:val="24"/>
      <w:lang w:val="en-US" w:eastAsia="zh-CN" w:bidi="ar-SA"/>
    </w:rPr>
  </w:style>
  <w:style w:type="character" w:customStyle="1" w:styleId="94">
    <w:name w:val="apple-converted-space"/>
    <w:qFormat/>
    <w:uiPriority w:val="0"/>
  </w:style>
  <w:style w:type="character" w:customStyle="1" w:styleId="95">
    <w:name w:val="正文文本 Char1"/>
    <w:semiHidden/>
    <w:qFormat/>
    <w:locked/>
    <w:uiPriority w:val="99"/>
    <w:rPr>
      <w:kern w:val="2"/>
      <w:sz w:val="21"/>
      <w:szCs w:val="24"/>
    </w:rPr>
  </w:style>
  <w:style w:type="character" w:customStyle="1" w:styleId="96">
    <w:name w:val="无间隔 Char"/>
    <w:link w:val="97"/>
    <w:qFormat/>
    <w:uiPriority w:val="1"/>
    <w:rPr>
      <w:kern w:val="2"/>
      <w:sz w:val="21"/>
      <w:szCs w:val="22"/>
      <w:lang w:val="en-US" w:eastAsia="zh-CN" w:bidi="ar-SA"/>
    </w:rPr>
  </w:style>
  <w:style w:type="paragraph" w:customStyle="1" w:styleId="97">
    <w:name w:val="无间隔1"/>
    <w:link w:val="96"/>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98">
    <w:name w:val="标题 9 Char1"/>
    <w:semiHidden/>
    <w:qFormat/>
    <w:uiPriority w:val="0"/>
    <w:rPr>
      <w:rFonts w:ascii="Cambria" w:hAnsi="Cambria" w:eastAsia="宋体" w:cs="Times New Roman"/>
      <w:kern w:val="2"/>
      <w:sz w:val="21"/>
      <w:szCs w:val="21"/>
    </w:rPr>
  </w:style>
  <w:style w:type="character" w:customStyle="1" w:styleId="99">
    <w:name w:val="Char Char10"/>
    <w:qFormat/>
    <w:uiPriority w:val="0"/>
    <w:rPr>
      <w:rFonts w:eastAsia="宋体"/>
      <w:kern w:val="2"/>
      <w:sz w:val="21"/>
      <w:szCs w:val="24"/>
      <w:lang w:val="en-US" w:eastAsia="zh-CN" w:bidi="ar-SA"/>
    </w:rPr>
  </w:style>
  <w:style w:type="character" w:customStyle="1" w:styleId="100">
    <w:name w:val="font41"/>
    <w:qFormat/>
    <w:uiPriority w:val="0"/>
    <w:rPr>
      <w:rFonts w:hint="eastAsia" w:ascii="宋体" w:hAnsi="宋体" w:eastAsia="宋体" w:cs="宋体"/>
      <w:color w:val="FF0000"/>
      <w:sz w:val="18"/>
      <w:szCs w:val="18"/>
      <w:u w:val="none"/>
    </w:rPr>
  </w:style>
  <w:style w:type="character" w:customStyle="1" w:styleId="101">
    <w:name w:val="副章标题 Char"/>
    <w:link w:val="102"/>
    <w:qFormat/>
    <w:uiPriority w:val="0"/>
    <w:rPr>
      <w:rFonts w:hAnsi="微软雅黑"/>
      <w:b/>
      <w:color w:val="000000"/>
      <w:sz w:val="36"/>
      <w:szCs w:val="36"/>
    </w:rPr>
  </w:style>
  <w:style w:type="paragraph" w:customStyle="1" w:styleId="102">
    <w:name w:val="副章标题"/>
    <w:basedOn w:val="1"/>
    <w:link w:val="101"/>
    <w:qFormat/>
    <w:uiPriority w:val="0"/>
    <w:pPr>
      <w:spacing w:line="240" w:lineRule="auto"/>
      <w:ind w:firstLine="0" w:firstLineChars="0"/>
      <w:outlineLvl w:val="1"/>
    </w:pPr>
    <w:rPr>
      <w:rFonts w:hAnsi="微软雅黑"/>
      <w:b/>
      <w:color w:val="000000"/>
      <w:kern w:val="0"/>
      <w:sz w:val="36"/>
      <w:szCs w:val="36"/>
    </w:rPr>
  </w:style>
  <w:style w:type="character" w:customStyle="1" w:styleId="103">
    <w:name w:val="标题 Char1"/>
    <w:qFormat/>
    <w:uiPriority w:val="0"/>
    <w:rPr>
      <w:rFonts w:ascii="Cambria" w:hAnsi="Cambria" w:cs="Times New Roman"/>
      <w:b/>
      <w:bCs/>
      <w:kern w:val="2"/>
      <w:sz w:val="32"/>
      <w:szCs w:val="32"/>
    </w:rPr>
  </w:style>
  <w:style w:type="character" w:customStyle="1" w:styleId="104">
    <w:name w:val="标准正文 Char"/>
    <w:link w:val="105"/>
    <w:qFormat/>
    <w:locked/>
    <w:uiPriority w:val="0"/>
    <w:rPr>
      <w:rFonts w:ascii="宋体" w:hAnsi="宋体"/>
      <w:kern w:val="2"/>
      <w:sz w:val="24"/>
      <w:szCs w:val="22"/>
    </w:rPr>
  </w:style>
  <w:style w:type="paragraph" w:customStyle="1" w:styleId="105">
    <w:name w:val="标准正文"/>
    <w:basedOn w:val="1"/>
    <w:link w:val="104"/>
    <w:qFormat/>
    <w:uiPriority w:val="0"/>
    <w:pPr>
      <w:ind w:firstLine="420"/>
    </w:pPr>
    <w:rPr>
      <w:rFonts w:ascii="宋体" w:hAnsi="宋体"/>
    </w:rPr>
  </w:style>
  <w:style w:type="character" w:customStyle="1" w:styleId="106">
    <w:name w:val="普通文字 Char Char3"/>
    <w:qFormat/>
    <w:uiPriority w:val="0"/>
    <w:rPr>
      <w:rFonts w:ascii="宋体" w:hAnsi="Courier New"/>
      <w:kern w:val="2"/>
      <w:sz w:val="21"/>
    </w:rPr>
  </w:style>
  <w:style w:type="character" w:customStyle="1" w:styleId="107">
    <w:name w:val="font71"/>
    <w:qFormat/>
    <w:uiPriority w:val="0"/>
    <w:rPr>
      <w:rFonts w:hint="eastAsia" w:ascii="宋体" w:hAnsi="宋体" w:eastAsia="宋体" w:cs="宋体"/>
      <w:color w:val="000000"/>
      <w:sz w:val="21"/>
      <w:szCs w:val="21"/>
      <w:u w:val="none"/>
    </w:rPr>
  </w:style>
  <w:style w:type="character" w:customStyle="1" w:styleId="108">
    <w:name w:val="apple-style-span"/>
    <w:qFormat/>
    <w:uiPriority w:val="0"/>
  </w:style>
  <w:style w:type="character" w:customStyle="1" w:styleId="109">
    <w:name w:val="fontstyle11"/>
    <w:qFormat/>
    <w:uiPriority w:val="0"/>
    <w:rPr>
      <w:rFonts w:hint="eastAsia" w:ascii="宋体" w:hAnsi="宋体" w:eastAsia="宋体"/>
      <w:color w:val="000000"/>
      <w:sz w:val="22"/>
      <w:szCs w:val="22"/>
    </w:rPr>
  </w:style>
  <w:style w:type="character" w:customStyle="1" w:styleId="110">
    <w:name w:val="普通文字 Char Char5"/>
    <w:qFormat/>
    <w:uiPriority w:val="0"/>
    <w:rPr>
      <w:rFonts w:ascii="宋体" w:hAnsi="Courier New" w:eastAsia="宋体"/>
      <w:szCs w:val="21"/>
      <w:lang w:bidi="ar-SA"/>
    </w:rPr>
  </w:style>
  <w:style w:type="character" w:customStyle="1" w:styleId="111">
    <w:name w:val="标题 8 Char1"/>
    <w:semiHidden/>
    <w:qFormat/>
    <w:uiPriority w:val="0"/>
    <w:rPr>
      <w:rFonts w:ascii="Cambria" w:hAnsi="Cambria" w:eastAsia="宋体" w:cs="Times New Roman"/>
      <w:kern w:val="2"/>
      <w:sz w:val="24"/>
      <w:szCs w:val="24"/>
    </w:rPr>
  </w:style>
  <w:style w:type="character" w:customStyle="1" w:styleId="112">
    <w:name w:val="正文文本缩进 字符1"/>
    <w:semiHidden/>
    <w:qFormat/>
    <w:uiPriority w:val="99"/>
  </w:style>
  <w:style w:type="character" w:customStyle="1" w:styleId="113">
    <w:name w:val="A正文小四 Char"/>
    <w:link w:val="114"/>
    <w:qFormat/>
    <w:uiPriority w:val="0"/>
    <w:rPr>
      <w:sz w:val="24"/>
      <w:szCs w:val="24"/>
    </w:rPr>
  </w:style>
  <w:style w:type="paragraph" w:customStyle="1" w:styleId="114">
    <w:name w:val="A正文小四"/>
    <w:basedOn w:val="1"/>
    <w:link w:val="113"/>
    <w:qFormat/>
    <w:uiPriority w:val="0"/>
    <w:rPr>
      <w:kern w:val="0"/>
      <w:szCs w:val="24"/>
    </w:rPr>
  </w:style>
  <w:style w:type="character" w:customStyle="1" w:styleId="115">
    <w:name w:val="1ji Char"/>
    <w:link w:val="116"/>
    <w:qFormat/>
    <w:uiPriority w:val="0"/>
    <w:rPr>
      <w:rFonts w:ascii="宋体" w:hAnsi="宋体"/>
      <w:b/>
      <w:bCs/>
      <w:kern w:val="44"/>
      <w:sz w:val="36"/>
      <w:szCs w:val="44"/>
    </w:rPr>
  </w:style>
  <w:style w:type="paragraph" w:customStyle="1" w:styleId="116">
    <w:name w:val="1ji"/>
    <w:basedOn w:val="2"/>
    <w:link w:val="115"/>
    <w:qFormat/>
    <w:uiPriority w:val="0"/>
    <w:pPr>
      <w:keepLines w:val="0"/>
      <w:numPr>
        <w:numId w:val="0"/>
      </w:numPr>
      <w:spacing w:line="240" w:lineRule="auto"/>
      <w:jc w:val="center"/>
    </w:pPr>
    <w:rPr>
      <w:rFonts w:ascii="宋体" w:hAnsi="宋体" w:eastAsia="宋体"/>
      <w:sz w:val="36"/>
      <w:szCs w:val="44"/>
    </w:rPr>
  </w:style>
  <w:style w:type="character" w:customStyle="1" w:styleId="117">
    <w:name w:val="A15"/>
    <w:qFormat/>
    <w:uiPriority w:val="0"/>
    <w:rPr>
      <w:rFonts w:ascii="Times New Roman" w:hAnsi="Times New Roman"/>
      <w:color w:val="000000"/>
      <w:sz w:val="14"/>
      <w:szCs w:val="14"/>
    </w:rPr>
  </w:style>
  <w:style w:type="character" w:customStyle="1" w:styleId="118">
    <w:name w:val="正文文本 (2)_"/>
    <w:link w:val="119"/>
    <w:qFormat/>
    <w:locked/>
    <w:uiPriority w:val="0"/>
    <w:rPr>
      <w:rFonts w:ascii="MingLiU" w:hAnsi="MingLiU" w:eastAsia="MingLiU" w:cs="MingLiU"/>
      <w:sz w:val="22"/>
      <w:shd w:val="clear" w:color="auto" w:fill="FFFFFF"/>
    </w:rPr>
  </w:style>
  <w:style w:type="paragraph" w:customStyle="1" w:styleId="119">
    <w:name w:val="正文文本 (2)5"/>
    <w:basedOn w:val="1"/>
    <w:link w:val="118"/>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20">
    <w:name w:val="*正文 Char"/>
    <w:link w:val="121"/>
    <w:qFormat/>
    <w:uiPriority w:val="0"/>
    <w:rPr>
      <w:rFonts w:ascii="仿宋_GB2312" w:eastAsia="仿宋_GB2312"/>
      <w:sz w:val="24"/>
      <w:szCs w:val="28"/>
    </w:rPr>
  </w:style>
  <w:style w:type="paragraph" w:customStyle="1" w:styleId="121">
    <w:name w:val="*正文"/>
    <w:basedOn w:val="1"/>
    <w:link w:val="120"/>
    <w:qFormat/>
    <w:uiPriority w:val="0"/>
    <w:pPr>
      <w:widowControl/>
      <w:spacing w:line="240" w:lineRule="auto"/>
      <w:jc w:val="left"/>
    </w:pPr>
    <w:rPr>
      <w:rFonts w:ascii="仿宋_GB2312" w:eastAsia="仿宋_GB2312"/>
      <w:kern w:val="0"/>
      <w:szCs w:val="28"/>
    </w:rPr>
  </w:style>
  <w:style w:type="character" w:customStyle="1" w:styleId="122">
    <w:name w:val="正文缩进 Char1"/>
    <w:qFormat/>
    <w:locked/>
    <w:uiPriority w:val="0"/>
    <w:rPr>
      <w:rFonts w:eastAsia="宋体"/>
      <w:kern w:val="2"/>
      <w:sz w:val="21"/>
      <w:lang w:val="en-US" w:eastAsia="zh-CN" w:bidi="ar-SA"/>
    </w:rPr>
  </w:style>
  <w:style w:type="character" w:customStyle="1" w:styleId="123">
    <w:name w:val="style291"/>
    <w:qFormat/>
    <w:uiPriority w:val="0"/>
    <w:rPr>
      <w:rFonts w:hint="eastAsia" w:ascii="仿宋_GB2312" w:eastAsia="仿宋_GB2312"/>
    </w:rPr>
  </w:style>
  <w:style w:type="character" w:customStyle="1" w:styleId="124">
    <w:name w:val="标题 4 Char1"/>
    <w:semiHidden/>
    <w:qFormat/>
    <w:uiPriority w:val="0"/>
    <w:rPr>
      <w:rFonts w:ascii="Cambria" w:hAnsi="Cambria" w:eastAsia="宋体" w:cs="Times New Roman"/>
      <w:b/>
      <w:bCs/>
      <w:kern w:val="2"/>
      <w:sz w:val="28"/>
      <w:szCs w:val="28"/>
    </w:rPr>
  </w:style>
  <w:style w:type="character" w:customStyle="1" w:styleId="125">
    <w:name w:val="纯文本 字符2"/>
    <w:qFormat/>
    <w:uiPriority w:val="0"/>
    <w:rPr>
      <w:rFonts w:ascii="宋体" w:hAnsi="Courier New" w:eastAsia="宋体" w:cs="Courier New"/>
      <w:kern w:val="2"/>
      <w:sz w:val="21"/>
      <w:szCs w:val="21"/>
      <w:lang w:val="en-US" w:eastAsia="zh-CN" w:bidi="ar-SA"/>
    </w:rPr>
  </w:style>
  <w:style w:type="character" w:customStyle="1" w:styleId="126">
    <w:name w:val="Char Char"/>
    <w:qFormat/>
    <w:locked/>
    <w:uiPriority w:val="0"/>
    <w:rPr>
      <w:rFonts w:ascii="宋体" w:hAnsi="宋体" w:eastAsia="宋体"/>
      <w:kern w:val="2"/>
      <w:sz w:val="21"/>
      <w:szCs w:val="24"/>
      <w:lang w:val="en-US" w:eastAsia="zh-CN" w:bidi="ar-SA"/>
    </w:rPr>
  </w:style>
  <w:style w:type="character" w:customStyle="1" w:styleId="127">
    <w:name w:val="Char Char3"/>
    <w:qFormat/>
    <w:uiPriority w:val="0"/>
    <w:rPr>
      <w:rFonts w:ascii="宋体" w:hAnsi="Courier New" w:eastAsia="宋体"/>
      <w:kern w:val="2"/>
      <w:sz w:val="21"/>
      <w:lang w:val="en-US" w:eastAsia="zh-CN" w:bidi="ar-SA"/>
    </w:rPr>
  </w:style>
  <w:style w:type="character" w:customStyle="1" w:styleId="128">
    <w:name w:val="标题 1 Char1"/>
    <w:qFormat/>
    <w:uiPriority w:val="0"/>
    <w:rPr>
      <w:b/>
      <w:bCs/>
      <w:kern w:val="44"/>
      <w:sz w:val="44"/>
      <w:szCs w:val="44"/>
    </w:rPr>
  </w:style>
  <w:style w:type="character" w:customStyle="1" w:styleId="129">
    <w:name w:val="t-14"/>
    <w:qFormat/>
    <w:uiPriority w:val="0"/>
  </w:style>
  <w:style w:type="character" w:customStyle="1" w:styleId="130">
    <w:name w:val="正文文本缩进 3 字符"/>
    <w:semiHidden/>
    <w:qFormat/>
    <w:uiPriority w:val="99"/>
    <w:rPr>
      <w:sz w:val="16"/>
      <w:szCs w:val="16"/>
    </w:rPr>
  </w:style>
  <w:style w:type="character" w:customStyle="1" w:styleId="131">
    <w:name w:val="普通文字 Char Char1 Char"/>
    <w:qFormat/>
    <w:locked/>
    <w:uiPriority w:val="0"/>
    <w:rPr>
      <w:rFonts w:ascii="宋体" w:hAnsi="Courier New" w:eastAsia="宋体" w:cs="宋体"/>
      <w:kern w:val="2"/>
      <w:sz w:val="21"/>
      <w:szCs w:val="21"/>
      <w:lang w:val="en-US" w:eastAsia="zh-CN"/>
    </w:rPr>
  </w:style>
  <w:style w:type="character" w:customStyle="1" w:styleId="132">
    <w:name w:val="普通文字 Char Char2"/>
    <w:qFormat/>
    <w:uiPriority w:val="0"/>
    <w:rPr>
      <w:rFonts w:ascii="宋体" w:hAnsi="Courier New" w:eastAsia="宋体" w:cs="Courier New"/>
      <w:szCs w:val="21"/>
    </w:rPr>
  </w:style>
  <w:style w:type="character" w:customStyle="1" w:styleId="133">
    <w:name w:val="font21"/>
    <w:qFormat/>
    <w:uiPriority w:val="0"/>
    <w:rPr>
      <w:rFonts w:hint="default" w:ascii="Times New Roman" w:hAnsi="Times New Roman" w:cs="Times New Roman"/>
      <w:color w:val="000000"/>
      <w:sz w:val="18"/>
      <w:szCs w:val="18"/>
      <w:u w:val="none"/>
    </w:rPr>
  </w:style>
  <w:style w:type="character" w:customStyle="1" w:styleId="134">
    <w:name w:val="062"/>
    <w:qFormat/>
    <w:uiPriority w:val="0"/>
    <w:rPr>
      <w:rFonts w:ascii="宋体" w:hAnsi="宋体"/>
      <w:b/>
      <w:bCs/>
      <w:sz w:val="32"/>
    </w:rPr>
  </w:style>
  <w:style w:type="character" w:customStyle="1" w:styleId="135">
    <w:name w:val="Char Char5"/>
    <w:qFormat/>
    <w:locked/>
    <w:uiPriority w:val="0"/>
    <w:rPr>
      <w:rFonts w:cs="Times New Roman"/>
      <w:sz w:val="21"/>
      <w:szCs w:val="21"/>
    </w:rPr>
  </w:style>
  <w:style w:type="character" w:customStyle="1" w:styleId="136">
    <w:name w:val="ca-142"/>
    <w:qFormat/>
    <w:uiPriority w:val="0"/>
  </w:style>
  <w:style w:type="character" w:customStyle="1" w:styleId="137">
    <w:name w:val="span_param1"/>
    <w:qFormat/>
    <w:uiPriority w:val="0"/>
  </w:style>
  <w:style w:type="character" w:customStyle="1" w:styleId="138">
    <w:name w:val="表格正文 Char"/>
    <w:link w:val="139"/>
    <w:qFormat/>
    <w:locked/>
    <w:uiPriority w:val="0"/>
    <w:rPr>
      <w:szCs w:val="24"/>
    </w:rPr>
  </w:style>
  <w:style w:type="paragraph" w:customStyle="1" w:styleId="139">
    <w:name w:val="表格正文"/>
    <w:basedOn w:val="1"/>
    <w:link w:val="138"/>
    <w:qFormat/>
    <w:uiPriority w:val="0"/>
    <w:pPr>
      <w:ind w:firstLine="0" w:firstLineChars="0"/>
    </w:pPr>
    <w:rPr>
      <w:kern w:val="0"/>
      <w:sz w:val="20"/>
      <w:szCs w:val="24"/>
    </w:rPr>
  </w:style>
  <w:style w:type="character" w:customStyle="1" w:styleId="140">
    <w:name w:val="A4"/>
    <w:qFormat/>
    <w:uiPriority w:val="0"/>
    <w:rPr>
      <w:rFonts w:ascii="新宋体" w:eastAsia="新宋体" w:cs="新宋体"/>
      <w:color w:val="000000"/>
      <w:lang w:bidi="ar-SA"/>
    </w:rPr>
  </w:style>
  <w:style w:type="character" w:customStyle="1" w:styleId="141">
    <w:name w:val="批注文字 Char1"/>
    <w:qFormat/>
    <w:uiPriority w:val="0"/>
    <w:rPr>
      <w:rFonts w:ascii="Times New Roman" w:hAnsi="Times New Roman"/>
      <w:kern w:val="2"/>
      <w:sz w:val="21"/>
      <w:szCs w:val="24"/>
    </w:rPr>
  </w:style>
  <w:style w:type="character" w:customStyle="1" w:styleId="142">
    <w:name w:val="列出段落 Char"/>
    <w:link w:val="143"/>
    <w:qFormat/>
    <w:locked/>
    <w:uiPriority w:val="0"/>
    <w:rPr>
      <w:kern w:val="2"/>
      <w:sz w:val="21"/>
      <w:szCs w:val="24"/>
    </w:rPr>
  </w:style>
  <w:style w:type="paragraph" w:customStyle="1" w:styleId="143">
    <w:name w:val="列出段落2"/>
    <w:basedOn w:val="1"/>
    <w:link w:val="142"/>
    <w:unhideWhenUsed/>
    <w:qFormat/>
    <w:uiPriority w:val="0"/>
    <w:pPr>
      <w:spacing w:line="240" w:lineRule="auto"/>
      <w:ind w:firstLine="420"/>
    </w:pPr>
    <w:rPr>
      <w:sz w:val="21"/>
      <w:szCs w:val="24"/>
    </w:rPr>
  </w:style>
  <w:style w:type="character" w:customStyle="1" w:styleId="144">
    <w:name w:val="纯文本 Char1"/>
    <w:qFormat/>
    <w:uiPriority w:val="0"/>
    <w:rPr>
      <w:rFonts w:ascii="宋体" w:hAnsi="Courier New"/>
      <w:kern w:val="2"/>
      <w:sz w:val="21"/>
    </w:rPr>
  </w:style>
  <w:style w:type="character" w:customStyle="1" w:styleId="145">
    <w:name w:val="font51"/>
    <w:qFormat/>
    <w:uiPriority w:val="0"/>
    <w:rPr>
      <w:rFonts w:hint="eastAsia" w:ascii="宋体" w:hAnsi="宋体" w:eastAsia="宋体" w:cs="宋体"/>
      <w:color w:val="000000"/>
      <w:sz w:val="18"/>
      <w:szCs w:val="18"/>
      <w:u w:val="none"/>
    </w:rPr>
  </w:style>
  <w:style w:type="character" w:customStyle="1" w:styleId="146">
    <w:name w:val="正文缩进2字符 Char"/>
    <w:link w:val="147"/>
    <w:qFormat/>
    <w:locked/>
    <w:uiPriority w:val="0"/>
    <w:rPr>
      <w:kern w:val="2"/>
      <w:sz w:val="24"/>
      <w:szCs w:val="24"/>
    </w:rPr>
  </w:style>
  <w:style w:type="paragraph" w:customStyle="1" w:styleId="147">
    <w:name w:val="正文缩进2字符"/>
    <w:basedOn w:val="1"/>
    <w:next w:val="1"/>
    <w:link w:val="146"/>
    <w:qFormat/>
    <w:uiPriority w:val="0"/>
    <w:pPr>
      <w:ind w:firstLine="480"/>
    </w:pPr>
    <w:rPr>
      <w:szCs w:val="24"/>
    </w:rPr>
  </w:style>
  <w:style w:type="character" w:customStyle="1" w:styleId="148">
    <w:name w:val="标书4级 Char"/>
    <w:link w:val="149"/>
    <w:qFormat/>
    <w:uiPriority w:val="0"/>
    <w:rPr>
      <w:rFonts w:ascii="宋体" w:hAnsi="宋体"/>
      <w:b/>
      <w:bCs/>
      <w:kern w:val="2"/>
      <w:sz w:val="28"/>
      <w:szCs w:val="28"/>
    </w:rPr>
  </w:style>
  <w:style w:type="paragraph" w:customStyle="1" w:styleId="149">
    <w:name w:val="标书4级"/>
    <w:basedOn w:val="5"/>
    <w:link w:val="148"/>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150">
    <w:name w:val="case31"/>
    <w:qFormat/>
    <w:uiPriority w:val="0"/>
    <w:rPr>
      <w:rFonts w:hint="default"/>
      <w:sz w:val="21"/>
      <w:szCs w:val="21"/>
    </w:rPr>
  </w:style>
  <w:style w:type="character" w:customStyle="1" w:styleId="151">
    <w:name w:val="纯文本 Char2"/>
    <w:qFormat/>
    <w:uiPriority w:val="0"/>
    <w:rPr>
      <w:rFonts w:ascii="宋体" w:hAnsi="Courier New" w:cs="Courier New"/>
      <w:kern w:val="2"/>
      <w:sz w:val="21"/>
      <w:szCs w:val="21"/>
    </w:rPr>
  </w:style>
  <w:style w:type="paragraph" w:customStyle="1" w:styleId="152">
    <w:name w:val="Table Paragraph"/>
    <w:basedOn w:val="1"/>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53">
    <w:name w:val="表格"/>
    <w:basedOn w:val="1"/>
    <w:qFormat/>
    <w:uiPriority w:val="0"/>
    <w:pPr>
      <w:spacing w:line="400" w:lineRule="exact"/>
      <w:ind w:firstLine="0" w:firstLineChars="0"/>
    </w:pPr>
    <w:rPr>
      <w:szCs w:val="24"/>
    </w:rPr>
  </w:style>
  <w:style w:type="paragraph" w:customStyle="1" w:styleId="154">
    <w:name w:val="样式 Verdana 首行缩进:  0.74 厘米"/>
    <w:basedOn w:val="1"/>
    <w:qFormat/>
    <w:uiPriority w:val="0"/>
    <w:pPr>
      <w:ind w:firstLine="420" w:firstLineChars="0"/>
    </w:pPr>
    <w:rPr>
      <w:rFonts w:ascii="Verdana" w:hAnsi="Verdana"/>
      <w:szCs w:val="20"/>
    </w:rPr>
  </w:style>
  <w:style w:type="paragraph" w:customStyle="1" w:styleId="155">
    <w:name w:val="_Style 29"/>
    <w:basedOn w:val="1"/>
    <w:qFormat/>
    <w:uiPriority w:val="0"/>
    <w:pPr>
      <w:spacing w:line="240" w:lineRule="auto"/>
      <w:ind w:firstLine="0" w:firstLineChars="0"/>
    </w:pPr>
    <w:rPr>
      <w:rFonts w:ascii="Tahoma" w:hAnsi="Tahoma"/>
      <w:szCs w:val="20"/>
    </w:rPr>
  </w:style>
  <w:style w:type="paragraph" w:customStyle="1" w:styleId="156">
    <w:name w:val="表内文字"/>
    <w:basedOn w:val="1"/>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57">
    <w:name w:val="目录 61"/>
    <w:basedOn w:val="1"/>
    <w:next w:val="1"/>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58">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9">
    <w:name w:val="Char Char8"/>
    <w:basedOn w:val="1"/>
    <w:qFormat/>
    <w:uiPriority w:val="0"/>
    <w:pPr>
      <w:spacing w:line="240" w:lineRule="auto"/>
      <w:ind w:firstLine="0" w:firstLineChars="0"/>
    </w:pPr>
    <w:rPr>
      <w:rFonts w:ascii="Tahoma" w:hAnsi="Tahoma" w:eastAsia="Times New Roman"/>
      <w:kern w:val="0"/>
      <w:szCs w:val="20"/>
    </w:rPr>
  </w:style>
  <w:style w:type="paragraph" w:customStyle="1" w:styleId="160">
    <w:name w:val="List Paragraph1"/>
    <w:basedOn w:val="1"/>
    <w:qFormat/>
    <w:uiPriority w:val="34"/>
    <w:pPr>
      <w:spacing w:line="240" w:lineRule="auto"/>
      <w:ind w:firstLine="420"/>
    </w:pPr>
    <w:rPr>
      <w:sz w:val="21"/>
    </w:rPr>
  </w:style>
  <w:style w:type="paragraph" w:customStyle="1" w:styleId="161">
    <w:name w:val="目录 91"/>
    <w:basedOn w:val="1"/>
    <w:next w:val="1"/>
    <w:unhideWhenUsed/>
    <w:qFormat/>
    <w:uiPriority w:val="39"/>
    <w:pPr>
      <w:spacing w:line="240" w:lineRule="auto"/>
      <w:ind w:left="1680" w:firstLine="0" w:firstLineChars="0"/>
      <w:jc w:val="left"/>
    </w:pPr>
    <w:rPr>
      <w:rFonts w:ascii="等线" w:hAnsi="等线" w:eastAsia="等线"/>
      <w:sz w:val="18"/>
      <w:szCs w:val="18"/>
    </w:rPr>
  </w:style>
  <w:style w:type="paragraph" w:customStyle="1" w:styleId="162">
    <w:name w:val="Char Char Char"/>
    <w:basedOn w:val="1"/>
    <w:qFormat/>
    <w:uiPriority w:val="0"/>
    <w:pPr>
      <w:spacing w:line="240" w:lineRule="auto"/>
      <w:ind w:firstLine="0" w:firstLineChars="0"/>
    </w:pPr>
    <w:rPr>
      <w:rFonts w:ascii="Tahoma" w:hAnsi="Tahoma"/>
      <w:szCs w:val="20"/>
    </w:rPr>
  </w:style>
  <w:style w:type="paragraph" w:customStyle="1" w:styleId="163">
    <w:name w:val="默认段落字体 Para Char Char Char Char Char Char Char Char Char Char Char Char Char Char Char Char Char Char Char"/>
    <w:basedOn w:val="1"/>
    <w:qFormat/>
    <w:uiPriority w:val="0"/>
    <w:pPr>
      <w:spacing w:line="240" w:lineRule="auto"/>
      <w:ind w:firstLine="0" w:firstLineChars="0"/>
    </w:pPr>
    <w:rPr>
      <w:sz w:val="21"/>
    </w:rPr>
  </w:style>
  <w:style w:type="paragraph" w:customStyle="1" w:styleId="164">
    <w:name w:val="_Style 52"/>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65">
    <w:name w:val="正文段"/>
    <w:basedOn w:val="1"/>
    <w:qFormat/>
    <w:uiPriority w:val="0"/>
    <w:pPr>
      <w:widowControl/>
      <w:snapToGrid w:val="0"/>
      <w:spacing w:afterLines="50" w:line="240" w:lineRule="auto"/>
    </w:pPr>
    <w:rPr>
      <w:kern w:val="0"/>
      <w:szCs w:val="20"/>
    </w:rPr>
  </w:style>
  <w:style w:type="paragraph" w:customStyle="1" w:styleId="166">
    <w:name w:val="修订1"/>
    <w:semiHidden/>
    <w:qFormat/>
    <w:uiPriority w:val="99"/>
    <w:rPr>
      <w:rFonts w:ascii="Times New Roman" w:hAnsi="Times New Roman" w:eastAsia="宋体" w:cs="Times New Roman"/>
      <w:kern w:val="2"/>
      <w:sz w:val="21"/>
      <w:lang w:val="en-US" w:eastAsia="zh-CN" w:bidi="ar-SA"/>
    </w:rPr>
  </w:style>
  <w:style w:type="paragraph" w:customStyle="1" w:styleId="167">
    <w:name w:val="Char1"/>
    <w:basedOn w:val="1"/>
    <w:qFormat/>
    <w:uiPriority w:val="0"/>
    <w:pPr>
      <w:spacing w:line="240" w:lineRule="auto"/>
      <w:ind w:firstLine="0" w:firstLineChars="0"/>
    </w:pPr>
    <w:rPr>
      <w:sz w:val="21"/>
      <w:szCs w:val="21"/>
    </w:rPr>
  </w:style>
  <w:style w:type="paragraph" w:customStyle="1" w:styleId="168">
    <w:name w:val="2ji"/>
    <w:basedOn w:val="3"/>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169">
    <w:name w:val="Char Char16 Char Char"/>
    <w:basedOn w:val="1"/>
    <w:qFormat/>
    <w:uiPriority w:val="0"/>
    <w:pPr>
      <w:adjustRightInd w:val="0"/>
      <w:ind w:firstLine="0" w:firstLineChars="0"/>
    </w:pPr>
    <w:rPr>
      <w:sz w:val="21"/>
      <w:szCs w:val="24"/>
    </w:rPr>
  </w:style>
  <w:style w:type="paragraph" w:customStyle="1" w:styleId="170">
    <w:name w:val="目录 21"/>
    <w:basedOn w:val="1"/>
    <w:next w:val="1"/>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71">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72">
    <w:name w:val="目录 31"/>
    <w:basedOn w:val="1"/>
    <w:next w:val="1"/>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73">
    <w:name w:val="样式 标题 2 + Times New Roman 四号 非加粗 段前: 5 磅 段后: 0 磅 行距: 固定值 20..."/>
    <w:basedOn w:val="3"/>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174">
    <w:name w:val="标题 41"/>
    <w:basedOn w:val="1"/>
    <w:next w:val="1"/>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175">
    <w:name w:val="标准正文 S"/>
    <w:basedOn w:val="1"/>
    <w:link w:val="176"/>
    <w:qFormat/>
    <w:uiPriority w:val="0"/>
    <w:pPr>
      <w:spacing w:beforeLines="50" w:afterLines="50"/>
      <w:ind w:firstLine="480" w:firstLineChars="0"/>
      <w:jc w:val="left"/>
    </w:pPr>
    <w:rPr>
      <w:szCs w:val="24"/>
    </w:rPr>
  </w:style>
  <w:style w:type="character" w:customStyle="1" w:styleId="176">
    <w:name w:val="标准正文 S字符"/>
    <w:link w:val="175"/>
    <w:qFormat/>
    <w:locked/>
    <w:uiPriority w:val="0"/>
    <w:rPr>
      <w:kern w:val="2"/>
      <w:sz w:val="24"/>
      <w:szCs w:val="24"/>
    </w:rPr>
  </w:style>
  <w:style w:type="paragraph" w:customStyle="1" w:styleId="177">
    <w:name w:val="标题 91"/>
    <w:basedOn w:val="1"/>
    <w:next w:val="1"/>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178">
    <w:name w:val="题注1"/>
    <w:basedOn w:val="1"/>
    <w:next w:val="1"/>
    <w:unhideWhenUsed/>
    <w:qFormat/>
    <w:uiPriority w:val="0"/>
    <w:pPr>
      <w:keepNext/>
      <w:ind w:firstLine="0" w:firstLineChars="0"/>
      <w:jc w:val="center"/>
    </w:pPr>
    <w:rPr>
      <w:rFonts w:ascii="Cambria" w:hAnsi="Cambria"/>
      <w:b/>
      <w:color w:val="000000"/>
      <w:sz w:val="21"/>
      <w:szCs w:val="20"/>
    </w:rPr>
  </w:style>
  <w:style w:type="paragraph" w:customStyle="1" w:styleId="179">
    <w:name w:val="_Style 36"/>
    <w:basedOn w:val="1"/>
    <w:qFormat/>
    <w:uiPriority w:val="0"/>
    <w:pPr>
      <w:spacing w:line="240" w:lineRule="auto"/>
      <w:ind w:firstLine="0" w:firstLineChars="0"/>
    </w:pPr>
    <w:rPr>
      <w:rFonts w:ascii="Tahoma" w:hAnsi="Tahoma"/>
      <w:szCs w:val="20"/>
    </w:rPr>
  </w:style>
  <w:style w:type="paragraph" w:customStyle="1" w:styleId="180">
    <w:name w:val="列表段落1"/>
    <w:basedOn w:val="1"/>
    <w:qFormat/>
    <w:uiPriority w:val="34"/>
    <w:pPr>
      <w:spacing w:beforeLines="50" w:afterLines="50" w:line="240" w:lineRule="auto"/>
      <w:ind w:firstLine="420"/>
    </w:pPr>
  </w:style>
  <w:style w:type="paragraph" w:customStyle="1" w:styleId="181">
    <w:name w:val="1"/>
    <w:basedOn w:val="1"/>
    <w:next w:val="24"/>
    <w:qFormat/>
    <w:uiPriority w:val="0"/>
    <w:pPr>
      <w:spacing w:line="240" w:lineRule="auto"/>
      <w:ind w:firstLine="0" w:firstLineChars="0"/>
    </w:pPr>
    <w:rPr>
      <w:rFonts w:ascii="宋体" w:hAnsi="Courier New"/>
      <w:sz w:val="21"/>
      <w:szCs w:val="20"/>
    </w:rPr>
  </w:style>
  <w:style w:type="paragraph" w:customStyle="1" w:styleId="182">
    <w:name w:val="目录 81"/>
    <w:basedOn w:val="1"/>
    <w:next w:val="1"/>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83">
    <w:name w:val="正文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4">
    <w:name w:val="目录 11"/>
    <w:basedOn w:val="1"/>
    <w:next w:val="1"/>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185">
    <w:name w:val="Default"/>
    <w:qFormat/>
    <w:uiPriority w:val="0"/>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customStyle="1" w:styleId="186">
    <w:name w:val="font0"/>
    <w:basedOn w:val="1"/>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87">
    <w:name w:val="目录 51"/>
    <w:basedOn w:val="1"/>
    <w:next w:val="1"/>
    <w:unhideWhenUsed/>
    <w:qFormat/>
    <w:uiPriority w:val="39"/>
    <w:pPr>
      <w:spacing w:line="240" w:lineRule="auto"/>
      <w:ind w:left="840" w:firstLine="0" w:firstLineChars="0"/>
      <w:jc w:val="left"/>
    </w:pPr>
    <w:rPr>
      <w:rFonts w:ascii="等线" w:hAnsi="等线" w:eastAsia="等线"/>
      <w:sz w:val="18"/>
      <w:szCs w:val="18"/>
    </w:rPr>
  </w:style>
  <w:style w:type="paragraph" w:customStyle="1" w:styleId="188">
    <w:name w:val="444"/>
    <w:basedOn w:val="1"/>
    <w:qFormat/>
    <w:uiPriority w:val="0"/>
    <w:pPr>
      <w:adjustRightInd w:val="0"/>
      <w:spacing w:line="312" w:lineRule="atLeast"/>
      <w:ind w:firstLine="0" w:firstLineChars="0"/>
      <w:jc w:val="center"/>
      <w:textAlignment w:val="baseline"/>
    </w:pPr>
    <w:rPr>
      <w:b/>
      <w:kern w:val="0"/>
      <w:sz w:val="36"/>
      <w:szCs w:val="36"/>
    </w:rPr>
  </w:style>
  <w:style w:type="paragraph" w:customStyle="1" w:styleId="189">
    <w:name w:val="样式 首行缩进:  2 字符"/>
    <w:basedOn w:val="1"/>
    <w:qFormat/>
    <w:uiPriority w:val="0"/>
    <w:pPr>
      <w:spacing w:line="400" w:lineRule="exact"/>
    </w:pPr>
    <w:rPr>
      <w:rFonts w:cs="宋体"/>
      <w:szCs w:val="24"/>
    </w:rPr>
  </w:style>
  <w:style w:type="paragraph" w:customStyle="1" w:styleId="190">
    <w:name w:val="目录 71"/>
    <w:basedOn w:val="1"/>
    <w:next w:val="1"/>
    <w:unhideWhenUsed/>
    <w:qFormat/>
    <w:uiPriority w:val="39"/>
    <w:pPr>
      <w:spacing w:line="240" w:lineRule="auto"/>
      <w:ind w:left="1260" w:firstLine="0" w:firstLineChars="0"/>
      <w:jc w:val="left"/>
    </w:pPr>
    <w:rPr>
      <w:rFonts w:ascii="等线" w:hAnsi="等线" w:eastAsia="等线"/>
      <w:sz w:val="18"/>
      <w:szCs w:val="18"/>
    </w:rPr>
  </w:style>
  <w:style w:type="paragraph" w:customStyle="1" w:styleId="191">
    <w:name w:val="正文首行缩进两字符"/>
    <w:basedOn w:val="1"/>
    <w:qFormat/>
    <w:uiPriority w:val="0"/>
    <w:rPr>
      <w:sz w:val="21"/>
      <w:szCs w:val="24"/>
    </w:rPr>
  </w:style>
  <w:style w:type="paragraph" w:customStyle="1" w:styleId="192">
    <w:name w:val="标题 81"/>
    <w:basedOn w:val="1"/>
    <w:next w:val="1"/>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93">
    <w:name w:val="F2"/>
    <w:basedOn w:val="1"/>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194">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5">
    <w:name w:val="Char2"/>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196">
    <w:name w:val="msolistparagraph"/>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97">
    <w:name w:val="默认段落字体 Para Char Char Char Char Char Char Char Char Char1 Char Char Char Char"/>
    <w:basedOn w:val="1"/>
    <w:qFormat/>
    <w:uiPriority w:val="0"/>
    <w:pPr>
      <w:spacing w:line="240" w:lineRule="auto"/>
      <w:ind w:firstLine="0" w:firstLineChars="0"/>
    </w:pPr>
    <w:rPr>
      <w:rFonts w:ascii="Tahoma" w:hAnsi="Tahoma"/>
      <w:szCs w:val="20"/>
    </w:rPr>
  </w:style>
  <w:style w:type="paragraph" w:customStyle="1" w:styleId="19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99">
    <w:name w:val="ZW"/>
    <w:basedOn w:val="1"/>
    <w:qFormat/>
    <w:uiPriority w:val="0"/>
    <w:pPr>
      <w:spacing w:line="560" w:lineRule="exact"/>
      <w:ind w:firstLine="560"/>
    </w:pPr>
    <w:rPr>
      <w:rFonts w:hAnsi="宋体"/>
      <w:sz w:val="28"/>
      <w:szCs w:val="28"/>
    </w:rPr>
  </w:style>
  <w:style w:type="paragraph" w:customStyle="1" w:styleId="200">
    <w:name w:val="样式 标题 3 + (中文) 黑体 小四 非加粗 段前: 7.8 磅 段后: 0 磅 行距: 固定值 20 磅"/>
    <w:basedOn w:val="4"/>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01">
    <w:name w:val="p0"/>
    <w:basedOn w:val="1"/>
    <w:qFormat/>
    <w:uiPriority w:val="0"/>
    <w:pPr>
      <w:widowControl/>
      <w:spacing w:line="240" w:lineRule="auto"/>
      <w:ind w:firstLine="0" w:firstLineChars="0"/>
    </w:pPr>
    <w:rPr>
      <w:kern w:val="0"/>
      <w:sz w:val="21"/>
      <w:szCs w:val="21"/>
    </w:rPr>
  </w:style>
  <w:style w:type="paragraph" w:customStyle="1" w:styleId="202">
    <w:name w:val="目录 41"/>
    <w:basedOn w:val="1"/>
    <w:next w:val="1"/>
    <w:unhideWhenUsed/>
    <w:qFormat/>
    <w:uiPriority w:val="39"/>
    <w:pPr>
      <w:spacing w:line="240" w:lineRule="auto"/>
      <w:ind w:left="630" w:firstLine="0" w:firstLineChars="0"/>
      <w:jc w:val="left"/>
    </w:pPr>
    <w:rPr>
      <w:rFonts w:ascii="等线" w:hAnsi="等线" w:eastAsia="等线"/>
      <w:sz w:val="18"/>
      <w:szCs w:val="18"/>
    </w:rPr>
  </w:style>
  <w:style w:type="paragraph" w:customStyle="1" w:styleId="203">
    <w:name w:val="无间隔1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04">
    <w:name w:val="样式1"/>
    <w:basedOn w:val="1"/>
    <w:link w:val="205"/>
    <w:qFormat/>
    <w:uiPriority w:val="0"/>
    <w:pPr>
      <w:spacing w:before="120" w:after="120" w:line="300" w:lineRule="auto"/>
      <w:ind w:firstLine="0" w:firstLineChars="0"/>
    </w:pPr>
    <w:rPr>
      <w:rFonts w:ascii="宋体" w:hAnsi="宋体"/>
      <w:b/>
      <w:szCs w:val="20"/>
    </w:rPr>
  </w:style>
  <w:style w:type="character" w:customStyle="1" w:styleId="205">
    <w:name w:val="样式1 Char"/>
    <w:link w:val="204"/>
    <w:qFormat/>
    <w:uiPriority w:val="0"/>
    <w:rPr>
      <w:rFonts w:ascii="宋体" w:hAnsi="宋体"/>
      <w:b/>
      <w:kern w:val="2"/>
      <w:sz w:val="24"/>
    </w:rPr>
  </w:style>
  <w:style w:type="paragraph" w:customStyle="1" w:styleId="206">
    <w:name w:val="样式 小四正文 + 首行缩进:  2 字符 段前: 0.5 行"/>
    <w:basedOn w:val="1"/>
    <w:qFormat/>
    <w:uiPriority w:val="0"/>
    <w:pPr>
      <w:spacing w:beforeLines="50"/>
    </w:pPr>
    <w:rPr>
      <w:rFonts w:ascii="宋体" w:hAnsi="宋体"/>
      <w:szCs w:val="20"/>
    </w:rPr>
  </w:style>
  <w:style w:type="paragraph" w:customStyle="1" w:styleId="207">
    <w:name w:val="Char"/>
    <w:basedOn w:val="1"/>
    <w:qFormat/>
    <w:uiPriority w:val="0"/>
    <w:pPr>
      <w:spacing w:line="240" w:lineRule="auto"/>
      <w:ind w:firstLine="0" w:firstLineChars="0"/>
    </w:pPr>
    <w:rPr>
      <w:sz w:val="21"/>
      <w:szCs w:val="24"/>
    </w:rPr>
  </w:style>
  <w:style w:type="paragraph" w:customStyle="1" w:styleId="208">
    <w:name w:val="无间隔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9">
    <w:name w:val="列出段落1"/>
    <w:basedOn w:val="1"/>
    <w:qFormat/>
    <w:uiPriority w:val="34"/>
    <w:pPr>
      <w:spacing w:line="240" w:lineRule="auto"/>
      <w:ind w:firstLine="420"/>
    </w:pPr>
    <w:rPr>
      <w:sz w:val="21"/>
      <w:szCs w:val="24"/>
    </w:rPr>
  </w:style>
  <w:style w:type="paragraph" w:customStyle="1" w:styleId="210">
    <w:name w:val="Char3"/>
    <w:basedOn w:val="1"/>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customStyle="1" w:styleId="211">
    <w:name w:val="3 级标题"/>
    <w:basedOn w:val="4"/>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212">
    <w:name w:val="标题 11"/>
    <w:basedOn w:val="1"/>
    <w:next w:val="1"/>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213">
    <w:name w:val="列出段落11"/>
    <w:basedOn w:val="1"/>
    <w:qFormat/>
    <w:uiPriority w:val="0"/>
    <w:pPr>
      <w:spacing w:line="240" w:lineRule="auto"/>
      <w:ind w:firstLine="420"/>
    </w:pPr>
    <w:rPr>
      <w:sz w:val="21"/>
      <w:szCs w:val="24"/>
    </w:rPr>
  </w:style>
  <w:style w:type="paragraph" w:customStyle="1" w:styleId="214">
    <w:name w:val="列出段落3"/>
    <w:basedOn w:val="1"/>
    <w:unhideWhenUsed/>
    <w:qFormat/>
    <w:uiPriority w:val="99"/>
    <w:pPr>
      <w:spacing w:line="240" w:lineRule="auto"/>
      <w:ind w:firstLine="420"/>
    </w:pPr>
    <w:rPr>
      <w:sz w:val="21"/>
      <w:szCs w:val="24"/>
    </w:rPr>
  </w:style>
  <w:style w:type="table" w:customStyle="1" w:styleId="215">
    <w:name w:val="网格型2"/>
    <w:basedOn w:val="43"/>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
    <w:name w:val="网格型1"/>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7">
    <w:name w:val="纯文本 Char3"/>
    <w:qFormat/>
    <w:uiPriority w:val="0"/>
    <w:rPr>
      <w:rFonts w:ascii="宋体" w:hAnsi="Courier New"/>
      <w:szCs w:val="21"/>
    </w:rPr>
  </w:style>
  <w:style w:type="paragraph" w:customStyle="1" w:styleId="218">
    <w:name w:val="_Style 216"/>
    <w:basedOn w:val="2"/>
    <w:next w:val="1"/>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character" w:customStyle="1" w:styleId="219">
    <w:name w:val="font61"/>
    <w:qFormat/>
    <w:uiPriority w:val="0"/>
    <w:rPr>
      <w:rFonts w:hint="eastAsia" w:ascii="宋体" w:hAnsi="宋体" w:eastAsia="宋体" w:cs="宋体"/>
      <w:color w:val="000000"/>
      <w:sz w:val="18"/>
      <w:szCs w:val="18"/>
      <w:u w:val="none"/>
    </w:rPr>
  </w:style>
  <w:style w:type="character" w:customStyle="1" w:styleId="220">
    <w:name w:val="标题 Char2"/>
    <w:qFormat/>
    <w:uiPriority w:val="10"/>
    <w:rPr>
      <w:rFonts w:ascii="Cambria" w:hAnsi="Cambria" w:cs="Times New Roman"/>
      <w:b/>
      <w:bCs/>
      <w:kern w:val="2"/>
      <w:sz w:val="32"/>
      <w:szCs w:val="32"/>
    </w:rPr>
  </w:style>
  <w:style w:type="paragraph" w:customStyle="1" w:styleId="221">
    <w:name w:val="正文文本首行缩进1"/>
    <w:basedOn w:val="1"/>
    <w:qFormat/>
    <w:uiPriority w:val="0"/>
    <w:pPr>
      <w:spacing w:after="120" w:line="360" w:lineRule="exact"/>
      <w:ind w:left="400" w:leftChars="400" w:firstLine="420" w:firstLineChars="100"/>
    </w:pPr>
    <w:rPr>
      <w:rFonts w:eastAsia="楷体_GB2312"/>
      <w:sz w:val="21"/>
      <w:szCs w:val="24"/>
    </w:rPr>
  </w:style>
  <w:style w:type="paragraph" w:customStyle="1" w:styleId="222">
    <w:name w:val="_Style 220"/>
    <w:unhideWhenUsed/>
    <w:qFormat/>
    <w:uiPriority w:val="99"/>
    <w:rPr>
      <w:rFonts w:ascii="Times New Roman" w:hAnsi="Times New Roman" w:eastAsia="宋体" w:cs="Times New Roman"/>
      <w:kern w:val="2"/>
      <w:sz w:val="24"/>
      <w:szCs w:val="22"/>
      <w:lang w:val="en-US" w:eastAsia="zh-CN" w:bidi="ar-SA"/>
    </w:rPr>
  </w:style>
  <w:style w:type="character" w:customStyle="1" w:styleId="223">
    <w:name w:val="批注文字 字符"/>
    <w:qFormat/>
    <w:uiPriority w:val="99"/>
    <w:rPr>
      <w:sz w:val="24"/>
    </w:rPr>
  </w:style>
  <w:style w:type="character" w:customStyle="1" w:styleId="224">
    <w:name w:val="hover25"/>
    <w:basedOn w:val="45"/>
    <w:qFormat/>
    <w:uiPriority w:val="0"/>
    <w:rPr>
      <w:color w:val="335BFF"/>
    </w:rPr>
  </w:style>
  <w:style w:type="character" w:customStyle="1" w:styleId="225">
    <w:name w:val="hover26"/>
    <w:basedOn w:val="45"/>
    <w:qFormat/>
    <w:uiPriority w:val="0"/>
  </w:style>
  <w:style w:type="character" w:customStyle="1" w:styleId="226">
    <w:name w:val="hover27"/>
    <w:basedOn w:val="45"/>
    <w:qFormat/>
    <w:uiPriority w:val="0"/>
  </w:style>
  <w:style w:type="character" w:customStyle="1" w:styleId="227">
    <w:name w:val="hover28"/>
    <w:basedOn w:val="45"/>
    <w:qFormat/>
    <w:uiPriority w:val="0"/>
    <w:rPr>
      <w:color w:val="315EFB"/>
    </w:rPr>
  </w:style>
  <w:style w:type="character" w:customStyle="1" w:styleId="228">
    <w:name w:val="hover29"/>
    <w:basedOn w:val="45"/>
    <w:qFormat/>
    <w:uiPriority w:val="0"/>
    <w:rPr>
      <w:color w:val="315EFB"/>
    </w:rPr>
  </w:style>
  <w:style w:type="character" w:customStyle="1" w:styleId="229">
    <w:name w:val="c-icon"/>
    <w:basedOn w:val="45"/>
    <w:qFormat/>
    <w:uiPriority w:val="0"/>
  </w:style>
  <w:style w:type="character" w:customStyle="1" w:styleId="230">
    <w:name w:val="type_vwl1n"/>
    <w:basedOn w:val="45"/>
    <w:qFormat/>
    <w:uiPriority w:val="0"/>
    <w:rPr>
      <w:color w:val="999999"/>
    </w:rPr>
  </w:style>
  <w:style w:type="character" w:customStyle="1" w:styleId="231">
    <w:name w:val="first-child"/>
    <w:basedOn w:val="45"/>
    <w:qFormat/>
    <w:uiPriority w:val="0"/>
  </w:style>
  <w:style w:type="character" w:customStyle="1" w:styleId="232">
    <w:name w:val="first-child1"/>
    <w:basedOn w:val="45"/>
    <w:qFormat/>
    <w:uiPriority w:val="0"/>
  </w:style>
  <w:style w:type="character" w:customStyle="1" w:styleId="233">
    <w:name w:val="desc_jpnvt"/>
    <w:basedOn w:val="45"/>
    <w:qFormat/>
    <w:uiPriority w:val="0"/>
    <w:rPr>
      <w:color w:val="333333"/>
    </w:rPr>
  </w:style>
  <w:style w:type="paragraph" w:customStyle="1" w:styleId="234">
    <w:name w:val="首行缩进"/>
    <w:basedOn w:val="1"/>
    <w:qFormat/>
    <w:uiPriority w:val="0"/>
    <w:pPr>
      <w:ind w:firstLine="48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3.png"/><Relationship Id="rId25" Type="http://schemas.openxmlformats.org/officeDocument/2006/relationships/image" Target="https://www.gov.cn/zhengce/content/202509/W020250930645245947614.png" TargetMode="External"/><Relationship Id="rId24" Type="http://schemas.openxmlformats.org/officeDocument/2006/relationships/image" Target="media/image2.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2121</Words>
  <Characters>2534</Characters>
  <Lines>294</Lines>
  <Paragraphs>82</Paragraphs>
  <TotalTime>1</TotalTime>
  <ScaleCrop>false</ScaleCrop>
  <LinksUpToDate>false</LinksUpToDate>
  <CharactersWithSpaces>2600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2022-01-05T07:33:00Z</dcterms:created>
  <dc:creator>Administrator</dc:creator>
  <cp:lastModifiedBy>用户</cp:lastModifiedBy>
  <cp:lastPrinted>2026-06-22T10:48:00Z</cp:lastPrinted>
  <dcterms:modified xsi:type="dcterms:W3CDTF">2026-07-03T04:39:54Z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4E6978C587DB497EB920F244515469E7_13</vt:lpwstr>
  </property>
  <property fmtid="{D5CDD505-2E9C-101B-9397-08002B2CF9AE}" pid="4" name="KSOTemplateDocerSaveRecord">
    <vt:lpwstr>eyJoZGlkIjoiNjYxNGMxOWE1NmJmNjE2NWUxMWZiOTdlYWFjMjI2YjIiLCJ1c2VySWQiOiIyNDA5MzM3NzAifQ==</vt:lpwstr>
  </property>
</Properties>
</file>