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DCDB0">
      <w:pPr>
        <w:spacing w:line="360" w:lineRule="auto"/>
        <w:jc w:val="center"/>
        <w:rPr>
          <w:rFonts w:ascii="宋体" w:hAnsi="宋体" w:cs="宋体"/>
          <w:color w:val="auto"/>
          <w:sz w:val="52"/>
          <w:szCs w:val="52"/>
          <w:highlight w:val="none"/>
        </w:rPr>
      </w:pPr>
    </w:p>
    <w:p w14:paraId="5368AC55">
      <w:pPr>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云之龙咨询集团有限公司</w:t>
      </w:r>
    </w:p>
    <w:p w14:paraId="71A81916">
      <w:pPr>
        <w:spacing w:line="360" w:lineRule="auto"/>
        <w:jc w:val="center"/>
        <w:rPr>
          <w:rFonts w:ascii="宋体" w:hAnsi="宋体" w:cs="宋体"/>
          <w:b/>
          <w:color w:val="auto"/>
          <w:sz w:val="48"/>
          <w:szCs w:val="48"/>
          <w:highlight w:val="none"/>
        </w:rPr>
      </w:pPr>
    </w:p>
    <w:p w14:paraId="58D74386">
      <w:pPr>
        <w:snapToGrid w:val="0"/>
        <w:spacing w:before="120" w:beforeLines="50" w:line="360" w:lineRule="auto"/>
        <w:jc w:val="center"/>
        <w:rPr>
          <w:rFonts w:ascii="宋体" w:hAnsi="宋体" w:cs="宋体"/>
          <w:color w:val="auto"/>
          <w:sz w:val="120"/>
          <w:szCs w:val="120"/>
          <w:highlight w:val="none"/>
        </w:rPr>
      </w:pPr>
      <w:r>
        <w:rPr>
          <w:rFonts w:hint="eastAsia" w:ascii="宋体" w:hAnsi="宋体" w:cs="宋体"/>
          <w:color w:val="auto"/>
          <w:sz w:val="120"/>
          <w:szCs w:val="120"/>
          <w:highlight w:val="none"/>
        </w:rPr>
        <w:t>招 标 文 件</w:t>
      </w:r>
    </w:p>
    <w:p w14:paraId="5546401F">
      <w:pPr>
        <w:pStyle w:val="27"/>
        <w:snapToGrid w:val="0"/>
        <w:spacing w:line="360" w:lineRule="auto"/>
        <w:ind w:left="840" w:leftChars="400" w:firstLine="286" w:firstLineChars="100"/>
        <w:rPr>
          <w:rFonts w:hAnsi="宋体" w:cs="宋体"/>
          <w:b/>
          <w:bCs/>
          <w:color w:val="auto"/>
          <w:w w:val="95"/>
          <w:sz w:val="30"/>
          <w:szCs w:val="30"/>
          <w:highlight w:val="none"/>
        </w:rPr>
      </w:pPr>
    </w:p>
    <w:p w14:paraId="0316DA4E">
      <w:pPr>
        <w:pStyle w:val="27"/>
        <w:snapToGrid w:val="0"/>
        <w:spacing w:line="360" w:lineRule="auto"/>
        <w:ind w:left="840" w:leftChars="400" w:firstLine="286" w:firstLineChars="100"/>
        <w:rPr>
          <w:rFonts w:hAnsi="宋体" w:cs="宋体"/>
          <w:b/>
          <w:bCs/>
          <w:color w:val="auto"/>
          <w:w w:val="95"/>
          <w:sz w:val="30"/>
          <w:szCs w:val="30"/>
          <w:highlight w:val="none"/>
        </w:rPr>
      </w:pPr>
      <w:r>
        <w:rPr>
          <w:rFonts w:hint="eastAsia" w:hAnsi="宋体" w:cs="宋体"/>
          <w:b/>
          <w:bCs/>
          <w:color w:val="auto"/>
          <w:w w:val="95"/>
          <w:sz w:val="30"/>
          <w:szCs w:val="30"/>
          <w:highlight w:val="none"/>
        </w:rPr>
        <w:t>项目名称：桂林医科大学餐饮运营与管理服务项目</w:t>
      </w:r>
    </w:p>
    <w:p w14:paraId="1EC18B2D">
      <w:pPr>
        <w:pStyle w:val="27"/>
        <w:snapToGrid w:val="0"/>
        <w:spacing w:line="360" w:lineRule="auto"/>
        <w:ind w:left="840" w:leftChars="400" w:firstLine="286" w:firstLineChars="100"/>
        <w:rPr>
          <w:rFonts w:hAnsi="宋体" w:cs="宋体"/>
          <w:b/>
          <w:bCs/>
          <w:color w:val="auto"/>
          <w:w w:val="95"/>
          <w:sz w:val="30"/>
          <w:szCs w:val="30"/>
          <w:highlight w:val="none"/>
        </w:rPr>
      </w:pPr>
      <w:r>
        <w:rPr>
          <w:rFonts w:hint="eastAsia" w:hAnsi="宋体" w:cs="宋体"/>
          <w:b/>
          <w:bCs/>
          <w:color w:val="auto"/>
          <w:w w:val="95"/>
          <w:sz w:val="30"/>
          <w:szCs w:val="30"/>
          <w:highlight w:val="none"/>
        </w:rPr>
        <w:t>项目编号：GXZC2026-G3-002238-YZLZ</w:t>
      </w:r>
    </w:p>
    <w:p w14:paraId="0204F09B">
      <w:pPr>
        <w:pStyle w:val="27"/>
        <w:snapToGrid w:val="0"/>
        <w:spacing w:line="360" w:lineRule="auto"/>
        <w:ind w:firstLine="1145" w:firstLineChars="400"/>
        <w:rPr>
          <w:rFonts w:hAnsi="宋体" w:cs="宋体"/>
          <w:b/>
          <w:bCs/>
          <w:color w:val="auto"/>
          <w:w w:val="95"/>
          <w:sz w:val="30"/>
          <w:szCs w:val="30"/>
          <w:highlight w:val="none"/>
        </w:rPr>
      </w:pPr>
      <w:r>
        <w:rPr>
          <w:rFonts w:hint="eastAsia" w:hAnsi="宋体" w:cs="宋体"/>
          <w:b/>
          <w:bCs/>
          <w:color w:val="auto"/>
          <w:w w:val="95"/>
          <w:sz w:val="30"/>
          <w:szCs w:val="30"/>
          <w:highlight w:val="none"/>
        </w:rPr>
        <w:t>采 购 人：桂林医科大学</w:t>
      </w:r>
    </w:p>
    <w:p w14:paraId="128F17B8">
      <w:pPr>
        <w:pStyle w:val="27"/>
        <w:snapToGrid w:val="0"/>
        <w:spacing w:line="360" w:lineRule="auto"/>
        <w:ind w:firstLine="1145" w:firstLineChars="400"/>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采购代理机构：云之龙咨询集团有限公司</w:t>
      </w:r>
    </w:p>
    <w:p w14:paraId="168DA42C">
      <w:pPr>
        <w:pStyle w:val="27"/>
        <w:snapToGrid w:val="0"/>
        <w:spacing w:line="360" w:lineRule="auto"/>
        <w:ind w:firstLine="1125" w:firstLineChars="393"/>
        <w:rPr>
          <w:rFonts w:hAnsi="宋体" w:cs="宋体"/>
          <w:b/>
          <w:bCs/>
          <w:color w:val="auto"/>
          <w:w w:val="95"/>
          <w:sz w:val="30"/>
          <w:szCs w:val="30"/>
          <w:highlight w:val="none"/>
        </w:rPr>
      </w:pPr>
    </w:p>
    <w:p w14:paraId="52DFEA8C">
      <w:pPr>
        <w:pStyle w:val="27"/>
        <w:snapToGrid w:val="0"/>
        <w:spacing w:line="360" w:lineRule="auto"/>
        <w:ind w:firstLine="1125" w:firstLineChars="393"/>
        <w:rPr>
          <w:rFonts w:hAnsi="宋体" w:cs="宋体"/>
          <w:b/>
          <w:bCs/>
          <w:color w:val="auto"/>
          <w:w w:val="95"/>
          <w:sz w:val="30"/>
          <w:szCs w:val="30"/>
          <w:highlight w:val="none"/>
        </w:rPr>
      </w:pPr>
    </w:p>
    <w:p w14:paraId="7335F065">
      <w:pPr>
        <w:pStyle w:val="27"/>
        <w:snapToGrid w:val="0"/>
        <w:spacing w:line="360" w:lineRule="auto"/>
        <w:jc w:val="center"/>
        <w:rPr>
          <w:rFonts w:hAnsi="宋体" w:cs="宋体"/>
          <w:color w:val="auto"/>
          <w:szCs w:val="20"/>
          <w:highlight w:val="none"/>
        </w:rPr>
      </w:pPr>
      <w:r>
        <w:rPr>
          <w:rFonts w:hint="eastAsia" w:hAnsi="宋体" w:cs="宋体"/>
          <w:b/>
          <w:bCs/>
          <w:color w:val="auto"/>
          <w:w w:val="95"/>
          <w:sz w:val="30"/>
          <w:szCs w:val="30"/>
          <w:highlight w:val="none"/>
        </w:rPr>
        <w:t>2026年</w:t>
      </w:r>
      <w:r>
        <w:rPr>
          <w:rFonts w:hint="eastAsia" w:hAnsi="宋体" w:cs="宋体"/>
          <w:b/>
          <w:bCs/>
          <w:color w:val="auto"/>
          <w:w w:val="95"/>
          <w:sz w:val="30"/>
          <w:szCs w:val="30"/>
          <w:highlight w:val="none"/>
          <w:lang w:val="en-US" w:eastAsia="zh-CN"/>
        </w:rPr>
        <w:t>7</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15</w:t>
      </w:r>
      <w:r>
        <w:rPr>
          <w:rFonts w:hint="eastAsia" w:hAnsi="宋体" w:cs="宋体"/>
          <w:b/>
          <w:bCs/>
          <w:color w:val="auto"/>
          <w:w w:val="95"/>
          <w:sz w:val="30"/>
          <w:szCs w:val="30"/>
          <w:highlight w:val="none"/>
        </w:rPr>
        <w:t>日</w:t>
      </w:r>
    </w:p>
    <w:p w14:paraId="77545656">
      <w:pPr>
        <w:pStyle w:val="18"/>
        <w:ind w:firstLine="803"/>
        <w:jc w:val="center"/>
        <w:rPr>
          <w:rFonts w:ascii="宋体" w:hAnsi="宋体" w:cs="宋体"/>
          <w:bCs/>
          <w:color w:val="auto"/>
          <w:kern w:val="0"/>
          <w:sz w:val="32"/>
          <w:szCs w:val="32"/>
          <w:highlight w:val="none"/>
        </w:rPr>
      </w:pPr>
    </w:p>
    <w:p w14:paraId="798126FC">
      <w:pPr>
        <w:pStyle w:val="27"/>
        <w:spacing w:before="120" w:after="120" w:line="360" w:lineRule="auto"/>
        <w:jc w:val="center"/>
        <w:rPr>
          <w:rFonts w:hAnsi="宋体" w:cs="宋体"/>
          <w:b/>
          <w:color w:val="auto"/>
          <w:sz w:val="44"/>
          <w:szCs w:val="44"/>
          <w:highlight w:val="none"/>
        </w:rPr>
      </w:pPr>
    </w:p>
    <w:p w14:paraId="6AC19A97">
      <w:pPr>
        <w:pStyle w:val="27"/>
        <w:spacing w:before="120" w:after="120" w:line="360" w:lineRule="auto"/>
        <w:jc w:val="center"/>
        <w:rPr>
          <w:rFonts w:hAnsi="宋体" w:cs="宋体"/>
          <w:b/>
          <w:color w:val="auto"/>
          <w:sz w:val="44"/>
          <w:szCs w:val="44"/>
          <w:highlight w:val="none"/>
        </w:rPr>
      </w:pPr>
    </w:p>
    <w:p w14:paraId="2054753D">
      <w:pPr>
        <w:pStyle w:val="27"/>
        <w:spacing w:before="120" w:after="120" w:line="360" w:lineRule="auto"/>
        <w:jc w:val="center"/>
        <w:rPr>
          <w:rFonts w:hAnsi="宋体" w:cs="宋体"/>
          <w:b/>
          <w:color w:val="auto"/>
          <w:sz w:val="44"/>
          <w:szCs w:val="44"/>
          <w:highlight w:val="none"/>
        </w:rPr>
      </w:pPr>
    </w:p>
    <w:p w14:paraId="63226B97">
      <w:pPr>
        <w:pStyle w:val="27"/>
        <w:spacing w:before="120" w:after="120" w:line="360" w:lineRule="auto"/>
        <w:jc w:val="center"/>
        <w:rPr>
          <w:rFonts w:hAnsi="宋体" w:cs="宋体"/>
          <w:b/>
          <w:color w:val="auto"/>
          <w:sz w:val="44"/>
          <w:szCs w:val="44"/>
          <w:highlight w:val="none"/>
        </w:rPr>
      </w:pPr>
      <w:r>
        <w:rPr>
          <w:rFonts w:hint="eastAsia" w:hAnsi="宋体" w:cs="宋体"/>
          <w:b/>
          <w:color w:val="auto"/>
          <w:sz w:val="44"/>
          <w:szCs w:val="44"/>
          <w:highlight w:val="none"/>
        </w:rPr>
        <w:t>目  录</w:t>
      </w:r>
    </w:p>
    <w:p w14:paraId="3A86762B">
      <w:pPr>
        <w:pStyle w:val="36"/>
        <w:tabs>
          <w:tab w:val="right" w:leader="dot" w:pos="8504"/>
          <w:tab w:val="clear" w:pos="8398"/>
        </w:tabs>
        <w:rPr>
          <w:color w:val="auto"/>
          <w:highlight w:val="none"/>
        </w:rPr>
      </w:pPr>
      <w:r>
        <w:rPr>
          <w:rFonts w:hint="eastAsia" w:cs="宋体"/>
          <w:b w:val="0"/>
          <w:bCs w:val="0"/>
          <w:caps w:val="0"/>
          <w:color w:val="auto"/>
          <w:highlight w:val="none"/>
        </w:rPr>
        <w:fldChar w:fldCharType="begin"/>
      </w:r>
      <w:r>
        <w:rPr>
          <w:rFonts w:hint="eastAsia" w:cs="宋体"/>
          <w:b w:val="0"/>
          <w:bCs w:val="0"/>
          <w:caps w:val="0"/>
          <w:color w:val="auto"/>
          <w:highlight w:val="none"/>
        </w:rPr>
        <w:instrText xml:space="preserve">TOC \o "1-1" \h \z \u</w:instrText>
      </w:r>
      <w:r>
        <w:rPr>
          <w:rFonts w:hint="eastAsia" w:cs="宋体"/>
          <w:b w:val="0"/>
          <w:bCs w:val="0"/>
          <w:caps w:val="0"/>
          <w:color w:val="auto"/>
          <w:highlight w:val="none"/>
        </w:rPr>
        <w:fldChar w:fldCharType="separate"/>
      </w:r>
      <w:r>
        <w:rPr>
          <w:color w:val="auto"/>
          <w:highlight w:val="none"/>
        </w:rPr>
        <w:fldChar w:fldCharType="begin"/>
      </w:r>
      <w:r>
        <w:rPr>
          <w:color w:val="auto"/>
          <w:highlight w:val="none"/>
        </w:rPr>
        <w:instrText xml:space="preserve"> HYPERLINK \l "_Toc28707" </w:instrText>
      </w:r>
      <w:r>
        <w:rPr>
          <w:color w:val="auto"/>
          <w:highlight w:val="none"/>
        </w:rPr>
        <w:fldChar w:fldCharType="separate"/>
      </w:r>
      <w:r>
        <w:rPr>
          <w:rFonts w:hint="eastAsia"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_Toc28707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53702231">
      <w:pPr>
        <w:pStyle w:val="36"/>
        <w:tabs>
          <w:tab w:val="right" w:leader="dot" w:pos="8504"/>
          <w:tab w:val="clear" w:pos="8398"/>
        </w:tabs>
        <w:ind w:firstLine="241"/>
        <w:rPr>
          <w:color w:val="auto"/>
          <w:highlight w:val="none"/>
        </w:rPr>
      </w:pPr>
      <w:r>
        <w:rPr>
          <w:color w:val="auto"/>
          <w:highlight w:val="none"/>
        </w:rPr>
        <w:fldChar w:fldCharType="begin"/>
      </w:r>
      <w:r>
        <w:rPr>
          <w:color w:val="auto"/>
          <w:highlight w:val="none"/>
        </w:rPr>
        <w:instrText xml:space="preserve"> HYPERLINK \l "_Toc14982" </w:instrText>
      </w:r>
      <w:r>
        <w:rPr>
          <w:color w:val="auto"/>
          <w:highlight w:val="none"/>
        </w:rPr>
        <w:fldChar w:fldCharType="separate"/>
      </w:r>
      <w:r>
        <w:rPr>
          <w:rFonts w:hint="eastAsia"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_Toc14982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0FDC9216">
      <w:pPr>
        <w:pStyle w:val="36"/>
        <w:tabs>
          <w:tab w:val="right" w:leader="dot" w:pos="8504"/>
          <w:tab w:val="clear" w:pos="8398"/>
        </w:tabs>
        <w:ind w:firstLine="241"/>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"_Toc17701" </w:instrText>
      </w:r>
      <w:r>
        <w:rPr>
          <w:color w:val="auto"/>
          <w:highlight w:val="none"/>
        </w:rPr>
        <w:fldChar w:fldCharType="separate"/>
      </w:r>
      <w:r>
        <w:rPr>
          <w:rFonts w:hint="eastAsia" w:cs="宋体"/>
          <w:color w:val="auto"/>
          <w:highlight w:val="none"/>
        </w:rPr>
        <w:t>第三章 投标人须知</w:t>
      </w:r>
      <w:r>
        <w:rPr>
          <w:color w:val="auto"/>
          <w:highlight w:val="none"/>
        </w:rPr>
        <w:tab/>
      </w:r>
      <w:r>
        <w:rPr>
          <w:color w:val="auto"/>
          <w:highlight w:val="none"/>
        </w:rPr>
        <w:fldChar w:fldCharType="end"/>
      </w:r>
      <w:r>
        <w:rPr>
          <w:rFonts w:hint="eastAsia"/>
          <w:color w:val="auto"/>
          <w:highlight w:val="none"/>
        </w:rPr>
        <w:t>2</w:t>
      </w:r>
      <w:r>
        <w:rPr>
          <w:rFonts w:hint="eastAsia"/>
          <w:color w:val="auto"/>
          <w:highlight w:val="none"/>
          <w:lang w:val="en-US" w:eastAsia="zh-CN"/>
        </w:rPr>
        <w:t>9</w:t>
      </w:r>
    </w:p>
    <w:p w14:paraId="1BDD1921">
      <w:pPr>
        <w:pStyle w:val="36"/>
        <w:tabs>
          <w:tab w:val="right" w:leader="dot" w:pos="8504"/>
          <w:tab w:val="clear" w:pos="8398"/>
        </w:tabs>
        <w:ind w:firstLine="241"/>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"_Toc30756" </w:instrText>
      </w:r>
      <w:r>
        <w:rPr>
          <w:color w:val="auto"/>
          <w:highlight w:val="none"/>
        </w:rPr>
        <w:fldChar w:fldCharType="separate"/>
      </w:r>
      <w:r>
        <w:rPr>
          <w:rFonts w:hint="eastAsia" w:cs="宋体"/>
          <w:color w:val="auto"/>
          <w:highlight w:val="none"/>
        </w:rPr>
        <w:t>第四章 评标方法及评标标准</w:t>
      </w:r>
      <w:r>
        <w:rPr>
          <w:color w:val="auto"/>
          <w:highlight w:val="none"/>
        </w:rPr>
        <w:tab/>
      </w:r>
      <w:r>
        <w:rPr>
          <w:color w:val="auto"/>
          <w:highlight w:val="none"/>
        </w:rPr>
        <w:fldChar w:fldCharType="end"/>
      </w:r>
      <w:r>
        <w:rPr>
          <w:rFonts w:hint="eastAsia"/>
          <w:color w:val="auto"/>
          <w:highlight w:val="none"/>
        </w:rPr>
        <w:t>5</w:t>
      </w:r>
      <w:r>
        <w:rPr>
          <w:rFonts w:hint="eastAsia"/>
          <w:color w:val="auto"/>
          <w:highlight w:val="none"/>
          <w:lang w:val="en-US" w:eastAsia="zh-CN"/>
        </w:rPr>
        <w:t>5</w:t>
      </w:r>
    </w:p>
    <w:p w14:paraId="0C19D73D">
      <w:pPr>
        <w:pStyle w:val="36"/>
        <w:tabs>
          <w:tab w:val="right" w:leader="dot" w:pos="8504"/>
          <w:tab w:val="clear" w:pos="8398"/>
        </w:tabs>
        <w:ind w:firstLine="241"/>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"_Toc30209" </w:instrText>
      </w:r>
      <w:r>
        <w:rPr>
          <w:color w:val="auto"/>
          <w:highlight w:val="none"/>
        </w:rPr>
        <w:fldChar w:fldCharType="separate"/>
      </w:r>
      <w:r>
        <w:rPr>
          <w:rFonts w:hint="eastAsia" w:cs="宋体"/>
          <w:color w:val="auto"/>
          <w:highlight w:val="none"/>
        </w:rPr>
        <w:t>第五章 拟签订的合同文本</w:t>
      </w:r>
      <w:r>
        <w:rPr>
          <w:color w:val="auto"/>
          <w:highlight w:val="none"/>
        </w:rPr>
        <w:tab/>
      </w:r>
      <w:r>
        <w:rPr>
          <w:color w:val="auto"/>
          <w:highlight w:val="none"/>
        </w:rPr>
        <w:fldChar w:fldCharType="end"/>
      </w:r>
      <w:r>
        <w:rPr>
          <w:rFonts w:hint="eastAsia"/>
          <w:color w:val="auto"/>
          <w:highlight w:val="none"/>
        </w:rPr>
        <w:t>6</w:t>
      </w:r>
      <w:r>
        <w:rPr>
          <w:rFonts w:hint="eastAsia"/>
          <w:color w:val="auto"/>
          <w:highlight w:val="none"/>
          <w:lang w:val="en-US" w:eastAsia="zh-CN"/>
        </w:rPr>
        <w:t>7</w:t>
      </w:r>
    </w:p>
    <w:p w14:paraId="5663073D">
      <w:pPr>
        <w:pStyle w:val="36"/>
        <w:tabs>
          <w:tab w:val="right" w:leader="dot" w:pos="8504"/>
          <w:tab w:val="clear" w:pos="8398"/>
        </w:tabs>
        <w:ind w:firstLine="241"/>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"_Toc18832" </w:instrText>
      </w:r>
      <w:r>
        <w:rPr>
          <w:color w:val="auto"/>
          <w:highlight w:val="none"/>
        </w:rPr>
        <w:fldChar w:fldCharType="separate"/>
      </w:r>
      <w:r>
        <w:rPr>
          <w:rFonts w:hint="eastAsia" w:cs="宋体"/>
          <w:color w:val="auto"/>
          <w:highlight w:val="none"/>
        </w:rPr>
        <w:t>第六章 投标文件格式</w:t>
      </w:r>
      <w:r>
        <w:rPr>
          <w:color w:val="auto"/>
          <w:highlight w:val="none"/>
        </w:rPr>
        <w:tab/>
      </w:r>
      <w:r>
        <w:rPr>
          <w:color w:val="auto"/>
          <w:highlight w:val="none"/>
        </w:rPr>
        <w:fldChar w:fldCharType="end"/>
      </w:r>
      <w:r>
        <w:rPr>
          <w:rFonts w:hint="eastAsia"/>
          <w:color w:val="auto"/>
          <w:highlight w:val="none"/>
        </w:rPr>
        <w:t>7</w:t>
      </w:r>
      <w:r>
        <w:rPr>
          <w:rFonts w:hint="eastAsia"/>
          <w:color w:val="auto"/>
          <w:highlight w:val="none"/>
          <w:lang w:val="en-US" w:eastAsia="zh-CN"/>
        </w:rPr>
        <w:t>8</w:t>
      </w:r>
    </w:p>
    <w:p w14:paraId="3019A553">
      <w:pPr>
        <w:spacing w:before="120" w:beforeLines="50" w:line="480" w:lineRule="exact"/>
        <w:rPr>
          <w:rFonts w:ascii="宋体" w:hAnsi="宋体" w:cs="宋体"/>
          <w:color w:val="auto"/>
          <w:sz w:val="24"/>
          <w:highlight w:val="none"/>
        </w:rPr>
      </w:pPr>
      <w:r>
        <w:rPr>
          <w:rFonts w:hint="eastAsia" w:ascii="宋体" w:hAnsi="宋体" w:cs="宋体"/>
          <w:bCs/>
          <w:caps/>
          <w:color w:val="auto"/>
          <w:highlight w:val="none"/>
        </w:rPr>
        <w:fldChar w:fldCharType="end"/>
      </w:r>
    </w:p>
    <w:p w14:paraId="62E825C9">
      <w:pPr>
        <w:spacing w:before="120" w:beforeLines="50" w:line="480" w:lineRule="exact"/>
        <w:rPr>
          <w:rFonts w:ascii="宋体" w:hAnsi="宋体" w:cs="宋体"/>
          <w:color w:val="auto"/>
          <w:sz w:val="30"/>
          <w:highlight w:val="none"/>
        </w:rPr>
      </w:pPr>
    </w:p>
    <w:p w14:paraId="7EFE788A">
      <w:pPr>
        <w:rPr>
          <w:rFonts w:ascii="宋体" w:hAnsi="宋体" w:cs="宋体"/>
          <w:color w:val="auto"/>
          <w:highlight w:val="none"/>
        </w:rPr>
      </w:pPr>
    </w:p>
    <w:p w14:paraId="03635540">
      <w:pPr>
        <w:spacing w:before="120" w:beforeLines="50" w:line="480" w:lineRule="exact"/>
        <w:rPr>
          <w:rFonts w:ascii="宋体" w:hAnsi="宋体" w:cs="宋体"/>
          <w:color w:val="auto"/>
          <w:sz w:val="30"/>
          <w:highlight w:val="none"/>
        </w:rPr>
      </w:pPr>
    </w:p>
    <w:p w14:paraId="14CA2955">
      <w:pPr>
        <w:spacing w:before="120" w:beforeLines="50" w:line="480" w:lineRule="exact"/>
        <w:rPr>
          <w:rFonts w:ascii="宋体" w:hAnsi="宋体" w:cs="宋体"/>
          <w:color w:val="auto"/>
          <w:sz w:val="30"/>
          <w:highlight w:val="none"/>
        </w:rPr>
      </w:pPr>
    </w:p>
    <w:p w14:paraId="2AA05462">
      <w:pPr>
        <w:pStyle w:val="18"/>
        <w:rPr>
          <w:rFonts w:ascii="宋体" w:hAnsi="宋体" w:cs="宋体"/>
          <w:b/>
          <w:bCs/>
          <w:color w:val="auto"/>
          <w:highlight w:val="none"/>
        </w:rPr>
      </w:pPr>
      <w:bookmarkStart w:id="0" w:name="_Toc254970489"/>
      <w:bookmarkStart w:id="1" w:name="_Toc254970630"/>
    </w:p>
    <w:p w14:paraId="63D1F769">
      <w:pPr>
        <w:pStyle w:val="4"/>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r>
        <w:rPr>
          <w:rFonts w:hint="eastAsia" w:ascii="宋体" w:hAnsi="宋体" w:cs="宋体"/>
          <w:b w:val="0"/>
          <w:bCs w:val="0"/>
          <w:color w:val="auto"/>
          <w:highlight w:val="none"/>
        </w:rPr>
        <w:br w:type="page"/>
      </w:r>
      <w:bookmarkStart w:id="2" w:name="_Toc28707"/>
      <w:bookmarkStart w:id="3" w:name="_Toc74320800"/>
      <w:r>
        <w:rPr>
          <w:rFonts w:hint="eastAsia" w:ascii="宋体" w:hAnsi="宋体" w:cs="宋体"/>
          <w:color w:val="auto"/>
          <w:highlight w:val="none"/>
        </w:rPr>
        <w:t>第一章</w:t>
      </w:r>
      <w:bookmarkEnd w:id="0"/>
      <w:bookmarkEnd w:id="1"/>
      <w:bookmarkStart w:id="4" w:name="_Toc35393789"/>
      <w:bookmarkStart w:id="5" w:name="_Toc28359001"/>
      <w:r>
        <w:rPr>
          <w:rFonts w:hint="eastAsia" w:ascii="宋体" w:hAnsi="宋体" w:cs="宋体"/>
          <w:color w:val="auto"/>
          <w:highlight w:val="none"/>
        </w:rPr>
        <w:t xml:space="preserve"> 招标公告</w:t>
      </w:r>
      <w:bookmarkEnd w:id="2"/>
      <w:bookmarkEnd w:id="3"/>
      <w:bookmarkEnd w:id="4"/>
      <w:bookmarkEnd w:id="5"/>
    </w:p>
    <w:p w14:paraId="090D5FC0">
      <w:pPr>
        <w:spacing w:line="360" w:lineRule="auto"/>
        <w:rPr>
          <w:rFonts w:ascii="宋体" w:hAnsi="宋体" w:cs="宋体"/>
          <w:color w:val="auto"/>
          <w:szCs w:val="21"/>
          <w:highlight w:val="none"/>
        </w:rPr>
      </w:pPr>
    </w:p>
    <w:p w14:paraId="611EEBB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7A46AB3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桂林医科大学餐饮运营与管理服务项目的潜在投标人应在“广西政府采购云平台”（</w:t>
      </w:r>
      <w:r>
        <w:rPr>
          <w:color w:val="auto"/>
          <w:highlight w:val="none"/>
        </w:rPr>
        <w:fldChar w:fldCharType="begin"/>
      </w:r>
      <w:r>
        <w:rPr>
          <w:color w:val="auto"/>
          <w:highlight w:val="none"/>
        </w:rPr>
        <w:instrText xml:space="preserve"> HYPERLINK "https://www.gcy.zfcg.gxzf.gov.cn/）获取（下载）招标文件，并于2024年" </w:instrText>
      </w:r>
      <w:r>
        <w:rPr>
          <w:color w:val="auto"/>
          <w:highlight w:val="none"/>
        </w:rPr>
        <w:fldChar w:fldCharType="separate"/>
      </w:r>
      <w:r>
        <w:rPr>
          <w:rFonts w:hint="eastAsia" w:ascii="宋体" w:hAnsi="宋体" w:cs="宋体"/>
          <w:color w:val="auto"/>
          <w:highlight w:val="none"/>
        </w:rPr>
        <w:t>https://www.gcy.zfcg.gxzf.gov.cn/）获取（下载）招标文件，并于2026年</w:t>
      </w:r>
      <w:r>
        <w:rPr>
          <w:rFonts w:hint="eastAsia" w:ascii="宋体" w:hAnsi="宋体" w:cs="宋体"/>
          <w:color w:val="auto"/>
          <w:highlight w:val="none"/>
        </w:rPr>
        <w:fldChar w:fldCharType="end"/>
      </w:r>
      <w:r>
        <w:rPr>
          <w:rFonts w:hint="eastAsia" w:ascii="宋体" w:hAnsi="宋体" w:cs="宋体"/>
          <w:color w:val="auto"/>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日9时30分（北京时间）前按要求递交（上传）投标文件。</w:t>
      </w:r>
    </w:p>
    <w:p w14:paraId="04226879">
      <w:pPr>
        <w:spacing w:line="380" w:lineRule="exact"/>
        <w:rPr>
          <w:rFonts w:ascii="宋体" w:hAnsi="宋体" w:cs="宋体"/>
          <w:b/>
          <w:bCs/>
          <w:color w:val="auto"/>
          <w:sz w:val="24"/>
          <w:highlight w:val="none"/>
        </w:rPr>
      </w:pPr>
      <w:bookmarkStart w:id="6" w:name="_Toc35393621"/>
      <w:bookmarkStart w:id="7" w:name="_Toc28359002"/>
      <w:bookmarkStart w:id="8" w:name="_Toc28359079"/>
      <w:bookmarkStart w:id="9" w:name="_Toc35393790"/>
      <w:bookmarkStart w:id="10" w:name="_Hlk24379207"/>
      <w:r>
        <w:rPr>
          <w:rFonts w:hint="eastAsia" w:ascii="宋体" w:hAnsi="宋体" w:cs="宋体"/>
          <w:b/>
          <w:bCs/>
          <w:color w:val="auto"/>
          <w:sz w:val="24"/>
          <w:highlight w:val="none"/>
        </w:rPr>
        <w:t>一、项目基本情况</w:t>
      </w:r>
      <w:bookmarkEnd w:id="6"/>
      <w:bookmarkEnd w:id="7"/>
      <w:bookmarkEnd w:id="8"/>
      <w:bookmarkEnd w:id="9"/>
    </w:p>
    <w:p w14:paraId="370E8C33">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项目编号：GXZC2026-G3-002238-YZLZ（代理编号：YZLGL2026-G3-052-GXZC）</w:t>
      </w:r>
    </w:p>
    <w:p w14:paraId="44255ABE">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项目名称：桂林医科大学餐饮运营与管理服务项目</w:t>
      </w:r>
    </w:p>
    <w:bookmarkEnd w:id="10"/>
    <w:p w14:paraId="6816F92C">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预算金额：5377500.00元</w:t>
      </w:r>
    </w:p>
    <w:p w14:paraId="5461F822">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最高限价：5377500.00元</w:t>
      </w:r>
    </w:p>
    <w:p w14:paraId="4D790073">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36131C49">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（1）标的的名称、数量及单位：桂林医科大学</w:t>
      </w:r>
      <w:bookmarkStart w:id="11" w:name="OLE_LINK13"/>
      <w:bookmarkStart w:id="12" w:name="OLE_LINK12"/>
      <w:r>
        <w:rPr>
          <w:rFonts w:hint="eastAsia" w:ascii="宋体" w:hAnsi="宋体" w:cs="宋体"/>
          <w:color w:val="auto"/>
          <w:szCs w:val="21"/>
          <w:highlight w:val="none"/>
        </w:rPr>
        <w:t>餐饮</w:t>
      </w:r>
      <w:bookmarkEnd w:id="11"/>
      <w:bookmarkEnd w:id="12"/>
      <w:r>
        <w:rPr>
          <w:rFonts w:hint="eastAsia" w:ascii="宋体" w:hAnsi="宋体" w:cs="宋体"/>
          <w:color w:val="auto"/>
          <w:szCs w:val="21"/>
          <w:highlight w:val="none"/>
        </w:rPr>
        <w:t>运营与管理服务1项；（2）简要技术需求或者服务</w:t>
      </w:r>
      <w:r>
        <w:rPr>
          <w:rFonts w:hint="eastAsia" w:ascii="宋体" w:hAnsi="宋体"/>
          <w:color w:val="auto"/>
          <w:szCs w:val="21"/>
          <w:highlight w:val="none"/>
        </w:rPr>
        <w:t>要求：为采购人临桂校区和东城校区提供餐饮和服务，包括食堂菜品加工及销售、餐厅卫生保洁服务、会议培训接待等公务用餐服务以及其他涉及食堂服务等工作。由采购人负责提供食堂场地、设备，承担水电、燃气费用及劳动保护用品费用。中标供应商提供专业的服务人员负责出品和服务，自行规范内部服务人员管理、食品安全、环境卫生标准等要求及各项标准规范的操作流程。中标供应商不得改变场地用途，</w:t>
      </w:r>
      <w:r>
        <w:rPr>
          <w:rFonts w:hint="eastAsia"/>
          <w:color w:val="auto"/>
          <w:highlight w:val="none"/>
        </w:rPr>
        <w:t>不得</w:t>
      </w:r>
      <w:r>
        <w:rPr>
          <w:rFonts w:hint="eastAsia" w:ascii="宋体" w:hAnsi="宋体"/>
          <w:color w:val="auto"/>
          <w:szCs w:val="21"/>
          <w:highlight w:val="none"/>
        </w:rPr>
        <w:t>超范围经营或租赁给第三方。如</w:t>
      </w:r>
      <w:r>
        <w:rPr>
          <w:rFonts w:hint="eastAsia" w:ascii="宋体" w:hAnsi="宋体" w:cs="宋体"/>
          <w:color w:val="auto"/>
          <w:szCs w:val="21"/>
          <w:highlight w:val="none"/>
        </w:rPr>
        <w:t>需进一步了解详细内容，详见</w:t>
      </w:r>
      <w:r>
        <w:rPr>
          <w:rFonts w:hint="eastAsia" w:ascii="宋体" w:hAnsi="宋体"/>
          <w:color w:val="auto"/>
          <w:szCs w:val="21"/>
          <w:highlight w:val="none"/>
        </w:rPr>
        <w:t>招标文件第三章“采购需求”</w:t>
      </w:r>
      <w:r>
        <w:rPr>
          <w:rFonts w:hint="eastAsia" w:ascii="宋体" w:hAnsi="宋体" w:cs="宋体"/>
          <w:color w:val="auto"/>
          <w:szCs w:val="21"/>
          <w:highlight w:val="none"/>
        </w:rPr>
        <w:t>。</w:t>
      </w:r>
    </w:p>
    <w:p w14:paraId="1630F490">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合同履行期限（服务期限）：12个月（自签订合同且正式开展服务之日起12个月）。</w:t>
      </w:r>
    </w:p>
    <w:p w14:paraId="6F22FC32">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本项目不接受联合</w:t>
      </w:r>
      <w:r>
        <w:rPr>
          <w:rFonts w:hint="eastAsia" w:ascii="宋体" w:hAnsi="宋体" w:cs="宋体"/>
          <w:bCs/>
          <w:color w:val="auto"/>
          <w:szCs w:val="21"/>
          <w:highlight w:val="none"/>
        </w:rPr>
        <w:t>体投标。</w:t>
      </w:r>
    </w:p>
    <w:p w14:paraId="2C31F9BC">
      <w:pPr>
        <w:spacing w:line="380" w:lineRule="exact"/>
        <w:rPr>
          <w:rFonts w:ascii="宋体" w:hAnsi="宋体" w:cs="宋体"/>
          <w:b/>
          <w:bCs/>
          <w:color w:val="auto"/>
          <w:sz w:val="24"/>
          <w:highlight w:val="none"/>
        </w:rPr>
      </w:pPr>
      <w:bookmarkStart w:id="13" w:name="_Toc35393622"/>
      <w:bookmarkStart w:id="14" w:name="_Toc28359080"/>
      <w:bookmarkStart w:id="15" w:name="_Toc35393791"/>
      <w:bookmarkStart w:id="16" w:name="_Toc28359003"/>
      <w:r>
        <w:rPr>
          <w:rFonts w:hint="eastAsia" w:ascii="宋体" w:hAnsi="宋体" w:cs="宋体"/>
          <w:b/>
          <w:bCs/>
          <w:color w:val="auto"/>
          <w:sz w:val="24"/>
          <w:highlight w:val="none"/>
        </w:rPr>
        <w:t>二、申请人的资格要求：</w:t>
      </w:r>
      <w:bookmarkEnd w:id="13"/>
      <w:bookmarkEnd w:id="14"/>
      <w:bookmarkEnd w:id="15"/>
      <w:bookmarkEnd w:id="16"/>
    </w:p>
    <w:p w14:paraId="1446669C">
      <w:pPr>
        <w:spacing w:line="380" w:lineRule="exact"/>
        <w:ind w:firstLine="420" w:firstLineChars="200"/>
        <w:rPr>
          <w:rFonts w:ascii="宋体" w:hAnsi="宋体" w:cs="宋体"/>
          <w:color w:val="auto"/>
          <w:szCs w:val="21"/>
          <w:highlight w:val="none"/>
        </w:rPr>
      </w:pPr>
      <w:bookmarkStart w:id="17" w:name="_Hlk51746371"/>
      <w:r>
        <w:rPr>
          <w:rFonts w:hint="eastAsia" w:ascii="宋体" w:hAnsi="宋体" w:cs="宋体"/>
          <w:color w:val="auto"/>
          <w:szCs w:val="21"/>
          <w:highlight w:val="none"/>
        </w:rPr>
        <w:t>1.满足《中华人民共和国政府采购法》第二十二条规定。</w:t>
      </w:r>
    </w:p>
    <w:p w14:paraId="6BDB22D2">
      <w:pPr>
        <w:spacing w:line="380" w:lineRule="exact"/>
        <w:ind w:firstLine="420" w:firstLineChars="200"/>
        <w:rPr>
          <w:rFonts w:ascii="宋体" w:hAnsi="宋体" w:cs="宋体"/>
          <w:color w:val="auto"/>
          <w:szCs w:val="21"/>
          <w:highlight w:val="none"/>
        </w:rPr>
      </w:pPr>
      <w:bookmarkStart w:id="18" w:name="_Toc28359004"/>
      <w:bookmarkStart w:id="19" w:name="_Toc28359081"/>
      <w:r>
        <w:rPr>
          <w:rFonts w:hint="eastAsia" w:ascii="宋体" w:hAnsi="宋体" w:cs="宋体"/>
          <w:color w:val="auto"/>
          <w:szCs w:val="21"/>
          <w:highlight w:val="none"/>
        </w:rPr>
        <w:t>2.落实政府采购政策需满足的资格要求：无。</w:t>
      </w:r>
    </w:p>
    <w:p w14:paraId="50D3BC50">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bookmarkEnd w:id="17"/>
      <w:bookmarkStart w:id="20" w:name="_Toc35393623"/>
      <w:bookmarkStart w:id="21" w:name="_Toc35393792"/>
      <w:r>
        <w:rPr>
          <w:rFonts w:hint="eastAsia" w:ascii="宋体" w:hAnsi="宋体" w:cs="宋体"/>
          <w:color w:val="auto"/>
          <w:szCs w:val="21"/>
          <w:highlight w:val="none"/>
        </w:rPr>
        <w:t>无</w:t>
      </w:r>
      <w:r>
        <w:rPr>
          <w:rFonts w:hint="eastAsia" w:ascii="宋体" w:hAnsi="宋体" w:cs="宋体"/>
          <w:color w:val="auto"/>
          <w:highlight w:val="none"/>
        </w:rPr>
        <w:t>。</w:t>
      </w:r>
    </w:p>
    <w:p w14:paraId="65EC23CC">
      <w:pPr>
        <w:spacing w:line="380" w:lineRule="exact"/>
        <w:rPr>
          <w:rFonts w:ascii="宋体" w:hAnsi="宋体" w:cs="宋体"/>
          <w:b/>
          <w:bCs/>
          <w:color w:val="auto"/>
          <w:sz w:val="24"/>
          <w:highlight w:val="none"/>
        </w:rPr>
      </w:pPr>
      <w:r>
        <w:rPr>
          <w:rFonts w:hint="eastAsia" w:ascii="宋体" w:hAnsi="宋体" w:cs="宋体"/>
          <w:b/>
          <w:bCs/>
          <w:color w:val="auto"/>
          <w:sz w:val="24"/>
          <w:highlight w:val="none"/>
        </w:rPr>
        <w:t>三、获取招标文件</w:t>
      </w:r>
      <w:bookmarkEnd w:id="18"/>
      <w:bookmarkEnd w:id="19"/>
      <w:bookmarkEnd w:id="20"/>
      <w:bookmarkEnd w:id="21"/>
    </w:p>
    <w:p w14:paraId="2F26480A">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时间：2026年</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15</w:t>
      </w:r>
      <w:r>
        <w:rPr>
          <w:rFonts w:hint="eastAsia" w:ascii="宋体" w:hAnsi="宋体" w:cs="宋体"/>
          <w:bCs/>
          <w:color w:val="auto"/>
          <w:kern w:val="0"/>
          <w:szCs w:val="21"/>
          <w:highlight w:val="none"/>
        </w:rPr>
        <w:t>日至2026年</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22</w:t>
      </w:r>
      <w:r>
        <w:rPr>
          <w:rFonts w:hint="eastAsia" w:ascii="宋体" w:hAnsi="宋体" w:cs="宋体"/>
          <w:bCs/>
          <w:color w:val="auto"/>
          <w:kern w:val="0"/>
          <w:szCs w:val="21"/>
          <w:highlight w:val="none"/>
        </w:rPr>
        <w:t>日，每天上午00:00至11:59，下午12:00至23:59（北京时间，法定节假日除外）</w:t>
      </w:r>
    </w:p>
    <w:p w14:paraId="6AA675EE">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s="宋体"/>
          <w:color w:val="auto"/>
          <w:highlight w:val="none"/>
        </w:rPr>
        <w:t>“广西政府采购云平台”（https://www.gcy.zfcg.gxzf.gov.cn/）</w:t>
      </w:r>
    </w:p>
    <w:p w14:paraId="0F07248C">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w:t>
      </w:r>
      <w:r>
        <w:rPr>
          <w:rFonts w:hint="eastAsia" w:ascii="宋体" w:hAnsi="宋体" w:cs="宋体"/>
          <w:color w:val="auto"/>
          <w:highlight w:val="none"/>
        </w:rPr>
        <w:t>“广西政府采购云平台”（https://www.gcy.zfcg.gxzf.gov.cn/）</w:t>
      </w:r>
      <w:r>
        <w:rPr>
          <w:rFonts w:hint="eastAsia" w:ascii="宋体" w:hAnsi="宋体" w:cs="宋体"/>
          <w:bCs/>
          <w:color w:val="auto"/>
          <w:kern w:val="0"/>
          <w:szCs w:val="21"/>
          <w:highlight w:val="none"/>
        </w:rPr>
        <w:t>-进入“项目采购”应用，在获取采购文件菜单中选择项目，获取招标文件（或在“政府采购云平台电子投标客户端-获取采购文件”跳转到政府采购云平台系统获取）。电子投标文件制作需要基于“政府采购云平台”获取的招标文件编制，通过其他方式获取招标文件的，将有可能导致供应商无法在政府采购云平台编制及上传投标文件。</w:t>
      </w:r>
    </w:p>
    <w:p w14:paraId="2011D6B8">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67670BBC">
      <w:pPr>
        <w:spacing w:line="380" w:lineRule="exact"/>
        <w:rPr>
          <w:rFonts w:ascii="宋体" w:hAnsi="宋体" w:cs="宋体"/>
          <w:b/>
          <w:bCs/>
          <w:color w:val="auto"/>
          <w:sz w:val="24"/>
          <w:highlight w:val="none"/>
        </w:rPr>
      </w:pPr>
      <w:bookmarkStart w:id="22" w:name="_Toc28359005"/>
      <w:bookmarkStart w:id="23" w:name="_Toc28359082"/>
      <w:bookmarkStart w:id="24" w:name="_Toc35393793"/>
      <w:bookmarkStart w:id="25" w:name="_Toc35393624"/>
      <w:r>
        <w:rPr>
          <w:rFonts w:hint="eastAsia" w:ascii="宋体" w:hAnsi="宋体" w:cs="宋体"/>
          <w:b/>
          <w:bCs/>
          <w:color w:val="auto"/>
          <w:sz w:val="24"/>
          <w:highlight w:val="none"/>
        </w:rPr>
        <w:t>四、提交投标文件</w:t>
      </w:r>
      <w:bookmarkEnd w:id="22"/>
      <w:bookmarkEnd w:id="23"/>
      <w:r>
        <w:rPr>
          <w:rFonts w:hint="eastAsia" w:ascii="宋体" w:hAnsi="宋体" w:cs="宋体"/>
          <w:b/>
          <w:bCs/>
          <w:color w:val="auto"/>
          <w:sz w:val="24"/>
          <w:highlight w:val="none"/>
        </w:rPr>
        <w:t>截止时间、开标时间和地点</w:t>
      </w:r>
      <w:bookmarkEnd w:id="24"/>
      <w:bookmarkEnd w:id="25"/>
    </w:p>
    <w:p w14:paraId="773A22A8">
      <w:pPr>
        <w:spacing w:line="380" w:lineRule="exact"/>
        <w:ind w:firstLine="420" w:firstLineChars="200"/>
        <w:rPr>
          <w:rFonts w:ascii="宋体" w:hAnsi="宋体" w:cs="宋体"/>
          <w:color w:val="auto"/>
          <w:szCs w:val="21"/>
          <w:highlight w:val="none"/>
          <w:u w:val="single"/>
        </w:rPr>
      </w:pPr>
      <w:bookmarkStart w:id="26" w:name="_Toc28359007"/>
      <w:bookmarkStart w:id="27" w:name="_Toc35393625"/>
      <w:bookmarkStart w:id="28" w:name="_Toc28359084"/>
      <w:bookmarkStart w:id="29" w:name="_Toc35393794"/>
      <w:r>
        <w:rPr>
          <w:rFonts w:hint="eastAsia" w:ascii="宋体" w:hAnsi="宋体" w:cs="宋体"/>
          <w:bCs/>
          <w:color w:val="auto"/>
          <w:szCs w:val="21"/>
          <w:highlight w:val="none"/>
        </w:rPr>
        <w:t>提交投标文件截止时间：</w:t>
      </w:r>
      <w:r>
        <w:rPr>
          <w:rFonts w:hint="eastAsia" w:ascii="宋体" w:hAnsi="宋体" w:cs="宋体"/>
          <w:bCs/>
          <w:color w:val="auto"/>
          <w:kern w:val="0"/>
          <w:szCs w:val="21"/>
          <w:highlight w:val="none"/>
        </w:rPr>
        <w:t>2026年</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0C506E70">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投标地点（网址）：</w:t>
      </w:r>
      <w:r>
        <w:rPr>
          <w:rFonts w:hint="eastAsia" w:ascii="宋体" w:hAnsi="宋体" w:cs="宋体"/>
          <w:color w:val="auto"/>
          <w:highlight w:val="none"/>
        </w:rPr>
        <w:t>“广西政府采购云平台”（https://www.gcy.zfcg.gxzf.gov.cn/）</w:t>
      </w:r>
    </w:p>
    <w:p w14:paraId="04A96548">
      <w:pPr>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开标时间：</w:t>
      </w:r>
      <w:r>
        <w:rPr>
          <w:rFonts w:hint="eastAsia" w:ascii="宋体" w:hAnsi="宋体" w:cs="宋体"/>
          <w:bCs/>
          <w:color w:val="auto"/>
          <w:kern w:val="0"/>
          <w:szCs w:val="21"/>
          <w:highlight w:val="none"/>
        </w:rPr>
        <w:t>2026年</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719F1D2C">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开标地点：广西政府采购云平台电子开标大厅</w:t>
      </w:r>
    </w:p>
    <w:p w14:paraId="002F0CA9">
      <w:pPr>
        <w:spacing w:line="380" w:lineRule="exact"/>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26"/>
      <w:bookmarkEnd w:id="27"/>
      <w:bookmarkEnd w:id="28"/>
      <w:bookmarkEnd w:id="29"/>
    </w:p>
    <w:p w14:paraId="2805639F">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1CB9564">
      <w:pPr>
        <w:spacing w:line="380" w:lineRule="exact"/>
        <w:rPr>
          <w:rFonts w:ascii="宋体" w:hAnsi="宋体" w:cs="宋体"/>
          <w:b/>
          <w:bCs/>
          <w:color w:val="auto"/>
          <w:sz w:val="24"/>
          <w:highlight w:val="none"/>
        </w:rPr>
      </w:pPr>
      <w:bookmarkStart w:id="30" w:name="_Toc35393795"/>
      <w:bookmarkStart w:id="31" w:name="_Toc35393626"/>
      <w:r>
        <w:rPr>
          <w:rFonts w:hint="eastAsia" w:ascii="宋体" w:hAnsi="宋体" w:cs="宋体"/>
          <w:b/>
          <w:bCs/>
          <w:color w:val="auto"/>
          <w:sz w:val="24"/>
          <w:highlight w:val="none"/>
        </w:rPr>
        <w:t>六、其他补充事宜</w:t>
      </w:r>
      <w:bookmarkEnd w:id="30"/>
      <w:bookmarkEnd w:id="31"/>
    </w:p>
    <w:p w14:paraId="2A2F0242">
      <w:pPr>
        <w:spacing w:line="380" w:lineRule="exact"/>
        <w:ind w:firstLine="420" w:firstLineChars="200"/>
        <w:rPr>
          <w:rFonts w:ascii="宋体" w:hAnsi="宋体" w:cs="宋体"/>
          <w:color w:val="auto"/>
          <w:kern w:val="0"/>
          <w:szCs w:val="21"/>
          <w:highlight w:val="none"/>
        </w:rPr>
      </w:pPr>
      <w:bookmarkStart w:id="32" w:name="_Hlk37429585"/>
      <w:bookmarkStart w:id="33" w:name="_Hlk37429595"/>
      <w:r>
        <w:rPr>
          <w:rFonts w:hint="eastAsia" w:ascii="宋体" w:hAnsi="宋体" w:cs="宋体"/>
          <w:color w:val="auto"/>
          <w:kern w:val="0"/>
          <w:szCs w:val="21"/>
          <w:highlight w:val="none"/>
        </w:rPr>
        <w:t>1.网上查询地址</w:t>
      </w:r>
    </w:p>
    <w:p w14:paraId="68766B3A">
      <w:pPr>
        <w:spacing w:line="380" w:lineRule="exact"/>
        <w:ind w:left="210" w:leftChars="100"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w:t>
      </w:r>
      <w:bookmarkEnd w:id="32"/>
      <w:r>
        <w:rPr>
          <w:rFonts w:hint="eastAsia" w:ascii="宋体" w:hAnsi="宋体" w:cs="宋体"/>
          <w:color w:val="auto"/>
          <w:kern w:val="0"/>
          <w:szCs w:val="21"/>
          <w:highlight w:val="none"/>
        </w:rPr>
        <w:t>。</w:t>
      </w:r>
    </w:p>
    <w:bookmarkEnd w:id="33"/>
    <w:p w14:paraId="21FC7454">
      <w:pPr>
        <w:spacing w:line="380" w:lineRule="exact"/>
        <w:ind w:firstLine="424" w:firstLineChars="202"/>
        <w:rPr>
          <w:rFonts w:ascii="宋体" w:hAnsi="宋体" w:cs="宋体"/>
          <w:color w:val="auto"/>
          <w:kern w:val="0"/>
          <w:szCs w:val="21"/>
          <w:highlight w:val="none"/>
        </w:rPr>
      </w:pPr>
      <w:bookmarkStart w:id="34" w:name="_Hlk37429674"/>
      <w:r>
        <w:rPr>
          <w:rFonts w:hint="eastAsia" w:ascii="宋体" w:hAnsi="宋体" w:cs="宋体"/>
          <w:color w:val="auto"/>
          <w:szCs w:val="21"/>
          <w:highlight w:val="none"/>
        </w:rPr>
        <w:t>2.</w:t>
      </w:r>
      <w:r>
        <w:rPr>
          <w:rFonts w:hint="eastAsia" w:ascii="宋体" w:hAnsi="宋体" w:cs="宋体"/>
          <w:color w:val="auto"/>
          <w:kern w:val="0"/>
          <w:szCs w:val="21"/>
          <w:highlight w:val="none"/>
        </w:rPr>
        <w:t>本项目需要落实的政府采购政策</w:t>
      </w:r>
    </w:p>
    <w:p w14:paraId="6D076F56">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5147389E">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3453E156">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（3）</w:t>
      </w:r>
      <w:r>
        <w:rPr>
          <w:rFonts w:hint="eastAsia" w:ascii="宋体" w:hAnsi="宋体" w:cs="宋体"/>
          <w:bCs/>
          <w:color w:val="auto"/>
          <w:szCs w:val="21"/>
          <w:highlight w:val="none"/>
        </w:rPr>
        <w:t>本项目为服务项目，不涉及强制采购节能产品</w:t>
      </w:r>
      <w:r>
        <w:rPr>
          <w:rFonts w:hint="eastAsia" w:ascii="宋体" w:hAnsi="宋体" w:cs="宋体"/>
          <w:iCs/>
          <w:color w:val="auto"/>
          <w:kern w:val="0"/>
          <w:szCs w:val="21"/>
          <w:highlight w:val="none"/>
        </w:rPr>
        <w:t>。</w:t>
      </w:r>
    </w:p>
    <w:p w14:paraId="10F87537">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26B571B5">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19D80579">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3.</w:t>
      </w:r>
      <w:bookmarkEnd w:id="34"/>
      <w:bookmarkStart w:id="35" w:name="_Toc28359085"/>
      <w:bookmarkStart w:id="36" w:name="_Toc35393796"/>
      <w:bookmarkStart w:id="37" w:name="_Toc35393627"/>
      <w:bookmarkStart w:id="38" w:name="_Toc28359008"/>
      <w:r>
        <w:rPr>
          <w:rFonts w:hint="eastAsia" w:ascii="宋体" w:hAnsi="宋体" w:cs="宋体"/>
          <w:color w:val="auto"/>
          <w:kern w:val="0"/>
          <w:szCs w:val="21"/>
          <w:highlight w:val="none"/>
        </w:rPr>
        <w:t>投标人</w:t>
      </w:r>
      <w:r>
        <w:rPr>
          <w:rFonts w:hint="eastAsia" w:ascii="宋体" w:hAnsi="宋体" w:cs="宋体"/>
          <w:color w:val="auto"/>
          <w:szCs w:val="21"/>
          <w:highlight w:val="none"/>
        </w:rPr>
        <w:t>投标注意事项</w:t>
      </w:r>
    </w:p>
    <w:p w14:paraId="0F56A8D5">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w:t>
      </w:r>
      <w:r>
        <w:rPr>
          <w:rFonts w:hint="eastAsia" w:ascii="宋体" w:hAnsi="宋体" w:cs="宋体"/>
          <w:color w:val="auto"/>
          <w:highlight w:val="none"/>
        </w:rPr>
        <w:t>“广西政府采购云平台”（https://www.gcy.zfcg.gxzf.gov.cn/）</w:t>
      </w:r>
      <w:r>
        <w:rPr>
          <w:rFonts w:hint="eastAsia" w:ascii="宋体" w:hAnsi="宋体" w:cs="宋体"/>
          <w:color w:val="auto"/>
          <w:szCs w:val="21"/>
          <w:highlight w:val="none"/>
        </w:rPr>
        <w:t>实行在线电子投标，投标人应先安装“</w:t>
      </w:r>
      <w:r>
        <w:rPr>
          <w:rFonts w:hint="eastAsia" w:ascii="宋体" w:hAnsi="宋体" w:cs="宋体"/>
          <w:color w:val="auto"/>
          <w:highlight w:val="none"/>
        </w:rPr>
        <w:t>广西政府采购云平台</w:t>
      </w:r>
      <w:r>
        <w:rPr>
          <w:rFonts w:hint="eastAsia" w:ascii="宋体" w:hAnsi="宋体" w:cs="宋体"/>
          <w:color w:val="auto"/>
          <w:szCs w:val="21"/>
          <w:highlight w:val="none"/>
        </w:rPr>
        <w:t>电子投标客户端”（请自行前往“</w:t>
      </w:r>
      <w:r>
        <w:rPr>
          <w:rFonts w:hint="eastAsia" w:ascii="宋体" w:hAnsi="宋体" w:cs="宋体"/>
          <w:color w:val="auto"/>
          <w:highlight w:val="none"/>
        </w:rPr>
        <w:t>广西政府采购云平台</w:t>
      </w:r>
      <w:r>
        <w:rPr>
          <w:rFonts w:hint="eastAsia" w:ascii="宋体" w:hAnsi="宋体" w:cs="宋体"/>
          <w:color w:val="auto"/>
          <w:szCs w:val="21"/>
          <w:highlight w:val="none"/>
        </w:rPr>
        <w:t>”进行下载），并按照本项目招标文件和“</w:t>
      </w:r>
      <w:r>
        <w:rPr>
          <w:rFonts w:hint="eastAsia" w:ascii="宋体" w:hAnsi="宋体" w:cs="宋体"/>
          <w:color w:val="auto"/>
          <w:highlight w:val="none"/>
        </w:rPr>
        <w:t>广西政府采购云平台</w:t>
      </w:r>
      <w:r>
        <w:rPr>
          <w:rFonts w:hint="eastAsia" w:ascii="宋体" w:hAnsi="宋体" w:cs="宋体"/>
          <w:color w:val="auto"/>
          <w:szCs w:val="21"/>
          <w:highlight w:val="none"/>
        </w:rPr>
        <w:t>”的要求编制、加密后在投标截止时间前通过网络上传至 “</w:t>
      </w:r>
      <w:r>
        <w:rPr>
          <w:rFonts w:hint="eastAsia" w:ascii="宋体" w:hAnsi="宋体" w:cs="宋体"/>
          <w:color w:val="auto"/>
          <w:highlight w:val="none"/>
        </w:rPr>
        <w:t>广西政府采购云平台</w:t>
      </w:r>
      <w:r>
        <w:rPr>
          <w:rFonts w:hint="eastAsia" w:ascii="宋体" w:hAnsi="宋体" w:cs="宋体"/>
          <w:color w:val="auto"/>
          <w:szCs w:val="21"/>
          <w:highlight w:val="none"/>
        </w:rPr>
        <w:t>”（加密的电子投标文件是指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w:t>
      </w:r>
      <w:r>
        <w:rPr>
          <w:rFonts w:hint="eastAsia" w:ascii="宋体" w:hAnsi="宋体" w:cs="宋体"/>
          <w:color w:val="auto"/>
          <w:highlight w:val="none"/>
        </w:rPr>
        <w:t>广西政府采购云平台</w:t>
      </w:r>
      <w:r>
        <w:rPr>
          <w:rFonts w:hint="eastAsia" w:ascii="宋体" w:hAnsi="宋体" w:cs="宋体"/>
          <w:color w:val="auto"/>
          <w:szCs w:val="21"/>
          <w:highlight w:val="none"/>
        </w:rPr>
        <w:t>”，依次进入“服务中心-项目采购-操作流程-电子招投标-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”查看电子投标具体操作流程。</w:t>
      </w:r>
    </w:p>
    <w:p w14:paraId="0A97BDDC">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Cs/>
          <w:color w:val="auto"/>
          <w:kern w:val="0"/>
          <w:szCs w:val="21"/>
          <w:highlight w:val="none"/>
        </w:rPr>
        <w:t>客服热线：95763或者0771-3381253</w:t>
      </w:r>
      <w:r>
        <w:rPr>
          <w:rFonts w:hint="eastAsia" w:ascii="宋体" w:hAnsi="宋体" w:cs="宋体"/>
          <w:color w:val="auto"/>
          <w:szCs w:val="21"/>
          <w:highlight w:val="none"/>
        </w:rPr>
        <w:t>）。</w:t>
      </w:r>
    </w:p>
    <w:p w14:paraId="7A5B6986">
      <w:pPr>
        <w:snapToGri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电子开标大厅现场按规定时间对加密的投标文件进行解密，否则后果自负。</w:t>
      </w:r>
    </w:p>
    <w:p w14:paraId="1FEC3A42">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color w:val="auto"/>
          <w:szCs w:val="21"/>
          <w:highlight w:val="none"/>
        </w:rPr>
        <w:t>“</w:t>
      </w:r>
      <w:r>
        <w:rPr>
          <w:rFonts w:hint="eastAsia" w:ascii="宋体" w:hAnsi="宋体" w:cs="宋体"/>
          <w:bCs/>
          <w:color w:val="auto"/>
          <w:kern w:val="0"/>
          <w:szCs w:val="21"/>
          <w:highlight w:val="none"/>
        </w:rPr>
        <w:t>政府采购云平台</w:t>
      </w:r>
      <w:r>
        <w:rPr>
          <w:rFonts w:hint="eastAsia" w:ascii="宋体" w:hAnsi="宋体" w:cs="宋体"/>
          <w:color w:val="auto"/>
          <w:szCs w:val="21"/>
          <w:highlight w:val="none"/>
        </w:rPr>
        <w:t>”</w:t>
      </w:r>
      <w:r>
        <w:rPr>
          <w:rFonts w:hint="eastAsia" w:ascii="宋体" w:hAnsi="宋体" w:cs="宋体"/>
          <w:bCs/>
          <w:color w:val="auto"/>
          <w:szCs w:val="21"/>
          <w:highlight w:val="none"/>
        </w:rPr>
        <w:t>将予以拒收。</w:t>
      </w:r>
    </w:p>
    <w:p w14:paraId="4483C420">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4.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14:paraId="0E07EAC7">
      <w:pPr>
        <w:adjustRightInd w:val="0"/>
        <w:snapToGrid w:val="0"/>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本项目</w:t>
      </w:r>
      <w:r>
        <w:rPr>
          <w:rFonts w:hint="eastAsia" w:ascii="宋体" w:hAnsi="宋体" w:cs="宋体"/>
          <w:color w:val="auto"/>
          <w:kern w:val="0"/>
          <w:szCs w:val="21"/>
          <w:highlight w:val="none"/>
        </w:rPr>
        <w:t>采购</w:t>
      </w:r>
      <w:r>
        <w:rPr>
          <w:rFonts w:hint="eastAsia" w:ascii="宋体" w:hAnsi="宋体" w:cs="宋体"/>
          <w:color w:val="auto"/>
          <w:szCs w:val="21"/>
          <w:highlight w:val="none"/>
        </w:rPr>
        <w:t>代理服务费按招标文件第三章“投标人须知”第39.1条“</w:t>
      </w:r>
      <w:r>
        <w:rPr>
          <w:rFonts w:hint="eastAsia" w:hAnsi="宋体" w:cs="宋体"/>
          <w:color w:val="auto"/>
          <w:highlight w:val="none"/>
        </w:rPr>
        <w:t>采购代理费收取标准</w:t>
      </w:r>
      <w:r>
        <w:rPr>
          <w:rFonts w:hint="eastAsia" w:ascii="宋体" w:hAnsi="宋体" w:cs="宋体"/>
          <w:color w:val="auto"/>
          <w:szCs w:val="21"/>
          <w:highlight w:val="none"/>
        </w:rPr>
        <w:t>”规定收取，由中标供应商在获取中标通知书前，向采购代理机构一次性支付。</w:t>
      </w:r>
    </w:p>
    <w:p w14:paraId="60C67E07">
      <w:pPr>
        <w:spacing w:line="3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35"/>
      <w:bookmarkEnd w:id="36"/>
      <w:bookmarkEnd w:id="37"/>
      <w:bookmarkEnd w:id="38"/>
    </w:p>
    <w:p w14:paraId="39DDB30D">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1.采购人信息</w:t>
      </w:r>
    </w:p>
    <w:p w14:paraId="092AD1C4">
      <w:pPr>
        <w:widowControl/>
        <w:spacing w:line="38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宋体" w:hAnsi="宋体" w:cs="宋体"/>
          <w:bCs/>
          <w:color w:val="auto"/>
          <w:szCs w:val="21"/>
          <w:highlight w:val="none"/>
        </w:rPr>
        <w:t>名称：桂</w:t>
      </w:r>
      <w:r>
        <w:rPr>
          <w:rFonts w:hint="eastAsia" w:asciiTheme="majorEastAsia" w:hAnsiTheme="majorEastAsia" w:eastAsiaTheme="majorEastAsia" w:cstheme="majorEastAsia"/>
          <w:bCs/>
          <w:color w:val="auto"/>
          <w:szCs w:val="21"/>
          <w:highlight w:val="none"/>
        </w:rPr>
        <w:t>林医科大学</w:t>
      </w:r>
    </w:p>
    <w:p w14:paraId="4ABE1016">
      <w:pPr>
        <w:widowControl/>
        <w:spacing w:line="38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地址：</w:t>
      </w:r>
      <w:r>
        <w:rPr>
          <w:rFonts w:hint="eastAsia" w:asciiTheme="majorEastAsia" w:hAnsiTheme="majorEastAsia" w:eastAsiaTheme="majorEastAsia" w:cstheme="majorEastAsia"/>
          <w:color w:val="auto"/>
          <w:szCs w:val="21"/>
          <w:highlight w:val="none"/>
          <w:shd w:val="clear" w:color="auto" w:fill="FFFFFF"/>
        </w:rPr>
        <w:t>广西壮族自治区桂林市临桂区致远路1号</w:t>
      </w:r>
      <w:r>
        <w:rPr>
          <w:rFonts w:hint="eastAsia" w:asciiTheme="majorEastAsia" w:hAnsiTheme="majorEastAsia" w:eastAsiaTheme="majorEastAsia" w:cstheme="majorEastAsia"/>
          <w:bCs/>
          <w:color w:val="auto"/>
          <w:szCs w:val="21"/>
          <w:highlight w:val="none"/>
        </w:rPr>
        <w:t>　</w:t>
      </w:r>
    </w:p>
    <w:p w14:paraId="787C0B8F">
      <w:pPr>
        <w:widowControl/>
        <w:spacing w:line="38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联系方式：</w:t>
      </w:r>
      <w:r>
        <w:rPr>
          <w:rFonts w:hint="eastAsia" w:asciiTheme="majorEastAsia" w:hAnsiTheme="majorEastAsia" w:eastAsiaTheme="majorEastAsia" w:cstheme="majorEastAsia"/>
          <w:color w:val="auto"/>
          <w:szCs w:val="21"/>
          <w:highlight w:val="none"/>
          <w:shd w:val="clear" w:color="auto" w:fill="FFFFFF"/>
        </w:rPr>
        <w:t>顾超豪0773-3662950</w:t>
      </w:r>
    </w:p>
    <w:p w14:paraId="49D4588C">
      <w:pPr>
        <w:widowControl/>
        <w:spacing w:line="38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2.采购代理机构信息</w:t>
      </w:r>
    </w:p>
    <w:p w14:paraId="7255C667">
      <w:pPr>
        <w:widowControl/>
        <w:spacing w:line="38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名称：云之龙咨询集团有限公司</w:t>
      </w:r>
    </w:p>
    <w:p w14:paraId="5FA94B90">
      <w:pPr>
        <w:widowControl/>
        <w:spacing w:line="38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地址：广西桂林市临桂区西城北路2号耀辉•美好家园2幢12层1号房</w:t>
      </w:r>
    </w:p>
    <w:p w14:paraId="7CC4ADBF">
      <w:pPr>
        <w:widowControl/>
        <w:spacing w:line="38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联系方式：0773-2887388、2887399  传真：0773-2889218</w:t>
      </w:r>
    </w:p>
    <w:p w14:paraId="204A81CF">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3.项目联系方式</w:t>
      </w:r>
    </w:p>
    <w:p w14:paraId="65629AC5">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项目联系人：</w:t>
      </w:r>
      <w:r>
        <w:rPr>
          <w:rFonts w:hint="eastAsia" w:ascii="宋体" w:hAnsi="宋体" w:cs="宋体"/>
          <w:color w:val="auto"/>
          <w:szCs w:val="21"/>
          <w:highlight w:val="none"/>
        </w:rPr>
        <w:t>吕雯、万紫琳</w:t>
      </w:r>
    </w:p>
    <w:p w14:paraId="12D856BA">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电话：0773-2887388、2887399</w:t>
      </w:r>
    </w:p>
    <w:p w14:paraId="2FE59DC5">
      <w:pPr>
        <w:pStyle w:val="59"/>
        <w:numPr>
          <w:ilvl w:val="4"/>
          <w:numId w:val="0"/>
        </w:numPr>
        <w:rPr>
          <w:color w:val="auto"/>
          <w:highlight w:val="none"/>
        </w:rPr>
      </w:pPr>
    </w:p>
    <w:p w14:paraId="53EE7451">
      <w:pPr>
        <w:pStyle w:val="60"/>
      </w:pPr>
    </w:p>
    <w:p w14:paraId="16E25108">
      <w:pPr>
        <w:pStyle w:val="4"/>
        <w:spacing w:after="0"/>
        <w:jc w:val="center"/>
        <w:rPr>
          <w:rFonts w:ascii="宋体" w:hAnsi="宋体" w:cs="宋体"/>
          <w:color w:val="auto"/>
          <w:highlight w:val="none"/>
        </w:rPr>
      </w:pPr>
      <w:bookmarkStart w:id="39" w:name="_Toc14982"/>
      <w:bookmarkStart w:id="40" w:name="_Toc74320801"/>
      <w:r>
        <w:rPr>
          <w:rFonts w:hint="eastAsia" w:ascii="宋体" w:hAnsi="宋体" w:cs="宋体"/>
          <w:color w:val="auto"/>
          <w:highlight w:val="none"/>
        </w:rPr>
        <w:t>第二章 采购需求</w:t>
      </w:r>
      <w:bookmarkEnd w:id="39"/>
      <w:bookmarkEnd w:id="40"/>
    </w:p>
    <w:p w14:paraId="034B57CF">
      <w:pPr>
        <w:spacing w:line="380" w:lineRule="exact"/>
        <w:ind w:firstLine="422" w:firstLineChars="200"/>
        <w:jc w:val="left"/>
        <w:rPr>
          <w:rFonts w:ascii="宋体" w:hAnsi="宋体" w:cs="宋体"/>
          <w:b/>
          <w:color w:val="auto"/>
          <w:highlight w:val="none"/>
        </w:rPr>
      </w:pPr>
      <w:bookmarkStart w:id="41" w:name="_Toc254970490"/>
      <w:bookmarkStart w:id="42" w:name="_Toc254970631"/>
      <w:r>
        <w:rPr>
          <w:rFonts w:hint="eastAsia" w:ascii="宋体" w:hAnsi="宋体" w:cs="宋体"/>
          <w:b/>
          <w:color w:val="auto"/>
          <w:highlight w:val="none"/>
        </w:rPr>
        <w:t>Ⅰ.说明：</w:t>
      </w:r>
    </w:p>
    <w:p w14:paraId="7C7440A4">
      <w:pPr>
        <w:spacing w:line="37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highlight w:val="none"/>
        </w:rPr>
        <w:t>本招标文件所称中小企业必须符合《政府采购促进中小企业发展管理办法》（财库〔2020〕46号）的规定</w:t>
      </w:r>
      <w:r>
        <w:rPr>
          <w:rFonts w:hint="eastAsia" w:ascii="宋体" w:hAnsi="宋体" w:cs="宋体"/>
          <w:color w:val="auto"/>
          <w:szCs w:val="21"/>
          <w:highlight w:val="none"/>
        </w:rPr>
        <w:t>。</w:t>
      </w:r>
      <w:r>
        <w:rPr>
          <w:rFonts w:hint="eastAsia" w:ascii="宋体" w:hAnsi="宋体" w:cs="宋体"/>
          <w:color w:val="auto"/>
          <w:highlight w:val="none"/>
        </w:rPr>
        <w:t>《中小企业划型标准规定》详见附件4。</w:t>
      </w:r>
    </w:p>
    <w:p w14:paraId="12E0C660">
      <w:pPr>
        <w:spacing w:line="370" w:lineRule="exact"/>
        <w:ind w:firstLine="420" w:firstLineChars="200"/>
        <w:jc w:val="left"/>
        <w:rPr>
          <w:rFonts w:ascii="宋体" w:hAnsi="宋体" w:cs="宋体"/>
          <w:color w:val="auto"/>
          <w:highlight w:val="none"/>
        </w:rPr>
      </w:pPr>
      <w:r>
        <w:rPr>
          <w:rFonts w:hint="eastAsia" w:ascii="宋体" w:hAnsi="宋体" w:cs="宋体"/>
          <w:color w:val="auto"/>
          <w:highlight w:val="none"/>
        </w:rPr>
        <w:t>2.根据财政部、司法部关于政府采购支持监狱企业发展有关问题的通知（财库[2014]68号），监狱企业视同小型、微型企业，享受预留份额、评审中价格扣除等政府采购政策。监狱企业属于小型、微型企业的，不重复享受政策。</w:t>
      </w:r>
    </w:p>
    <w:p w14:paraId="5426FF8E">
      <w:pPr>
        <w:spacing w:line="37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7726CAA4">
      <w:pPr>
        <w:spacing w:line="370" w:lineRule="exact"/>
        <w:ind w:firstLine="420" w:firstLineChars="200"/>
        <w:jc w:val="left"/>
        <w:rPr>
          <w:rFonts w:ascii="宋体" w:hAnsi="宋体" w:cs="宋体"/>
          <w:color w:val="auto"/>
          <w:szCs w:val="21"/>
          <w:highlight w:val="none"/>
        </w:rPr>
      </w:pPr>
      <w:bookmarkStart w:id="43" w:name="_Hlk65055179"/>
      <w:r>
        <w:rPr>
          <w:rFonts w:hint="eastAsia" w:ascii="宋体" w:hAnsi="宋体" w:cs="宋体"/>
          <w:color w:val="auto"/>
          <w:szCs w:val="21"/>
          <w:highlight w:val="none"/>
        </w:rPr>
        <w:t>4.本项目为服务项目，不涉及强制采购节能产品。</w:t>
      </w:r>
    </w:p>
    <w:p w14:paraId="2638F08A">
      <w:pPr>
        <w:spacing w:line="380" w:lineRule="exact"/>
        <w:ind w:firstLine="420"/>
        <w:rPr>
          <w:rFonts w:ascii="宋体" w:hAnsi="宋体" w:cs="宋体"/>
          <w:color w:val="auto"/>
          <w:szCs w:val="21"/>
          <w:highlight w:val="none"/>
        </w:rPr>
      </w:pPr>
      <w:r>
        <w:rPr>
          <w:rFonts w:hint="eastAsia" w:ascii="宋体" w:hAnsi="宋体" w:cs="宋体"/>
          <w:color w:val="auto"/>
          <w:szCs w:val="21"/>
          <w:highlight w:val="none"/>
        </w:rPr>
        <w:t>5.政府采购支持采用本国产品的政策。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项目采购标的不适用本国产品标准）。</w:t>
      </w:r>
    </w:p>
    <w:p w14:paraId="71709474">
      <w:pPr>
        <w:spacing w:line="380" w:lineRule="exact"/>
        <w:ind w:firstLine="420"/>
        <w:rPr>
          <w:rFonts w:ascii="宋体" w:hAnsi="宋体" w:cs="宋体"/>
          <w:color w:val="auto"/>
          <w:szCs w:val="21"/>
          <w:highlight w:val="none"/>
        </w:rPr>
      </w:pPr>
      <w:r>
        <w:rPr>
          <w:rFonts w:hint="eastAsia" w:ascii="宋体" w:hAnsi="宋体" w:cs="宋体"/>
          <w:color w:val="auto"/>
          <w:szCs w:val="21"/>
          <w:highlight w:val="none"/>
        </w:rPr>
        <w:t>6.根据《关于在政府采购活动中对有关美国企业采取相关措施的通知》（财库〔2026〕10号）规定，供应商提供的产品不能为通知附件内46家美国企业（不包括在华美资企业）生产的产品。如有此类产品的，投标无效。</w:t>
      </w:r>
    </w:p>
    <w:p w14:paraId="06FC1A6F">
      <w:pPr>
        <w:spacing w:line="380" w:lineRule="exact"/>
        <w:ind w:firstLine="420"/>
        <w:rPr>
          <w:rFonts w:ascii="宋体" w:hAnsi="宋体" w:cs="宋体"/>
          <w:color w:val="auto"/>
          <w:szCs w:val="21"/>
          <w:highlight w:val="none"/>
        </w:rPr>
      </w:pPr>
      <w:r>
        <w:rPr>
          <w:rFonts w:hint="eastAsia" w:ascii="宋体" w:hAnsi="宋体" w:cs="宋体"/>
          <w:color w:val="auto"/>
          <w:szCs w:val="21"/>
          <w:highlight w:val="none"/>
        </w:rPr>
        <w:t>7.投标人所提供的标的涉及的知识产权和相关技术资料必须是合法取得的，不会侵犯任何第三方的专利权、商标权、工业设计权或其他权利，不会因为采购人的使用服务成果遭受第三方侵权指控，包括被责令致歉、停止使用、追偿或要求赔偿损失等。否则，供应商负责解决由此引起的一切纠纷，采购人有权追究供应商的法律责任，其不利后果由供应商全部承担。</w:t>
      </w:r>
    </w:p>
    <w:p w14:paraId="108EC435">
      <w:pPr>
        <w:spacing w:line="370" w:lineRule="exact"/>
        <w:ind w:firstLine="422" w:firstLineChars="200"/>
        <w:jc w:val="left"/>
        <w:rPr>
          <w:rFonts w:ascii="宋体" w:hAnsi="宋体" w:cs="宋体"/>
          <w:b/>
          <w:color w:val="auto"/>
          <w:highlight w:val="none"/>
        </w:rPr>
      </w:pPr>
      <w:r>
        <w:rPr>
          <w:rFonts w:hint="eastAsia" w:ascii="宋体" w:hAnsi="宋体" w:cs="宋体"/>
          <w:b/>
          <w:color w:val="auto"/>
          <w:highlight w:val="none"/>
        </w:rPr>
        <w:t>8.“实质性要求”是指招标文件中已经指明不满足则投标无效的条款，或者不能负偏离的条款，或者采购需求中带“▲”的条款。投标人不满足实质性要求的，按投标无效处理。</w:t>
      </w:r>
    </w:p>
    <w:bookmarkEnd w:id="43"/>
    <w:p w14:paraId="5009DB5A">
      <w:pPr>
        <w:spacing w:line="370" w:lineRule="exact"/>
        <w:ind w:firstLine="420" w:firstLineChars="200"/>
        <w:jc w:val="left"/>
        <w:rPr>
          <w:rFonts w:ascii="宋体" w:hAnsi="宋体" w:cs="宋体"/>
          <w:color w:val="auto"/>
          <w:highlight w:val="none"/>
        </w:rPr>
      </w:pPr>
      <w:r>
        <w:rPr>
          <w:rFonts w:hint="eastAsia" w:ascii="宋体" w:hAnsi="宋体" w:cs="宋体"/>
          <w:color w:val="auto"/>
          <w:highlight w:val="none"/>
        </w:rPr>
        <w:t>9.投标人应根据自身实际情况如实响应招标文件，对招标文件提出的要求和条件作出明确响应。对于招标文件中要求服务内容及要求应当在投标文件中提供技术支持资料的，技术支持资料以招标文件中规定的形式为准，否则将视为无效技术支持资料。</w:t>
      </w:r>
    </w:p>
    <w:p w14:paraId="2530EB15">
      <w:pPr>
        <w:spacing w:line="370" w:lineRule="exact"/>
        <w:ind w:firstLine="420" w:firstLineChars="200"/>
        <w:jc w:val="left"/>
        <w:rPr>
          <w:rFonts w:ascii="宋体" w:hAnsi="宋体" w:cs="宋体"/>
          <w:color w:val="auto"/>
          <w:highlight w:val="none"/>
        </w:rPr>
      </w:pPr>
      <w:r>
        <w:rPr>
          <w:rFonts w:hint="eastAsia" w:ascii="宋体" w:hAnsi="宋体" w:cs="宋体"/>
          <w:color w:val="auto"/>
          <w:highlight w:val="none"/>
        </w:rPr>
        <w:t>10.投标人必须自行为其投标产品侵犯他人的知识产权或者专利成果的行为承担相应法律责任。</w:t>
      </w:r>
    </w:p>
    <w:p w14:paraId="60B740DF">
      <w:pPr>
        <w:spacing w:line="380" w:lineRule="exact"/>
        <w:ind w:firstLine="310" w:firstLineChars="147"/>
        <w:jc w:val="left"/>
        <w:rPr>
          <w:rFonts w:ascii="宋体" w:hAnsi="宋体" w:cs="宋体"/>
          <w:b/>
          <w:color w:val="auto"/>
          <w:highlight w:val="none"/>
        </w:rPr>
      </w:pPr>
    </w:p>
    <w:p w14:paraId="71408659">
      <w:pPr>
        <w:spacing w:line="380" w:lineRule="exact"/>
        <w:ind w:firstLine="310" w:firstLineChars="147"/>
        <w:jc w:val="left"/>
        <w:rPr>
          <w:rFonts w:ascii="宋体" w:hAnsi="宋体" w:cs="宋体"/>
          <w:b/>
          <w:color w:val="auto"/>
          <w:highlight w:val="none"/>
        </w:rPr>
      </w:pPr>
      <w:r>
        <w:rPr>
          <w:rFonts w:hint="eastAsia" w:ascii="宋体" w:hAnsi="宋体" w:cs="宋体"/>
          <w:b/>
          <w:color w:val="auto"/>
          <w:highlight w:val="none"/>
        </w:rPr>
        <w:t>Ⅱ.采购需求一览表</w:t>
      </w:r>
    </w:p>
    <w:bookmarkEnd w:id="41"/>
    <w:bookmarkEnd w:id="42"/>
    <w:tbl>
      <w:tblPr>
        <w:tblStyle w:val="49"/>
        <w:tblW w:w="52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6"/>
        <w:gridCol w:w="641"/>
        <w:gridCol w:w="643"/>
        <w:gridCol w:w="1141"/>
        <w:gridCol w:w="5214"/>
      </w:tblGrid>
      <w:tr w14:paraId="61B81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5000" w:type="pct"/>
            <w:gridSpan w:val="5"/>
            <w:vAlign w:val="center"/>
          </w:tcPr>
          <w:p w14:paraId="536EEE48">
            <w:pPr>
              <w:tabs>
                <w:tab w:val="left" w:pos="180"/>
                <w:tab w:val="left" w:pos="1620"/>
              </w:tabs>
              <w:adjustRightInd w:val="0"/>
              <w:snapToGrid w:val="0"/>
              <w:spacing w:line="360" w:lineRule="exact"/>
              <w:rPr>
                <w:rFonts w:ascii="宋体" w:hAnsi="宋体" w:cs="宋体"/>
                <w:color w:val="auto"/>
                <w:szCs w:val="21"/>
                <w:highlight w:val="none"/>
              </w:rPr>
            </w:pPr>
            <w:r>
              <w:rPr>
                <w:rFonts w:hint="eastAsia" w:ascii="宋体" w:hAnsi="宋体" w:cs="宋体"/>
                <w:b/>
                <w:color w:val="auto"/>
                <w:szCs w:val="21"/>
                <w:highlight w:val="none"/>
              </w:rPr>
              <w:t>一、采购标的及服务内容及要求</w:t>
            </w:r>
          </w:p>
        </w:tc>
      </w:tr>
      <w:tr w14:paraId="0E380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851" w:type="pct"/>
            <w:tcBorders>
              <w:right w:val="single" w:color="auto" w:sz="4" w:space="0"/>
            </w:tcBorders>
            <w:vAlign w:val="center"/>
          </w:tcPr>
          <w:p w14:paraId="6DE427A7">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348" w:type="pct"/>
            <w:tcBorders>
              <w:left w:val="single" w:color="auto" w:sz="4" w:space="0"/>
            </w:tcBorders>
            <w:vAlign w:val="center"/>
          </w:tcPr>
          <w:p w14:paraId="64D221D5">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348" w:type="pct"/>
            <w:vAlign w:val="center"/>
          </w:tcPr>
          <w:p w14:paraId="6C68E56F">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20" w:type="pct"/>
            <w:vAlign w:val="center"/>
          </w:tcPr>
          <w:p w14:paraId="0F36B33C">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所属行业</w:t>
            </w:r>
          </w:p>
        </w:tc>
        <w:tc>
          <w:tcPr>
            <w:tcW w:w="2831" w:type="pct"/>
            <w:vAlign w:val="center"/>
          </w:tcPr>
          <w:p w14:paraId="4086CB74">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b/>
                <w:color w:val="auto"/>
                <w:szCs w:val="21"/>
                <w:highlight w:val="none"/>
              </w:rPr>
              <w:t>▲服务内容及要求</w:t>
            </w:r>
          </w:p>
        </w:tc>
      </w:tr>
      <w:tr w14:paraId="7E153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1" w:type="pct"/>
            <w:tcBorders>
              <w:bottom w:val="single" w:color="auto" w:sz="4" w:space="0"/>
              <w:right w:val="single" w:color="auto" w:sz="4" w:space="0"/>
            </w:tcBorders>
            <w:vAlign w:val="center"/>
          </w:tcPr>
          <w:p w14:paraId="164ACDD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桂林医科大学餐饮运营与管理服务项目</w:t>
            </w:r>
          </w:p>
        </w:tc>
        <w:tc>
          <w:tcPr>
            <w:tcW w:w="348" w:type="pct"/>
            <w:tcBorders>
              <w:left w:val="single" w:color="auto" w:sz="4" w:space="0"/>
            </w:tcBorders>
            <w:vAlign w:val="center"/>
          </w:tcPr>
          <w:p w14:paraId="4EC7B8E0">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 xml:space="preserve">1 </w:t>
            </w:r>
          </w:p>
        </w:tc>
        <w:tc>
          <w:tcPr>
            <w:tcW w:w="348" w:type="pct"/>
            <w:vAlign w:val="center"/>
          </w:tcPr>
          <w:p w14:paraId="5F0C484F">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620" w:type="pct"/>
            <w:tcBorders>
              <w:bottom w:val="single" w:color="auto" w:sz="4" w:space="0"/>
            </w:tcBorders>
            <w:vAlign w:val="center"/>
          </w:tcPr>
          <w:p w14:paraId="753EDDDB">
            <w:pPr>
              <w:spacing w:line="360" w:lineRule="exact"/>
              <w:jc w:val="center"/>
              <w:rPr>
                <w:color w:val="auto"/>
                <w:highlight w:val="none"/>
              </w:rPr>
            </w:pPr>
            <w:r>
              <w:rPr>
                <w:rFonts w:hint="eastAsia" w:ascii="宋体" w:hAnsi="宋体" w:cs="宋体"/>
                <w:color w:val="auto"/>
                <w:highlight w:val="none"/>
              </w:rPr>
              <w:t>租赁和商务服务业</w:t>
            </w:r>
          </w:p>
        </w:tc>
        <w:tc>
          <w:tcPr>
            <w:tcW w:w="2831" w:type="pct"/>
            <w:vAlign w:val="center"/>
          </w:tcPr>
          <w:p w14:paraId="07D20EA0">
            <w:pPr>
              <w:pStyle w:val="2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一、项目基本概况</w:t>
            </w:r>
          </w:p>
          <w:p w14:paraId="2087D18A">
            <w:pPr>
              <w:pStyle w:val="2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本项目拟招1家中标供应商为采购人临桂校区和东城校区提供餐饮和服务，包括食堂菜品加工及销售、餐厅卫生保洁服务、会议培训接待等公务用餐服务以及其他涉及食堂服务等工作。由采购人负责提供食堂场地、设备，承担水电、燃气费用及劳动保护用品费用。中标供应商提供专业的服务人员负责出品和服务，自行规范内部服务人员管理、食品安全、环境卫生标准等要求及各项标准规范的操作流程。中标供应商不得改变场地用途，不得超范围经营或租赁给第三方。</w:t>
            </w:r>
          </w:p>
          <w:p w14:paraId="157E6491">
            <w:pPr>
              <w:pStyle w:val="2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二、项目服务方式</w:t>
            </w:r>
          </w:p>
          <w:p w14:paraId="2CE4C274">
            <w:pPr>
              <w:pStyle w:val="2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（一）食堂供餐服务安全要求</w:t>
            </w:r>
          </w:p>
          <w:p w14:paraId="5F04A352">
            <w:pPr>
              <w:pStyle w:val="20"/>
              <w:ind w:firstLine="422" w:firstLineChars="200"/>
              <w:jc w:val="left"/>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中标供应商严格落实《中华人民共和国食品安全法》和《广西壮族自治区食品安全条例》，保证所提供的食品质量安全无害。</w:t>
            </w:r>
          </w:p>
          <w:p w14:paraId="4FFA700F">
            <w:pPr>
              <w:pStyle w:val="20"/>
              <w:ind w:firstLine="422" w:firstLineChars="200"/>
              <w:jc w:val="left"/>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供应商必须为拟投入</w:t>
            </w:r>
            <w:r>
              <w:rPr>
                <w:rFonts w:hint="eastAsia" w:asciiTheme="majorEastAsia" w:hAnsiTheme="majorEastAsia" w:eastAsiaTheme="majorEastAsia" w:cstheme="majorEastAsia"/>
                <w:b/>
                <w:bCs/>
                <w:color w:val="auto"/>
                <w:sz w:val="21"/>
                <w:szCs w:val="21"/>
                <w:highlight w:val="none"/>
                <w:lang w:eastAsia="zh-CN"/>
              </w:rPr>
              <w:t>所有工作</w:t>
            </w:r>
            <w:r>
              <w:rPr>
                <w:rFonts w:hint="eastAsia" w:asciiTheme="majorEastAsia" w:hAnsiTheme="majorEastAsia" w:eastAsiaTheme="majorEastAsia" w:cstheme="majorEastAsia"/>
                <w:b/>
                <w:bCs/>
                <w:color w:val="auto"/>
                <w:sz w:val="21"/>
                <w:szCs w:val="21"/>
                <w:highlight w:val="none"/>
              </w:rPr>
              <w:t>人员购买人身意外伤害保险（不低于100万/年）。</w:t>
            </w:r>
          </w:p>
          <w:p w14:paraId="55A9BF2C">
            <w:pPr>
              <w:pStyle w:val="20"/>
              <w:jc w:val="left"/>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（二）食堂供餐服务总体要求</w:t>
            </w:r>
          </w:p>
          <w:p w14:paraId="6C17DF03">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中标供应商本着：安全、营养、卫生、味好的工作理念，为采购师生提供餐食出品服务。中标供应商依据季节服务各式时令菜肴，每季度设计新的菜谱并提交采购人审核，营养合理搭配，重点推出绿色健康食品，让采购师生吃得放心，舒心。</w:t>
            </w:r>
          </w:p>
          <w:p w14:paraId="6AD362BC">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如采购人有加班用餐情况，中标供应商须无条件配合。</w:t>
            </w:r>
          </w:p>
          <w:p w14:paraId="4A7FAED2">
            <w:pPr>
              <w:pStyle w:val="2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（三）早、中、晚餐的菜肴制作、销售服务</w:t>
            </w:r>
          </w:p>
          <w:p w14:paraId="1F62971E">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1.春华苑一楼供餐分为早餐、午餐、晚餐三个服务时段（每天根据每餐用餐人数视情况而定）。</w:t>
            </w:r>
          </w:p>
          <w:p w14:paraId="244C11CC">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（1）早餐用餐人数约1300人/次，开餐时间（早餐）为工作日的07：00—10：30，供餐品种主要为米粉类、粥类、杂粮、豆浆、面点等；</w:t>
            </w:r>
          </w:p>
          <w:p w14:paraId="155385EB">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（2）中餐用餐人数约2300人/次，</w:t>
            </w:r>
            <w:bookmarkStart w:id="44" w:name="OLE_LINK11"/>
            <w:r>
              <w:rPr>
                <w:rFonts w:hint="eastAsia" w:asciiTheme="majorEastAsia" w:hAnsiTheme="majorEastAsia" w:eastAsiaTheme="majorEastAsia" w:cstheme="majorEastAsia"/>
                <w:b/>
                <w:bCs/>
                <w:color w:val="auto"/>
                <w:sz w:val="21"/>
                <w:szCs w:val="21"/>
                <w:highlight w:val="none"/>
              </w:rPr>
              <w:t>开餐时间（午餐）为工作日的11：00—13：00，</w:t>
            </w:r>
            <w:bookmarkEnd w:id="44"/>
            <w:r>
              <w:rPr>
                <w:rFonts w:hint="eastAsia" w:asciiTheme="majorEastAsia" w:hAnsiTheme="majorEastAsia" w:eastAsiaTheme="majorEastAsia" w:cstheme="majorEastAsia"/>
                <w:b/>
                <w:bCs/>
                <w:color w:val="auto"/>
                <w:sz w:val="21"/>
                <w:szCs w:val="21"/>
                <w:highlight w:val="none"/>
              </w:rPr>
              <w:t>服务菜品80个</w:t>
            </w:r>
            <w:bookmarkStart w:id="45" w:name="OLE_LINK2"/>
            <w:bookmarkStart w:id="46" w:name="OLE_LINK3"/>
            <w:r>
              <w:rPr>
                <w:rFonts w:hint="eastAsia" w:asciiTheme="majorEastAsia" w:hAnsiTheme="majorEastAsia" w:eastAsiaTheme="majorEastAsia" w:cstheme="majorEastAsia"/>
                <w:b/>
                <w:bCs/>
                <w:color w:val="auto"/>
                <w:sz w:val="21"/>
                <w:szCs w:val="21"/>
                <w:highlight w:val="none"/>
              </w:rPr>
              <w:t>品种以上</w:t>
            </w:r>
            <w:bookmarkEnd w:id="45"/>
            <w:bookmarkEnd w:id="46"/>
            <w:r>
              <w:rPr>
                <w:rFonts w:hint="eastAsia" w:asciiTheme="majorEastAsia" w:hAnsiTheme="majorEastAsia" w:eastAsiaTheme="majorEastAsia" w:cstheme="majorEastAsia"/>
                <w:b/>
                <w:bCs/>
                <w:color w:val="auto"/>
                <w:sz w:val="21"/>
                <w:szCs w:val="21"/>
                <w:highlight w:val="none"/>
              </w:rPr>
              <w:t>，并提供不收取费用的汤；</w:t>
            </w:r>
          </w:p>
          <w:p w14:paraId="404554CC">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（3）晚餐用餐人数约1000人/次，开餐时间（晚餐）为17：00—1</w:t>
            </w:r>
            <w:bookmarkStart w:id="47" w:name="OLE_LINK4"/>
            <w:bookmarkStart w:id="48" w:name="OLE_LINK5"/>
            <w:r>
              <w:rPr>
                <w:rFonts w:hint="eastAsia" w:asciiTheme="majorEastAsia" w:hAnsiTheme="majorEastAsia" w:eastAsiaTheme="majorEastAsia" w:cstheme="majorEastAsia"/>
                <w:b/>
                <w:bCs/>
                <w:color w:val="auto"/>
                <w:sz w:val="21"/>
                <w:szCs w:val="21"/>
                <w:highlight w:val="none"/>
              </w:rPr>
              <w:t>9</w:t>
            </w:r>
            <w:bookmarkEnd w:id="47"/>
            <w:bookmarkEnd w:id="48"/>
            <w:r>
              <w:rPr>
                <w:rFonts w:hint="eastAsia" w:asciiTheme="majorEastAsia" w:hAnsiTheme="majorEastAsia" w:eastAsiaTheme="majorEastAsia" w:cstheme="majorEastAsia"/>
                <w:b/>
                <w:bCs/>
                <w:color w:val="auto"/>
                <w:sz w:val="21"/>
                <w:szCs w:val="21"/>
                <w:highlight w:val="none"/>
              </w:rPr>
              <w:t>：30，</w:t>
            </w:r>
            <w:bookmarkStart w:id="49" w:name="OLE_LINK6"/>
            <w:bookmarkStart w:id="50" w:name="OLE_LINK7"/>
            <w:r>
              <w:rPr>
                <w:rFonts w:hint="eastAsia" w:asciiTheme="majorEastAsia" w:hAnsiTheme="majorEastAsia" w:eastAsiaTheme="majorEastAsia" w:cstheme="majorEastAsia"/>
                <w:b/>
                <w:bCs/>
                <w:color w:val="auto"/>
                <w:sz w:val="21"/>
                <w:szCs w:val="21"/>
                <w:highlight w:val="none"/>
              </w:rPr>
              <w:t>服务菜品要求达到40个品种以上。</w:t>
            </w:r>
          </w:p>
          <w:bookmarkEnd w:id="49"/>
          <w:bookmarkEnd w:id="50"/>
          <w:p w14:paraId="3ED2FA70">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2.秋实苑二楼供餐分：午餐、晚餐及接待三个服务时段（每餐实际用餐人数视情况而定）。</w:t>
            </w:r>
          </w:p>
          <w:p w14:paraId="3EDE7CD8">
            <w:pPr>
              <w:pStyle w:val="20"/>
              <w:ind w:firstLine="422" w:firstLineChars="200"/>
              <w:jc w:val="left"/>
              <w:rPr>
                <w:rFonts w:asciiTheme="majorEastAsia" w:hAnsiTheme="majorEastAsia" w:eastAsiaTheme="majorEastAsia" w:cstheme="majorEastAsia"/>
                <w:b/>
                <w:bCs/>
                <w:color w:val="auto"/>
                <w:sz w:val="21"/>
                <w:szCs w:val="21"/>
                <w:highlight w:val="none"/>
              </w:rPr>
            </w:pPr>
            <w:bookmarkStart w:id="51" w:name="OLE_LINK8"/>
            <w:bookmarkStart w:id="52" w:name="OLE_LINK9"/>
            <w:r>
              <w:rPr>
                <w:rFonts w:hint="eastAsia" w:asciiTheme="majorEastAsia" w:hAnsiTheme="majorEastAsia" w:eastAsiaTheme="majorEastAsia" w:cstheme="majorEastAsia"/>
                <w:b/>
                <w:bCs/>
                <w:color w:val="auto"/>
                <w:sz w:val="21"/>
                <w:szCs w:val="21"/>
                <w:highlight w:val="none"/>
              </w:rPr>
              <w:t>（</w:t>
            </w:r>
            <w:r>
              <w:rPr>
                <w:rFonts w:hint="eastAsia" w:asciiTheme="majorEastAsia" w:hAnsiTheme="majorEastAsia" w:eastAsiaTheme="majorEastAsia" w:cstheme="majorEastAsia"/>
                <w:b/>
                <w:bCs/>
                <w:color w:val="auto"/>
                <w:sz w:val="21"/>
                <w:szCs w:val="21"/>
                <w:highlight w:val="none"/>
                <w:lang w:val="en-US" w:eastAsia="zh-CN"/>
              </w:rPr>
              <w:t>1</w:t>
            </w:r>
            <w:r>
              <w:rPr>
                <w:rFonts w:hint="eastAsia" w:asciiTheme="majorEastAsia" w:hAnsiTheme="majorEastAsia" w:eastAsiaTheme="majorEastAsia" w:cstheme="majorEastAsia"/>
                <w:b/>
                <w:bCs/>
                <w:color w:val="auto"/>
                <w:sz w:val="21"/>
                <w:szCs w:val="21"/>
                <w:highlight w:val="none"/>
              </w:rPr>
              <w:t>）中餐用餐人数约300人</w:t>
            </w:r>
            <w:bookmarkEnd w:id="51"/>
            <w:bookmarkEnd w:id="52"/>
            <w:r>
              <w:rPr>
                <w:rFonts w:hint="eastAsia" w:asciiTheme="majorEastAsia" w:hAnsiTheme="majorEastAsia" w:eastAsiaTheme="majorEastAsia" w:cstheme="majorEastAsia"/>
                <w:b/>
                <w:bCs/>
                <w:color w:val="auto"/>
                <w:sz w:val="21"/>
                <w:szCs w:val="21"/>
                <w:highlight w:val="none"/>
              </w:rPr>
              <w:t>/次，开餐时间（午餐）为工作日的11：00—13：00，服务菜品要求达到12个品种以上，并提供不收取费用的汤；</w:t>
            </w:r>
            <w:bookmarkStart w:id="53" w:name="OLE_LINK17"/>
            <w:bookmarkStart w:id="54" w:name="OLE_LINK16"/>
            <w:r>
              <w:rPr>
                <w:rFonts w:hint="eastAsia" w:asciiTheme="majorEastAsia" w:hAnsiTheme="majorEastAsia" w:eastAsiaTheme="majorEastAsia" w:cstheme="majorEastAsia"/>
                <w:b/>
                <w:bCs/>
                <w:color w:val="auto"/>
                <w:sz w:val="21"/>
                <w:szCs w:val="21"/>
                <w:highlight w:val="none"/>
              </w:rPr>
              <w:t>提供公务接待包厢服务。</w:t>
            </w:r>
            <w:bookmarkEnd w:id="53"/>
            <w:bookmarkEnd w:id="54"/>
          </w:p>
          <w:p w14:paraId="7868425B">
            <w:pPr>
              <w:pStyle w:val="20"/>
              <w:ind w:firstLine="422" w:firstLineChars="200"/>
              <w:jc w:val="left"/>
              <w:rPr>
                <w:rFonts w:asciiTheme="majorEastAsia" w:hAnsiTheme="majorEastAsia" w:eastAsiaTheme="majorEastAsia" w:cstheme="majorEastAsia"/>
                <w:b/>
                <w:bCs/>
                <w:color w:val="auto"/>
                <w:sz w:val="21"/>
                <w:szCs w:val="21"/>
                <w:highlight w:val="none"/>
              </w:rPr>
            </w:pPr>
            <w:bookmarkStart w:id="55" w:name="OLE_LINK1"/>
            <w:r>
              <w:rPr>
                <w:rFonts w:hint="eastAsia" w:asciiTheme="majorEastAsia" w:hAnsiTheme="majorEastAsia" w:eastAsiaTheme="majorEastAsia" w:cstheme="majorEastAsia"/>
                <w:b/>
                <w:bCs/>
                <w:color w:val="auto"/>
                <w:sz w:val="21"/>
                <w:szCs w:val="21"/>
                <w:highlight w:val="none"/>
              </w:rPr>
              <w:t>（</w:t>
            </w:r>
            <w:r>
              <w:rPr>
                <w:rFonts w:hint="eastAsia" w:asciiTheme="majorEastAsia" w:hAnsiTheme="majorEastAsia" w:eastAsiaTheme="majorEastAsia" w:cstheme="majorEastAsia"/>
                <w:b/>
                <w:bCs/>
                <w:color w:val="auto"/>
                <w:sz w:val="21"/>
                <w:szCs w:val="21"/>
                <w:highlight w:val="none"/>
                <w:lang w:val="en-US" w:eastAsia="zh-CN"/>
              </w:rPr>
              <w:t>2</w:t>
            </w:r>
            <w:r>
              <w:rPr>
                <w:rFonts w:hint="eastAsia" w:asciiTheme="majorEastAsia" w:hAnsiTheme="majorEastAsia" w:eastAsiaTheme="majorEastAsia" w:cstheme="majorEastAsia"/>
                <w:b/>
                <w:bCs/>
                <w:color w:val="auto"/>
                <w:sz w:val="21"/>
                <w:szCs w:val="21"/>
                <w:highlight w:val="none"/>
              </w:rPr>
              <w:t>）晚餐用餐人数约20人/次，开餐时间（晚餐）为18：00—19：00，服务菜品要求8个以上。提供公务接待包厢服务，接待晚餐时间延长至22：00。</w:t>
            </w:r>
          </w:p>
          <w:bookmarkEnd w:id="55"/>
          <w:p w14:paraId="52C69FBC">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3.东城校区风华苑供餐分为早餐、午餐、晚餐及接待四个服务时段（每餐实际用餐人数视情况而定）。</w:t>
            </w:r>
          </w:p>
          <w:p w14:paraId="28EAC0BF">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（1）早餐用餐人数约150人/次，开餐时间（早餐）为07：00—08：20，供餐品种主要为米粉类、粥类、杂粮、豆浆、面点等；</w:t>
            </w:r>
          </w:p>
          <w:p w14:paraId="50F123DF">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（2）中餐用餐人数约218人/次，开餐时间（午餐）为工作日的11：00—13：00，要求服务菜品12个以上，提供公务接待包厢服务。</w:t>
            </w:r>
          </w:p>
          <w:p w14:paraId="4DF9FC99">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（3）晚餐用餐人数约120人/次，开餐时间（晚餐）为17：00—19：00，</w:t>
            </w:r>
            <w:bookmarkStart w:id="56" w:name="OLE_LINK15"/>
            <w:bookmarkStart w:id="57" w:name="OLE_LINK14"/>
            <w:r>
              <w:rPr>
                <w:rFonts w:hint="eastAsia" w:asciiTheme="majorEastAsia" w:hAnsiTheme="majorEastAsia" w:eastAsiaTheme="majorEastAsia" w:cstheme="majorEastAsia"/>
                <w:b/>
                <w:bCs/>
                <w:color w:val="auto"/>
                <w:sz w:val="21"/>
                <w:szCs w:val="21"/>
                <w:highlight w:val="none"/>
              </w:rPr>
              <w:t>要求服务菜品8个以上。</w:t>
            </w:r>
            <w:bookmarkEnd w:id="56"/>
            <w:bookmarkEnd w:id="57"/>
            <w:r>
              <w:rPr>
                <w:rFonts w:hint="eastAsia" w:asciiTheme="majorEastAsia" w:hAnsiTheme="majorEastAsia" w:eastAsiaTheme="majorEastAsia" w:cstheme="majorEastAsia"/>
                <w:b/>
                <w:bCs/>
                <w:color w:val="auto"/>
                <w:sz w:val="21"/>
                <w:szCs w:val="21"/>
                <w:highlight w:val="none"/>
              </w:rPr>
              <w:t>提供公务接待包厢服务，接待晚餐时间延长至21：00。</w:t>
            </w:r>
          </w:p>
          <w:p w14:paraId="0A5C6A94">
            <w:pPr>
              <w:pStyle w:val="2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（四）公务用餐保障服务。接待用餐要求如下：</w:t>
            </w:r>
          </w:p>
          <w:p w14:paraId="16715FF3">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接待用餐服务：中标供应商能依据采购人提供的就餐人数、菜品、用餐配比、用餐标准制定合理的方案，满足各方来客来访的需求，能准时准点做好用餐保障服务。</w:t>
            </w:r>
          </w:p>
          <w:p w14:paraId="167A98E3">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服务人员质量保障：服务人员熟练掌握服务基本流程及礼仪规范，大方、得体，气质佳，反应敏捷；在采购人有公务用餐接待时，中标供应商应确保拟投入公务用餐接待的服务人员满足采购人公务用餐接待的需要，保证每次接待任务圆满完成。</w:t>
            </w:r>
          </w:p>
          <w:p w14:paraId="78480B5C">
            <w:pPr>
              <w:pStyle w:val="2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（五）食堂卫生保洁、库存盘点、每日菜样留存及各项目日常管理工作。</w:t>
            </w:r>
          </w:p>
          <w:p w14:paraId="7EE8D2E3">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1.保证食堂区域卫生、整洁，每天要做好厨余垃圾的收集分类，并放置在指定位置。食堂的卫生防疫、就餐环境须达到</w:t>
            </w:r>
            <w:r>
              <w:rPr>
                <w:b/>
                <w:bCs/>
                <w:color w:val="auto"/>
                <w:sz w:val="21"/>
                <w:szCs w:val="21"/>
                <w:highlight w:val="none"/>
              </w:rPr>
              <w:t>GB 31654-2021《食品安全国家标准 餐饮服务通用卫生规范》</w:t>
            </w:r>
            <w:r>
              <w:rPr>
                <w:rFonts w:hint="eastAsia" w:asciiTheme="majorEastAsia" w:hAnsiTheme="majorEastAsia" w:eastAsiaTheme="majorEastAsia" w:cstheme="majorEastAsia"/>
                <w:b/>
                <w:bCs/>
                <w:color w:val="auto"/>
                <w:sz w:val="21"/>
                <w:szCs w:val="21"/>
                <w:highlight w:val="none"/>
              </w:rPr>
              <w:t>。</w:t>
            </w:r>
          </w:p>
          <w:p w14:paraId="44EF4214">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2.中标供应商应于每月末对食堂的库存食品、菜蔬、物料等进行盘点，并将盘点结果报采购人确认。</w:t>
            </w:r>
          </w:p>
          <w:p w14:paraId="29C6DD99">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3.中标供应商应做好每餐次的食品成品留样工作，以便于食物中毒调查时检验。留样食品每餐、每个品种留样量不少于 125g，应分别盛放于清洗消毒后的密闭专用容器内，标明留样时间、品名、餐次后，在冷藏条件下存放 48 小时以上，避免样品污染，用于食品中毒等突发事件处理。</w:t>
            </w:r>
          </w:p>
          <w:p w14:paraId="4D2FF260">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 xml:space="preserve">4.中标供应商应配合采购人做好食堂的其他日常管理工作。 </w:t>
            </w:r>
          </w:p>
          <w:p w14:paraId="437224C4">
            <w:pPr>
              <w:pStyle w:val="2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（六）食堂内各类设备、设施管理。</w:t>
            </w:r>
          </w:p>
          <w:p w14:paraId="0CF94F85">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由采购人提供厨房设备、餐桌椅、餐具、清洁器具、消防和空调等设施设备，中标供应商进驻使用。中标供应商使用食堂的设备设施，应按采购人食堂固定资产明细表所列物品逐件核收、确认，并承担设备的维护及保养责任,设备的维护和保养费用由采购人负责承担。如在使用过程中发生自然损坏的，中标供应商应及时告知采购人；若有人为损坏、缺失由中标供应商作出相应的赔偿。合同期满，采购人对设备进行清点移交，发现遗失或中标供应商损坏的，由中标供应商负责照价赔偿。</w:t>
            </w:r>
          </w:p>
          <w:p w14:paraId="536C4C66">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采购人水、电、燃气等配套设施齐全，中标供应商不得私自对食堂区域进行装修改造。服务期限满后，中标供应商必须保证房屋及设施完好。</w:t>
            </w:r>
          </w:p>
          <w:p w14:paraId="7CBBCFE6">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中标供应商应妥善保管、使用采购人所提供的厨房设备，如中标供应商在使用过程中因操作不当或者设备保养不当造成的损失由中标供应商负责。</w:t>
            </w:r>
          </w:p>
          <w:p w14:paraId="4C23AB82">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（七）与本项目有关的其他服务工作。</w:t>
            </w:r>
          </w:p>
          <w:p w14:paraId="0F7764EF">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食堂食材另有其他供应商配送，中标供应商应协助采购人做好食材的清点、验收、保管，食材经专人验收后进行加工。中标供应商应协助采购人实行有效的成本核算，控制好各环节成本，不得浪费。</w:t>
            </w:r>
          </w:p>
          <w:p w14:paraId="7267DBF8">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中标供应商须实行食品、原料及菜品留样、索证和验收制度。</w:t>
            </w:r>
          </w:p>
          <w:p w14:paraId="156EAD4F">
            <w:pPr>
              <w:pStyle w:val="20"/>
              <w:jc w:val="left"/>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z w:val="21"/>
                <w:szCs w:val="21"/>
                <w:highlight w:val="none"/>
              </w:rPr>
              <w:t>三、服务人员卫生健康要求</w:t>
            </w:r>
          </w:p>
          <w:p w14:paraId="51FB7F0C">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1.拟投入的服务人员按照《中华人民共和国食品安全法》的规定，每年至少进行一次健康检查，必要时接受临时检查。新参加或临时参加工作的服务人员，应经健康检查，取得健康合格证明后方可参加工作。凡患有痢疾、伤寒、病毒性肝炎等消化道传染病（包括病原携带者）、活动性肺结核、化脓性或者渗出性皮肤病以及其他有碍食品卫生疾病的，不得从事接触直接入口食品的工作。服务人员有发热、腹泻、皮肤伤口或感染、咽部炎症等有碍食品卫生病症的，应立即脱离工作岗位，待查明原因、排除有碍食品卫生的病症或治愈后，方可重新上岗。</w:t>
            </w:r>
          </w:p>
          <w:p w14:paraId="3845D6E9">
            <w:pPr>
              <w:pStyle w:val="20"/>
              <w:ind w:firstLine="422" w:firstLineChars="200"/>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2.中标供应商应对拟投入的服务人员进行岗前卫生知识培训，培训合格后方能上岗；不定期对在职服务人员应进行卫生考核，考核情况应记录。</w:t>
            </w:r>
          </w:p>
          <w:p w14:paraId="6A528388">
            <w:pPr>
              <w:pStyle w:val="20"/>
              <w:ind w:firstLine="422" w:firstLineChars="200"/>
              <w:jc w:val="left"/>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z w:val="21"/>
                <w:szCs w:val="21"/>
                <w:highlight w:val="none"/>
              </w:rPr>
              <w:t>3.工作时间，服务人员应统一着装上岗，更换食堂内专用工作衣帽并佩戴口罩，头发不外露，做到衣冠整洁、干净卫生</w:t>
            </w:r>
            <w:r>
              <w:rPr>
                <w:rFonts w:hint="eastAsia" w:asciiTheme="majorEastAsia" w:hAnsiTheme="majorEastAsia" w:eastAsiaTheme="majorEastAsia" w:cstheme="majorEastAsia"/>
                <w:b/>
                <w:color w:val="auto"/>
                <w:sz w:val="21"/>
                <w:szCs w:val="21"/>
                <w:highlight w:val="none"/>
              </w:rPr>
              <w:t>。服务人员应保持手部干净清洁，不得留长指甲、涂指甲油、佩戴饰物，操作前双手严格进行清洗消毒，操作中应适时地消毒双手。服务人员有下列情形应洗手：①开始工作前；②处理食物前；③上厕所后；④处理生食物后；⑤处理弄污的设备或饮食用具后；⑥咳嗽、打喷嚏、擤鼻子后；⑦处理动物或废物后；⑧触摸耳朵、鼻子、头发、口腔或身体其他部位后；⑨从事任何可能会污染双手的活动后。接触直接入口食品时，手部应进行消毒。</w:t>
            </w:r>
          </w:p>
          <w:p w14:paraId="7A8CDEE8">
            <w:pPr>
              <w:pStyle w:val="20"/>
              <w:jc w:val="left"/>
              <w:rPr>
                <w:rFonts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四、人员配备方案</w:t>
            </w:r>
          </w:p>
          <w:p w14:paraId="095056B5">
            <w:pPr>
              <w:pStyle w:val="20"/>
              <w:ind w:firstLine="422" w:firstLineChars="200"/>
              <w:jc w:val="lef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1.岗位配置及数量：</w:t>
            </w:r>
          </w:p>
          <w:p w14:paraId="6A1B0AEF">
            <w:pPr>
              <w:pStyle w:val="20"/>
              <w:ind w:firstLine="422" w:firstLineChars="200"/>
              <w:jc w:val="lef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投标人拟投入运营服务团队</w:t>
            </w:r>
            <w:r>
              <w:rPr>
                <w:rFonts w:hint="eastAsia" w:asciiTheme="majorEastAsia" w:hAnsiTheme="majorEastAsia" w:eastAsiaTheme="majorEastAsia" w:cstheme="majorEastAsia"/>
                <w:b/>
                <w:color w:val="auto"/>
                <w:sz w:val="21"/>
                <w:szCs w:val="21"/>
                <w:highlight w:val="none"/>
                <w:lang w:eastAsia="zh-CN"/>
              </w:rPr>
              <w:t>约</w:t>
            </w:r>
            <w:r>
              <w:rPr>
                <w:rFonts w:hint="eastAsia" w:asciiTheme="majorEastAsia" w:hAnsiTheme="majorEastAsia" w:eastAsiaTheme="majorEastAsia" w:cstheme="majorEastAsia"/>
                <w:b/>
                <w:color w:val="auto"/>
                <w:sz w:val="21"/>
                <w:szCs w:val="21"/>
                <w:highlight w:val="none"/>
              </w:rPr>
              <w:t>109人到采购人指定的工作场所开展餐饮运营与管理工作，根据采购人实际情况，高峰增配，淡季合理精简（服务的时间、时段、具体人数，中标供应商可以根据采购人实际情况安排），具体的岗位配置及数量如下表：</w:t>
            </w:r>
          </w:p>
          <w:tbl>
            <w:tblPr>
              <w:tblStyle w:val="49"/>
              <w:tblW w:w="4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619"/>
              <w:gridCol w:w="1609"/>
              <w:gridCol w:w="1116"/>
            </w:tblGrid>
            <w:tr w14:paraId="73B7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000" w:type="pct"/>
                  <w:gridSpan w:val="4"/>
                  <w:vAlign w:val="center"/>
                </w:tcPr>
                <w:p w14:paraId="2A7F60F8">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服务团队人员岗位配置及数量</w:t>
                  </w:r>
                </w:p>
              </w:tc>
            </w:tr>
            <w:tr w14:paraId="461B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31" w:type="pct"/>
                  <w:vAlign w:val="center"/>
                </w:tcPr>
                <w:p w14:paraId="70C158B8">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楼栋</w:t>
                  </w:r>
                </w:p>
              </w:tc>
              <w:tc>
                <w:tcPr>
                  <w:tcW w:w="642" w:type="pct"/>
                  <w:vAlign w:val="center"/>
                </w:tcPr>
                <w:p w14:paraId="447571DF">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序号</w:t>
                  </w:r>
                </w:p>
              </w:tc>
              <w:tc>
                <w:tcPr>
                  <w:tcW w:w="1669" w:type="pct"/>
                  <w:vAlign w:val="center"/>
                </w:tcPr>
                <w:p w14:paraId="689E488F">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岗位</w:t>
                  </w:r>
                </w:p>
              </w:tc>
              <w:tc>
                <w:tcPr>
                  <w:tcW w:w="1157" w:type="pct"/>
                  <w:vAlign w:val="center"/>
                </w:tcPr>
                <w:p w14:paraId="1B5279E8">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人数（人）</w:t>
                  </w:r>
                </w:p>
              </w:tc>
            </w:tr>
            <w:tr w14:paraId="5C76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restart"/>
                  <w:vAlign w:val="center"/>
                </w:tcPr>
                <w:p w14:paraId="26EE4BB7">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秋实苑2楼</w:t>
                  </w:r>
                </w:p>
                <w:p w14:paraId="1EDB85EC">
                  <w:pPr>
                    <w:widowControl/>
                    <w:spacing w:line="360" w:lineRule="exact"/>
                    <w:jc w:val="center"/>
                    <w:textAlignment w:val="center"/>
                    <w:rPr>
                      <w:rFonts w:ascii="宋体" w:hAnsi="宋体" w:cs="宋体"/>
                      <w:b/>
                      <w:color w:val="auto"/>
                      <w:highlight w:val="none"/>
                    </w:rPr>
                  </w:pPr>
                </w:p>
              </w:tc>
              <w:tc>
                <w:tcPr>
                  <w:tcW w:w="642" w:type="pct"/>
                  <w:vAlign w:val="center"/>
                </w:tcPr>
                <w:p w14:paraId="66AD6B6D">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1</w:t>
                  </w:r>
                </w:p>
              </w:tc>
              <w:tc>
                <w:tcPr>
                  <w:tcW w:w="1669" w:type="pct"/>
                  <w:vAlign w:val="center"/>
                </w:tcPr>
                <w:p w14:paraId="25FF1362">
                  <w:pPr>
                    <w:widowControl/>
                    <w:jc w:val="center"/>
                    <w:rPr>
                      <w:b/>
                      <w:color w:val="auto"/>
                      <w:kern w:val="0"/>
                      <w:sz w:val="22"/>
                      <w:highlight w:val="none"/>
                    </w:rPr>
                  </w:pPr>
                  <w:r>
                    <w:rPr>
                      <w:rFonts w:hint="eastAsia"/>
                      <w:b/>
                      <w:color w:val="auto"/>
                      <w:sz w:val="22"/>
                      <w:highlight w:val="none"/>
                    </w:rPr>
                    <w:t>厨师长</w:t>
                  </w:r>
                </w:p>
              </w:tc>
              <w:tc>
                <w:tcPr>
                  <w:tcW w:w="1157" w:type="pct"/>
                  <w:vAlign w:val="center"/>
                </w:tcPr>
                <w:p w14:paraId="459767D3">
                  <w:pPr>
                    <w:widowControl/>
                    <w:jc w:val="center"/>
                    <w:rPr>
                      <w:b/>
                      <w:color w:val="auto"/>
                      <w:kern w:val="0"/>
                      <w:sz w:val="22"/>
                      <w:highlight w:val="none"/>
                    </w:rPr>
                  </w:pPr>
                  <w:r>
                    <w:rPr>
                      <w:rFonts w:hint="eastAsia"/>
                      <w:b/>
                      <w:color w:val="auto"/>
                      <w:sz w:val="22"/>
                      <w:highlight w:val="none"/>
                    </w:rPr>
                    <w:t>1</w:t>
                  </w:r>
                </w:p>
              </w:tc>
            </w:tr>
            <w:tr w14:paraId="2F5B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31" w:type="pct"/>
                  <w:vMerge w:val="continue"/>
                  <w:vAlign w:val="center"/>
                </w:tcPr>
                <w:p w14:paraId="576CB12B">
                  <w:pPr>
                    <w:spacing w:line="360" w:lineRule="exact"/>
                    <w:jc w:val="center"/>
                    <w:textAlignment w:val="center"/>
                    <w:rPr>
                      <w:rFonts w:ascii="宋体" w:hAnsi="宋体" w:cs="宋体"/>
                      <w:b/>
                      <w:color w:val="auto"/>
                      <w:highlight w:val="none"/>
                    </w:rPr>
                  </w:pPr>
                </w:p>
              </w:tc>
              <w:tc>
                <w:tcPr>
                  <w:tcW w:w="642" w:type="pct"/>
                  <w:vAlign w:val="center"/>
                </w:tcPr>
                <w:p w14:paraId="7FD5AE7C">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2</w:t>
                  </w:r>
                </w:p>
              </w:tc>
              <w:tc>
                <w:tcPr>
                  <w:tcW w:w="1669" w:type="pct"/>
                  <w:vAlign w:val="center"/>
                </w:tcPr>
                <w:p w14:paraId="4393D284">
                  <w:pPr>
                    <w:jc w:val="center"/>
                    <w:rPr>
                      <w:b/>
                      <w:color w:val="auto"/>
                      <w:sz w:val="22"/>
                      <w:highlight w:val="none"/>
                    </w:rPr>
                  </w:pPr>
                  <w:r>
                    <w:rPr>
                      <w:rFonts w:hint="eastAsia"/>
                      <w:b/>
                      <w:color w:val="auto"/>
                      <w:sz w:val="22"/>
                      <w:highlight w:val="none"/>
                    </w:rPr>
                    <w:t>厨师</w:t>
                  </w:r>
                </w:p>
              </w:tc>
              <w:tc>
                <w:tcPr>
                  <w:tcW w:w="1157" w:type="pct"/>
                  <w:vAlign w:val="center"/>
                </w:tcPr>
                <w:p w14:paraId="18FFFB61">
                  <w:pPr>
                    <w:jc w:val="center"/>
                    <w:rPr>
                      <w:b/>
                      <w:color w:val="auto"/>
                      <w:sz w:val="22"/>
                      <w:highlight w:val="none"/>
                    </w:rPr>
                  </w:pPr>
                  <w:r>
                    <w:rPr>
                      <w:rFonts w:hint="eastAsia"/>
                      <w:b/>
                      <w:color w:val="auto"/>
                      <w:sz w:val="22"/>
                      <w:highlight w:val="none"/>
                    </w:rPr>
                    <w:t>1</w:t>
                  </w:r>
                </w:p>
              </w:tc>
            </w:tr>
            <w:tr w14:paraId="51B9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31" w:type="pct"/>
                  <w:vMerge w:val="continue"/>
                  <w:vAlign w:val="center"/>
                </w:tcPr>
                <w:p w14:paraId="64849784">
                  <w:pPr>
                    <w:spacing w:line="360" w:lineRule="exact"/>
                    <w:jc w:val="center"/>
                    <w:textAlignment w:val="center"/>
                    <w:rPr>
                      <w:rFonts w:ascii="宋体" w:hAnsi="宋体" w:cs="宋体"/>
                      <w:b/>
                      <w:color w:val="auto"/>
                      <w:highlight w:val="none"/>
                    </w:rPr>
                  </w:pPr>
                </w:p>
              </w:tc>
              <w:tc>
                <w:tcPr>
                  <w:tcW w:w="642" w:type="pct"/>
                  <w:vAlign w:val="center"/>
                </w:tcPr>
                <w:p w14:paraId="4DB598BD">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3</w:t>
                  </w:r>
                </w:p>
              </w:tc>
              <w:tc>
                <w:tcPr>
                  <w:tcW w:w="1669" w:type="pct"/>
                  <w:vAlign w:val="center"/>
                </w:tcPr>
                <w:p w14:paraId="4AB1792E">
                  <w:pPr>
                    <w:jc w:val="center"/>
                    <w:rPr>
                      <w:b/>
                      <w:color w:val="auto"/>
                      <w:sz w:val="22"/>
                      <w:highlight w:val="none"/>
                    </w:rPr>
                  </w:pPr>
                  <w:r>
                    <w:rPr>
                      <w:rFonts w:hint="eastAsia"/>
                      <w:b/>
                      <w:color w:val="auto"/>
                      <w:sz w:val="22"/>
                      <w:highlight w:val="none"/>
                    </w:rPr>
                    <w:t>蒸饭</w:t>
                  </w:r>
                </w:p>
              </w:tc>
              <w:tc>
                <w:tcPr>
                  <w:tcW w:w="1157" w:type="pct"/>
                  <w:vAlign w:val="center"/>
                </w:tcPr>
                <w:p w14:paraId="1582B07B">
                  <w:pPr>
                    <w:jc w:val="center"/>
                    <w:rPr>
                      <w:b/>
                      <w:color w:val="auto"/>
                      <w:sz w:val="22"/>
                      <w:highlight w:val="none"/>
                    </w:rPr>
                  </w:pPr>
                  <w:r>
                    <w:rPr>
                      <w:rFonts w:hint="eastAsia"/>
                      <w:b/>
                      <w:color w:val="auto"/>
                      <w:sz w:val="22"/>
                      <w:highlight w:val="none"/>
                    </w:rPr>
                    <w:t>1</w:t>
                  </w:r>
                </w:p>
              </w:tc>
            </w:tr>
            <w:tr w14:paraId="656D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vAlign w:val="center"/>
                </w:tcPr>
                <w:p w14:paraId="45EEAA10">
                  <w:pPr>
                    <w:spacing w:line="360" w:lineRule="exact"/>
                    <w:jc w:val="center"/>
                    <w:textAlignment w:val="center"/>
                    <w:rPr>
                      <w:rFonts w:ascii="宋体" w:hAnsi="宋体" w:cs="宋体"/>
                      <w:b/>
                      <w:color w:val="auto"/>
                      <w:highlight w:val="none"/>
                    </w:rPr>
                  </w:pPr>
                </w:p>
              </w:tc>
              <w:tc>
                <w:tcPr>
                  <w:tcW w:w="642" w:type="pct"/>
                  <w:vAlign w:val="center"/>
                </w:tcPr>
                <w:p w14:paraId="6FFF0D0A">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4</w:t>
                  </w:r>
                </w:p>
              </w:tc>
              <w:tc>
                <w:tcPr>
                  <w:tcW w:w="1669" w:type="pct"/>
                  <w:vAlign w:val="center"/>
                </w:tcPr>
                <w:p w14:paraId="26A421AF">
                  <w:pPr>
                    <w:jc w:val="center"/>
                    <w:rPr>
                      <w:b/>
                      <w:color w:val="auto"/>
                      <w:sz w:val="22"/>
                      <w:highlight w:val="none"/>
                    </w:rPr>
                  </w:pPr>
                  <w:r>
                    <w:rPr>
                      <w:rFonts w:hint="eastAsia"/>
                      <w:b/>
                      <w:color w:val="auto"/>
                      <w:sz w:val="22"/>
                      <w:highlight w:val="none"/>
                    </w:rPr>
                    <w:t>厨工切配售卖</w:t>
                  </w:r>
                </w:p>
              </w:tc>
              <w:tc>
                <w:tcPr>
                  <w:tcW w:w="1157" w:type="pct"/>
                  <w:vAlign w:val="center"/>
                </w:tcPr>
                <w:p w14:paraId="01AD0388">
                  <w:pPr>
                    <w:jc w:val="center"/>
                    <w:rPr>
                      <w:b/>
                      <w:color w:val="auto"/>
                      <w:sz w:val="22"/>
                      <w:highlight w:val="none"/>
                    </w:rPr>
                  </w:pPr>
                  <w:r>
                    <w:rPr>
                      <w:rFonts w:hint="eastAsia"/>
                      <w:b/>
                      <w:color w:val="auto"/>
                      <w:sz w:val="22"/>
                      <w:highlight w:val="none"/>
                    </w:rPr>
                    <w:t>4</w:t>
                  </w:r>
                </w:p>
              </w:tc>
            </w:tr>
            <w:tr w14:paraId="34B4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vAlign w:val="center"/>
                </w:tcPr>
                <w:p w14:paraId="259B8CE9">
                  <w:pPr>
                    <w:spacing w:line="360" w:lineRule="exact"/>
                    <w:jc w:val="center"/>
                    <w:textAlignment w:val="center"/>
                    <w:rPr>
                      <w:rFonts w:ascii="宋体" w:hAnsi="宋体" w:cs="宋体"/>
                      <w:b/>
                      <w:color w:val="auto"/>
                      <w:highlight w:val="none"/>
                    </w:rPr>
                  </w:pPr>
                </w:p>
              </w:tc>
              <w:tc>
                <w:tcPr>
                  <w:tcW w:w="642" w:type="pct"/>
                  <w:vAlign w:val="center"/>
                </w:tcPr>
                <w:p w14:paraId="5B7991CC">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5</w:t>
                  </w:r>
                </w:p>
              </w:tc>
              <w:tc>
                <w:tcPr>
                  <w:tcW w:w="1669" w:type="pct"/>
                  <w:vAlign w:val="center"/>
                </w:tcPr>
                <w:p w14:paraId="61DB2011">
                  <w:pPr>
                    <w:jc w:val="center"/>
                    <w:rPr>
                      <w:b/>
                      <w:color w:val="auto"/>
                      <w:sz w:val="22"/>
                      <w:highlight w:val="none"/>
                    </w:rPr>
                  </w:pPr>
                  <w:r>
                    <w:rPr>
                      <w:rFonts w:hint="eastAsia"/>
                      <w:b/>
                      <w:color w:val="auto"/>
                      <w:sz w:val="22"/>
                      <w:highlight w:val="none"/>
                    </w:rPr>
                    <w:t>洗消间</w:t>
                  </w:r>
                </w:p>
              </w:tc>
              <w:tc>
                <w:tcPr>
                  <w:tcW w:w="1157" w:type="pct"/>
                  <w:vAlign w:val="center"/>
                </w:tcPr>
                <w:p w14:paraId="2E6A07AA">
                  <w:pPr>
                    <w:jc w:val="center"/>
                    <w:rPr>
                      <w:b/>
                      <w:color w:val="auto"/>
                      <w:sz w:val="22"/>
                      <w:highlight w:val="none"/>
                    </w:rPr>
                  </w:pPr>
                  <w:r>
                    <w:rPr>
                      <w:rFonts w:hint="eastAsia"/>
                      <w:b/>
                      <w:color w:val="auto"/>
                      <w:sz w:val="22"/>
                      <w:highlight w:val="none"/>
                    </w:rPr>
                    <w:t>2</w:t>
                  </w:r>
                </w:p>
              </w:tc>
            </w:tr>
            <w:tr w14:paraId="3CED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vAlign w:val="center"/>
                </w:tcPr>
                <w:p w14:paraId="188D539D">
                  <w:pPr>
                    <w:spacing w:line="360" w:lineRule="exact"/>
                    <w:jc w:val="center"/>
                    <w:textAlignment w:val="center"/>
                    <w:rPr>
                      <w:rFonts w:ascii="宋体" w:hAnsi="宋体" w:cs="宋体"/>
                      <w:b/>
                      <w:color w:val="auto"/>
                      <w:highlight w:val="none"/>
                    </w:rPr>
                  </w:pPr>
                </w:p>
              </w:tc>
              <w:tc>
                <w:tcPr>
                  <w:tcW w:w="642" w:type="pct"/>
                  <w:vAlign w:val="center"/>
                </w:tcPr>
                <w:p w14:paraId="00CD5E25">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6</w:t>
                  </w:r>
                </w:p>
              </w:tc>
              <w:tc>
                <w:tcPr>
                  <w:tcW w:w="1669" w:type="pct"/>
                  <w:vAlign w:val="center"/>
                </w:tcPr>
                <w:p w14:paraId="61A15614">
                  <w:pPr>
                    <w:jc w:val="center"/>
                    <w:rPr>
                      <w:b/>
                      <w:color w:val="auto"/>
                      <w:sz w:val="22"/>
                      <w:highlight w:val="none"/>
                    </w:rPr>
                  </w:pPr>
                  <w:r>
                    <w:rPr>
                      <w:rFonts w:hint="eastAsia"/>
                      <w:b/>
                      <w:color w:val="auto"/>
                      <w:sz w:val="22"/>
                      <w:highlight w:val="none"/>
                    </w:rPr>
                    <w:t>大厅保洁卫生</w:t>
                  </w:r>
                </w:p>
              </w:tc>
              <w:tc>
                <w:tcPr>
                  <w:tcW w:w="1157" w:type="pct"/>
                  <w:vAlign w:val="center"/>
                </w:tcPr>
                <w:p w14:paraId="057036A8">
                  <w:pPr>
                    <w:jc w:val="center"/>
                    <w:rPr>
                      <w:b/>
                      <w:color w:val="auto"/>
                      <w:sz w:val="22"/>
                      <w:highlight w:val="none"/>
                    </w:rPr>
                  </w:pPr>
                  <w:r>
                    <w:rPr>
                      <w:rFonts w:hint="eastAsia"/>
                      <w:b/>
                      <w:color w:val="auto"/>
                      <w:sz w:val="22"/>
                      <w:highlight w:val="none"/>
                    </w:rPr>
                    <w:t>7</w:t>
                  </w:r>
                </w:p>
              </w:tc>
            </w:tr>
            <w:tr w14:paraId="565D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vAlign w:val="center"/>
                </w:tcPr>
                <w:p w14:paraId="7B8E9041">
                  <w:pPr>
                    <w:spacing w:line="360" w:lineRule="exact"/>
                    <w:jc w:val="center"/>
                    <w:textAlignment w:val="center"/>
                    <w:rPr>
                      <w:rFonts w:ascii="宋体" w:hAnsi="宋体" w:cs="宋体"/>
                      <w:b/>
                      <w:color w:val="auto"/>
                      <w:highlight w:val="none"/>
                    </w:rPr>
                  </w:pPr>
                </w:p>
              </w:tc>
              <w:tc>
                <w:tcPr>
                  <w:tcW w:w="642" w:type="pct"/>
                  <w:vAlign w:val="center"/>
                </w:tcPr>
                <w:p w14:paraId="2740F5C4">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7</w:t>
                  </w:r>
                </w:p>
              </w:tc>
              <w:tc>
                <w:tcPr>
                  <w:tcW w:w="1669" w:type="pct"/>
                  <w:vAlign w:val="center"/>
                </w:tcPr>
                <w:p w14:paraId="02212644">
                  <w:pPr>
                    <w:jc w:val="center"/>
                    <w:rPr>
                      <w:b/>
                      <w:color w:val="auto"/>
                      <w:sz w:val="22"/>
                      <w:highlight w:val="none"/>
                    </w:rPr>
                  </w:pPr>
                  <w:r>
                    <w:rPr>
                      <w:rFonts w:hint="eastAsia"/>
                      <w:b/>
                      <w:color w:val="auto"/>
                      <w:sz w:val="22"/>
                      <w:highlight w:val="none"/>
                    </w:rPr>
                    <w:t>面点师</w:t>
                  </w:r>
                </w:p>
              </w:tc>
              <w:tc>
                <w:tcPr>
                  <w:tcW w:w="1157" w:type="pct"/>
                  <w:vAlign w:val="center"/>
                </w:tcPr>
                <w:p w14:paraId="4CC5ABCF">
                  <w:pPr>
                    <w:jc w:val="center"/>
                    <w:rPr>
                      <w:b/>
                      <w:color w:val="auto"/>
                      <w:sz w:val="22"/>
                      <w:highlight w:val="none"/>
                    </w:rPr>
                  </w:pPr>
                  <w:r>
                    <w:rPr>
                      <w:rFonts w:hint="eastAsia"/>
                      <w:b/>
                      <w:color w:val="auto"/>
                      <w:sz w:val="22"/>
                      <w:highlight w:val="none"/>
                    </w:rPr>
                    <w:t>1</w:t>
                  </w:r>
                </w:p>
              </w:tc>
            </w:tr>
            <w:tr w14:paraId="1ACB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vAlign w:val="center"/>
                </w:tcPr>
                <w:p w14:paraId="4A8A574A">
                  <w:pPr>
                    <w:spacing w:line="360" w:lineRule="exact"/>
                    <w:jc w:val="center"/>
                    <w:textAlignment w:val="center"/>
                    <w:rPr>
                      <w:rFonts w:ascii="宋体" w:hAnsi="宋体" w:cs="宋体"/>
                      <w:b/>
                      <w:color w:val="auto"/>
                      <w:highlight w:val="none"/>
                    </w:rPr>
                  </w:pPr>
                </w:p>
              </w:tc>
              <w:tc>
                <w:tcPr>
                  <w:tcW w:w="642" w:type="pct"/>
                  <w:vAlign w:val="center"/>
                </w:tcPr>
                <w:p w14:paraId="38437D90">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8</w:t>
                  </w:r>
                </w:p>
              </w:tc>
              <w:tc>
                <w:tcPr>
                  <w:tcW w:w="1669" w:type="pct"/>
                  <w:vAlign w:val="center"/>
                </w:tcPr>
                <w:p w14:paraId="1034C253">
                  <w:pPr>
                    <w:jc w:val="center"/>
                    <w:rPr>
                      <w:b/>
                      <w:color w:val="auto"/>
                      <w:sz w:val="22"/>
                      <w:highlight w:val="none"/>
                    </w:rPr>
                  </w:pPr>
                  <w:r>
                    <w:rPr>
                      <w:rFonts w:hint="eastAsia"/>
                      <w:b/>
                      <w:color w:val="auto"/>
                      <w:sz w:val="22"/>
                      <w:highlight w:val="none"/>
                    </w:rPr>
                    <w:t>包厢</w:t>
                  </w:r>
                </w:p>
              </w:tc>
              <w:tc>
                <w:tcPr>
                  <w:tcW w:w="1157" w:type="pct"/>
                  <w:vAlign w:val="center"/>
                </w:tcPr>
                <w:p w14:paraId="530FA8CB">
                  <w:pPr>
                    <w:jc w:val="center"/>
                    <w:rPr>
                      <w:b/>
                      <w:color w:val="auto"/>
                      <w:sz w:val="22"/>
                      <w:highlight w:val="none"/>
                    </w:rPr>
                  </w:pPr>
                  <w:r>
                    <w:rPr>
                      <w:rFonts w:hint="eastAsia"/>
                      <w:b/>
                      <w:color w:val="auto"/>
                      <w:sz w:val="22"/>
                      <w:highlight w:val="none"/>
                    </w:rPr>
                    <w:t>2</w:t>
                  </w:r>
                </w:p>
              </w:tc>
            </w:tr>
            <w:tr w14:paraId="457C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restart"/>
                  <w:vAlign w:val="center"/>
                </w:tcPr>
                <w:p w14:paraId="0391CEFF">
                  <w:pPr>
                    <w:widowControl/>
                    <w:spacing w:line="360" w:lineRule="exact"/>
                    <w:jc w:val="center"/>
                    <w:textAlignment w:val="center"/>
                    <w:rPr>
                      <w:rFonts w:ascii="宋体" w:hAnsi="宋体" w:cs="宋体"/>
                      <w:b/>
                      <w:color w:val="auto"/>
                      <w:highlight w:val="none"/>
                    </w:rPr>
                  </w:pPr>
                  <w:r>
                    <w:rPr>
                      <w:rFonts w:hint="eastAsia" w:ascii="宋体" w:hAnsi="宋体"/>
                      <w:b/>
                      <w:color w:val="auto"/>
                      <w:highlight w:val="none"/>
                    </w:rPr>
                    <w:t>春华苑1楼</w:t>
                  </w:r>
                </w:p>
                <w:p w14:paraId="0BBEC5F6">
                  <w:pPr>
                    <w:spacing w:line="360" w:lineRule="exact"/>
                    <w:jc w:val="center"/>
                    <w:textAlignment w:val="center"/>
                    <w:rPr>
                      <w:rFonts w:ascii="宋体" w:hAnsi="宋体" w:cs="宋体"/>
                      <w:b/>
                      <w:color w:val="auto"/>
                      <w:highlight w:val="none"/>
                    </w:rPr>
                  </w:pPr>
                </w:p>
              </w:tc>
              <w:tc>
                <w:tcPr>
                  <w:tcW w:w="642" w:type="pct"/>
                  <w:vAlign w:val="center"/>
                </w:tcPr>
                <w:p w14:paraId="30BD201F">
                  <w:pPr>
                    <w:widowControl/>
                    <w:spacing w:line="360" w:lineRule="exact"/>
                    <w:jc w:val="center"/>
                    <w:textAlignment w:val="center"/>
                    <w:rPr>
                      <w:rFonts w:ascii="宋体" w:hAnsi="宋体" w:cs="宋体"/>
                      <w:b/>
                      <w:color w:val="auto"/>
                      <w:highlight w:val="none"/>
                    </w:rPr>
                  </w:pPr>
                  <w:r>
                    <w:rPr>
                      <w:rFonts w:ascii="宋体" w:hAnsi="宋体" w:cs="宋体"/>
                      <w:b/>
                      <w:color w:val="auto"/>
                      <w:kern w:val="0"/>
                      <w:highlight w:val="none"/>
                    </w:rPr>
                    <w:t>9</w:t>
                  </w:r>
                </w:p>
              </w:tc>
              <w:tc>
                <w:tcPr>
                  <w:tcW w:w="1669" w:type="pct"/>
                  <w:vAlign w:val="center"/>
                </w:tcPr>
                <w:p w14:paraId="6286101D">
                  <w:pPr>
                    <w:widowControl/>
                    <w:jc w:val="center"/>
                    <w:rPr>
                      <w:b/>
                      <w:color w:val="auto"/>
                      <w:kern w:val="0"/>
                      <w:sz w:val="22"/>
                      <w:highlight w:val="none"/>
                    </w:rPr>
                  </w:pPr>
                  <w:r>
                    <w:rPr>
                      <w:rFonts w:hint="eastAsia"/>
                      <w:b/>
                      <w:color w:val="auto"/>
                      <w:sz w:val="22"/>
                      <w:highlight w:val="none"/>
                    </w:rPr>
                    <w:t>厨师</w:t>
                  </w:r>
                </w:p>
              </w:tc>
              <w:tc>
                <w:tcPr>
                  <w:tcW w:w="1157" w:type="pct"/>
                  <w:vAlign w:val="center"/>
                </w:tcPr>
                <w:p w14:paraId="4C2513FB">
                  <w:pPr>
                    <w:widowControl/>
                    <w:jc w:val="center"/>
                    <w:rPr>
                      <w:b/>
                      <w:color w:val="auto"/>
                      <w:kern w:val="0"/>
                      <w:sz w:val="22"/>
                      <w:highlight w:val="none"/>
                    </w:rPr>
                  </w:pPr>
                  <w:r>
                    <w:rPr>
                      <w:rFonts w:hint="eastAsia"/>
                      <w:b/>
                      <w:color w:val="auto"/>
                      <w:sz w:val="22"/>
                      <w:highlight w:val="none"/>
                    </w:rPr>
                    <w:t>9</w:t>
                  </w:r>
                </w:p>
              </w:tc>
            </w:tr>
            <w:tr w14:paraId="654A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vAlign w:val="center"/>
                </w:tcPr>
                <w:p w14:paraId="51E77E8E">
                  <w:pPr>
                    <w:spacing w:line="360" w:lineRule="exact"/>
                    <w:jc w:val="center"/>
                    <w:textAlignment w:val="center"/>
                    <w:rPr>
                      <w:rFonts w:ascii="宋体" w:hAnsi="宋体" w:cs="宋体"/>
                      <w:b/>
                      <w:color w:val="auto"/>
                      <w:highlight w:val="none"/>
                    </w:rPr>
                  </w:pPr>
                </w:p>
              </w:tc>
              <w:tc>
                <w:tcPr>
                  <w:tcW w:w="642" w:type="pct"/>
                  <w:vAlign w:val="center"/>
                </w:tcPr>
                <w:p w14:paraId="38EEE720">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10</w:t>
                  </w:r>
                </w:p>
              </w:tc>
              <w:tc>
                <w:tcPr>
                  <w:tcW w:w="1669" w:type="pct"/>
                  <w:vAlign w:val="center"/>
                </w:tcPr>
                <w:p w14:paraId="402592CA">
                  <w:pPr>
                    <w:jc w:val="center"/>
                    <w:rPr>
                      <w:b/>
                      <w:color w:val="auto"/>
                      <w:sz w:val="22"/>
                      <w:highlight w:val="none"/>
                    </w:rPr>
                  </w:pPr>
                  <w:r>
                    <w:rPr>
                      <w:rFonts w:hint="eastAsia"/>
                      <w:b/>
                      <w:color w:val="auto"/>
                      <w:sz w:val="22"/>
                      <w:highlight w:val="none"/>
                    </w:rPr>
                    <w:t>烧卤</w:t>
                  </w:r>
                </w:p>
              </w:tc>
              <w:tc>
                <w:tcPr>
                  <w:tcW w:w="1157" w:type="pct"/>
                  <w:vAlign w:val="center"/>
                </w:tcPr>
                <w:p w14:paraId="7C7D12E4">
                  <w:pPr>
                    <w:jc w:val="center"/>
                    <w:rPr>
                      <w:b/>
                      <w:color w:val="auto"/>
                      <w:sz w:val="22"/>
                      <w:highlight w:val="none"/>
                    </w:rPr>
                  </w:pPr>
                  <w:r>
                    <w:rPr>
                      <w:rFonts w:hint="eastAsia"/>
                      <w:b/>
                      <w:color w:val="auto"/>
                      <w:sz w:val="22"/>
                      <w:highlight w:val="none"/>
                    </w:rPr>
                    <w:t>1</w:t>
                  </w:r>
                </w:p>
              </w:tc>
            </w:tr>
            <w:tr w14:paraId="728C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vAlign w:val="center"/>
                </w:tcPr>
                <w:p w14:paraId="7C18BC35">
                  <w:pPr>
                    <w:spacing w:line="360" w:lineRule="exact"/>
                    <w:jc w:val="center"/>
                    <w:textAlignment w:val="center"/>
                    <w:rPr>
                      <w:rFonts w:ascii="宋体" w:hAnsi="宋体" w:cs="宋体"/>
                      <w:b/>
                      <w:color w:val="auto"/>
                      <w:highlight w:val="none"/>
                    </w:rPr>
                  </w:pPr>
                </w:p>
              </w:tc>
              <w:tc>
                <w:tcPr>
                  <w:tcW w:w="642" w:type="pct"/>
                  <w:vAlign w:val="center"/>
                </w:tcPr>
                <w:p w14:paraId="5BF9354A">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11</w:t>
                  </w:r>
                </w:p>
              </w:tc>
              <w:tc>
                <w:tcPr>
                  <w:tcW w:w="1669" w:type="pct"/>
                  <w:vAlign w:val="center"/>
                </w:tcPr>
                <w:p w14:paraId="027E316D">
                  <w:pPr>
                    <w:jc w:val="center"/>
                    <w:rPr>
                      <w:b/>
                      <w:color w:val="auto"/>
                      <w:sz w:val="22"/>
                      <w:highlight w:val="none"/>
                    </w:rPr>
                  </w:pPr>
                  <w:r>
                    <w:rPr>
                      <w:rFonts w:hint="eastAsia"/>
                      <w:b/>
                      <w:color w:val="auto"/>
                      <w:sz w:val="22"/>
                      <w:highlight w:val="none"/>
                    </w:rPr>
                    <w:t>蒸饭</w:t>
                  </w:r>
                </w:p>
              </w:tc>
              <w:tc>
                <w:tcPr>
                  <w:tcW w:w="1157" w:type="pct"/>
                  <w:vAlign w:val="center"/>
                </w:tcPr>
                <w:p w14:paraId="3E3AD866">
                  <w:pPr>
                    <w:jc w:val="center"/>
                    <w:rPr>
                      <w:b/>
                      <w:color w:val="auto"/>
                      <w:sz w:val="22"/>
                      <w:highlight w:val="none"/>
                    </w:rPr>
                  </w:pPr>
                  <w:r>
                    <w:rPr>
                      <w:rFonts w:hint="eastAsia"/>
                      <w:b/>
                      <w:color w:val="auto"/>
                      <w:sz w:val="22"/>
                      <w:highlight w:val="none"/>
                    </w:rPr>
                    <w:t>2</w:t>
                  </w:r>
                </w:p>
              </w:tc>
            </w:tr>
            <w:tr w14:paraId="4712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vAlign w:val="center"/>
                </w:tcPr>
                <w:p w14:paraId="13C69269">
                  <w:pPr>
                    <w:widowControl/>
                    <w:spacing w:line="360" w:lineRule="exact"/>
                    <w:jc w:val="center"/>
                    <w:textAlignment w:val="center"/>
                    <w:rPr>
                      <w:rFonts w:ascii="宋体" w:hAnsi="宋体" w:cs="宋体"/>
                      <w:b/>
                      <w:color w:val="auto"/>
                      <w:highlight w:val="none"/>
                    </w:rPr>
                  </w:pPr>
                </w:p>
              </w:tc>
              <w:tc>
                <w:tcPr>
                  <w:tcW w:w="642" w:type="pct"/>
                  <w:vAlign w:val="center"/>
                </w:tcPr>
                <w:p w14:paraId="43EB70A1">
                  <w:pPr>
                    <w:widowControl/>
                    <w:spacing w:line="360" w:lineRule="exact"/>
                    <w:jc w:val="center"/>
                    <w:textAlignment w:val="center"/>
                    <w:rPr>
                      <w:rFonts w:ascii="宋体" w:hAnsi="宋体" w:cs="宋体"/>
                      <w:b/>
                      <w:color w:val="auto"/>
                      <w:highlight w:val="none"/>
                    </w:rPr>
                  </w:pPr>
                  <w:r>
                    <w:rPr>
                      <w:rFonts w:hint="eastAsia" w:ascii="宋体" w:hAnsi="宋体" w:cs="宋体"/>
                      <w:b/>
                      <w:color w:val="auto"/>
                      <w:kern w:val="0"/>
                      <w:highlight w:val="none"/>
                    </w:rPr>
                    <w:t>12</w:t>
                  </w:r>
                </w:p>
              </w:tc>
              <w:tc>
                <w:tcPr>
                  <w:tcW w:w="1669" w:type="pct"/>
                  <w:vAlign w:val="center"/>
                </w:tcPr>
                <w:p w14:paraId="3A4CA9F4">
                  <w:pPr>
                    <w:jc w:val="center"/>
                    <w:rPr>
                      <w:b/>
                      <w:color w:val="auto"/>
                      <w:sz w:val="22"/>
                      <w:highlight w:val="none"/>
                    </w:rPr>
                  </w:pPr>
                  <w:r>
                    <w:rPr>
                      <w:rFonts w:hint="eastAsia"/>
                      <w:b/>
                      <w:color w:val="auto"/>
                      <w:sz w:val="22"/>
                      <w:highlight w:val="none"/>
                    </w:rPr>
                    <w:t>厨工切配售卖</w:t>
                  </w:r>
                </w:p>
              </w:tc>
              <w:tc>
                <w:tcPr>
                  <w:tcW w:w="1157" w:type="pct"/>
                  <w:vAlign w:val="center"/>
                </w:tcPr>
                <w:p w14:paraId="2A20CAD6">
                  <w:pPr>
                    <w:jc w:val="center"/>
                    <w:rPr>
                      <w:rFonts w:eastAsiaTheme="minorEastAsia"/>
                      <w:b/>
                      <w:color w:val="auto"/>
                      <w:sz w:val="22"/>
                      <w:highlight w:val="none"/>
                    </w:rPr>
                  </w:pPr>
                  <w:r>
                    <w:rPr>
                      <w:rFonts w:hint="eastAsia"/>
                      <w:b/>
                      <w:color w:val="auto"/>
                      <w:sz w:val="22"/>
                      <w:highlight w:val="none"/>
                    </w:rPr>
                    <w:t>22</w:t>
                  </w:r>
                </w:p>
              </w:tc>
            </w:tr>
            <w:tr w14:paraId="717B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217C9E3B">
                  <w:pPr>
                    <w:widowControl/>
                    <w:spacing w:line="360" w:lineRule="exact"/>
                    <w:jc w:val="center"/>
                    <w:textAlignment w:val="center"/>
                    <w:rPr>
                      <w:rFonts w:ascii="宋体" w:hAnsi="宋体" w:cs="宋体"/>
                      <w:b/>
                      <w:color w:val="auto"/>
                      <w:highlight w:val="none"/>
                    </w:rPr>
                  </w:pPr>
                </w:p>
              </w:tc>
              <w:tc>
                <w:tcPr>
                  <w:tcW w:w="642" w:type="pct"/>
                  <w:vAlign w:val="center"/>
                </w:tcPr>
                <w:p w14:paraId="44CEF46E">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13</w:t>
                  </w:r>
                </w:p>
              </w:tc>
              <w:tc>
                <w:tcPr>
                  <w:tcW w:w="1669" w:type="pct"/>
                  <w:vAlign w:val="center"/>
                </w:tcPr>
                <w:p w14:paraId="5284063D">
                  <w:pPr>
                    <w:jc w:val="center"/>
                    <w:rPr>
                      <w:b/>
                      <w:color w:val="auto"/>
                      <w:sz w:val="22"/>
                      <w:highlight w:val="none"/>
                    </w:rPr>
                  </w:pPr>
                  <w:r>
                    <w:rPr>
                      <w:rFonts w:hint="eastAsia"/>
                      <w:b/>
                      <w:color w:val="auto"/>
                      <w:sz w:val="22"/>
                      <w:highlight w:val="none"/>
                    </w:rPr>
                    <w:t>仓管、财务</w:t>
                  </w:r>
                </w:p>
              </w:tc>
              <w:tc>
                <w:tcPr>
                  <w:tcW w:w="1157" w:type="pct"/>
                  <w:vAlign w:val="center"/>
                </w:tcPr>
                <w:p w14:paraId="2DF029AE">
                  <w:pPr>
                    <w:jc w:val="center"/>
                    <w:rPr>
                      <w:b/>
                      <w:color w:val="auto"/>
                      <w:sz w:val="22"/>
                      <w:highlight w:val="none"/>
                    </w:rPr>
                  </w:pPr>
                  <w:r>
                    <w:rPr>
                      <w:rFonts w:hint="eastAsia"/>
                      <w:b/>
                      <w:color w:val="auto"/>
                      <w:sz w:val="22"/>
                      <w:highlight w:val="none"/>
                    </w:rPr>
                    <w:t>1</w:t>
                  </w:r>
                </w:p>
              </w:tc>
            </w:tr>
            <w:tr w14:paraId="471C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315C4644">
                  <w:pPr>
                    <w:widowControl/>
                    <w:spacing w:line="360" w:lineRule="exact"/>
                    <w:jc w:val="center"/>
                    <w:textAlignment w:val="center"/>
                    <w:rPr>
                      <w:rFonts w:ascii="宋体" w:hAnsi="宋体" w:cs="宋体"/>
                      <w:b/>
                      <w:color w:val="auto"/>
                      <w:highlight w:val="none"/>
                    </w:rPr>
                  </w:pPr>
                </w:p>
              </w:tc>
              <w:tc>
                <w:tcPr>
                  <w:tcW w:w="642" w:type="pct"/>
                  <w:vAlign w:val="center"/>
                </w:tcPr>
                <w:p w14:paraId="3C006177">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14</w:t>
                  </w:r>
                </w:p>
              </w:tc>
              <w:tc>
                <w:tcPr>
                  <w:tcW w:w="1669" w:type="pct"/>
                  <w:vAlign w:val="center"/>
                </w:tcPr>
                <w:p w14:paraId="75A7E5FF">
                  <w:pPr>
                    <w:jc w:val="center"/>
                    <w:rPr>
                      <w:b/>
                      <w:color w:val="auto"/>
                      <w:sz w:val="22"/>
                      <w:highlight w:val="none"/>
                    </w:rPr>
                  </w:pPr>
                  <w:r>
                    <w:rPr>
                      <w:rFonts w:hint="eastAsia"/>
                      <w:b/>
                      <w:color w:val="auto"/>
                      <w:sz w:val="22"/>
                      <w:highlight w:val="none"/>
                    </w:rPr>
                    <w:t>洗消间</w:t>
                  </w:r>
                </w:p>
              </w:tc>
              <w:tc>
                <w:tcPr>
                  <w:tcW w:w="1157" w:type="pct"/>
                  <w:vAlign w:val="center"/>
                </w:tcPr>
                <w:p w14:paraId="452F6AB0">
                  <w:pPr>
                    <w:jc w:val="center"/>
                    <w:rPr>
                      <w:b/>
                      <w:color w:val="auto"/>
                      <w:sz w:val="22"/>
                      <w:highlight w:val="none"/>
                    </w:rPr>
                  </w:pPr>
                  <w:r>
                    <w:rPr>
                      <w:rFonts w:hint="eastAsia"/>
                      <w:b/>
                      <w:color w:val="auto"/>
                      <w:sz w:val="22"/>
                      <w:highlight w:val="none"/>
                    </w:rPr>
                    <w:t>5</w:t>
                  </w:r>
                </w:p>
              </w:tc>
            </w:tr>
            <w:tr w14:paraId="4600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32966766">
                  <w:pPr>
                    <w:widowControl/>
                    <w:spacing w:line="360" w:lineRule="exact"/>
                    <w:jc w:val="center"/>
                    <w:textAlignment w:val="center"/>
                    <w:rPr>
                      <w:rFonts w:ascii="宋体" w:hAnsi="宋体" w:cs="宋体"/>
                      <w:b/>
                      <w:color w:val="auto"/>
                      <w:highlight w:val="none"/>
                    </w:rPr>
                  </w:pPr>
                </w:p>
              </w:tc>
              <w:tc>
                <w:tcPr>
                  <w:tcW w:w="642" w:type="pct"/>
                  <w:vAlign w:val="center"/>
                </w:tcPr>
                <w:p w14:paraId="4F098C65">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15</w:t>
                  </w:r>
                </w:p>
              </w:tc>
              <w:tc>
                <w:tcPr>
                  <w:tcW w:w="1669" w:type="pct"/>
                  <w:vAlign w:val="center"/>
                </w:tcPr>
                <w:p w14:paraId="3C5BDE73">
                  <w:pPr>
                    <w:jc w:val="center"/>
                    <w:rPr>
                      <w:b/>
                      <w:color w:val="auto"/>
                      <w:sz w:val="22"/>
                      <w:highlight w:val="none"/>
                    </w:rPr>
                  </w:pPr>
                  <w:r>
                    <w:rPr>
                      <w:rFonts w:hint="eastAsia"/>
                      <w:b/>
                      <w:color w:val="auto"/>
                      <w:sz w:val="22"/>
                      <w:highlight w:val="none"/>
                    </w:rPr>
                    <w:t>大厅保洁卫生</w:t>
                  </w:r>
                </w:p>
              </w:tc>
              <w:tc>
                <w:tcPr>
                  <w:tcW w:w="1157" w:type="pct"/>
                  <w:vAlign w:val="center"/>
                </w:tcPr>
                <w:p w14:paraId="2B71C0DD">
                  <w:pPr>
                    <w:jc w:val="center"/>
                    <w:rPr>
                      <w:rFonts w:eastAsiaTheme="minorEastAsia"/>
                      <w:b/>
                      <w:color w:val="auto"/>
                      <w:sz w:val="22"/>
                      <w:highlight w:val="none"/>
                    </w:rPr>
                  </w:pPr>
                  <w:r>
                    <w:rPr>
                      <w:rFonts w:hint="eastAsia"/>
                      <w:b/>
                      <w:color w:val="auto"/>
                      <w:sz w:val="22"/>
                      <w:highlight w:val="none"/>
                    </w:rPr>
                    <w:t>12</w:t>
                  </w:r>
                </w:p>
              </w:tc>
            </w:tr>
            <w:tr w14:paraId="5B24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21C77647">
                  <w:pPr>
                    <w:widowControl/>
                    <w:spacing w:line="360" w:lineRule="exact"/>
                    <w:jc w:val="center"/>
                    <w:textAlignment w:val="center"/>
                    <w:rPr>
                      <w:rFonts w:ascii="宋体" w:hAnsi="宋体" w:cs="宋体"/>
                      <w:b/>
                      <w:color w:val="auto"/>
                      <w:highlight w:val="none"/>
                    </w:rPr>
                  </w:pPr>
                </w:p>
              </w:tc>
              <w:tc>
                <w:tcPr>
                  <w:tcW w:w="642" w:type="pct"/>
                  <w:vAlign w:val="center"/>
                </w:tcPr>
                <w:p w14:paraId="7C1143E0">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16</w:t>
                  </w:r>
                </w:p>
              </w:tc>
              <w:tc>
                <w:tcPr>
                  <w:tcW w:w="1669" w:type="pct"/>
                  <w:vAlign w:val="center"/>
                </w:tcPr>
                <w:p w14:paraId="3D65F085">
                  <w:pPr>
                    <w:jc w:val="center"/>
                    <w:rPr>
                      <w:b/>
                      <w:color w:val="auto"/>
                      <w:sz w:val="22"/>
                      <w:highlight w:val="none"/>
                    </w:rPr>
                  </w:pPr>
                  <w:r>
                    <w:rPr>
                      <w:rFonts w:hint="eastAsia"/>
                      <w:b/>
                      <w:color w:val="auto"/>
                      <w:sz w:val="22"/>
                      <w:highlight w:val="none"/>
                    </w:rPr>
                    <w:t>面点师</w:t>
                  </w:r>
                </w:p>
              </w:tc>
              <w:tc>
                <w:tcPr>
                  <w:tcW w:w="1157" w:type="pct"/>
                  <w:vAlign w:val="center"/>
                </w:tcPr>
                <w:p w14:paraId="0AC8F9CF">
                  <w:pPr>
                    <w:jc w:val="center"/>
                    <w:rPr>
                      <w:b/>
                      <w:color w:val="auto"/>
                      <w:sz w:val="22"/>
                      <w:highlight w:val="none"/>
                    </w:rPr>
                  </w:pPr>
                  <w:r>
                    <w:rPr>
                      <w:rFonts w:hint="eastAsia"/>
                      <w:b/>
                      <w:color w:val="auto"/>
                      <w:sz w:val="22"/>
                      <w:highlight w:val="none"/>
                    </w:rPr>
                    <w:t>1</w:t>
                  </w:r>
                </w:p>
              </w:tc>
            </w:tr>
            <w:tr w14:paraId="63A4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14BA05E1">
                  <w:pPr>
                    <w:widowControl/>
                    <w:spacing w:line="360" w:lineRule="exact"/>
                    <w:jc w:val="center"/>
                    <w:textAlignment w:val="center"/>
                    <w:rPr>
                      <w:rFonts w:ascii="宋体" w:hAnsi="宋体" w:cs="宋体"/>
                      <w:b/>
                      <w:color w:val="auto"/>
                      <w:highlight w:val="none"/>
                    </w:rPr>
                  </w:pPr>
                </w:p>
              </w:tc>
              <w:tc>
                <w:tcPr>
                  <w:tcW w:w="642" w:type="pct"/>
                  <w:vAlign w:val="center"/>
                </w:tcPr>
                <w:p w14:paraId="3F8038D8">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17</w:t>
                  </w:r>
                </w:p>
              </w:tc>
              <w:tc>
                <w:tcPr>
                  <w:tcW w:w="1669" w:type="pct"/>
                  <w:vAlign w:val="center"/>
                </w:tcPr>
                <w:p w14:paraId="35118179">
                  <w:pPr>
                    <w:jc w:val="center"/>
                    <w:rPr>
                      <w:b/>
                      <w:color w:val="auto"/>
                      <w:sz w:val="22"/>
                      <w:highlight w:val="none"/>
                    </w:rPr>
                  </w:pPr>
                  <w:r>
                    <w:rPr>
                      <w:rFonts w:hint="eastAsia"/>
                      <w:b/>
                      <w:color w:val="auto"/>
                      <w:sz w:val="22"/>
                      <w:highlight w:val="none"/>
                    </w:rPr>
                    <w:t>白案师</w:t>
                  </w:r>
                </w:p>
              </w:tc>
              <w:tc>
                <w:tcPr>
                  <w:tcW w:w="1157" w:type="pct"/>
                  <w:vAlign w:val="center"/>
                </w:tcPr>
                <w:p w14:paraId="7BA0D1F9">
                  <w:pPr>
                    <w:jc w:val="center"/>
                    <w:rPr>
                      <w:b/>
                      <w:color w:val="auto"/>
                      <w:sz w:val="22"/>
                      <w:highlight w:val="none"/>
                    </w:rPr>
                  </w:pPr>
                  <w:r>
                    <w:rPr>
                      <w:rFonts w:hint="eastAsia"/>
                      <w:b/>
                      <w:color w:val="auto"/>
                      <w:sz w:val="22"/>
                      <w:highlight w:val="none"/>
                    </w:rPr>
                    <w:t>1</w:t>
                  </w:r>
                </w:p>
              </w:tc>
            </w:tr>
            <w:tr w14:paraId="66ED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3059BD12">
                  <w:pPr>
                    <w:widowControl/>
                    <w:spacing w:line="360" w:lineRule="exact"/>
                    <w:jc w:val="center"/>
                    <w:textAlignment w:val="center"/>
                    <w:rPr>
                      <w:rFonts w:ascii="宋体" w:hAnsi="宋体" w:cs="宋体"/>
                      <w:b/>
                      <w:color w:val="auto"/>
                      <w:highlight w:val="none"/>
                    </w:rPr>
                  </w:pPr>
                </w:p>
              </w:tc>
              <w:tc>
                <w:tcPr>
                  <w:tcW w:w="642" w:type="pct"/>
                  <w:vAlign w:val="center"/>
                </w:tcPr>
                <w:p w14:paraId="7DB73500">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18</w:t>
                  </w:r>
                </w:p>
              </w:tc>
              <w:tc>
                <w:tcPr>
                  <w:tcW w:w="1669" w:type="pct"/>
                  <w:vAlign w:val="center"/>
                </w:tcPr>
                <w:p w14:paraId="78793C8E">
                  <w:pPr>
                    <w:jc w:val="center"/>
                    <w:rPr>
                      <w:b/>
                      <w:color w:val="auto"/>
                      <w:sz w:val="22"/>
                      <w:highlight w:val="none"/>
                    </w:rPr>
                  </w:pPr>
                  <w:r>
                    <w:rPr>
                      <w:rFonts w:hint="eastAsia"/>
                      <w:b/>
                      <w:color w:val="auto"/>
                      <w:sz w:val="22"/>
                      <w:highlight w:val="none"/>
                    </w:rPr>
                    <w:t>早餐厨工切配售卖</w:t>
                  </w:r>
                </w:p>
              </w:tc>
              <w:tc>
                <w:tcPr>
                  <w:tcW w:w="1157" w:type="pct"/>
                  <w:vAlign w:val="center"/>
                </w:tcPr>
                <w:p w14:paraId="5E1501A7">
                  <w:pPr>
                    <w:jc w:val="center"/>
                    <w:rPr>
                      <w:b/>
                      <w:color w:val="auto"/>
                      <w:sz w:val="22"/>
                      <w:highlight w:val="none"/>
                    </w:rPr>
                  </w:pPr>
                  <w:r>
                    <w:rPr>
                      <w:rFonts w:hint="eastAsia"/>
                      <w:b/>
                      <w:color w:val="auto"/>
                      <w:sz w:val="22"/>
                      <w:highlight w:val="none"/>
                    </w:rPr>
                    <w:t>10</w:t>
                  </w:r>
                </w:p>
              </w:tc>
            </w:tr>
            <w:tr w14:paraId="3C5C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restart"/>
                </w:tcPr>
                <w:p w14:paraId="3B25FECE">
                  <w:pPr>
                    <w:widowControl/>
                    <w:spacing w:line="360" w:lineRule="exact"/>
                    <w:jc w:val="center"/>
                    <w:textAlignment w:val="center"/>
                    <w:rPr>
                      <w:rFonts w:ascii="宋体" w:hAnsi="宋体"/>
                      <w:b/>
                      <w:color w:val="auto"/>
                      <w:highlight w:val="none"/>
                    </w:rPr>
                  </w:pPr>
                </w:p>
                <w:p w14:paraId="3BAD075E">
                  <w:pPr>
                    <w:widowControl/>
                    <w:spacing w:line="360" w:lineRule="exact"/>
                    <w:jc w:val="center"/>
                    <w:textAlignment w:val="center"/>
                    <w:rPr>
                      <w:rFonts w:ascii="宋体" w:hAnsi="宋体"/>
                      <w:b/>
                      <w:color w:val="auto"/>
                      <w:highlight w:val="none"/>
                    </w:rPr>
                  </w:pPr>
                </w:p>
                <w:p w14:paraId="78007584">
                  <w:pPr>
                    <w:widowControl/>
                    <w:spacing w:line="360" w:lineRule="exact"/>
                    <w:jc w:val="center"/>
                    <w:textAlignment w:val="center"/>
                    <w:rPr>
                      <w:rFonts w:ascii="宋体" w:hAnsi="宋体"/>
                      <w:b/>
                      <w:color w:val="auto"/>
                      <w:highlight w:val="none"/>
                    </w:rPr>
                  </w:pPr>
                </w:p>
                <w:p w14:paraId="44A93706">
                  <w:pPr>
                    <w:widowControl/>
                    <w:spacing w:line="360" w:lineRule="exact"/>
                    <w:jc w:val="center"/>
                    <w:textAlignment w:val="center"/>
                    <w:rPr>
                      <w:rFonts w:ascii="宋体" w:hAnsi="宋体"/>
                      <w:b/>
                      <w:color w:val="auto"/>
                      <w:highlight w:val="none"/>
                    </w:rPr>
                  </w:pPr>
                </w:p>
                <w:p w14:paraId="2AB0B494">
                  <w:pPr>
                    <w:widowControl/>
                    <w:spacing w:line="360" w:lineRule="exact"/>
                    <w:jc w:val="center"/>
                    <w:textAlignment w:val="center"/>
                    <w:rPr>
                      <w:rFonts w:ascii="宋体" w:hAnsi="宋体" w:cs="宋体"/>
                      <w:b/>
                      <w:color w:val="auto"/>
                      <w:highlight w:val="none"/>
                    </w:rPr>
                  </w:pPr>
                  <w:r>
                    <w:rPr>
                      <w:rFonts w:hint="eastAsia" w:ascii="宋体" w:hAnsi="宋体"/>
                      <w:b/>
                      <w:color w:val="auto"/>
                      <w:highlight w:val="none"/>
                    </w:rPr>
                    <w:t>春华苑</w:t>
                  </w:r>
                  <w:r>
                    <w:rPr>
                      <w:rFonts w:ascii="宋体" w:hAnsi="宋体"/>
                      <w:b/>
                      <w:color w:val="auto"/>
                      <w:highlight w:val="none"/>
                    </w:rPr>
                    <w:t>2</w:t>
                  </w:r>
                  <w:r>
                    <w:rPr>
                      <w:rFonts w:hint="eastAsia" w:ascii="宋体" w:hAnsi="宋体"/>
                      <w:b/>
                      <w:color w:val="auto"/>
                      <w:highlight w:val="none"/>
                    </w:rPr>
                    <w:t>楼</w:t>
                  </w:r>
                </w:p>
                <w:p w14:paraId="580C4B9C">
                  <w:pPr>
                    <w:widowControl/>
                    <w:spacing w:line="360" w:lineRule="exact"/>
                    <w:jc w:val="center"/>
                    <w:textAlignment w:val="center"/>
                    <w:rPr>
                      <w:rFonts w:ascii="宋体" w:hAnsi="宋体" w:cs="宋体"/>
                      <w:b/>
                      <w:color w:val="auto"/>
                      <w:highlight w:val="none"/>
                    </w:rPr>
                  </w:pPr>
                </w:p>
              </w:tc>
              <w:tc>
                <w:tcPr>
                  <w:tcW w:w="642" w:type="pct"/>
                  <w:vAlign w:val="center"/>
                </w:tcPr>
                <w:p w14:paraId="6ABD8233">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19</w:t>
                  </w:r>
                </w:p>
              </w:tc>
              <w:tc>
                <w:tcPr>
                  <w:tcW w:w="1669" w:type="pct"/>
                  <w:vAlign w:val="center"/>
                </w:tcPr>
                <w:p w14:paraId="0338D944">
                  <w:pPr>
                    <w:widowControl/>
                    <w:jc w:val="center"/>
                    <w:rPr>
                      <w:b/>
                      <w:color w:val="auto"/>
                      <w:kern w:val="0"/>
                      <w:sz w:val="22"/>
                      <w:highlight w:val="none"/>
                    </w:rPr>
                  </w:pPr>
                  <w:r>
                    <w:rPr>
                      <w:rFonts w:hint="eastAsia"/>
                      <w:b/>
                      <w:color w:val="auto"/>
                      <w:sz w:val="22"/>
                      <w:highlight w:val="none"/>
                    </w:rPr>
                    <w:t>厨师</w:t>
                  </w:r>
                </w:p>
              </w:tc>
              <w:tc>
                <w:tcPr>
                  <w:tcW w:w="1157" w:type="pct"/>
                  <w:vAlign w:val="center"/>
                </w:tcPr>
                <w:p w14:paraId="36F3A70C">
                  <w:pPr>
                    <w:widowControl/>
                    <w:jc w:val="center"/>
                    <w:rPr>
                      <w:b/>
                      <w:color w:val="auto"/>
                      <w:kern w:val="0"/>
                      <w:sz w:val="22"/>
                      <w:highlight w:val="none"/>
                    </w:rPr>
                  </w:pPr>
                  <w:r>
                    <w:rPr>
                      <w:rFonts w:hint="eastAsia"/>
                      <w:b/>
                      <w:color w:val="auto"/>
                      <w:sz w:val="22"/>
                      <w:highlight w:val="none"/>
                    </w:rPr>
                    <w:t>1</w:t>
                  </w:r>
                </w:p>
              </w:tc>
            </w:tr>
            <w:tr w14:paraId="0640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3BA9E574">
                  <w:pPr>
                    <w:widowControl/>
                    <w:spacing w:line="360" w:lineRule="exact"/>
                    <w:jc w:val="center"/>
                    <w:textAlignment w:val="center"/>
                    <w:rPr>
                      <w:rFonts w:ascii="宋体" w:hAnsi="宋体" w:cs="宋体"/>
                      <w:b/>
                      <w:color w:val="auto"/>
                      <w:highlight w:val="none"/>
                    </w:rPr>
                  </w:pPr>
                </w:p>
              </w:tc>
              <w:tc>
                <w:tcPr>
                  <w:tcW w:w="642" w:type="pct"/>
                  <w:vAlign w:val="center"/>
                </w:tcPr>
                <w:p w14:paraId="7FD470B9">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20</w:t>
                  </w:r>
                </w:p>
              </w:tc>
              <w:tc>
                <w:tcPr>
                  <w:tcW w:w="1669" w:type="pct"/>
                  <w:vAlign w:val="center"/>
                </w:tcPr>
                <w:p w14:paraId="13F56464">
                  <w:pPr>
                    <w:jc w:val="center"/>
                    <w:rPr>
                      <w:b/>
                      <w:color w:val="auto"/>
                      <w:sz w:val="22"/>
                      <w:highlight w:val="none"/>
                    </w:rPr>
                  </w:pPr>
                  <w:r>
                    <w:rPr>
                      <w:rFonts w:hint="eastAsia"/>
                      <w:b/>
                      <w:color w:val="auto"/>
                      <w:sz w:val="22"/>
                      <w:highlight w:val="none"/>
                    </w:rPr>
                    <w:t>蒸饭</w:t>
                  </w:r>
                </w:p>
              </w:tc>
              <w:tc>
                <w:tcPr>
                  <w:tcW w:w="1157" w:type="pct"/>
                  <w:vAlign w:val="center"/>
                </w:tcPr>
                <w:p w14:paraId="48191B7B">
                  <w:pPr>
                    <w:jc w:val="center"/>
                    <w:rPr>
                      <w:b/>
                      <w:color w:val="auto"/>
                      <w:sz w:val="22"/>
                      <w:highlight w:val="none"/>
                    </w:rPr>
                  </w:pPr>
                  <w:r>
                    <w:rPr>
                      <w:rFonts w:hint="eastAsia"/>
                      <w:b/>
                      <w:color w:val="auto"/>
                      <w:sz w:val="22"/>
                      <w:highlight w:val="none"/>
                    </w:rPr>
                    <w:t>1</w:t>
                  </w:r>
                </w:p>
              </w:tc>
            </w:tr>
            <w:tr w14:paraId="18FE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64E45510">
                  <w:pPr>
                    <w:widowControl/>
                    <w:spacing w:line="360" w:lineRule="exact"/>
                    <w:jc w:val="center"/>
                    <w:textAlignment w:val="center"/>
                    <w:rPr>
                      <w:rFonts w:ascii="宋体" w:hAnsi="宋体" w:cs="宋体"/>
                      <w:b/>
                      <w:color w:val="auto"/>
                      <w:highlight w:val="none"/>
                    </w:rPr>
                  </w:pPr>
                </w:p>
              </w:tc>
              <w:tc>
                <w:tcPr>
                  <w:tcW w:w="642" w:type="pct"/>
                  <w:vAlign w:val="center"/>
                </w:tcPr>
                <w:p w14:paraId="26A03EB3">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21</w:t>
                  </w:r>
                </w:p>
              </w:tc>
              <w:tc>
                <w:tcPr>
                  <w:tcW w:w="1669" w:type="pct"/>
                  <w:vAlign w:val="center"/>
                </w:tcPr>
                <w:p w14:paraId="6C92247A">
                  <w:pPr>
                    <w:jc w:val="center"/>
                    <w:rPr>
                      <w:b/>
                      <w:color w:val="auto"/>
                      <w:sz w:val="22"/>
                      <w:highlight w:val="none"/>
                    </w:rPr>
                  </w:pPr>
                  <w:r>
                    <w:rPr>
                      <w:rFonts w:hint="eastAsia"/>
                      <w:b/>
                      <w:color w:val="auto"/>
                      <w:sz w:val="22"/>
                      <w:highlight w:val="none"/>
                    </w:rPr>
                    <w:t>厨工切配售卖</w:t>
                  </w:r>
                </w:p>
              </w:tc>
              <w:tc>
                <w:tcPr>
                  <w:tcW w:w="1157" w:type="pct"/>
                  <w:vAlign w:val="center"/>
                </w:tcPr>
                <w:p w14:paraId="3D8E5927">
                  <w:pPr>
                    <w:jc w:val="center"/>
                    <w:rPr>
                      <w:b/>
                      <w:color w:val="auto"/>
                      <w:sz w:val="22"/>
                      <w:highlight w:val="none"/>
                    </w:rPr>
                  </w:pPr>
                  <w:r>
                    <w:rPr>
                      <w:rFonts w:hint="eastAsia"/>
                      <w:b/>
                      <w:color w:val="auto"/>
                      <w:sz w:val="22"/>
                      <w:highlight w:val="none"/>
                    </w:rPr>
                    <w:t>6</w:t>
                  </w:r>
                </w:p>
              </w:tc>
            </w:tr>
            <w:tr w14:paraId="21AB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088942C0">
                  <w:pPr>
                    <w:widowControl/>
                    <w:spacing w:line="360" w:lineRule="exact"/>
                    <w:jc w:val="center"/>
                    <w:textAlignment w:val="center"/>
                    <w:rPr>
                      <w:rFonts w:ascii="宋体" w:hAnsi="宋体" w:cs="宋体"/>
                      <w:b/>
                      <w:color w:val="auto"/>
                      <w:highlight w:val="none"/>
                    </w:rPr>
                  </w:pPr>
                </w:p>
              </w:tc>
              <w:tc>
                <w:tcPr>
                  <w:tcW w:w="642" w:type="pct"/>
                  <w:vAlign w:val="center"/>
                </w:tcPr>
                <w:p w14:paraId="14D274E1">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22</w:t>
                  </w:r>
                </w:p>
              </w:tc>
              <w:tc>
                <w:tcPr>
                  <w:tcW w:w="1669" w:type="pct"/>
                  <w:vAlign w:val="center"/>
                </w:tcPr>
                <w:p w14:paraId="68DA86E5">
                  <w:pPr>
                    <w:jc w:val="center"/>
                    <w:rPr>
                      <w:b/>
                      <w:color w:val="auto"/>
                      <w:sz w:val="22"/>
                      <w:highlight w:val="none"/>
                    </w:rPr>
                  </w:pPr>
                  <w:r>
                    <w:rPr>
                      <w:rFonts w:hint="eastAsia"/>
                      <w:b/>
                      <w:color w:val="auto"/>
                      <w:sz w:val="22"/>
                      <w:highlight w:val="none"/>
                    </w:rPr>
                    <w:t>洗消间</w:t>
                  </w:r>
                </w:p>
              </w:tc>
              <w:tc>
                <w:tcPr>
                  <w:tcW w:w="1157" w:type="pct"/>
                  <w:vAlign w:val="center"/>
                </w:tcPr>
                <w:p w14:paraId="2275F102">
                  <w:pPr>
                    <w:jc w:val="center"/>
                    <w:rPr>
                      <w:b/>
                      <w:color w:val="auto"/>
                      <w:sz w:val="22"/>
                      <w:highlight w:val="none"/>
                    </w:rPr>
                  </w:pPr>
                  <w:r>
                    <w:rPr>
                      <w:rFonts w:hint="eastAsia"/>
                      <w:b/>
                      <w:color w:val="auto"/>
                      <w:sz w:val="22"/>
                      <w:highlight w:val="none"/>
                    </w:rPr>
                    <w:t>2</w:t>
                  </w:r>
                </w:p>
              </w:tc>
            </w:tr>
            <w:tr w14:paraId="44C6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5293392B">
                  <w:pPr>
                    <w:widowControl/>
                    <w:spacing w:line="360" w:lineRule="exact"/>
                    <w:jc w:val="center"/>
                    <w:textAlignment w:val="center"/>
                    <w:rPr>
                      <w:rFonts w:ascii="宋体" w:hAnsi="宋体" w:cs="宋体"/>
                      <w:b/>
                      <w:color w:val="auto"/>
                      <w:highlight w:val="none"/>
                    </w:rPr>
                  </w:pPr>
                </w:p>
              </w:tc>
              <w:tc>
                <w:tcPr>
                  <w:tcW w:w="642" w:type="pct"/>
                  <w:vAlign w:val="center"/>
                </w:tcPr>
                <w:p w14:paraId="7504F9A4">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23</w:t>
                  </w:r>
                </w:p>
              </w:tc>
              <w:tc>
                <w:tcPr>
                  <w:tcW w:w="1669" w:type="pct"/>
                  <w:vAlign w:val="center"/>
                </w:tcPr>
                <w:p w14:paraId="5AE9EC4E">
                  <w:pPr>
                    <w:jc w:val="center"/>
                    <w:rPr>
                      <w:b/>
                      <w:color w:val="auto"/>
                      <w:sz w:val="22"/>
                      <w:highlight w:val="none"/>
                    </w:rPr>
                  </w:pPr>
                  <w:r>
                    <w:rPr>
                      <w:rFonts w:hint="eastAsia"/>
                      <w:b/>
                      <w:color w:val="auto"/>
                      <w:sz w:val="22"/>
                      <w:highlight w:val="none"/>
                    </w:rPr>
                    <w:t>大厅保洁卫生</w:t>
                  </w:r>
                </w:p>
              </w:tc>
              <w:tc>
                <w:tcPr>
                  <w:tcW w:w="1157" w:type="pct"/>
                  <w:vAlign w:val="center"/>
                </w:tcPr>
                <w:p w14:paraId="5B1B638C">
                  <w:pPr>
                    <w:jc w:val="center"/>
                    <w:rPr>
                      <w:b/>
                      <w:color w:val="auto"/>
                      <w:sz w:val="22"/>
                      <w:highlight w:val="none"/>
                    </w:rPr>
                  </w:pPr>
                  <w:r>
                    <w:rPr>
                      <w:rFonts w:hint="eastAsia"/>
                      <w:b/>
                      <w:color w:val="auto"/>
                      <w:sz w:val="22"/>
                      <w:highlight w:val="none"/>
                    </w:rPr>
                    <w:t>7</w:t>
                  </w:r>
                </w:p>
              </w:tc>
            </w:tr>
            <w:tr w14:paraId="432E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restart"/>
                </w:tcPr>
                <w:p w14:paraId="19730459">
                  <w:pPr>
                    <w:widowControl/>
                    <w:spacing w:line="360" w:lineRule="exact"/>
                    <w:jc w:val="center"/>
                    <w:textAlignment w:val="center"/>
                    <w:rPr>
                      <w:rFonts w:ascii="宋体" w:hAnsi="宋体" w:cs="宋体"/>
                      <w:b/>
                      <w:color w:val="auto"/>
                      <w:highlight w:val="none"/>
                    </w:rPr>
                  </w:pPr>
                </w:p>
                <w:p w14:paraId="6C7A91F6">
                  <w:pPr>
                    <w:widowControl/>
                    <w:spacing w:line="360" w:lineRule="exact"/>
                    <w:jc w:val="center"/>
                    <w:textAlignment w:val="center"/>
                    <w:rPr>
                      <w:rFonts w:ascii="宋体" w:hAnsi="宋体" w:cs="宋体"/>
                      <w:b/>
                      <w:color w:val="auto"/>
                      <w:highlight w:val="none"/>
                    </w:rPr>
                  </w:pPr>
                </w:p>
                <w:p w14:paraId="353E7D15">
                  <w:pPr>
                    <w:widowControl/>
                    <w:spacing w:line="360" w:lineRule="exact"/>
                    <w:jc w:val="center"/>
                    <w:textAlignment w:val="center"/>
                    <w:rPr>
                      <w:rFonts w:ascii="宋体" w:hAnsi="宋体" w:cs="宋体"/>
                      <w:b/>
                      <w:color w:val="auto"/>
                      <w:highlight w:val="none"/>
                    </w:rPr>
                  </w:pPr>
                </w:p>
                <w:p w14:paraId="39516C11">
                  <w:pPr>
                    <w:widowControl/>
                    <w:spacing w:line="360" w:lineRule="exact"/>
                    <w:jc w:val="center"/>
                    <w:textAlignment w:val="center"/>
                    <w:rPr>
                      <w:rFonts w:ascii="宋体" w:hAnsi="宋体" w:cs="宋体"/>
                      <w:b/>
                      <w:color w:val="auto"/>
                      <w:highlight w:val="none"/>
                    </w:rPr>
                  </w:pPr>
                </w:p>
                <w:p w14:paraId="03AB8F10">
                  <w:pPr>
                    <w:widowControl/>
                    <w:spacing w:line="360" w:lineRule="exact"/>
                    <w:jc w:val="center"/>
                    <w:textAlignment w:val="center"/>
                    <w:rPr>
                      <w:rFonts w:ascii="宋体" w:hAnsi="宋体" w:cs="宋体"/>
                      <w:b/>
                      <w:color w:val="auto"/>
                      <w:highlight w:val="none"/>
                    </w:rPr>
                  </w:pPr>
                  <w:r>
                    <w:rPr>
                      <w:rFonts w:hint="eastAsia" w:ascii="宋体" w:hAnsi="宋体" w:cs="宋体"/>
                      <w:b/>
                      <w:color w:val="auto"/>
                      <w:highlight w:val="none"/>
                    </w:rPr>
                    <w:t>风华苑</w:t>
                  </w:r>
                  <w:r>
                    <w:rPr>
                      <w:rFonts w:ascii="宋体" w:hAnsi="宋体"/>
                      <w:b/>
                      <w:color w:val="auto"/>
                      <w:highlight w:val="none"/>
                    </w:rPr>
                    <w:t>2</w:t>
                  </w:r>
                  <w:r>
                    <w:rPr>
                      <w:rFonts w:hint="eastAsia" w:ascii="宋体" w:hAnsi="宋体"/>
                      <w:b/>
                      <w:color w:val="auto"/>
                      <w:highlight w:val="none"/>
                    </w:rPr>
                    <w:t>楼</w:t>
                  </w:r>
                </w:p>
              </w:tc>
              <w:tc>
                <w:tcPr>
                  <w:tcW w:w="642" w:type="pct"/>
                  <w:vAlign w:val="center"/>
                </w:tcPr>
                <w:p w14:paraId="679C05D8">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24</w:t>
                  </w:r>
                </w:p>
              </w:tc>
              <w:tc>
                <w:tcPr>
                  <w:tcW w:w="1669" w:type="pct"/>
                  <w:vAlign w:val="center"/>
                </w:tcPr>
                <w:p w14:paraId="67990FAD">
                  <w:pPr>
                    <w:widowControl/>
                    <w:jc w:val="center"/>
                    <w:rPr>
                      <w:b/>
                      <w:color w:val="auto"/>
                      <w:kern w:val="0"/>
                      <w:sz w:val="22"/>
                      <w:highlight w:val="none"/>
                    </w:rPr>
                  </w:pPr>
                  <w:r>
                    <w:rPr>
                      <w:rFonts w:hint="eastAsia"/>
                      <w:b/>
                      <w:color w:val="auto"/>
                      <w:sz w:val="22"/>
                      <w:highlight w:val="none"/>
                    </w:rPr>
                    <w:t>厨师</w:t>
                  </w:r>
                </w:p>
              </w:tc>
              <w:tc>
                <w:tcPr>
                  <w:tcW w:w="1157" w:type="pct"/>
                  <w:vAlign w:val="center"/>
                </w:tcPr>
                <w:p w14:paraId="75FB4260">
                  <w:pPr>
                    <w:widowControl/>
                    <w:jc w:val="center"/>
                    <w:rPr>
                      <w:b/>
                      <w:color w:val="auto"/>
                      <w:kern w:val="0"/>
                      <w:sz w:val="22"/>
                      <w:highlight w:val="none"/>
                    </w:rPr>
                  </w:pPr>
                  <w:r>
                    <w:rPr>
                      <w:rFonts w:hint="eastAsia"/>
                      <w:b/>
                      <w:color w:val="auto"/>
                      <w:sz w:val="22"/>
                      <w:highlight w:val="none"/>
                    </w:rPr>
                    <w:t>1</w:t>
                  </w:r>
                </w:p>
              </w:tc>
            </w:tr>
            <w:tr w14:paraId="5B53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63E3C387">
                  <w:pPr>
                    <w:widowControl/>
                    <w:spacing w:line="360" w:lineRule="exact"/>
                    <w:jc w:val="center"/>
                    <w:textAlignment w:val="center"/>
                    <w:rPr>
                      <w:rFonts w:ascii="宋体" w:hAnsi="宋体" w:cs="宋体"/>
                      <w:b/>
                      <w:color w:val="auto"/>
                      <w:highlight w:val="none"/>
                    </w:rPr>
                  </w:pPr>
                </w:p>
              </w:tc>
              <w:tc>
                <w:tcPr>
                  <w:tcW w:w="642" w:type="pct"/>
                  <w:vAlign w:val="center"/>
                </w:tcPr>
                <w:p w14:paraId="33D0F34D">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25</w:t>
                  </w:r>
                </w:p>
              </w:tc>
              <w:tc>
                <w:tcPr>
                  <w:tcW w:w="1669" w:type="pct"/>
                  <w:vAlign w:val="center"/>
                </w:tcPr>
                <w:p w14:paraId="7212A1F8">
                  <w:pPr>
                    <w:jc w:val="center"/>
                    <w:rPr>
                      <w:b/>
                      <w:color w:val="auto"/>
                      <w:sz w:val="22"/>
                      <w:highlight w:val="none"/>
                    </w:rPr>
                  </w:pPr>
                  <w:r>
                    <w:rPr>
                      <w:rFonts w:hint="eastAsia"/>
                      <w:b/>
                      <w:color w:val="auto"/>
                      <w:sz w:val="22"/>
                      <w:highlight w:val="none"/>
                    </w:rPr>
                    <w:t>蒸饭</w:t>
                  </w:r>
                </w:p>
              </w:tc>
              <w:tc>
                <w:tcPr>
                  <w:tcW w:w="1157" w:type="pct"/>
                  <w:vAlign w:val="center"/>
                </w:tcPr>
                <w:p w14:paraId="4FDC8E7F">
                  <w:pPr>
                    <w:jc w:val="center"/>
                    <w:rPr>
                      <w:b/>
                      <w:color w:val="auto"/>
                      <w:sz w:val="22"/>
                      <w:highlight w:val="none"/>
                    </w:rPr>
                  </w:pPr>
                  <w:r>
                    <w:rPr>
                      <w:rFonts w:hint="eastAsia"/>
                      <w:b/>
                      <w:color w:val="auto"/>
                      <w:sz w:val="22"/>
                      <w:highlight w:val="none"/>
                    </w:rPr>
                    <w:t>1</w:t>
                  </w:r>
                </w:p>
              </w:tc>
            </w:tr>
            <w:tr w14:paraId="16F4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2A4019BD">
                  <w:pPr>
                    <w:widowControl/>
                    <w:spacing w:line="360" w:lineRule="exact"/>
                    <w:jc w:val="center"/>
                    <w:textAlignment w:val="center"/>
                    <w:rPr>
                      <w:rFonts w:ascii="宋体" w:hAnsi="宋体" w:cs="宋体"/>
                      <w:b/>
                      <w:color w:val="auto"/>
                      <w:highlight w:val="none"/>
                    </w:rPr>
                  </w:pPr>
                </w:p>
              </w:tc>
              <w:tc>
                <w:tcPr>
                  <w:tcW w:w="642" w:type="pct"/>
                  <w:vAlign w:val="center"/>
                </w:tcPr>
                <w:p w14:paraId="78282CF7">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26</w:t>
                  </w:r>
                </w:p>
              </w:tc>
              <w:tc>
                <w:tcPr>
                  <w:tcW w:w="1669" w:type="pct"/>
                  <w:vAlign w:val="center"/>
                </w:tcPr>
                <w:p w14:paraId="3852009C">
                  <w:pPr>
                    <w:jc w:val="center"/>
                    <w:rPr>
                      <w:b/>
                      <w:color w:val="auto"/>
                      <w:sz w:val="22"/>
                      <w:highlight w:val="none"/>
                    </w:rPr>
                  </w:pPr>
                  <w:r>
                    <w:rPr>
                      <w:rFonts w:hint="eastAsia"/>
                      <w:b/>
                      <w:color w:val="auto"/>
                      <w:sz w:val="22"/>
                      <w:highlight w:val="none"/>
                    </w:rPr>
                    <w:t>厨工切配售卖</w:t>
                  </w:r>
                </w:p>
              </w:tc>
              <w:tc>
                <w:tcPr>
                  <w:tcW w:w="1157" w:type="pct"/>
                  <w:vAlign w:val="center"/>
                </w:tcPr>
                <w:p w14:paraId="3CEE2455">
                  <w:pPr>
                    <w:jc w:val="center"/>
                    <w:rPr>
                      <w:b/>
                      <w:color w:val="auto"/>
                      <w:sz w:val="22"/>
                      <w:highlight w:val="none"/>
                    </w:rPr>
                  </w:pPr>
                  <w:r>
                    <w:rPr>
                      <w:rFonts w:hint="eastAsia"/>
                      <w:b/>
                      <w:color w:val="auto"/>
                      <w:sz w:val="22"/>
                      <w:highlight w:val="none"/>
                    </w:rPr>
                    <w:t>3</w:t>
                  </w:r>
                </w:p>
              </w:tc>
            </w:tr>
            <w:tr w14:paraId="28B2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4365C518">
                  <w:pPr>
                    <w:widowControl/>
                    <w:spacing w:line="360" w:lineRule="exact"/>
                    <w:jc w:val="center"/>
                    <w:textAlignment w:val="center"/>
                    <w:rPr>
                      <w:rFonts w:ascii="宋体" w:hAnsi="宋体" w:cs="宋体"/>
                      <w:b/>
                      <w:color w:val="auto"/>
                      <w:highlight w:val="none"/>
                    </w:rPr>
                  </w:pPr>
                </w:p>
              </w:tc>
              <w:tc>
                <w:tcPr>
                  <w:tcW w:w="642" w:type="pct"/>
                  <w:vAlign w:val="center"/>
                </w:tcPr>
                <w:p w14:paraId="3246FC24">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27</w:t>
                  </w:r>
                </w:p>
              </w:tc>
              <w:tc>
                <w:tcPr>
                  <w:tcW w:w="1669" w:type="pct"/>
                  <w:vAlign w:val="center"/>
                </w:tcPr>
                <w:p w14:paraId="6843C36C">
                  <w:pPr>
                    <w:jc w:val="center"/>
                    <w:rPr>
                      <w:b/>
                      <w:color w:val="auto"/>
                      <w:sz w:val="22"/>
                      <w:highlight w:val="none"/>
                    </w:rPr>
                  </w:pPr>
                  <w:r>
                    <w:rPr>
                      <w:rFonts w:hint="eastAsia"/>
                      <w:b/>
                      <w:color w:val="auto"/>
                      <w:sz w:val="22"/>
                      <w:highlight w:val="none"/>
                    </w:rPr>
                    <w:t>洗消间</w:t>
                  </w:r>
                </w:p>
              </w:tc>
              <w:tc>
                <w:tcPr>
                  <w:tcW w:w="1157" w:type="pct"/>
                  <w:vAlign w:val="center"/>
                </w:tcPr>
                <w:p w14:paraId="0AACF7FB">
                  <w:pPr>
                    <w:jc w:val="center"/>
                    <w:rPr>
                      <w:b/>
                      <w:color w:val="auto"/>
                      <w:sz w:val="22"/>
                      <w:highlight w:val="none"/>
                    </w:rPr>
                  </w:pPr>
                  <w:r>
                    <w:rPr>
                      <w:rFonts w:hint="eastAsia"/>
                      <w:b/>
                      <w:color w:val="auto"/>
                      <w:sz w:val="22"/>
                      <w:highlight w:val="none"/>
                    </w:rPr>
                    <w:t>1</w:t>
                  </w:r>
                </w:p>
              </w:tc>
            </w:tr>
            <w:tr w14:paraId="197E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31" w:type="pct"/>
                  <w:vMerge w:val="continue"/>
                </w:tcPr>
                <w:p w14:paraId="4FE975EA">
                  <w:pPr>
                    <w:widowControl/>
                    <w:spacing w:line="360" w:lineRule="exact"/>
                    <w:jc w:val="center"/>
                    <w:textAlignment w:val="center"/>
                    <w:rPr>
                      <w:rFonts w:ascii="宋体" w:hAnsi="宋体" w:cs="宋体"/>
                      <w:b/>
                      <w:color w:val="auto"/>
                      <w:highlight w:val="none"/>
                    </w:rPr>
                  </w:pPr>
                </w:p>
              </w:tc>
              <w:tc>
                <w:tcPr>
                  <w:tcW w:w="642" w:type="pct"/>
                  <w:vAlign w:val="center"/>
                </w:tcPr>
                <w:p w14:paraId="4A5D64A7">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28</w:t>
                  </w:r>
                </w:p>
              </w:tc>
              <w:tc>
                <w:tcPr>
                  <w:tcW w:w="1669" w:type="pct"/>
                  <w:vAlign w:val="center"/>
                </w:tcPr>
                <w:p w14:paraId="7BEB41EA">
                  <w:pPr>
                    <w:jc w:val="center"/>
                    <w:rPr>
                      <w:b/>
                      <w:color w:val="auto"/>
                      <w:sz w:val="22"/>
                      <w:highlight w:val="none"/>
                    </w:rPr>
                  </w:pPr>
                  <w:r>
                    <w:rPr>
                      <w:rFonts w:hint="eastAsia"/>
                      <w:b/>
                      <w:color w:val="auto"/>
                      <w:sz w:val="22"/>
                      <w:highlight w:val="none"/>
                    </w:rPr>
                    <w:t>大厅保洁卫生</w:t>
                  </w:r>
                </w:p>
              </w:tc>
              <w:tc>
                <w:tcPr>
                  <w:tcW w:w="1157" w:type="pct"/>
                  <w:vAlign w:val="center"/>
                </w:tcPr>
                <w:p w14:paraId="0B4CB9C1">
                  <w:pPr>
                    <w:jc w:val="center"/>
                    <w:rPr>
                      <w:b/>
                      <w:color w:val="auto"/>
                      <w:sz w:val="22"/>
                      <w:highlight w:val="none"/>
                    </w:rPr>
                  </w:pPr>
                  <w:r>
                    <w:rPr>
                      <w:rFonts w:hint="eastAsia"/>
                      <w:b/>
                      <w:color w:val="auto"/>
                      <w:sz w:val="22"/>
                      <w:highlight w:val="none"/>
                    </w:rPr>
                    <w:t>2</w:t>
                  </w:r>
                </w:p>
              </w:tc>
            </w:tr>
            <w:tr w14:paraId="70D1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31" w:type="pct"/>
                  <w:vMerge w:val="continue"/>
                </w:tcPr>
                <w:p w14:paraId="304FC64E">
                  <w:pPr>
                    <w:widowControl/>
                    <w:spacing w:line="360" w:lineRule="exact"/>
                    <w:jc w:val="center"/>
                    <w:textAlignment w:val="center"/>
                    <w:rPr>
                      <w:rFonts w:ascii="宋体" w:hAnsi="宋体" w:cs="宋体"/>
                      <w:b/>
                      <w:color w:val="auto"/>
                      <w:highlight w:val="none"/>
                    </w:rPr>
                  </w:pPr>
                </w:p>
              </w:tc>
              <w:tc>
                <w:tcPr>
                  <w:tcW w:w="642" w:type="pct"/>
                  <w:vAlign w:val="center"/>
                </w:tcPr>
                <w:p w14:paraId="7F777BC5">
                  <w:pPr>
                    <w:widowControl/>
                    <w:spacing w:line="360" w:lineRule="exact"/>
                    <w:jc w:val="center"/>
                    <w:textAlignment w:val="center"/>
                    <w:rPr>
                      <w:rFonts w:ascii="宋体" w:hAnsi="宋体" w:cs="宋体"/>
                      <w:b/>
                      <w:color w:val="auto"/>
                      <w:kern w:val="0"/>
                      <w:highlight w:val="none"/>
                    </w:rPr>
                  </w:pPr>
                  <w:r>
                    <w:rPr>
                      <w:rFonts w:hint="eastAsia" w:ascii="宋体" w:hAnsi="宋体" w:cs="宋体"/>
                      <w:b/>
                      <w:color w:val="auto"/>
                      <w:kern w:val="0"/>
                      <w:highlight w:val="none"/>
                    </w:rPr>
                    <w:t>29</w:t>
                  </w:r>
                </w:p>
              </w:tc>
              <w:tc>
                <w:tcPr>
                  <w:tcW w:w="1669" w:type="pct"/>
                  <w:vAlign w:val="center"/>
                </w:tcPr>
                <w:p w14:paraId="25D421D0">
                  <w:pPr>
                    <w:jc w:val="center"/>
                    <w:rPr>
                      <w:b/>
                      <w:color w:val="auto"/>
                      <w:sz w:val="22"/>
                      <w:highlight w:val="none"/>
                    </w:rPr>
                  </w:pPr>
                  <w:r>
                    <w:rPr>
                      <w:rFonts w:hint="eastAsia"/>
                      <w:b/>
                      <w:color w:val="auto"/>
                      <w:sz w:val="22"/>
                      <w:highlight w:val="none"/>
                    </w:rPr>
                    <w:t>面点师</w:t>
                  </w:r>
                </w:p>
              </w:tc>
              <w:tc>
                <w:tcPr>
                  <w:tcW w:w="1157" w:type="pct"/>
                  <w:vAlign w:val="center"/>
                </w:tcPr>
                <w:p w14:paraId="5621FC1B">
                  <w:pPr>
                    <w:jc w:val="center"/>
                    <w:rPr>
                      <w:b/>
                      <w:color w:val="auto"/>
                      <w:sz w:val="22"/>
                      <w:highlight w:val="none"/>
                    </w:rPr>
                  </w:pPr>
                  <w:r>
                    <w:rPr>
                      <w:rFonts w:hint="eastAsia"/>
                      <w:b/>
                      <w:color w:val="auto"/>
                      <w:sz w:val="22"/>
                      <w:highlight w:val="none"/>
                    </w:rPr>
                    <w:t>1</w:t>
                  </w:r>
                </w:p>
              </w:tc>
            </w:tr>
          </w:tbl>
          <w:p w14:paraId="310CBBEE">
            <w:pPr>
              <w:pStyle w:val="20"/>
              <w:ind w:firstLine="422" w:firstLineChars="200"/>
              <w:jc w:val="left"/>
              <w:rPr>
                <w:rFonts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2.团队人员要求：</w:t>
            </w:r>
          </w:p>
          <w:p w14:paraId="5449CAB1">
            <w:pPr>
              <w:pStyle w:val="20"/>
              <w:ind w:firstLine="422" w:firstLineChars="200"/>
              <w:jc w:val="left"/>
              <w:rPr>
                <w:rFonts w:hint="default"/>
                <w:color w:val="auto"/>
                <w:highlight w:val="none"/>
                <w:lang w:val="en-US" w:eastAsia="zh-CN"/>
              </w:rPr>
            </w:pPr>
            <w:r>
              <w:rPr>
                <w:rFonts w:hint="eastAsia" w:asciiTheme="majorEastAsia" w:hAnsiTheme="majorEastAsia" w:eastAsiaTheme="majorEastAsia" w:cstheme="majorEastAsia"/>
                <w:b/>
                <w:color w:val="auto"/>
                <w:sz w:val="21"/>
                <w:szCs w:val="21"/>
                <w:highlight w:val="none"/>
              </w:rPr>
              <w:t>拟投入服务人员具备符合本岗位工作能力、年龄适宜；提供全职服务。拟投入的厨师、面点师、切配员、大厅卫生保洁员、清洗员、管理员年龄不得超过60周岁且身体健康；餐厅服务员年龄不得超过45周岁且身体健康。</w:t>
            </w:r>
          </w:p>
          <w:p w14:paraId="3CB4D0DC">
            <w:pPr>
              <w:pStyle w:val="20"/>
              <w:ind w:firstLine="422" w:firstLineChars="200"/>
              <w:jc w:val="left"/>
              <w:rPr>
                <w:rFonts w:hint="eastAsia" w:asciiTheme="majorEastAsia" w:hAnsiTheme="majorEastAsia" w:eastAsiaTheme="majorEastAsia" w:cstheme="majorEastAsia"/>
                <w:b/>
                <w:color w:val="auto"/>
                <w:sz w:val="21"/>
                <w:szCs w:val="21"/>
                <w:highlight w:val="none"/>
                <w:lang w:val="en-US" w:eastAsia="zh-CN"/>
              </w:rPr>
            </w:pPr>
            <w:r>
              <w:rPr>
                <w:rFonts w:hint="eastAsia" w:asciiTheme="majorEastAsia" w:hAnsiTheme="majorEastAsia" w:eastAsiaTheme="majorEastAsia" w:cstheme="majorEastAsia"/>
                <w:b/>
                <w:color w:val="auto"/>
                <w:sz w:val="21"/>
                <w:szCs w:val="21"/>
                <w:highlight w:val="none"/>
                <w:lang w:val="en-US" w:eastAsia="zh-CN"/>
              </w:rPr>
              <w:t>（1）</w:t>
            </w:r>
            <w:bookmarkStart w:id="58" w:name="OLE_LINK38"/>
            <w:bookmarkStart w:id="59" w:name="OLE_LINK37"/>
            <w:r>
              <w:rPr>
                <w:rFonts w:hint="eastAsia" w:asciiTheme="majorEastAsia" w:hAnsiTheme="majorEastAsia" w:eastAsiaTheme="majorEastAsia" w:cstheme="majorEastAsia"/>
                <w:b/>
                <w:color w:val="auto"/>
                <w:sz w:val="21"/>
                <w:szCs w:val="21"/>
                <w:highlight w:val="none"/>
                <w:lang w:val="en-US" w:eastAsia="zh-CN"/>
              </w:rPr>
              <w:t>厨师：</w:t>
            </w:r>
            <w:bookmarkStart w:id="60" w:name="OLE_LINK23"/>
            <w:bookmarkStart w:id="61" w:name="OLE_LINK22"/>
            <w:r>
              <w:rPr>
                <w:rFonts w:hint="eastAsia" w:asciiTheme="majorEastAsia" w:hAnsiTheme="majorEastAsia" w:eastAsiaTheme="majorEastAsia" w:cstheme="majorEastAsia"/>
                <w:b/>
                <w:color w:val="auto"/>
                <w:sz w:val="21"/>
                <w:szCs w:val="21"/>
                <w:highlight w:val="none"/>
                <w:lang w:val="en-US" w:eastAsia="zh-CN"/>
              </w:rPr>
              <w:t>投标人拟投入的厨师具备餐饮工作经验，并具备中式烹调师证书。其中厨师长</w:t>
            </w:r>
            <w:bookmarkStart w:id="184" w:name="_GoBack"/>
            <w:bookmarkEnd w:id="184"/>
            <w:r>
              <w:rPr>
                <w:rFonts w:hint="eastAsia" w:asciiTheme="majorEastAsia" w:hAnsiTheme="majorEastAsia" w:eastAsiaTheme="majorEastAsia" w:cstheme="majorEastAsia"/>
                <w:b/>
                <w:color w:val="auto"/>
                <w:sz w:val="21"/>
                <w:szCs w:val="21"/>
                <w:highlight w:val="none"/>
                <w:lang w:val="en-US" w:eastAsia="zh-CN"/>
              </w:rPr>
              <w:t>要求熟练制作</w:t>
            </w:r>
            <w:bookmarkStart w:id="62" w:name="OLE_LINK19"/>
            <w:bookmarkStart w:id="63" w:name="OLE_LINK18"/>
            <w:r>
              <w:rPr>
                <w:rFonts w:hint="eastAsia" w:asciiTheme="majorEastAsia" w:hAnsiTheme="majorEastAsia" w:eastAsiaTheme="majorEastAsia" w:cstheme="majorEastAsia"/>
                <w:b/>
                <w:color w:val="auto"/>
                <w:sz w:val="21"/>
                <w:szCs w:val="21"/>
                <w:highlight w:val="none"/>
                <w:lang w:val="en-US" w:eastAsia="zh-CN"/>
              </w:rPr>
              <w:t>各式菜肴</w:t>
            </w:r>
            <w:bookmarkEnd w:id="62"/>
            <w:bookmarkEnd w:id="63"/>
            <w:r>
              <w:rPr>
                <w:rFonts w:hint="eastAsia" w:asciiTheme="majorEastAsia" w:hAnsiTheme="majorEastAsia" w:eastAsiaTheme="majorEastAsia" w:cstheme="majorEastAsia"/>
                <w:b/>
                <w:color w:val="auto"/>
                <w:sz w:val="21"/>
                <w:szCs w:val="21"/>
                <w:highlight w:val="none"/>
                <w:lang w:val="en-US" w:eastAsia="zh-CN"/>
              </w:rPr>
              <w:t>、菜品设计、质量把控、出餐调度、标准制定、制定采购计划，做好食堂成本控制，避免铺张浪费。</w:t>
            </w:r>
          </w:p>
          <w:bookmarkEnd w:id="60"/>
          <w:bookmarkEnd w:id="61"/>
          <w:p w14:paraId="09FC9F78">
            <w:pPr>
              <w:pStyle w:val="20"/>
              <w:ind w:firstLine="422" w:firstLineChars="200"/>
              <w:jc w:val="left"/>
              <w:rPr>
                <w:rFonts w:hint="eastAsia" w:asciiTheme="majorEastAsia" w:hAnsiTheme="majorEastAsia" w:eastAsiaTheme="majorEastAsia" w:cstheme="majorEastAsia"/>
                <w:b/>
                <w:color w:val="auto"/>
                <w:sz w:val="21"/>
                <w:szCs w:val="21"/>
                <w:highlight w:val="none"/>
                <w:lang w:val="en-US" w:eastAsia="zh-CN"/>
              </w:rPr>
            </w:pPr>
            <w:r>
              <w:rPr>
                <w:rFonts w:hint="eastAsia" w:asciiTheme="majorEastAsia" w:hAnsiTheme="majorEastAsia" w:eastAsiaTheme="majorEastAsia" w:cstheme="majorEastAsia"/>
                <w:b/>
                <w:color w:val="auto"/>
                <w:sz w:val="21"/>
                <w:szCs w:val="21"/>
                <w:highlight w:val="none"/>
                <w:lang w:val="en-US" w:eastAsia="zh-CN"/>
              </w:rPr>
              <w:t>（2）面点师：拟投入的面点师应具备餐饮工作经验，并具备中式面点师证书。熟悉食品安全相关工作，熟练制作各种中、西式面点。</w:t>
            </w:r>
            <w:bookmarkEnd w:id="58"/>
            <w:bookmarkEnd w:id="59"/>
          </w:p>
          <w:p w14:paraId="63FFF54A">
            <w:pPr>
              <w:pStyle w:val="20"/>
              <w:ind w:firstLine="422" w:firstLineChars="200"/>
              <w:jc w:val="lef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（3）餐厅服务员：拟投入的服务员应具备不少于2年的同类工作经验，接受过餐饮服务的专业培训，能按工作流程完成公共场所的保洁、餐厅分餐服务、收集整理餐厅相关数据。</w:t>
            </w:r>
          </w:p>
          <w:p w14:paraId="76B65922">
            <w:pPr>
              <w:pStyle w:val="20"/>
              <w:ind w:firstLine="422" w:firstLineChars="200"/>
              <w:jc w:val="lef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（4）切配员：拟投入的切配员应具备不少于2年的同类工作经验，熟悉配合厨师完成菜品的切配等工作，在厨房或相关餐饮行业经验。</w:t>
            </w:r>
          </w:p>
          <w:p w14:paraId="5BBD81B4">
            <w:pPr>
              <w:pStyle w:val="20"/>
              <w:ind w:firstLine="422" w:firstLineChars="200"/>
              <w:jc w:val="lef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（5）大厅卫生保洁员：拟投入的杂工应具备不少于2年的同类工作经验，熟悉食堂卫生等工作。</w:t>
            </w:r>
          </w:p>
          <w:p w14:paraId="46ADBFF4">
            <w:pPr>
              <w:pStyle w:val="20"/>
              <w:ind w:firstLine="422" w:firstLineChars="200"/>
              <w:jc w:val="lef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（6）清洗员：拟投入的清洗员应具备不少于2年的同类工作经验，知晓各种餐具的洗涤和消毒方法、蔬菜的初加工。</w:t>
            </w:r>
          </w:p>
          <w:p w14:paraId="53410AFF">
            <w:pPr>
              <w:pStyle w:val="20"/>
              <w:ind w:firstLine="422" w:firstLineChars="200"/>
              <w:jc w:val="lef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7）管理员：拟投入的管理员应具备不少于2年的同类工作经验，同时具备相应学习及管理能力，对各岗位人员进行统筹和管理，做好食品安全卫生把控、现场处置师生投诉情况、应急处置事故，熟悉经营管理制度，熟悉电脑操作。</w:t>
            </w:r>
          </w:p>
          <w:p w14:paraId="2F6B64AD">
            <w:pPr>
              <w:pStyle w:val="20"/>
              <w:jc w:val="left"/>
              <w:rPr>
                <w:rFonts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五、考核方式</w:t>
            </w:r>
          </w:p>
          <w:p w14:paraId="4601FD04">
            <w:pPr>
              <w:pStyle w:val="20"/>
              <w:ind w:firstLine="422" w:firstLineChars="200"/>
              <w:jc w:val="left"/>
              <w:rPr>
                <w:rFonts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采购人于每月的最后一个工作日，根据《桂林医科大学食堂管理考核评分表》（详见附件 1）对本月食堂餐饮服务进行定期考核。考核结果经采购人、中标供应商双方签署并加盖公章确认。</w:t>
            </w:r>
          </w:p>
          <w:p w14:paraId="555456D2">
            <w:pPr>
              <w:pStyle w:val="20"/>
              <w:jc w:val="left"/>
              <w:rPr>
                <w:rFonts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六、本项目职责划分要求详见附件2《职责划分》。</w:t>
            </w:r>
          </w:p>
          <w:p w14:paraId="1F93A45C">
            <w:pPr>
              <w:pStyle w:val="20"/>
              <w:jc w:val="left"/>
              <w:rPr>
                <w:rFonts w:eastAsia="仿宋" w:asciiTheme="majorEastAsia" w:hAnsi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七、本项目退出机制要求详见附件3《退出机制》。</w:t>
            </w:r>
          </w:p>
        </w:tc>
      </w:tr>
      <w:tr w14:paraId="0E586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tcPr>
          <w:p w14:paraId="0DFBC244">
            <w:pPr>
              <w:adjustRightInd w:val="0"/>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▲二、商务要求</w:t>
            </w:r>
          </w:p>
        </w:tc>
      </w:tr>
      <w:tr w14:paraId="05314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71104623">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（一）服务期限和地点</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185F9A30">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1.服务期限：12个月（自签订合同且正式开展服务之日起12个月）</w:t>
            </w:r>
          </w:p>
          <w:p w14:paraId="26AAE574">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2.服务地点：广西桂林市采购人学校内指定地点。</w:t>
            </w:r>
          </w:p>
        </w:tc>
      </w:tr>
      <w:tr w14:paraId="36691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4E944B63">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（二）合同签订时间</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2A1D0582">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自中标通知书发出之日起 25日内签订采购合同。</w:t>
            </w:r>
          </w:p>
        </w:tc>
      </w:tr>
      <w:tr w14:paraId="2F46D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79E3777C">
            <w:pPr>
              <w:spacing w:line="380" w:lineRule="exact"/>
              <w:jc w:val="center"/>
              <w:rPr>
                <w:rFonts w:ascii="宋体" w:hAnsi="宋体" w:cs="宋体"/>
                <w:b/>
                <w:bCs/>
                <w:color w:val="auto"/>
                <w:szCs w:val="21"/>
                <w:highlight w:val="none"/>
              </w:rPr>
            </w:pPr>
            <w:r>
              <w:rPr>
                <w:rFonts w:hint="eastAsia" w:cs="Calibri"/>
                <w:b/>
                <w:bCs/>
                <w:color w:val="auto"/>
                <w:szCs w:val="21"/>
                <w:highlight w:val="none"/>
              </w:rPr>
              <w:t>（三）报价要求</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266BC310">
            <w:pPr>
              <w:widowControl/>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1.投标报价包含但不限于以下部分：</w:t>
            </w:r>
          </w:p>
          <w:p w14:paraId="0F270FC3">
            <w:pPr>
              <w:widowControl/>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①服务的价格；</w:t>
            </w:r>
          </w:p>
          <w:p w14:paraId="6894623C">
            <w:pPr>
              <w:widowControl/>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②必要的保险费用和各项税金；</w:t>
            </w:r>
          </w:p>
          <w:p w14:paraId="1F89930E">
            <w:pPr>
              <w:widowControl/>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③服务团队人员的工资、福利、各项保险、培训费、体检费、服装费、税费、管理费等一切服务成本费用的总和，不含食堂供餐食材费和劳动保护用品费用；</w:t>
            </w:r>
          </w:p>
          <w:p w14:paraId="7BDB5234">
            <w:pPr>
              <w:widowControl/>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④提供本项目全程服务过程中所发生的一切费用；</w:t>
            </w:r>
          </w:p>
          <w:p w14:paraId="27ED9818">
            <w:pPr>
              <w:widowControl/>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⑤中标供应商合理的利润。</w:t>
            </w:r>
          </w:p>
          <w:p w14:paraId="60F0864A">
            <w:pPr>
              <w:widowControl/>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⑥在本项目服务期内，投标总价不予调整，采购人不再支付中标价格以外的任何费用。</w:t>
            </w:r>
          </w:p>
          <w:p w14:paraId="065CC038">
            <w:pPr>
              <w:widowControl/>
              <w:spacing w:line="380" w:lineRule="exact"/>
              <w:jc w:val="left"/>
              <w:rPr>
                <w:rFonts w:ascii="宋体" w:hAnsi="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color w:val="auto"/>
                <w:szCs w:val="21"/>
                <w:highlight w:val="none"/>
              </w:rPr>
              <w:t>本项目采购预算为伍佰叁拾柒万柒仟伍佰元整（¥5377500.00），供应商投标</w:t>
            </w:r>
            <w:r>
              <w:rPr>
                <w:rFonts w:hint="eastAsia" w:ascii="宋体" w:hAnsi="宋体" w:cs="宋体"/>
                <w:b/>
                <w:color w:val="auto"/>
                <w:szCs w:val="21"/>
                <w:highlight w:val="none"/>
              </w:rPr>
              <w:t>报价</w:t>
            </w:r>
            <w:r>
              <w:rPr>
                <w:rFonts w:hint="eastAsia" w:ascii="Arial" w:hAnsi="Arial" w:cs="Arial"/>
                <w:b/>
                <w:bCs/>
                <w:color w:val="auto"/>
                <w:szCs w:val="21"/>
                <w:highlight w:val="none"/>
              </w:rPr>
              <w:t>超出采购预算的，作无效标处理。</w:t>
            </w:r>
          </w:p>
        </w:tc>
      </w:tr>
      <w:tr w14:paraId="0AF79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4BB5A641">
            <w:pPr>
              <w:spacing w:line="380" w:lineRule="exact"/>
              <w:jc w:val="center"/>
              <w:rPr>
                <w:rFonts w:cs="Calibri"/>
                <w:b/>
                <w:bCs/>
                <w:color w:val="auto"/>
                <w:szCs w:val="21"/>
                <w:highlight w:val="none"/>
              </w:rPr>
            </w:pPr>
            <w:r>
              <w:rPr>
                <w:rFonts w:hint="eastAsia" w:ascii="Arial" w:hAnsi="Arial" w:cs="Arial"/>
                <w:b/>
                <w:bCs/>
                <w:color w:val="auto"/>
                <w:szCs w:val="21"/>
                <w:highlight w:val="none"/>
              </w:rPr>
              <w:t>（四）付款方式</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12B7E7DA">
            <w:pPr>
              <w:widowControl/>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1.采购人按月支付餐饮服务费。采购人于每月的最后一个工作日，根据《桂林医科大学食堂管理考核评分表》（详见附件 1）对本月食堂餐饮服务进行定期考核。考核结果经采购人、中标供应商双方确认后，采购人按考核结果对餐饮服务费进行汇总扣款后支付剩余款项，实际支付餐饮服务费=应付餐饮服务费-定期考核扣款。</w:t>
            </w:r>
          </w:p>
          <w:p w14:paraId="344660AD">
            <w:pPr>
              <w:widowControl/>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2.采购人付款前，中标供应商应向采购人开具等额有效的发票，采购人收到合规发票后10 个工作日内将合同款项支付到合同约定的中标供应商账户；采购人未收到合规发票的，有权不予支付相应款项，并不承担延迟付款责任。</w:t>
            </w:r>
          </w:p>
        </w:tc>
      </w:tr>
      <w:tr w14:paraId="5910E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572D5D5A">
            <w:pPr>
              <w:spacing w:line="380" w:lineRule="exact"/>
              <w:jc w:val="center"/>
              <w:rPr>
                <w:rFonts w:ascii="Arial" w:hAnsi="Arial" w:cs="Arial"/>
                <w:b/>
                <w:bCs/>
                <w:color w:val="auto"/>
                <w:szCs w:val="21"/>
                <w:highlight w:val="none"/>
              </w:rPr>
            </w:pPr>
            <w:r>
              <w:rPr>
                <w:rFonts w:hint="eastAsia" w:ascii="Arial" w:hAnsi="Arial" w:cs="Arial"/>
                <w:b/>
                <w:bCs/>
                <w:color w:val="auto"/>
                <w:szCs w:val="21"/>
                <w:highlight w:val="none"/>
              </w:rPr>
              <w:t>（五）服务要求</w:t>
            </w:r>
          </w:p>
        </w:tc>
        <w:tc>
          <w:tcPr>
            <w:tcW w:w="3451" w:type="pct"/>
            <w:gridSpan w:val="2"/>
            <w:tcBorders>
              <w:top w:val="single" w:color="auto" w:sz="4" w:space="0"/>
              <w:left w:val="single" w:color="auto" w:sz="4" w:space="0"/>
              <w:bottom w:val="single" w:color="auto" w:sz="4" w:space="0"/>
              <w:right w:val="single" w:color="auto" w:sz="4" w:space="0"/>
            </w:tcBorders>
          </w:tcPr>
          <w:p w14:paraId="02633A36">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1.中标供应商履行合同期间因作业不当或管理不善，发生事件、事故的，导致服务人员人身财产和采购人干部职工人身财产及公有财产损失等情况的，一律由中标供应商承担全部责任，采购人不负任何责任。</w:t>
            </w:r>
          </w:p>
          <w:p w14:paraId="33BCEE67">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中标供应商自行承担人员的工资、福利、体检、培训等管理费用，以及工作服、工作帽、工作鞋、袖套等劳保用品费用以及与其国家或地方性法规所要求征收的税金、保险等其它费用，承诺与食堂员工签订《劳动用工合同》，缴纳相关保险。</w:t>
            </w:r>
          </w:p>
          <w:p w14:paraId="7212B584">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3.中标供应商在合同期间应遵守采购人相关管理制度、规定，并遵守国家相关法律法规，如有员工违法行为按相关规定处理，采购人不负任何责任。</w:t>
            </w:r>
          </w:p>
          <w:p w14:paraId="52CA8077">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4.为加强采购人食堂经营的监督管理工作，采购人设置专职食品安全管理员进行每日的监督检查管理，供应商要认真配合检查，确保检查考核工作的到位和食堂供餐工作的稳定。</w:t>
            </w:r>
          </w:p>
          <w:p w14:paraId="3DAF2448">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5.中标供应商必须自行提供团队服务，必须承诺自行提供本项目所有服务内容，不得将承接的服务进行任何方式的分包、转包。</w:t>
            </w:r>
          </w:p>
          <w:p w14:paraId="030FA9D6">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6.中标供应商需承担全部的安全、卫生、质量、效益、风险等责任。</w:t>
            </w:r>
          </w:p>
          <w:p w14:paraId="0AF33BC1">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7.中标供应商在服务合同期内与外界发生的一切债权、债务等纠纷均与采购人无关。除不可抗力因素外，中标供应商不得以任何理由不按时或不充足提供采购人采购的餐饮服务，否则视为违反合同。</w:t>
            </w:r>
          </w:p>
          <w:p w14:paraId="304819C2">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中标供应商根据食材不断地创新推出新菜品，提供合理的菜谱出品方案。采购人可根据实际情况增加或减少餐费标准，中标供应商在采购人指定时间内做出相应价格、菜品的调整方案，经采购人确认后方可实施。中标供应商为满足师生需要出售的所有商品品种、价格分量须征得采购人同意。</w:t>
            </w:r>
          </w:p>
        </w:tc>
      </w:tr>
      <w:tr w14:paraId="1F8E3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79443A76">
            <w:pPr>
              <w:spacing w:line="380" w:lineRule="exact"/>
              <w:jc w:val="center"/>
              <w:rPr>
                <w:rFonts w:ascii="Arial" w:hAnsi="Arial" w:cs="Arial"/>
                <w:b/>
                <w:bCs/>
                <w:color w:val="auto"/>
                <w:szCs w:val="21"/>
                <w:highlight w:val="none"/>
              </w:rPr>
            </w:pPr>
            <w:r>
              <w:rPr>
                <w:rFonts w:hint="eastAsia" w:ascii="Arial" w:hAnsi="Arial" w:cs="Arial"/>
                <w:b/>
                <w:bCs/>
                <w:color w:val="auto"/>
                <w:szCs w:val="21"/>
                <w:highlight w:val="none"/>
              </w:rPr>
              <w:t>（六）服务保障措施</w:t>
            </w:r>
          </w:p>
        </w:tc>
        <w:tc>
          <w:tcPr>
            <w:tcW w:w="3451" w:type="pct"/>
            <w:gridSpan w:val="2"/>
            <w:tcBorders>
              <w:top w:val="single" w:color="auto" w:sz="4" w:space="0"/>
              <w:left w:val="single" w:color="auto" w:sz="4" w:space="0"/>
              <w:bottom w:val="single" w:color="auto" w:sz="4" w:space="0"/>
              <w:right w:val="single" w:color="auto" w:sz="4" w:space="0"/>
            </w:tcBorders>
          </w:tcPr>
          <w:p w14:paraId="4983B5E8">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1.合同履行过程中应积极无条件配合学校做好食品的相关检验检测工作。</w:t>
            </w:r>
          </w:p>
          <w:p w14:paraId="5CE654A1">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2.“服务内容及要求”中未明确的技术指标，均按国家及行业相关规定执行。</w:t>
            </w:r>
          </w:p>
          <w:p w14:paraId="0B498C0B">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3.处理问题响应时间：接到采购人处理问题通知后 6 小时内到达采购人指定现场，24 小时内提出解决方案，3 个工作日内完成问题处理。如发生紧急问题（如食物安全问题）中标供应商应在接到采购人通知后的 30 分钟内到达采购人指定现场，2 小时内提出解决方案，12 小时内完成问题处理。</w:t>
            </w:r>
          </w:p>
        </w:tc>
      </w:tr>
      <w:tr w14:paraId="3B5D6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2DCE72D2">
            <w:pPr>
              <w:spacing w:line="380" w:lineRule="exact"/>
              <w:jc w:val="center"/>
              <w:rPr>
                <w:rFonts w:ascii="Arial" w:hAnsi="Arial" w:cs="Arial"/>
                <w:b/>
                <w:bCs/>
                <w:color w:val="auto"/>
                <w:szCs w:val="21"/>
                <w:highlight w:val="none"/>
              </w:rPr>
            </w:pPr>
            <w:r>
              <w:rPr>
                <w:rFonts w:hint="eastAsia" w:ascii="Arial" w:hAnsi="Arial" w:cs="Arial"/>
                <w:b/>
                <w:bCs/>
                <w:color w:val="auto"/>
                <w:szCs w:val="21"/>
                <w:highlight w:val="none"/>
              </w:rPr>
              <w:t>（七）验收方式及标准</w:t>
            </w:r>
          </w:p>
        </w:tc>
        <w:tc>
          <w:tcPr>
            <w:tcW w:w="3451" w:type="pct"/>
            <w:gridSpan w:val="2"/>
            <w:tcBorders>
              <w:top w:val="single" w:color="auto" w:sz="4" w:space="0"/>
              <w:left w:val="single" w:color="auto" w:sz="4" w:space="0"/>
              <w:bottom w:val="single" w:color="auto" w:sz="4" w:space="0"/>
              <w:right w:val="single" w:color="auto" w:sz="4" w:space="0"/>
            </w:tcBorders>
          </w:tcPr>
          <w:p w14:paraId="6417A858">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规范标准：本项目如有国家相关标准、行业标准、地方标准或者其他标准、规范的，应执行相应的标准、规范。如具体采购需求与标准、规范不一致的，高于标准、规范的按具体采购需求执行，低于标准、规范的按标准、规范执行。</w:t>
            </w:r>
          </w:p>
          <w:p w14:paraId="7AA231CD">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2.验收条件及标准：符合国家规定的标准、政策和现行技术规范、规程要求。</w:t>
            </w:r>
          </w:p>
        </w:tc>
      </w:tr>
      <w:tr w14:paraId="79BCC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0A1DFACB">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（八）保险</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3B2AF318">
            <w:pPr>
              <w:adjustRightInd w:val="0"/>
              <w:snapToGrid w:val="0"/>
              <w:spacing w:line="360" w:lineRule="exact"/>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若投标人为本项目标的及标的涉及的相关材料、设备、人员、运输等购买保险的，相关费用由投标人自行承担。</w:t>
            </w:r>
          </w:p>
        </w:tc>
      </w:tr>
      <w:tr w14:paraId="098A7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5A0A5EE5">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（九）知识产权</w:t>
            </w:r>
          </w:p>
        </w:tc>
        <w:tc>
          <w:tcPr>
            <w:tcW w:w="3451" w:type="pct"/>
            <w:gridSpan w:val="2"/>
            <w:tcBorders>
              <w:top w:val="single" w:color="auto" w:sz="4" w:space="0"/>
              <w:left w:val="single" w:color="auto" w:sz="4" w:space="0"/>
              <w:bottom w:val="single" w:color="auto" w:sz="4" w:space="0"/>
              <w:right w:val="single" w:color="auto" w:sz="4" w:space="0"/>
            </w:tcBorders>
          </w:tcPr>
          <w:p w14:paraId="5AE74EEE">
            <w:pPr>
              <w:snapToGrid w:val="0"/>
              <w:spacing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1.采购人在履行合同过程中提供给中标供应商的全部文件和其他含有数据和信息的资料，其知识产权属于采购人。</w:t>
            </w:r>
          </w:p>
          <w:p w14:paraId="76CBF532">
            <w:pPr>
              <w:spacing w:line="360" w:lineRule="exact"/>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中标供应商应保证所提供服务在使用时不会侵犯任何第三方的知识产权或者其他权利。如合同服务涉及知识产权，则中标供应商保证采购人在使用合同服务过程中免于受到第三方提出的有关知识产权侵权的主张、索赔或诉讼的伤害。</w:t>
            </w:r>
          </w:p>
        </w:tc>
      </w:tr>
      <w:tr w14:paraId="1432F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tcPr>
          <w:p w14:paraId="213F4B28">
            <w:pPr>
              <w:adjustRightInd w:val="0"/>
              <w:snapToGrid w:val="0"/>
              <w:spacing w:line="360" w:lineRule="exact"/>
              <w:rPr>
                <w:rFonts w:ascii="宋体" w:hAnsi="宋体" w:cs="宋体"/>
                <w:b/>
                <w:color w:val="auto"/>
                <w:szCs w:val="21"/>
                <w:highlight w:val="none"/>
              </w:rPr>
            </w:pPr>
            <w:r>
              <w:rPr>
                <w:rFonts w:hint="eastAsia" w:ascii="宋体" w:hAnsi="宋体" w:cs="宋体"/>
                <w:b/>
                <w:bCs/>
                <w:color w:val="auto"/>
                <w:szCs w:val="21"/>
                <w:highlight w:val="none"/>
              </w:rPr>
              <w:t>三、与实现项目目标相关的其他要求</w:t>
            </w:r>
          </w:p>
        </w:tc>
      </w:tr>
      <w:tr w14:paraId="0DA00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038AF1ED">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（一）履约能力</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046FBDE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highlight w:val="none"/>
                <w:lang w:val="zh-CN"/>
              </w:rPr>
              <w:t>投标人具有有效的环境管理体系认证</w:t>
            </w:r>
            <w:r>
              <w:rPr>
                <w:rFonts w:hint="eastAsia" w:ascii="宋体" w:hAnsi="宋体" w:eastAsia="宋体" w:cs="宋体"/>
                <w:color w:val="auto"/>
                <w:highlight w:val="none"/>
              </w:rPr>
              <w:t>证书</w:t>
            </w:r>
            <w:r>
              <w:rPr>
                <w:rFonts w:hint="eastAsia" w:ascii="宋体" w:hAnsi="宋体" w:eastAsia="宋体" w:cs="宋体"/>
                <w:color w:val="auto"/>
                <w:highlight w:val="none"/>
                <w:lang w:val="zh-CN"/>
              </w:rPr>
              <w:t>（ISO14001或GB/T24001）、质量管理体系认证</w:t>
            </w:r>
            <w:r>
              <w:rPr>
                <w:rFonts w:hint="eastAsia" w:ascii="宋体" w:hAnsi="宋体" w:eastAsia="宋体" w:cs="宋体"/>
                <w:color w:val="auto"/>
                <w:highlight w:val="none"/>
              </w:rPr>
              <w:t>证书</w:t>
            </w:r>
            <w:r>
              <w:rPr>
                <w:rFonts w:hint="eastAsia" w:ascii="宋体" w:hAnsi="宋体" w:eastAsia="宋体" w:cs="宋体"/>
                <w:color w:val="auto"/>
                <w:highlight w:val="none"/>
                <w:lang w:val="zh-CN"/>
              </w:rPr>
              <w:t>（ISO9001或GB/T19001）、职业健康安全管理体系认证</w:t>
            </w:r>
            <w:r>
              <w:rPr>
                <w:rFonts w:hint="eastAsia" w:ascii="宋体" w:hAnsi="宋体" w:eastAsia="宋体" w:cs="宋体"/>
                <w:color w:val="auto"/>
                <w:highlight w:val="none"/>
              </w:rPr>
              <w:t>证书</w:t>
            </w:r>
            <w:r>
              <w:rPr>
                <w:rFonts w:hint="eastAsia" w:ascii="宋体" w:hAnsi="宋体" w:eastAsia="宋体" w:cs="宋体"/>
                <w:color w:val="auto"/>
                <w:highlight w:val="none"/>
                <w:lang w:val="zh-CN"/>
              </w:rPr>
              <w:t>（ISO45001或GB/T45001）或食品安全管理体系认证</w:t>
            </w:r>
            <w:r>
              <w:rPr>
                <w:rFonts w:hint="eastAsia" w:ascii="宋体" w:hAnsi="宋体" w:eastAsia="宋体" w:cs="宋体"/>
                <w:color w:val="auto"/>
                <w:highlight w:val="none"/>
              </w:rPr>
              <w:t>证书</w:t>
            </w:r>
            <w:r>
              <w:rPr>
                <w:rFonts w:hint="eastAsia" w:ascii="宋体" w:hAnsi="宋体" w:eastAsia="宋体" w:cs="宋体"/>
                <w:color w:val="auto"/>
                <w:highlight w:val="none"/>
                <w:lang w:val="zh-CN"/>
              </w:rPr>
              <w:t>（ISO22000或GB/T22000）</w:t>
            </w:r>
            <w:r>
              <w:rPr>
                <w:rFonts w:hint="eastAsia" w:ascii="宋体" w:hAnsi="宋体" w:eastAsia="宋体" w:cs="宋体"/>
                <w:color w:val="auto"/>
                <w:szCs w:val="21"/>
                <w:highlight w:val="none"/>
                <w:lang w:val="zh-CN"/>
              </w:rPr>
              <w:t>。</w:t>
            </w:r>
          </w:p>
          <w:p w14:paraId="4DD5389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lang w:val="zh-CN"/>
              </w:rPr>
              <w:t>投标人</w:t>
            </w:r>
            <w:r>
              <w:rPr>
                <w:rFonts w:hint="eastAsia" w:ascii="宋体" w:hAnsi="宋体" w:eastAsia="宋体" w:cs="宋体"/>
                <w:color w:val="auto"/>
                <w:szCs w:val="21"/>
                <w:highlight w:val="none"/>
              </w:rPr>
              <w:t>拟投入人员的工作经验。</w:t>
            </w:r>
          </w:p>
          <w:p w14:paraId="07E89B0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lang w:val="zh-CN"/>
              </w:rPr>
              <w:t>投标人</w:t>
            </w:r>
            <w:r>
              <w:rPr>
                <w:rFonts w:hint="eastAsia" w:ascii="宋体" w:hAnsi="宋体" w:eastAsia="宋体" w:cs="宋体"/>
                <w:color w:val="auto"/>
                <w:szCs w:val="21"/>
                <w:highlight w:val="none"/>
              </w:rPr>
              <w:t xml:space="preserve"> 2023年7月1日至投标文件提交截止时间止，具有类似项目业绩</w:t>
            </w:r>
            <w:r>
              <w:rPr>
                <w:rFonts w:hint="eastAsia" w:ascii="宋体" w:hAnsi="宋体" w:eastAsia="宋体" w:cs="宋体"/>
                <w:color w:val="auto"/>
                <w:highlight w:val="none"/>
              </w:rPr>
              <w:t>。</w:t>
            </w:r>
          </w:p>
          <w:p w14:paraId="0190086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i/>
                <w:color w:val="auto"/>
                <w:szCs w:val="21"/>
                <w:highlight w:val="none"/>
              </w:rPr>
            </w:pPr>
            <w:r>
              <w:rPr>
                <w:rFonts w:hint="eastAsia" w:ascii="宋体" w:hAnsi="宋体" w:eastAsia="宋体" w:cs="宋体"/>
                <w:b/>
                <w:bCs/>
                <w:color w:val="auto"/>
                <w:szCs w:val="21"/>
                <w:highlight w:val="none"/>
              </w:rPr>
              <w:t>注：具体详见“第四章  评标方法及评标标准”。</w:t>
            </w:r>
          </w:p>
        </w:tc>
      </w:tr>
      <w:tr w14:paraId="3E658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508DA26C">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（二）</w:t>
            </w:r>
            <w:r>
              <w:rPr>
                <w:rFonts w:hint="eastAsia" w:ascii="宋体" w:hAnsi="宋体" w:cs="宋体"/>
                <w:color w:val="auto"/>
                <w:highlight w:val="none"/>
              </w:rPr>
              <w:t>技术因素</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649CE85B">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CN"/>
              </w:rPr>
              <w:t>投标人</w:t>
            </w:r>
            <w:r>
              <w:rPr>
                <w:rFonts w:hint="eastAsia" w:ascii="宋体" w:hAnsi="宋体" w:eastAsia="宋体" w:cs="宋体"/>
                <w:color w:val="auto"/>
                <w:highlight w:val="none"/>
              </w:rPr>
              <w:t>针对本项目于</w:t>
            </w:r>
            <w:r>
              <w:rPr>
                <w:rFonts w:hint="eastAsia" w:ascii="宋体" w:hAnsi="宋体" w:eastAsia="宋体" w:cs="宋体"/>
                <w:color w:val="auto"/>
                <w:highlight w:val="none"/>
                <w:lang w:val="zh-CN"/>
              </w:rPr>
              <w:t>投标</w:t>
            </w:r>
            <w:r>
              <w:rPr>
                <w:rFonts w:hint="eastAsia" w:ascii="宋体" w:hAnsi="宋体" w:eastAsia="宋体" w:cs="宋体"/>
                <w:color w:val="auto"/>
                <w:highlight w:val="none"/>
              </w:rPr>
              <w:t>文件中提供相应的方案，方案包括但不限于以下内容：</w:t>
            </w:r>
          </w:p>
          <w:p w14:paraId="728AC86B">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highlight w:val="none"/>
              </w:rPr>
              <w:t>服务技术方案</w:t>
            </w:r>
            <w:r>
              <w:rPr>
                <w:rFonts w:hint="eastAsia" w:ascii="宋体" w:hAnsi="宋体" w:eastAsia="宋体" w:cs="宋体"/>
                <w:color w:val="auto"/>
                <w:kern w:val="0"/>
                <w:szCs w:val="21"/>
                <w:highlight w:val="none"/>
              </w:rPr>
              <w:t>；</w:t>
            </w:r>
          </w:p>
          <w:p w14:paraId="51379726">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highlight w:val="none"/>
              </w:rPr>
              <w:t>人员管理及培训方案</w:t>
            </w:r>
            <w:r>
              <w:rPr>
                <w:rFonts w:hint="eastAsia" w:ascii="宋体" w:hAnsi="宋体" w:eastAsia="宋体" w:cs="宋体"/>
                <w:color w:val="auto"/>
                <w:kern w:val="0"/>
                <w:szCs w:val="21"/>
                <w:highlight w:val="none"/>
              </w:rPr>
              <w:t>；</w:t>
            </w:r>
          </w:p>
          <w:p w14:paraId="5CAE646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 </w:t>
            </w:r>
            <w:r>
              <w:rPr>
                <w:rFonts w:hint="eastAsia" w:ascii="宋体" w:hAnsi="宋体" w:eastAsia="宋体" w:cs="宋体"/>
                <w:bCs/>
                <w:color w:val="auto"/>
                <w:highlight w:val="none"/>
              </w:rPr>
              <w:t>突发事件处理预案</w:t>
            </w:r>
            <w:r>
              <w:rPr>
                <w:rFonts w:hint="eastAsia" w:ascii="宋体" w:hAnsi="宋体" w:eastAsia="宋体" w:cs="宋体"/>
                <w:color w:val="auto"/>
                <w:highlight w:val="none"/>
              </w:rPr>
              <w:t>。</w:t>
            </w:r>
          </w:p>
          <w:p w14:paraId="294E5D7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注：具体详见“第四章  评标方法及评标标准”。</w:t>
            </w:r>
          </w:p>
        </w:tc>
      </w:tr>
    </w:tbl>
    <w:p w14:paraId="2AB4EFC2">
      <w:pPr>
        <w:spacing w:line="260" w:lineRule="atLeast"/>
        <w:rPr>
          <w:rFonts w:hint="eastAsia" w:ascii="Calibri" w:hAnsi="Calibri"/>
          <w:color w:val="auto"/>
          <w:sz w:val="28"/>
          <w:szCs w:val="28"/>
          <w:highlight w:val="none"/>
        </w:rPr>
      </w:pPr>
      <w:bookmarkStart w:id="64" w:name="_Toc74320802"/>
    </w:p>
    <w:p w14:paraId="1C8961B0">
      <w:pPr>
        <w:spacing w:line="260" w:lineRule="atLeast"/>
        <w:rPr>
          <w:rFonts w:hint="eastAsia" w:ascii="Calibri" w:hAnsi="Calibri"/>
          <w:color w:val="auto"/>
          <w:sz w:val="28"/>
          <w:szCs w:val="28"/>
          <w:highlight w:val="none"/>
        </w:rPr>
      </w:pPr>
    </w:p>
    <w:p w14:paraId="4620C6E6">
      <w:pPr>
        <w:spacing w:line="260" w:lineRule="atLeast"/>
        <w:rPr>
          <w:rFonts w:hint="eastAsia" w:ascii="Calibri" w:hAnsi="Calibri"/>
          <w:color w:val="auto"/>
          <w:sz w:val="28"/>
          <w:szCs w:val="28"/>
          <w:highlight w:val="none"/>
        </w:rPr>
      </w:pPr>
    </w:p>
    <w:p w14:paraId="6B26A18B">
      <w:pPr>
        <w:spacing w:line="260" w:lineRule="atLeast"/>
        <w:rPr>
          <w:rFonts w:hint="eastAsia" w:ascii="Calibri" w:hAnsi="Calibri"/>
          <w:color w:val="auto"/>
          <w:sz w:val="28"/>
          <w:szCs w:val="28"/>
          <w:highlight w:val="none"/>
        </w:rPr>
      </w:pPr>
    </w:p>
    <w:p w14:paraId="4F8B99B9">
      <w:pPr>
        <w:spacing w:line="260" w:lineRule="atLeast"/>
        <w:rPr>
          <w:rFonts w:ascii="Calibri" w:hAnsi="Calibri"/>
          <w:color w:val="auto"/>
          <w:sz w:val="28"/>
          <w:szCs w:val="28"/>
          <w:highlight w:val="none"/>
        </w:rPr>
      </w:pPr>
      <w:r>
        <w:rPr>
          <w:rFonts w:hint="eastAsia" w:ascii="Calibri" w:hAnsi="Calibri"/>
          <w:color w:val="auto"/>
          <w:sz w:val="28"/>
          <w:szCs w:val="28"/>
          <w:highlight w:val="none"/>
        </w:rPr>
        <w:t>附件1：《</w:t>
      </w:r>
      <w:r>
        <w:rPr>
          <w:rFonts w:hint="eastAsia" w:ascii="宋体" w:hAnsi="宋体" w:cs="宋体"/>
          <w:color w:val="auto"/>
          <w:sz w:val="28"/>
          <w:szCs w:val="28"/>
          <w:highlight w:val="none"/>
          <w:lang w:val="zh-CN"/>
        </w:rPr>
        <w:t>桂林医科大学食堂管理考核细则</w:t>
      </w:r>
      <w:r>
        <w:rPr>
          <w:rFonts w:hint="eastAsia" w:ascii="Calibri" w:hAnsi="Calibri"/>
          <w:color w:val="auto"/>
          <w:sz w:val="28"/>
          <w:szCs w:val="28"/>
          <w:highlight w:val="none"/>
        </w:rPr>
        <w:t>》</w:t>
      </w:r>
    </w:p>
    <w:tbl>
      <w:tblPr>
        <w:tblStyle w:val="49"/>
        <w:tblpPr w:leftFromText="180" w:rightFromText="180" w:vertAnchor="text" w:horzAnchor="page" w:tblpX="1518" w:tblpY="642"/>
        <w:tblOverlap w:val="never"/>
        <w:tblW w:w="8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770"/>
        <w:gridCol w:w="4034"/>
        <w:gridCol w:w="2430"/>
        <w:gridCol w:w="766"/>
      </w:tblGrid>
      <w:tr w14:paraId="2DD1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833" w:type="dxa"/>
            <w:gridSpan w:val="5"/>
            <w:tcBorders>
              <w:top w:val="nil"/>
              <w:left w:val="nil"/>
              <w:bottom w:val="single" w:color="auto" w:sz="4" w:space="0"/>
              <w:right w:val="nil"/>
            </w:tcBorders>
            <w:vAlign w:val="center"/>
          </w:tcPr>
          <w:p w14:paraId="39954053">
            <w:pPr>
              <w:widowControl/>
              <w:spacing w:line="260" w:lineRule="atLeast"/>
              <w:jc w:val="center"/>
              <w:rPr>
                <w:rFonts w:ascii="黑体" w:hAnsi="黑体" w:eastAsia="黑体" w:cs="宋体"/>
                <w:b/>
                <w:bCs/>
                <w:color w:val="auto"/>
                <w:kern w:val="0"/>
                <w:sz w:val="28"/>
                <w:highlight w:val="none"/>
              </w:rPr>
            </w:pPr>
            <w:r>
              <w:rPr>
                <w:rFonts w:hint="eastAsia" w:ascii="黑体" w:hAnsi="黑体" w:eastAsia="黑体" w:cs="宋体"/>
                <w:b/>
                <w:bCs/>
                <w:color w:val="auto"/>
                <w:kern w:val="0"/>
                <w:sz w:val="28"/>
                <w:highlight w:val="none"/>
              </w:rPr>
              <w:t>桂林医科大学食堂管理考核细则</w:t>
            </w:r>
          </w:p>
        </w:tc>
      </w:tr>
      <w:tr w14:paraId="0C5F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3" w:type="dxa"/>
            <w:tcBorders>
              <w:top w:val="single" w:color="auto" w:sz="4" w:space="0"/>
            </w:tcBorders>
            <w:vAlign w:val="center"/>
          </w:tcPr>
          <w:p w14:paraId="5893DEDF">
            <w:pPr>
              <w:widowControl/>
              <w:spacing w:line="260" w:lineRule="atLeast"/>
              <w:jc w:val="center"/>
              <w:rPr>
                <w:rFonts w:ascii="宋体" w:hAnsi="宋体" w:cs="宋体"/>
                <w:b/>
                <w:bCs/>
                <w:color w:val="auto"/>
                <w:kern w:val="0"/>
                <w:highlight w:val="none"/>
              </w:rPr>
            </w:pPr>
            <w:r>
              <w:rPr>
                <w:rFonts w:hint="eastAsia" w:ascii="宋体" w:hAnsi="宋体" w:cs="宋体"/>
                <w:b/>
                <w:bCs/>
                <w:color w:val="auto"/>
                <w:kern w:val="0"/>
                <w:highlight w:val="none"/>
              </w:rPr>
              <w:t>序号</w:t>
            </w:r>
          </w:p>
        </w:tc>
        <w:tc>
          <w:tcPr>
            <w:tcW w:w="770" w:type="dxa"/>
            <w:tcBorders>
              <w:top w:val="single" w:color="auto" w:sz="4" w:space="0"/>
            </w:tcBorders>
            <w:vAlign w:val="center"/>
          </w:tcPr>
          <w:p w14:paraId="3BD9E588">
            <w:pPr>
              <w:widowControl/>
              <w:spacing w:line="260" w:lineRule="atLeast"/>
              <w:jc w:val="center"/>
              <w:rPr>
                <w:rFonts w:ascii="宋体" w:hAnsi="宋体" w:cs="宋体"/>
                <w:b/>
                <w:bCs/>
                <w:color w:val="auto"/>
                <w:kern w:val="0"/>
                <w:highlight w:val="none"/>
              </w:rPr>
            </w:pPr>
            <w:r>
              <w:rPr>
                <w:rFonts w:hint="eastAsia" w:ascii="宋体" w:hAnsi="宋体" w:cs="宋体"/>
                <w:b/>
                <w:bCs/>
                <w:color w:val="auto"/>
                <w:kern w:val="0"/>
                <w:highlight w:val="none"/>
              </w:rPr>
              <w:t>项目</w:t>
            </w:r>
          </w:p>
        </w:tc>
        <w:tc>
          <w:tcPr>
            <w:tcW w:w="4034" w:type="dxa"/>
            <w:tcBorders>
              <w:top w:val="single" w:color="auto" w:sz="4" w:space="0"/>
            </w:tcBorders>
            <w:vAlign w:val="center"/>
          </w:tcPr>
          <w:p w14:paraId="3147680D">
            <w:pPr>
              <w:widowControl/>
              <w:spacing w:line="260" w:lineRule="atLeast"/>
              <w:jc w:val="center"/>
              <w:rPr>
                <w:rFonts w:ascii="宋体" w:hAnsi="宋体" w:cs="宋体"/>
                <w:b/>
                <w:bCs/>
                <w:color w:val="auto"/>
                <w:kern w:val="0"/>
                <w:highlight w:val="none"/>
              </w:rPr>
            </w:pPr>
            <w:r>
              <w:rPr>
                <w:rFonts w:hint="eastAsia" w:ascii="宋体" w:hAnsi="宋体" w:cs="宋体"/>
                <w:b/>
                <w:bCs/>
                <w:color w:val="auto"/>
                <w:kern w:val="0"/>
                <w:highlight w:val="none"/>
              </w:rPr>
              <w:t>考 核 内 容</w:t>
            </w:r>
          </w:p>
        </w:tc>
        <w:tc>
          <w:tcPr>
            <w:tcW w:w="2430" w:type="dxa"/>
            <w:tcBorders>
              <w:top w:val="single" w:color="auto" w:sz="4" w:space="0"/>
            </w:tcBorders>
            <w:vAlign w:val="center"/>
          </w:tcPr>
          <w:p w14:paraId="1B6F85CE">
            <w:pPr>
              <w:widowControl/>
              <w:spacing w:line="260" w:lineRule="atLeast"/>
              <w:jc w:val="center"/>
              <w:rPr>
                <w:rFonts w:ascii="宋体" w:hAnsi="宋体" w:cs="宋体"/>
                <w:b/>
                <w:bCs/>
                <w:color w:val="auto"/>
                <w:kern w:val="0"/>
                <w:highlight w:val="none"/>
              </w:rPr>
            </w:pPr>
            <w:r>
              <w:rPr>
                <w:rFonts w:hint="eastAsia" w:ascii="宋体" w:hAnsi="宋体" w:cs="宋体"/>
                <w:b/>
                <w:bCs/>
                <w:color w:val="auto"/>
                <w:kern w:val="0"/>
                <w:highlight w:val="none"/>
              </w:rPr>
              <w:t>评分要求</w:t>
            </w:r>
          </w:p>
        </w:tc>
        <w:tc>
          <w:tcPr>
            <w:tcW w:w="766" w:type="dxa"/>
            <w:tcBorders>
              <w:top w:val="single" w:color="auto" w:sz="4" w:space="0"/>
            </w:tcBorders>
            <w:vAlign w:val="center"/>
          </w:tcPr>
          <w:p w14:paraId="206CE377">
            <w:pPr>
              <w:widowControl/>
              <w:spacing w:line="260" w:lineRule="atLeast"/>
              <w:jc w:val="center"/>
              <w:rPr>
                <w:rFonts w:ascii="宋体" w:hAnsi="宋体" w:cs="宋体"/>
                <w:b/>
                <w:bCs/>
                <w:color w:val="auto"/>
                <w:kern w:val="0"/>
                <w:highlight w:val="none"/>
              </w:rPr>
            </w:pPr>
            <w:r>
              <w:rPr>
                <w:rFonts w:hint="eastAsia" w:ascii="宋体" w:hAnsi="宋体" w:cs="宋体"/>
                <w:b/>
                <w:bCs/>
                <w:color w:val="auto"/>
                <w:kern w:val="0"/>
                <w:highlight w:val="none"/>
              </w:rPr>
              <w:t>扣分</w:t>
            </w:r>
          </w:p>
        </w:tc>
      </w:tr>
      <w:tr w14:paraId="2B23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33" w:type="dxa"/>
            <w:vMerge w:val="restart"/>
            <w:vAlign w:val="center"/>
          </w:tcPr>
          <w:p w14:paraId="3461EA78">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1</w:t>
            </w:r>
          </w:p>
        </w:tc>
        <w:tc>
          <w:tcPr>
            <w:tcW w:w="770" w:type="dxa"/>
            <w:vMerge w:val="restart"/>
            <w:vAlign w:val="center"/>
          </w:tcPr>
          <w:p w14:paraId="2B6CCC92">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工  作  纪  律</w:t>
            </w:r>
          </w:p>
        </w:tc>
        <w:tc>
          <w:tcPr>
            <w:tcW w:w="4034" w:type="dxa"/>
          </w:tcPr>
          <w:p w14:paraId="07F0C1C1">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服从采购人管理和安排</w:t>
            </w:r>
          </w:p>
        </w:tc>
        <w:tc>
          <w:tcPr>
            <w:tcW w:w="2430" w:type="dxa"/>
          </w:tcPr>
          <w:p w14:paraId="3A45ABE1">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不服从管理和安排的每人次扣5分</w:t>
            </w:r>
          </w:p>
        </w:tc>
        <w:tc>
          <w:tcPr>
            <w:tcW w:w="766" w:type="dxa"/>
            <w:vAlign w:val="center"/>
          </w:tcPr>
          <w:p w14:paraId="1DDFBB5F">
            <w:pPr>
              <w:widowControl/>
              <w:spacing w:line="260" w:lineRule="atLeast"/>
              <w:jc w:val="center"/>
              <w:rPr>
                <w:rFonts w:ascii="宋体" w:hAnsi="宋体" w:cs="宋体"/>
                <w:b/>
                <w:bCs/>
                <w:color w:val="auto"/>
                <w:kern w:val="0"/>
                <w:highlight w:val="none"/>
              </w:rPr>
            </w:pPr>
          </w:p>
        </w:tc>
      </w:tr>
      <w:tr w14:paraId="0F0D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vMerge w:val="continue"/>
            <w:vAlign w:val="center"/>
          </w:tcPr>
          <w:p w14:paraId="19DB0556">
            <w:pPr>
              <w:widowControl/>
              <w:spacing w:line="260" w:lineRule="atLeast"/>
              <w:jc w:val="center"/>
              <w:rPr>
                <w:rFonts w:ascii="宋体" w:hAnsi="宋体" w:cs="宋体"/>
                <w:color w:val="auto"/>
                <w:kern w:val="0"/>
                <w:highlight w:val="none"/>
              </w:rPr>
            </w:pPr>
          </w:p>
        </w:tc>
        <w:tc>
          <w:tcPr>
            <w:tcW w:w="770" w:type="dxa"/>
            <w:vMerge w:val="continue"/>
            <w:vAlign w:val="center"/>
          </w:tcPr>
          <w:p w14:paraId="02686BB1">
            <w:pPr>
              <w:widowControl/>
              <w:spacing w:line="260" w:lineRule="atLeast"/>
              <w:jc w:val="center"/>
              <w:rPr>
                <w:rFonts w:ascii="宋体" w:hAnsi="宋体" w:cs="宋体"/>
                <w:color w:val="auto"/>
                <w:kern w:val="0"/>
                <w:highlight w:val="none"/>
              </w:rPr>
            </w:pPr>
          </w:p>
        </w:tc>
        <w:tc>
          <w:tcPr>
            <w:tcW w:w="4034" w:type="dxa"/>
            <w:vMerge w:val="restart"/>
          </w:tcPr>
          <w:p w14:paraId="7AF828A8">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按时上下班，人员配置要达到标准。</w:t>
            </w:r>
          </w:p>
        </w:tc>
        <w:tc>
          <w:tcPr>
            <w:tcW w:w="2430" w:type="dxa"/>
            <w:vMerge w:val="restart"/>
          </w:tcPr>
          <w:p w14:paraId="1D3CC08D">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发现缺员，主管和厨师每日每人次扣20分，其他人员每日每人次扣10分。</w:t>
            </w:r>
          </w:p>
        </w:tc>
        <w:tc>
          <w:tcPr>
            <w:tcW w:w="766" w:type="dxa"/>
            <w:vAlign w:val="center"/>
          </w:tcPr>
          <w:p w14:paraId="3EB3B405">
            <w:pPr>
              <w:widowControl/>
              <w:spacing w:line="260" w:lineRule="atLeast"/>
              <w:jc w:val="center"/>
              <w:rPr>
                <w:rFonts w:ascii="宋体" w:hAnsi="宋体" w:cs="宋体"/>
                <w:b/>
                <w:bCs/>
                <w:color w:val="auto"/>
                <w:kern w:val="0"/>
                <w:highlight w:val="none"/>
              </w:rPr>
            </w:pPr>
          </w:p>
        </w:tc>
      </w:tr>
      <w:tr w14:paraId="7DA6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vMerge w:val="continue"/>
            <w:vAlign w:val="center"/>
          </w:tcPr>
          <w:p w14:paraId="25225AB7">
            <w:pPr>
              <w:widowControl/>
              <w:spacing w:line="260" w:lineRule="atLeast"/>
              <w:jc w:val="center"/>
              <w:rPr>
                <w:rFonts w:ascii="宋体" w:hAnsi="宋体" w:cs="宋体"/>
                <w:color w:val="auto"/>
                <w:kern w:val="0"/>
                <w:highlight w:val="none"/>
              </w:rPr>
            </w:pPr>
          </w:p>
        </w:tc>
        <w:tc>
          <w:tcPr>
            <w:tcW w:w="770" w:type="dxa"/>
            <w:vMerge w:val="continue"/>
            <w:vAlign w:val="center"/>
          </w:tcPr>
          <w:p w14:paraId="31FEEFDB">
            <w:pPr>
              <w:widowControl/>
              <w:spacing w:line="260" w:lineRule="atLeast"/>
              <w:jc w:val="center"/>
              <w:rPr>
                <w:rFonts w:ascii="宋体" w:hAnsi="宋体" w:cs="宋体"/>
                <w:color w:val="auto"/>
                <w:kern w:val="0"/>
                <w:highlight w:val="none"/>
              </w:rPr>
            </w:pPr>
          </w:p>
        </w:tc>
        <w:tc>
          <w:tcPr>
            <w:tcW w:w="4034" w:type="dxa"/>
            <w:vMerge w:val="continue"/>
          </w:tcPr>
          <w:p w14:paraId="1C446214">
            <w:pPr>
              <w:widowControl/>
              <w:spacing w:line="260" w:lineRule="atLeast"/>
              <w:jc w:val="left"/>
              <w:rPr>
                <w:rFonts w:ascii="宋体" w:hAnsi="宋体" w:cs="宋体"/>
                <w:color w:val="auto"/>
                <w:kern w:val="0"/>
                <w:highlight w:val="none"/>
              </w:rPr>
            </w:pPr>
          </w:p>
        </w:tc>
        <w:tc>
          <w:tcPr>
            <w:tcW w:w="2430" w:type="dxa"/>
            <w:vMerge w:val="continue"/>
          </w:tcPr>
          <w:p w14:paraId="0673519E">
            <w:pPr>
              <w:widowControl/>
              <w:spacing w:line="260" w:lineRule="atLeast"/>
              <w:jc w:val="center"/>
              <w:rPr>
                <w:rFonts w:ascii="宋体" w:hAnsi="宋体" w:cs="宋体"/>
                <w:color w:val="auto"/>
                <w:kern w:val="0"/>
                <w:highlight w:val="none"/>
              </w:rPr>
            </w:pPr>
          </w:p>
        </w:tc>
        <w:tc>
          <w:tcPr>
            <w:tcW w:w="766" w:type="dxa"/>
            <w:vAlign w:val="center"/>
          </w:tcPr>
          <w:p w14:paraId="110EBE4B">
            <w:pPr>
              <w:widowControl/>
              <w:spacing w:line="260" w:lineRule="atLeast"/>
              <w:jc w:val="center"/>
              <w:rPr>
                <w:rFonts w:ascii="宋体" w:hAnsi="宋体" w:cs="宋体"/>
                <w:b/>
                <w:bCs/>
                <w:color w:val="auto"/>
                <w:kern w:val="0"/>
                <w:highlight w:val="none"/>
              </w:rPr>
            </w:pPr>
          </w:p>
        </w:tc>
      </w:tr>
      <w:tr w14:paraId="29FD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vMerge w:val="continue"/>
            <w:vAlign w:val="center"/>
          </w:tcPr>
          <w:p w14:paraId="095C887F">
            <w:pPr>
              <w:widowControl/>
              <w:spacing w:line="260" w:lineRule="atLeast"/>
              <w:jc w:val="center"/>
              <w:rPr>
                <w:rFonts w:ascii="宋体" w:hAnsi="宋体" w:cs="宋体"/>
                <w:color w:val="auto"/>
                <w:kern w:val="0"/>
                <w:highlight w:val="none"/>
              </w:rPr>
            </w:pPr>
          </w:p>
        </w:tc>
        <w:tc>
          <w:tcPr>
            <w:tcW w:w="770" w:type="dxa"/>
            <w:vMerge w:val="continue"/>
            <w:vAlign w:val="center"/>
          </w:tcPr>
          <w:p w14:paraId="3DED16E0">
            <w:pPr>
              <w:widowControl/>
              <w:spacing w:line="260" w:lineRule="atLeast"/>
              <w:jc w:val="center"/>
              <w:rPr>
                <w:rFonts w:ascii="宋体" w:hAnsi="宋体" w:cs="宋体"/>
                <w:color w:val="auto"/>
                <w:kern w:val="0"/>
                <w:highlight w:val="none"/>
              </w:rPr>
            </w:pPr>
          </w:p>
        </w:tc>
        <w:tc>
          <w:tcPr>
            <w:tcW w:w="4034" w:type="dxa"/>
          </w:tcPr>
          <w:p w14:paraId="4B9365B1">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有重大接待任务现有人员无法满足工作需求时要及时加派人员。</w:t>
            </w:r>
          </w:p>
        </w:tc>
        <w:tc>
          <w:tcPr>
            <w:tcW w:w="2430" w:type="dxa"/>
            <w:vMerge w:val="restart"/>
          </w:tcPr>
          <w:p w14:paraId="70B11ABA">
            <w:pPr>
              <w:widowControl/>
              <w:spacing w:line="260" w:lineRule="atLeast"/>
              <w:jc w:val="center"/>
              <w:rPr>
                <w:rFonts w:ascii="宋体" w:hAnsi="宋体" w:cs="宋体"/>
                <w:color w:val="auto"/>
                <w:kern w:val="0"/>
                <w:highlight w:val="none"/>
              </w:rPr>
            </w:pPr>
          </w:p>
          <w:p w14:paraId="555B5332">
            <w:pPr>
              <w:widowControl/>
              <w:spacing w:line="260" w:lineRule="atLeast"/>
              <w:jc w:val="center"/>
              <w:rPr>
                <w:rFonts w:ascii="宋体" w:hAnsi="宋体" w:cs="宋体"/>
                <w:color w:val="auto"/>
                <w:kern w:val="0"/>
                <w:highlight w:val="none"/>
              </w:rPr>
            </w:pPr>
          </w:p>
          <w:p w14:paraId="2B93884C">
            <w:pPr>
              <w:widowControl/>
              <w:spacing w:line="260" w:lineRule="atLeast"/>
              <w:jc w:val="center"/>
              <w:rPr>
                <w:rFonts w:ascii="宋体" w:hAnsi="宋体" w:cs="宋体"/>
                <w:color w:val="auto"/>
                <w:kern w:val="0"/>
                <w:highlight w:val="none"/>
              </w:rPr>
            </w:pPr>
          </w:p>
          <w:p w14:paraId="55E08AFF">
            <w:pPr>
              <w:widowControl/>
              <w:spacing w:line="260" w:lineRule="atLeast"/>
              <w:jc w:val="center"/>
              <w:rPr>
                <w:rFonts w:ascii="宋体" w:hAnsi="宋体" w:cs="宋体"/>
                <w:color w:val="auto"/>
                <w:kern w:val="0"/>
                <w:highlight w:val="none"/>
              </w:rPr>
            </w:pPr>
          </w:p>
          <w:p w14:paraId="22414C1A">
            <w:pPr>
              <w:widowControl/>
              <w:spacing w:line="260" w:lineRule="atLeast"/>
              <w:jc w:val="center"/>
              <w:rPr>
                <w:rFonts w:ascii="宋体" w:hAnsi="宋体" w:cs="宋体"/>
                <w:color w:val="auto"/>
                <w:kern w:val="0"/>
                <w:highlight w:val="none"/>
              </w:rPr>
            </w:pPr>
          </w:p>
          <w:p w14:paraId="3E1157C3">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有违反以上事项的，每项扣5分</w:t>
            </w:r>
          </w:p>
          <w:p w14:paraId="3A60B745">
            <w:pPr>
              <w:spacing w:line="260" w:lineRule="atLeast"/>
              <w:jc w:val="left"/>
              <w:rPr>
                <w:rFonts w:ascii="宋体" w:hAnsi="宋体" w:cs="宋体"/>
                <w:color w:val="auto"/>
                <w:kern w:val="0"/>
                <w:highlight w:val="none"/>
              </w:rPr>
            </w:pPr>
          </w:p>
        </w:tc>
        <w:tc>
          <w:tcPr>
            <w:tcW w:w="766" w:type="dxa"/>
            <w:vAlign w:val="center"/>
          </w:tcPr>
          <w:p w14:paraId="2B63AD55">
            <w:pPr>
              <w:widowControl/>
              <w:spacing w:line="260" w:lineRule="atLeast"/>
              <w:jc w:val="center"/>
              <w:rPr>
                <w:rFonts w:ascii="宋体" w:hAnsi="宋体" w:cs="宋体"/>
                <w:b/>
                <w:bCs/>
                <w:color w:val="auto"/>
                <w:kern w:val="0"/>
                <w:highlight w:val="none"/>
              </w:rPr>
            </w:pPr>
          </w:p>
        </w:tc>
      </w:tr>
      <w:tr w14:paraId="5CA0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vMerge w:val="continue"/>
            <w:vAlign w:val="center"/>
          </w:tcPr>
          <w:p w14:paraId="7652A9F3">
            <w:pPr>
              <w:widowControl/>
              <w:spacing w:line="260" w:lineRule="atLeast"/>
              <w:jc w:val="center"/>
              <w:rPr>
                <w:rFonts w:ascii="宋体" w:hAnsi="宋体" w:cs="宋体"/>
                <w:color w:val="auto"/>
                <w:kern w:val="0"/>
                <w:highlight w:val="none"/>
              </w:rPr>
            </w:pPr>
          </w:p>
        </w:tc>
        <w:tc>
          <w:tcPr>
            <w:tcW w:w="770" w:type="dxa"/>
            <w:vMerge w:val="continue"/>
            <w:vAlign w:val="center"/>
          </w:tcPr>
          <w:p w14:paraId="5C4ECAFC">
            <w:pPr>
              <w:widowControl/>
              <w:spacing w:line="260" w:lineRule="atLeast"/>
              <w:jc w:val="center"/>
              <w:rPr>
                <w:rFonts w:ascii="宋体" w:hAnsi="宋体" w:cs="宋体"/>
                <w:color w:val="auto"/>
                <w:kern w:val="0"/>
                <w:highlight w:val="none"/>
              </w:rPr>
            </w:pPr>
          </w:p>
        </w:tc>
        <w:tc>
          <w:tcPr>
            <w:tcW w:w="4034" w:type="dxa"/>
          </w:tcPr>
          <w:p w14:paraId="55CDFB30">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根据季节、原料和干部职工喜好确定每周食谱，经审定后实施，并作出菜单（谱）的成本核算。</w:t>
            </w:r>
          </w:p>
        </w:tc>
        <w:tc>
          <w:tcPr>
            <w:tcW w:w="2430" w:type="dxa"/>
            <w:vMerge w:val="continue"/>
          </w:tcPr>
          <w:p w14:paraId="5A2A51E1">
            <w:pPr>
              <w:spacing w:line="260" w:lineRule="atLeast"/>
              <w:jc w:val="left"/>
              <w:rPr>
                <w:rFonts w:ascii="宋体" w:hAnsi="宋体" w:cs="宋体"/>
                <w:color w:val="auto"/>
                <w:kern w:val="0"/>
                <w:highlight w:val="none"/>
              </w:rPr>
            </w:pPr>
          </w:p>
        </w:tc>
        <w:tc>
          <w:tcPr>
            <w:tcW w:w="766" w:type="dxa"/>
            <w:vAlign w:val="center"/>
          </w:tcPr>
          <w:p w14:paraId="2493FEBB">
            <w:pPr>
              <w:widowControl/>
              <w:spacing w:line="260" w:lineRule="atLeast"/>
              <w:jc w:val="center"/>
              <w:rPr>
                <w:rFonts w:ascii="宋体" w:hAnsi="宋体" w:cs="宋体"/>
                <w:b/>
                <w:bCs/>
                <w:color w:val="auto"/>
                <w:kern w:val="0"/>
                <w:highlight w:val="none"/>
              </w:rPr>
            </w:pPr>
          </w:p>
        </w:tc>
      </w:tr>
      <w:tr w14:paraId="5834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vMerge w:val="continue"/>
            <w:vAlign w:val="center"/>
          </w:tcPr>
          <w:p w14:paraId="01F386DD">
            <w:pPr>
              <w:widowControl/>
              <w:spacing w:line="260" w:lineRule="atLeast"/>
              <w:jc w:val="center"/>
              <w:rPr>
                <w:rFonts w:ascii="宋体" w:hAnsi="宋体" w:cs="宋体"/>
                <w:color w:val="auto"/>
                <w:kern w:val="0"/>
                <w:highlight w:val="none"/>
              </w:rPr>
            </w:pPr>
          </w:p>
        </w:tc>
        <w:tc>
          <w:tcPr>
            <w:tcW w:w="770" w:type="dxa"/>
            <w:vMerge w:val="continue"/>
            <w:vAlign w:val="center"/>
          </w:tcPr>
          <w:p w14:paraId="768974E5">
            <w:pPr>
              <w:widowControl/>
              <w:spacing w:line="260" w:lineRule="atLeast"/>
              <w:jc w:val="center"/>
              <w:rPr>
                <w:rFonts w:ascii="宋体" w:hAnsi="宋体" w:cs="宋体"/>
                <w:color w:val="auto"/>
                <w:kern w:val="0"/>
                <w:highlight w:val="none"/>
              </w:rPr>
            </w:pPr>
          </w:p>
        </w:tc>
        <w:tc>
          <w:tcPr>
            <w:tcW w:w="4034" w:type="dxa"/>
          </w:tcPr>
          <w:p w14:paraId="12566045">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根据每天就餐人数，拟定采购计划交采购人采购。</w:t>
            </w:r>
          </w:p>
        </w:tc>
        <w:tc>
          <w:tcPr>
            <w:tcW w:w="2430" w:type="dxa"/>
            <w:vMerge w:val="continue"/>
          </w:tcPr>
          <w:p w14:paraId="16B7F0D7">
            <w:pPr>
              <w:widowControl/>
              <w:spacing w:line="260" w:lineRule="atLeast"/>
              <w:jc w:val="left"/>
              <w:rPr>
                <w:rFonts w:ascii="宋体" w:hAnsi="宋体" w:cs="宋体"/>
                <w:color w:val="auto"/>
                <w:kern w:val="0"/>
                <w:highlight w:val="none"/>
              </w:rPr>
            </w:pPr>
          </w:p>
        </w:tc>
        <w:tc>
          <w:tcPr>
            <w:tcW w:w="766" w:type="dxa"/>
            <w:vAlign w:val="center"/>
          </w:tcPr>
          <w:p w14:paraId="299F1D4E">
            <w:pPr>
              <w:widowControl/>
              <w:spacing w:line="260" w:lineRule="atLeast"/>
              <w:jc w:val="center"/>
              <w:rPr>
                <w:rFonts w:ascii="宋体" w:hAnsi="宋体" w:cs="宋体"/>
                <w:b/>
                <w:bCs/>
                <w:color w:val="auto"/>
                <w:kern w:val="0"/>
                <w:highlight w:val="none"/>
              </w:rPr>
            </w:pPr>
          </w:p>
        </w:tc>
      </w:tr>
      <w:tr w14:paraId="1FF8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vMerge w:val="continue"/>
            <w:vAlign w:val="center"/>
          </w:tcPr>
          <w:p w14:paraId="609CB958">
            <w:pPr>
              <w:widowControl/>
              <w:spacing w:line="260" w:lineRule="atLeast"/>
              <w:jc w:val="center"/>
              <w:rPr>
                <w:rFonts w:ascii="宋体" w:hAnsi="宋体" w:cs="宋体"/>
                <w:color w:val="auto"/>
                <w:kern w:val="0"/>
                <w:highlight w:val="none"/>
              </w:rPr>
            </w:pPr>
          </w:p>
        </w:tc>
        <w:tc>
          <w:tcPr>
            <w:tcW w:w="770" w:type="dxa"/>
            <w:vMerge w:val="continue"/>
            <w:vAlign w:val="center"/>
          </w:tcPr>
          <w:p w14:paraId="777F622C">
            <w:pPr>
              <w:widowControl/>
              <w:spacing w:line="260" w:lineRule="atLeast"/>
              <w:jc w:val="center"/>
              <w:rPr>
                <w:rFonts w:ascii="宋体" w:hAnsi="宋体" w:cs="宋体"/>
                <w:color w:val="auto"/>
                <w:kern w:val="0"/>
                <w:highlight w:val="none"/>
              </w:rPr>
            </w:pPr>
          </w:p>
        </w:tc>
        <w:tc>
          <w:tcPr>
            <w:tcW w:w="4034" w:type="dxa"/>
          </w:tcPr>
          <w:p w14:paraId="6CE61FD4">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公务接待用餐的标准、人数、开餐时间由采购人决定。</w:t>
            </w:r>
          </w:p>
        </w:tc>
        <w:tc>
          <w:tcPr>
            <w:tcW w:w="2430" w:type="dxa"/>
            <w:vMerge w:val="continue"/>
          </w:tcPr>
          <w:p w14:paraId="535FECF1">
            <w:pPr>
              <w:widowControl/>
              <w:spacing w:line="260" w:lineRule="atLeast"/>
              <w:jc w:val="left"/>
              <w:rPr>
                <w:rFonts w:ascii="宋体" w:hAnsi="宋体" w:cs="宋体"/>
                <w:color w:val="auto"/>
                <w:kern w:val="0"/>
                <w:highlight w:val="none"/>
              </w:rPr>
            </w:pPr>
          </w:p>
        </w:tc>
        <w:tc>
          <w:tcPr>
            <w:tcW w:w="766" w:type="dxa"/>
            <w:vAlign w:val="center"/>
          </w:tcPr>
          <w:p w14:paraId="2211CD2B">
            <w:pPr>
              <w:widowControl/>
              <w:spacing w:line="260" w:lineRule="atLeast"/>
              <w:jc w:val="center"/>
              <w:rPr>
                <w:rFonts w:ascii="宋体" w:hAnsi="宋体" w:cs="宋体"/>
                <w:b/>
                <w:bCs/>
                <w:color w:val="auto"/>
                <w:kern w:val="0"/>
                <w:highlight w:val="none"/>
              </w:rPr>
            </w:pPr>
          </w:p>
        </w:tc>
      </w:tr>
      <w:tr w14:paraId="2ED5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33" w:type="dxa"/>
            <w:vMerge w:val="continue"/>
            <w:vAlign w:val="center"/>
          </w:tcPr>
          <w:p w14:paraId="216584C8">
            <w:pPr>
              <w:widowControl/>
              <w:spacing w:line="260" w:lineRule="atLeast"/>
              <w:jc w:val="center"/>
              <w:rPr>
                <w:rFonts w:ascii="宋体" w:hAnsi="宋体" w:cs="宋体"/>
                <w:color w:val="auto"/>
                <w:kern w:val="0"/>
                <w:highlight w:val="none"/>
              </w:rPr>
            </w:pPr>
          </w:p>
        </w:tc>
        <w:tc>
          <w:tcPr>
            <w:tcW w:w="770" w:type="dxa"/>
            <w:vMerge w:val="continue"/>
            <w:vAlign w:val="center"/>
          </w:tcPr>
          <w:p w14:paraId="4EA3A24E">
            <w:pPr>
              <w:widowControl/>
              <w:spacing w:line="260" w:lineRule="atLeast"/>
              <w:jc w:val="center"/>
              <w:rPr>
                <w:rFonts w:ascii="宋体" w:hAnsi="宋体" w:cs="宋体"/>
                <w:color w:val="auto"/>
                <w:kern w:val="0"/>
                <w:highlight w:val="none"/>
              </w:rPr>
            </w:pPr>
          </w:p>
        </w:tc>
        <w:tc>
          <w:tcPr>
            <w:tcW w:w="4034" w:type="dxa"/>
          </w:tcPr>
          <w:p w14:paraId="76966645">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禁止当班喝酒和酒后上班</w:t>
            </w:r>
          </w:p>
        </w:tc>
        <w:tc>
          <w:tcPr>
            <w:tcW w:w="2430" w:type="dxa"/>
            <w:vMerge w:val="continue"/>
          </w:tcPr>
          <w:p w14:paraId="02DE6067">
            <w:pPr>
              <w:widowControl/>
              <w:spacing w:line="260" w:lineRule="atLeast"/>
              <w:jc w:val="left"/>
              <w:rPr>
                <w:rFonts w:ascii="宋体" w:hAnsi="宋体" w:cs="宋体"/>
                <w:color w:val="auto"/>
                <w:kern w:val="0"/>
                <w:highlight w:val="none"/>
              </w:rPr>
            </w:pPr>
          </w:p>
        </w:tc>
        <w:tc>
          <w:tcPr>
            <w:tcW w:w="766" w:type="dxa"/>
            <w:vAlign w:val="center"/>
          </w:tcPr>
          <w:p w14:paraId="2825024C">
            <w:pPr>
              <w:widowControl/>
              <w:spacing w:line="260" w:lineRule="atLeast"/>
              <w:jc w:val="center"/>
              <w:rPr>
                <w:rFonts w:ascii="宋体" w:hAnsi="宋体" w:cs="宋体"/>
                <w:b/>
                <w:bCs/>
                <w:color w:val="auto"/>
                <w:kern w:val="0"/>
                <w:highlight w:val="none"/>
              </w:rPr>
            </w:pPr>
          </w:p>
        </w:tc>
      </w:tr>
      <w:tr w14:paraId="2A82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vMerge w:val="continue"/>
            <w:vAlign w:val="center"/>
          </w:tcPr>
          <w:p w14:paraId="5DAEAB8D">
            <w:pPr>
              <w:widowControl/>
              <w:spacing w:line="260" w:lineRule="atLeast"/>
              <w:jc w:val="center"/>
              <w:rPr>
                <w:rFonts w:ascii="宋体" w:hAnsi="宋体" w:cs="宋体"/>
                <w:color w:val="auto"/>
                <w:kern w:val="0"/>
                <w:highlight w:val="none"/>
              </w:rPr>
            </w:pPr>
          </w:p>
        </w:tc>
        <w:tc>
          <w:tcPr>
            <w:tcW w:w="770" w:type="dxa"/>
            <w:vMerge w:val="continue"/>
            <w:vAlign w:val="center"/>
          </w:tcPr>
          <w:p w14:paraId="10F828C0">
            <w:pPr>
              <w:widowControl/>
              <w:spacing w:line="260" w:lineRule="atLeast"/>
              <w:jc w:val="center"/>
              <w:rPr>
                <w:rFonts w:ascii="宋体" w:hAnsi="宋体" w:cs="宋体"/>
                <w:color w:val="auto"/>
                <w:kern w:val="0"/>
                <w:highlight w:val="none"/>
              </w:rPr>
            </w:pPr>
          </w:p>
        </w:tc>
        <w:tc>
          <w:tcPr>
            <w:tcW w:w="4034" w:type="dxa"/>
          </w:tcPr>
          <w:p w14:paraId="1B401024">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食堂工作一定要遵循节能减排，杜绝水电跑、冒、滴、漏等各种浪费行为。</w:t>
            </w:r>
          </w:p>
        </w:tc>
        <w:tc>
          <w:tcPr>
            <w:tcW w:w="2430" w:type="dxa"/>
          </w:tcPr>
          <w:p w14:paraId="03B7E603">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发现有浪费行为的，每1人次扣5分</w:t>
            </w:r>
          </w:p>
        </w:tc>
        <w:tc>
          <w:tcPr>
            <w:tcW w:w="766" w:type="dxa"/>
            <w:vAlign w:val="center"/>
          </w:tcPr>
          <w:p w14:paraId="40FFA5A8">
            <w:pPr>
              <w:widowControl/>
              <w:spacing w:line="260" w:lineRule="atLeast"/>
              <w:jc w:val="center"/>
              <w:rPr>
                <w:rFonts w:ascii="宋体" w:hAnsi="宋体" w:cs="宋体"/>
                <w:b/>
                <w:bCs/>
                <w:color w:val="auto"/>
                <w:kern w:val="0"/>
                <w:highlight w:val="none"/>
              </w:rPr>
            </w:pPr>
          </w:p>
        </w:tc>
      </w:tr>
      <w:tr w14:paraId="3186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vMerge w:val="continue"/>
            <w:vAlign w:val="center"/>
          </w:tcPr>
          <w:p w14:paraId="7B5B0F7A">
            <w:pPr>
              <w:widowControl/>
              <w:spacing w:line="260" w:lineRule="atLeast"/>
              <w:jc w:val="center"/>
              <w:rPr>
                <w:rFonts w:ascii="宋体" w:hAnsi="宋体" w:cs="宋体"/>
                <w:color w:val="auto"/>
                <w:kern w:val="0"/>
                <w:highlight w:val="none"/>
              </w:rPr>
            </w:pPr>
          </w:p>
        </w:tc>
        <w:tc>
          <w:tcPr>
            <w:tcW w:w="770" w:type="dxa"/>
            <w:vMerge w:val="continue"/>
            <w:vAlign w:val="center"/>
          </w:tcPr>
          <w:p w14:paraId="6F6DB214">
            <w:pPr>
              <w:widowControl/>
              <w:spacing w:line="260" w:lineRule="atLeast"/>
              <w:jc w:val="center"/>
              <w:rPr>
                <w:rFonts w:ascii="宋体" w:hAnsi="宋体" w:cs="宋体"/>
                <w:color w:val="auto"/>
                <w:kern w:val="0"/>
                <w:highlight w:val="none"/>
              </w:rPr>
            </w:pPr>
          </w:p>
        </w:tc>
        <w:tc>
          <w:tcPr>
            <w:tcW w:w="4034" w:type="dxa"/>
            <w:vAlign w:val="center"/>
          </w:tcPr>
          <w:p w14:paraId="5E55A5B8">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上班不许大声喧哗、嬉戏、打闹</w:t>
            </w:r>
          </w:p>
        </w:tc>
        <w:tc>
          <w:tcPr>
            <w:tcW w:w="2430" w:type="dxa"/>
            <w:vAlign w:val="center"/>
          </w:tcPr>
          <w:p w14:paraId="16C378CF">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有违反以上事项的，每人扣1分</w:t>
            </w:r>
          </w:p>
        </w:tc>
        <w:tc>
          <w:tcPr>
            <w:tcW w:w="766" w:type="dxa"/>
            <w:vAlign w:val="center"/>
          </w:tcPr>
          <w:p w14:paraId="63FE656E">
            <w:pPr>
              <w:widowControl/>
              <w:spacing w:line="260" w:lineRule="atLeast"/>
              <w:jc w:val="center"/>
              <w:rPr>
                <w:rFonts w:ascii="宋体" w:hAnsi="宋体" w:cs="宋体"/>
                <w:b/>
                <w:bCs/>
                <w:color w:val="auto"/>
                <w:kern w:val="0"/>
                <w:highlight w:val="none"/>
              </w:rPr>
            </w:pPr>
          </w:p>
        </w:tc>
      </w:tr>
      <w:tr w14:paraId="4F74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vMerge w:val="continue"/>
            <w:vAlign w:val="center"/>
          </w:tcPr>
          <w:p w14:paraId="7E55316B">
            <w:pPr>
              <w:widowControl/>
              <w:spacing w:line="260" w:lineRule="atLeast"/>
              <w:jc w:val="center"/>
              <w:rPr>
                <w:rFonts w:ascii="宋体" w:hAnsi="宋体" w:cs="宋体"/>
                <w:color w:val="auto"/>
                <w:kern w:val="0"/>
                <w:highlight w:val="none"/>
              </w:rPr>
            </w:pPr>
          </w:p>
        </w:tc>
        <w:tc>
          <w:tcPr>
            <w:tcW w:w="770" w:type="dxa"/>
            <w:vMerge w:val="continue"/>
            <w:vAlign w:val="center"/>
          </w:tcPr>
          <w:p w14:paraId="2555BF26">
            <w:pPr>
              <w:widowControl/>
              <w:spacing w:line="260" w:lineRule="atLeast"/>
              <w:jc w:val="center"/>
              <w:rPr>
                <w:rFonts w:ascii="宋体" w:hAnsi="宋体" w:cs="宋体"/>
                <w:color w:val="auto"/>
                <w:kern w:val="0"/>
                <w:highlight w:val="none"/>
              </w:rPr>
            </w:pPr>
          </w:p>
        </w:tc>
        <w:tc>
          <w:tcPr>
            <w:tcW w:w="4034" w:type="dxa"/>
            <w:vAlign w:val="center"/>
          </w:tcPr>
          <w:p w14:paraId="6592D039">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禁止偷拿、偷吃食堂的物品和食品</w:t>
            </w:r>
          </w:p>
        </w:tc>
        <w:tc>
          <w:tcPr>
            <w:tcW w:w="2430" w:type="dxa"/>
            <w:vAlign w:val="center"/>
          </w:tcPr>
          <w:p w14:paraId="4C4AF61E">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 xml:space="preserve">有以上行为的，罚2倍价钱，扣10分 </w:t>
            </w:r>
          </w:p>
        </w:tc>
        <w:tc>
          <w:tcPr>
            <w:tcW w:w="766" w:type="dxa"/>
            <w:vAlign w:val="center"/>
          </w:tcPr>
          <w:p w14:paraId="72D0CDD0">
            <w:pPr>
              <w:widowControl/>
              <w:spacing w:line="260" w:lineRule="atLeast"/>
              <w:jc w:val="center"/>
              <w:rPr>
                <w:rFonts w:ascii="宋体" w:hAnsi="宋体" w:cs="宋体"/>
                <w:b/>
                <w:bCs/>
                <w:color w:val="auto"/>
                <w:kern w:val="0"/>
                <w:highlight w:val="none"/>
              </w:rPr>
            </w:pPr>
          </w:p>
        </w:tc>
      </w:tr>
      <w:tr w14:paraId="309C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vMerge w:val="continue"/>
            <w:vAlign w:val="center"/>
          </w:tcPr>
          <w:p w14:paraId="4757F6BE">
            <w:pPr>
              <w:widowControl/>
              <w:spacing w:line="260" w:lineRule="atLeast"/>
              <w:jc w:val="center"/>
              <w:rPr>
                <w:rFonts w:ascii="宋体" w:hAnsi="宋体" w:cs="宋体"/>
                <w:color w:val="auto"/>
                <w:kern w:val="0"/>
                <w:highlight w:val="none"/>
              </w:rPr>
            </w:pPr>
          </w:p>
        </w:tc>
        <w:tc>
          <w:tcPr>
            <w:tcW w:w="770" w:type="dxa"/>
            <w:vMerge w:val="continue"/>
            <w:vAlign w:val="center"/>
          </w:tcPr>
          <w:p w14:paraId="14A1B37D">
            <w:pPr>
              <w:widowControl/>
              <w:spacing w:line="260" w:lineRule="atLeast"/>
              <w:jc w:val="center"/>
              <w:rPr>
                <w:rFonts w:ascii="宋体" w:hAnsi="宋体" w:cs="宋体"/>
                <w:color w:val="auto"/>
                <w:kern w:val="0"/>
                <w:highlight w:val="none"/>
              </w:rPr>
            </w:pPr>
          </w:p>
        </w:tc>
        <w:tc>
          <w:tcPr>
            <w:tcW w:w="4034" w:type="dxa"/>
            <w:vAlign w:val="center"/>
          </w:tcPr>
          <w:p w14:paraId="1A6F7B6F">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妥善保管和使用食堂固定资产和物资，出现人为损坏和丢失的</w:t>
            </w:r>
          </w:p>
        </w:tc>
        <w:tc>
          <w:tcPr>
            <w:tcW w:w="2430" w:type="dxa"/>
            <w:vAlign w:val="center"/>
          </w:tcPr>
          <w:p w14:paraId="41DF0D91">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除赔偿采购人损失外，扣5分</w:t>
            </w:r>
          </w:p>
        </w:tc>
        <w:tc>
          <w:tcPr>
            <w:tcW w:w="766" w:type="dxa"/>
            <w:vAlign w:val="center"/>
          </w:tcPr>
          <w:p w14:paraId="25184F04">
            <w:pPr>
              <w:widowControl/>
              <w:spacing w:line="260" w:lineRule="atLeast"/>
              <w:jc w:val="center"/>
              <w:rPr>
                <w:rFonts w:ascii="宋体" w:hAnsi="宋体" w:cs="宋体"/>
                <w:b/>
                <w:bCs/>
                <w:color w:val="auto"/>
                <w:kern w:val="0"/>
                <w:highlight w:val="none"/>
              </w:rPr>
            </w:pPr>
          </w:p>
        </w:tc>
      </w:tr>
      <w:tr w14:paraId="2813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3" w:type="dxa"/>
            <w:vMerge w:val="continue"/>
            <w:vAlign w:val="center"/>
          </w:tcPr>
          <w:p w14:paraId="6E202353">
            <w:pPr>
              <w:widowControl/>
              <w:spacing w:line="260" w:lineRule="atLeast"/>
              <w:jc w:val="center"/>
              <w:rPr>
                <w:rFonts w:ascii="宋体" w:hAnsi="宋体" w:cs="宋体"/>
                <w:color w:val="auto"/>
                <w:kern w:val="0"/>
                <w:highlight w:val="none"/>
              </w:rPr>
            </w:pPr>
          </w:p>
        </w:tc>
        <w:tc>
          <w:tcPr>
            <w:tcW w:w="770" w:type="dxa"/>
            <w:vMerge w:val="continue"/>
            <w:vAlign w:val="center"/>
          </w:tcPr>
          <w:p w14:paraId="61F8233B">
            <w:pPr>
              <w:widowControl/>
              <w:spacing w:line="260" w:lineRule="atLeast"/>
              <w:jc w:val="center"/>
              <w:rPr>
                <w:rFonts w:ascii="宋体" w:hAnsi="宋体" w:cs="宋体"/>
                <w:color w:val="auto"/>
                <w:kern w:val="0"/>
                <w:highlight w:val="none"/>
              </w:rPr>
            </w:pPr>
          </w:p>
        </w:tc>
        <w:tc>
          <w:tcPr>
            <w:tcW w:w="4034" w:type="dxa"/>
            <w:vAlign w:val="center"/>
          </w:tcPr>
          <w:p w14:paraId="076C86D9">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各岗位做好每月盘点工作</w:t>
            </w:r>
          </w:p>
        </w:tc>
        <w:tc>
          <w:tcPr>
            <w:tcW w:w="2430" w:type="dxa"/>
            <w:vAlign w:val="center"/>
          </w:tcPr>
          <w:p w14:paraId="697DE256">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不能按时交盘点表的每次扣2分</w:t>
            </w:r>
          </w:p>
        </w:tc>
        <w:tc>
          <w:tcPr>
            <w:tcW w:w="766" w:type="dxa"/>
            <w:vAlign w:val="center"/>
          </w:tcPr>
          <w:p w14:paraId="1D60DD3A">
            <w:pPr>
              <w:widowControl/>
              <w:spacing w:line="260" w:lineRule="atLeast"/>
              <w:jc w:val="center"/>
              <w:rPr>
                <w:rFonts w:ascii="宋体" w:hAnsi="宋体" w:cs="宋体"/>
                <w:b/>
                <w:bCs/>
                <w:color w:val="auto"/>
                <w:kern w:val="0"/>
                <w:highlight w:val="none"/>
              </w:rPr>
            </w:pPr>
          </w:p>
        </w:tc>
      </w:tr>
      <w:tr w14:paraId="17C6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vMerge w:val="continue"/>
            <w:vAlign w:val="center"/>
          </w:tcPr>
          <w:p w14:paraId="19E0D866">
            <w:pPr>
              <w:widowControl/>
              <w:spacing w:line="260" w:lineRule="atLeast"/>
              <w:jc w:val="center"/>
              <w:rPr>
                <w:rFonts w:ascii="宋体" w:hAnsi="宋体" w:cs="宋体"/>
                <w:color w:val="auto"/>
                <w:kern w:val="0"/>
                <w:highlight w:val="none"/>
              </w:rPr>
            </w:pPr>
          </w:p>
        </w:tc>
        <w:tc>
          <w:tcPr>
            <w:tcW w:w="770" w:type="dxa"/>
            <w:vMerge w:val="continue"/>
            <w:vAlign w:val="center"/>
          </w:tcPr>
          <w:p w14:paraId="61DA87A3">
            <w:pPr>
              <w:widowControl/>
              <w:spacing w:line="260" w:lineRule="atLeast"/>
              <w:jc w:val="center"/>
              <w:rPr>
                <w:rFonts w:ascii="宋体" w:hAnsi="宋体" w:cs="宋体"/>
                <w:color w:val="auto"/>
                <w:kern w:val="0"/>
                <w:highlight w:val="none"/>
              </w:rPr>
            </w:pPr>
          </w:p>
        </w:tc>
        <w:tc>
          <w:tcPr>
            <w:tcW w:w="4034" w:type="dxa"/>
            <w:vAlign w:val="center"/>
          </w:tcPr>
          <w:p w14:paraId="1792561A">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食堂食材要按规定存放，发现存放不当造成浪费</w:t>
            </w:r>
          </w:p>
        </w:tc>
        <w:tc>
          <w:tcPr>
            <w:tcW w:w="2430" w:type="dxa"/>
            <w:vAlign w:val="center"/>
          </w:tcPr>
          <w:p w14:paraId="63FDEDC6">
            <w:pPr>
              <w:widowControl/>
              <w:tabs>
                <w:tab w:val="right" w:pos="2098"/>
              </w:tabs>
              <w:spacing w:line="260" w:lineRule="atLeast"/>
              <w:jc w:val="left"/>
              <w:rPr>
                <w:rFonts w:ascii="宋体" w:hAnsi="宋体" w:cs="宋体"/>
                <w:color w:val="auto"/>
                <w:kern w:val="0"/>
                <w:highlight w:val="none"/>
              </w:rPr>
            </w:pPr>
            <w:r>
              <w:rPr>
                <w:rFonts w:hint="eastAsia" w:ascii="宋体" w:hAnsi="宋体" w:cs="宋体"/>
                <w:color w:val="auto"/>
                <w:kern w:val="0"/>
                <w:highlight w:val="none"/>
              </w:rPr>
              <w:t>发现有浪费行为的，每发现1次扣10分</w:t>
            </w:r>
          </w:p>
        </w:tc>
        <w:tc>
          <w:tcPr>
            <w:tcW w:w="766" w:type="dxa"/>
            <w:vAlign w:val="center"/>
          </w:tcPr>
          <w:p w14:paraId="1F97A5F7">
            <w:pPr>
              <w:widowControl/>
              <w:spacing w:line="260" w:lineRule="atLeast"/>
              <w:jc w:val="center"/>
              <w:rPr>
                <w:rFonts w:ascii="宋体" w:hAnsi="宋体" w:cs="宋体"/>
                <w:b/>
                <w:bCs/>
                <w:color w:val="auto"/>
                <w:kern w:val="0"/>
                <w:highlight w:val="none"/>
              </w:rPr>
            </w:pPr>
          </w:p>
        </w:tc>
      </w:tr>
      <w:tr w14:paraId="50BF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restart"/>
            <w:vAlign w:val="center"/>
          </w:tcPr>
          <w:p w14:paraId="3C7A5C0E">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2</w:t>
            </w:r>
          </w:p>
        </w:tc>
        <w:tc>
          <w:tcPr>
            <w:tcW w:w="770" w:type="dxa"/>
            <w:vMerge w:val="restart"/>
            <w:vAlign w:val="center"/>
          </w:tcPr>
          <w:p w14:paraId="3D2A50EA">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个  人  卫  生</w:t>
            </w:r>
          </w:p>
        </w:tc>
        <w:tc>
          <w:tcPr>
            <w:tcW w:w="4034" w:type="dxa"/>
            <w:vAlign w:val="center"/>
          </w:tcPr>
          <w:p w14:paraId="1B6EF3F5">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全体员工必须持健康证上岗，每年体检一次。</w:t>
            </w:r>
          </w:p>
        </w:tc>
        <w:tc>
          <w:tcPr>
            <w:tcW w:w="2430" w:type="dxa"/>
            <w:vAlign w:val="center"/>
          </w:tcPr>
          <w:p w14:paraId="0A91B468">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发现没有健康证的，1人次扣5分</w:t>
            </w:r>
          </w:p>
        </w:tc>
        <w:tc>
          <w:tcPr>
            <w:tcW w:w="766" w:type="dxa"/>
            <w:vAlign w:val="center"/>
          </w:tcPr>
          <w:p w14:paraId="12C2A851">
            <w:pPr>
              <w:widowControl/>
              <w:spacing w:line="260" w:lineRule="atLeast"/>
              <w:jc w:val="center"/>
              <w:rPr>
                <w:rFonts w:ascii="宋体" w:hAnsi="宋体" w:cs="宋体"/>
                <w:color w:val="auto"/>
                <w:kern w:val="0"/>
                <w:highlight w:val="none"/>
              </w:rPr>
            </w:pPr>
          </w:p>
        </w:tc>
      </w:tr>
      <w:tr w14:paraId="5055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6AAF02E8">
            <w:pPr>
              <w:widowControl/>
              <w:spacing w:line="260" w:lineRule="atLeast"/>
              <w:jc w:val="center"/>
              <w:rPr>
                <w:rFonts w:ascii="宋体" w:hAnsi="宋体" w:cs="宋体"/>
                <w:color w:val="auto"/>
                <w:kern w:val="0"/>
                <w:highlight w:val="none"/>
              </w:rPr>
            </w:pPr>
          </w:p>
        </w:tc>
        <w:tc>
          <w:tcPr>
            <w:tcW w:w="770" w:type="dxa"/>
            <w:vMerge w:val="continue"/>
            <w:vAlign w:val="center"/>
          </w:tcPr>
          <w:p w14:paraId="570F8081">
            <w:pPr>
              <w:widowControl/>
              <w:spacing w:line="260" w:lineRule="atLeast"/>
              <w:jc w:val="center"/>
              <w:rPr>
                <w:rFonts w:ascii="宋体" w:hAnsi="宋体" w:cs="宋体"/>
                <w:color w:val="auto"/>
                <w:kern w:val="0"/>
                <w:highlight w:val="none"/>
              </w:rPr>
            </w:pPr>
          </w:p>
        </w:tc>
        <w:tc>
          <w:tcPr>
            <w:tcW w:w="4034" w:type="dxa"/>
            <w:vAlign w:val="center"/>
          </w:tcPr>
          <w:p w14:paraId="08C1C93B">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员工身体健康，无痢疾、伤寒、 活动性肺结核、化脓性皮肤病等疾病。</w:t>
            </w:r>
          </w:p>
        </w:tc>
        <w:tc>
          <w:tcPr>
            <w:tcW w:w="2430" w:type="dxa"/>
            <w:vAlign w:val="center"/>
          </w:tcPr>
          <w:p w14:paraId="0D519349">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有以上疾病仍上班的，1人次扣5分</w:t>
            </w:r>
          </w:p>
        </w:tc>
        <w:tc>
          <w:tcPr>
            <w:tcW w:w="766" w:type="dxa"/>
            <w:vAlign w:val="center"/>
          </w:tcPr>
          <w:p w14:paraId="0D8C0980">
            <w:pPr>
              <w:widowControl/>
              <w:spacing w:line="260" w:lineRule="atLeast"/>
              <w:jc w:val="center"/>
              <w:rPr>
                <w:rFonts w:ascii="宋体" w:hAnsi="宋体" w:cs="宋体"/>
                <w:color w:val="auto"/>
                <w:kern w:val="0"/>
                <w:highlight w:val="none"/>
              </w:rPr>
            </w:pPr>
          </w:p>
        </w:tc>
      </w:tr>
      <w:tr w14:paraId="2718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6EA82C46">
            <w:pPr>
              <w:widowControl/>
              <w:spacing w:line="260" w:lineRule="atLeast"/>
              <w:jc w:val="center"/>
              <w:rPr>
                <w:rFonts w:ascii="宋体" w:hAnsi="宋体" w:cs="宋体"/>
                <w:color w:val="auto"/>
                <w:kern w:val="0"/>
                <w:highlight w:val="none"/>
              </w:rPr>
            </w:pPr>
          </w:p>
        </w:tc>
        <w:tc>
          <w:tcPr>
            <w:tcW w:w="770" w:type="dxa"/>
            <w:vMerge w:val="continue"/>
            <w:vAlign w:val="center"/>
          </w:tcPr>
          <w:p w14:paraId="44B76686">
            <w:pPr>
              <w:widowControl/>
              <w:spacing w:line="260" w:lineRule="atLeast"/>
              <w:jc w:val="center"/>
              <w:rPr>
                <w:rFonts w:ascii="宋体" w:hAnsi="宋体" w:cs="宋体"/>
                <w:color w:val="auto"/>
                <w:kern w:val="0"/>
                <w:highlight w:val="none"/>
              </w:rPr>
            </w:pPr>
          </w:p>
        </w:tc>
        <w:tc>
          <w:tcPr>
            <w:tcW w:w="4034" w:type="dxa"/>
            <w:vAlign w:val="center"/>
          </w:tcPr>
          <w:p w14:paraId="4AE50E80">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上班穿戴工作服、帽，制作和销售直接入口的食品应戴口罩。</w:t>
            </w:r>
          </w:p>
        </w:tc>
        <w:tc>
          <w:tcPr>
            <w:tcW w:w="2430" w:type="dxa"/>
            <w:vMerge w:val="restart"/>
            <w:vAlign w:val="center"/>
          </w:tcPr>
          <w:p w14:paraId="506A2CF3">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未按要求做，每发现1人次扣1分</w:t>
            </w:r>
          </w:p>
        </w:tc>
        <w:tc>
          <w:tcPr>
            <w:tcW w:w="766" w:type="dxa"/>
            <w:vAlign w:val="center"/>
          </w:tcPr>
          <w:p w14:paraId="144B4810">
            <w:pPr>
              <w:widowControl/>
              <w:spacing w:line="260" w:lineRule="atLeast"/>
              <w:jc w:val="center"/>
              <w:rPr>
                <w:rFonts w:ascii="宋体" w:hAnsi="宋体" w:cs="宋体"/>
                <w:color w:val="auto"/>
                <w:kern w:val="0"/>
                <w:highlight w:val="none"/>
              </w:rPr>
            </w:pPr>
          </w:p>
        </w:tc>
      </w:tr>
      <w:tr w14:paraId="2E63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68C9E2D6">
            <w:pPr>
              <w:widowControl/>
              <w:spacing w:line="260" w:lineRule="atLeast"/>
              <w:jc w:val="center"/>
              <w:rPr>
                <w:rFonts w:ascii="宋体" w:hAnsi="宋体" w:cs="宋体"/>
                <w:color w:val="auto"/>
                <w:kern w:val="0"/>
                <w:highlight w:val="none"/>
              </w:rPr>
            </w:pPr>
          </w:p>
        </w:tc>
        <w:tc>
          <w:tcPr>
            <w:tcW w:w="770" w:type="dxa"/>
            <w:vMerge w:val="continue"/>
            <w:vAlign w:val="center"/>
          </w:tcPr>
          <w:p w14:paraId="241021AE">
            <w:pPr>
              <w:widowControl/>
              <w:spacing w:line="260" w:lineRule="atLeast"/>
              <w:jc w:val="center"/>
              <w:rPr>
                <w:rFonts w:ascii="宋体" w:hAnsi="宋体" w:cs="宋体"/>
                <w:color w:val="auto"/>
                <w:kern w:val="0"/>
                <w:highlight w:val="none"/>
              </w:rPr>
            </w:pPr>
          </w:p>
        </w:tc>
        <w:tc>
          <w:tcPr>
            <w:tcW w:w="4034" w:type="dxa"/>
            <w:vAlign w:val="center"/>
          </w:tcPr>
          <w:p w14:paraId="19E8E64E">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工作人员进入操作间要洗手消毒，不许留长指甲、涂指甲油、戴戒指。</w:t>
            </w:r>
          </w:p>
        </w:tc>
        <w:tc>
          <w:tcPr>
            <w:tcW w:w="2430" w:type="dxa"/>
            <w:vMerge w:val="continue"/>
            <w:vAlign w:val="center"/>
          </w:tcPr>
          <w:p w14:paraId="16D80CDD">
            <w:pPr>
              <w:widowControl/>
              <w:spacing w:line="260" w:lineRule="atLeast"/>
              <w:jc w:val="left"/>
              <w:rPr>
                <w:rFonts w:ascii="宋体" w:hAnsi="宋体" w:cs="宋体"/>
                <w:color w:val="auto"/>
                <w:kern w:val="0"/>
                <w:highlight w:val="none"/>
              </w:rPr>
            </w:pPr>
          </w:p>
        </w:tc>
        <w:tc>
          <w:tcPr>
            <w:tcW w:w="766" w:type="dxa"/>
            <w:vAlign w:val="center"/>
          </w:tcPr>
          <w:p w14:paraId="79723B8B">
            <w:pPr>
              <w:widowControl/>
              <w:spacing w:line="260" w:lineRule="atLeast"/>
              <w:jc w:val="center"/>
              <w:rPr>
                <w:rFonts w:ascii="宋体" w:hAnsi="宋体" w:cs="宋体"/>
                <w:color w:val="auto"/>
                <w:kern w:val="0"/>
                <w:highlight w:val="none"/>
              </w:rPr>
            </w:pPr>
          </w:p>
        </w:tc>
      </w:tr>
      <w:tr w14:paraId="2CFD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325C8E03">
            <w:pPr>
              <w:widowControl/>
              <w:spacing w:line="260" w:lineRule="atLeast"/>
              <w:jc w:val="center"/>
              <w:rPr>
                <w:rFonts w:ascii="宋体" w:hAnsi="宋体" w:cs="宋体"/>
                <w:color w:val="auto"/>
                <w:kern w:val="0"/>
                <w:highlight w:val="none"/>
              </w:rPr>
            </w:pPr>
          </w:p>
        </w:tc>
        <w:tc>
          <w:tcPr>
            <w:tcW w:w="770" w:type="dxa"/>
            <w:vMerge w:val="continue"/>
            <w:vAlign w:val="center"/>
          </w:tcPr>
          <w:p w14:paraId="23C0DD76">
            <w:pPr>
              <w:widowControl/>
              <w:spacing w:line="260" w:lineRule="atLeast"/>
              <w:jc w:val="center"/>
              <w:rPr>
                <w:rFonts w:ascii="宋体" w:hAnsi="宋体" w:cs="宋体"/>
                <w:color w:val="auto"/>
                <w:kern w:val="0"/>
                <w:highlight w:val="none"/>
              </w:rPr>
            </w:pPr>
          </w:p>
        </w:tc>
        <w:tc>
          <w:tcPr>
            <w:tcW w:w="4034" w:type="dxa"/>
            <w:vAlign w:val="center"/>
          </w:tcPr>
          <w:p w14:paraId="38FCBF93">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个人卫生要做到四勤：勤洗手、勤剪指甲、勤理发、勤换工作服帽</w:t>
            </w:r>
          </w:p>
        </w:tc>
        <w:tc>
          <w:tcPr>
            <w:tcW w:w="2430" w:type="dxa"/>
            <w:vMerge w:val="continue"/>
            <w:vAlign w:val="center"/>
          </w:tcPr>
          <w:p w14:paraId="534E3DB9">
            <w:pPr>
              <w:widowControl/>
              <w:spacing w:line="260" w:lineRule="atLeast"/>
              <w:jc w:val="left"/>
              <w:rPr>
                <w:rFonts w:ascii="宋体" w:hAnsi="宋体" w:cs="宋体"/>
                <w:color w:val="auto"/>
                <w:kern w:val="0"/>
                <w:highlight w:val="none"/>
              </w:rPr>
            </w:pPr>
          </w:p>
        </w:tc>
        <w:tc>
          <w:tcPr>
            <w:tcW w:w="766" w:type="dxa"/>
            <w:vAlign w:val="center"/>
          </w:tcPr>
          <w:p w14:paraId="7BA2BB71">
            <w:pPr>
              <w:widowControl/>
              <w:spacing w:line="260" w:lineRule="atLeast"/>
              <w:jc w:val="center"/>
              <w:rPr>
                <w:rFonts w:ascii="宋体" w:hAnsi="宋体" w:cs="宋体"/>
                <w:color w:val="auto"/>
                <w:kern w:val="0"/>
                <w:highlight w:val="none"/>
              </w:rPr>
            </w:pPr>
          </w:p>
        </w:tc>
      </w:tr>
      <w:tr w14:paraId="60A0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restart"/>
            <w:vAlign w:val="center"/>
          </w:tcPr>
          <w:p w14:paraId="242FBF53">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3</w:t>
            </w:r>
          </w:p>
        </w:tc>
        <w:tc>
          <w:tcPr>
            <w:tcW w:w="770" w:type="dxa"/>
            <w:vMerge w:val="restart"/>
            <w:vAlign w:val="center"/>
          </w:tcPr>
          <w:p w14:paraId="56CB85F4">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餐  厅  卫  生</w:t>
            </w:r>
          </w:p>
        </w:tc>
        <w:tc>
          <w:tcPr>
            <w:tcW w:w="4034" w:type="dxa"/>
            <w:vAlign w:val="center"/>
          </w:tcPr>
          <w:p w14:paraId="58DEC153">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墙壁无污渍、灰尘，门窗清晰明亮。</w:t>
            </w:r>
          </w:p>
        </w:tc>
        <w:tc>
          <w:tcPr>
            <w:tcW w:w="2430" w:type="dxa"/>
            <w:vMerge w:val="restart"/>
            <w:vAlign w:val="center"/>
          </w:tcPr>
          <w:p w14:paraId="74AB6544">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未达标一项，扣2分</w:t>
            </w:r>
          </w:p>
        </w:tc>
        <w:tc>
          <w:tcPr>
            <w:tcW w:w="766" w:type="dxa"/>
            <w:vAlign w:val="center"/>
          </w:tcPr>
          <w:p w14:paraId="6E58D2EB">
            <w:pPr>
              <w:widowControl/>
              <w:spacing w:line="260" w:lineRule="atLeast"/>
              <w:jc w:val="center"/>
              <w:rPr>
                <w:rFonts w:ascii="宋体" w:hAnsi="宋体" w:cs="宋体"/>
                <w:color w:val="auto"/>
                <w:kern w:val="0"/>
                <w:highlight w:val="none"/>
              </w:rPr>
            </w:pPr>
          </w:p>
        </w:tc>
      </w:tr>
      <w:tr w14:paraId="102D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continue"/>
            <w:vAlign w:val="center"/>
          </w:tcPr>
          <w:p w14:paraId="057E59D9">
            <w:pPr>
              <w:widowControl/>
              <w:spacing w:line="260" w:lineRule="atLeast"/>
              <w:jc w:val="center"/>
              <w:rPr>
                <w:rFonts w:ascii="宋体" w:hAnsi="宋体" w:cs="宋体"/>
                <w:color w:val="auto"/>
                <w:kern w:val="0"/>
                <w:highlight w:val="none"/>
              </w:rPr>
            </w:pPr>
          </w:p>
        </w:tc>
        <w:tc>
          <w:tcPr>
            <w:tcW w:w="770" w:type="dxa"/>
            <w:vMerge w:val="continue"/>
            <w:vAlign w:val="center"/>
          </w:tcPr>
          <w:p w14:paraId="5B498657">
            <w:pPr>
              <w:widowControl/>
              <w:spacing w:line="260" w:lineRule="atLeast"/>
              <w:jc w:val="center"/>
              <w:rPr>
                <w:rFonts w:ascii="宋体" w:hAnsi="宋体" w:cs="宋体"/>
                <w:color w:val="auto"/>
                <w:kern w:val="0"/>
                <w:highlight w:val="none"/>
              </w:rPr>
            </w:pPr>
          </w:p>
        </w:tc>
        <w:tc>
          <w:tcPr>
            <w:tcW w:w="4034" w:type="dxa"/>
            <w:vAlign w:val="center"/>
          </w:tcPr>
          <w:p w14:paraId="2EB38D66">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天面（吊顶）无蜘蛛网、灰尘、霉斑</w:t>
            </w:r>
          </w:p>
        </w:tc>
        <w:tc>
          <w:tcPr>
            <w:tcW w:w="2430" w:type="dxa"/>
            <w:vMerge w:val="continue"/>
            <w:vAlign w:val="center"/>
          </w:tcPr>
          <w:p w14:paraId="39445B12">
            <w:pPr>
              <w:widowControl/>
              <w:spacing w:line="260" w:lineRule="atLeast"/>
              <w:jc w:val="left"/>
              <w:rPr>
                <w:rFonts w:ascii="宋体" w:hAnsi="宋体" w:cs="宋体"/>
                <w:color w:val="auto"/>
                <w:kern w:val="0"/>
                <w:highlight w:val="none"/>
              </w:rPr>
            </w:pPr>
          </w:p>
        </w:tc>
        <w:tc>
          <w:tcPr>
            <w:tcW w:w="766" w:type="dxa"/>
            <w:vAlign w:val="center"/>
          </w:tcPr>
          <w:p w14:paraId="0E66934A">
            <w:pPr>
              <w:widowControl/>
              <w:spacing w:line="260" w:lineRule="atLeast"/>
              <w:jc w:val="center"/>
              <w:rPr>
                <w:rFonts w:ascii="宋体" w:hAnsi="宋体" w:cs="宋体"/>
                <w:color w:val="auto"/>
                <w:kern w:val="0"/>
                <w:highlight w:val="none"/>
              </w:rPr>
            </w:pPr>
          </w:p>
        </w:tc>
      </w:tr>
      <w:tr w14:paraId="4358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continue"/>
            <w:vAlign w:val="center"/>
          </w:tcPr>
          <w:p w14:paraId="31C57CD8">
            <w:pPr>
              <w:widowControl/>
              <w:spacing w:line="260" w:lineRule="atLeast"/>
              <w:jc w:val="center"/>
              <w:rPr>
                <w:rFonts w:ascii="宋体" w:hAnsi="宋体" w:cs="宋体"/>
                <w:color w:val="auto"/>
                <w:kern w:val="0"/>
                <w:highlight w:val="none"/>
              </w:rPr>
            </w:pPr>
          </w:p>
        </w:tc>
        <w:tc>
          <w:tcPr>
            <w:tcW w:w="770" w:type="dxa"/>
            <w:vMerge w:val="continue"/>
            <w:vAlign w:val="center"/>
          </w:tcPr>
          <w:p w14:paraId="0053369A">
            <w:pPr>
              <w:widowControl/>
              <w:spacing w:line="260" w:lineRule="atLeast"/>
              <w:jc w:val="center"/>
              <w:rPr>
                <w:rFonts w:ascii="宋体" w:hAnsi="宋体" w:cs="宋体"/>
                <w:color w:val="auto"/>
                <w:kern w:val="0"/>
                <w:highlight w:val="none"/>
              </w:rPr>
            </w:pPr>
          </w:p>
        </w:tc>
        <w:tc>
          <w:tcPr>
            <w:tcW w:w="4034" w:type="dxa"/>
            <w:vAlign w:val="center"/>
          </w:tcPr>
          <w:p w14:paraId="1362540A">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地面洁净，无水、无油渍、无垃圾</w:t>
            </w:r>
          </w:p>
        </w:tc>
        <w:tc>
          <w:tcPr>
            <w:tcW w:w="2430" w:type="dxa"/>
            <w:vMerge w:val="continue"/>
            <w:vAlign w:val="center"/>
          </w:tcPr>
          <w:p w14:paraId="3E3ECFE9">
            <w:pPr>
              <w:widowControl/>
              <w:spacing w:line="260" w:lineRule="atLeast"/>
              <w:jc w:val="left"/>
              <w:rPr>
                <w:rFonts w:ascii="宋体" w:hAnsi="宋体" w:cs="宋体"/>
                <w:color w:val="auto"/>
                <w:kern w:val="0"/>
                <w:highlight w:val="none"/>
              </w:rPr>
            </w:pPr>
          </w:p>
        </w:tc>
        <w:tc>
          <w:tcPr>
            <w:tcW w:w="766" w:type="dxa"/>
            <w:vAlign w:val="center"/>
          </w:tcPr>
          <w:p w14:paraId="0ABB0268">
            <w:pPr>
              <w:widowControl/>
              <w:spacing w:line="260" w:lineRule="atLeast"/>
              <w:jc w:val="center"/>
              <w:rPr>
                <w:rFonts w:ascii="宋体" w:hAnsi="宋体" w:cs="宋体"/>
                <w:color w:val="auto"/>
                <w:kern w:val="0"/>
                <w:highlight w:val="none"/>
              </w:rPr>
            </w:pPr>
          </w:p>
        </w:tc>
      </w:tr>
      <w:tr w14:paraId="0297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continue"/>
            <w:vAlign w:val="center"/>
          </w:tcPr>
          <w:p w14:paraId="2572EAC4">
            <w:pPr>
              <w:widowControl/>
              <w:spacing w:line="260" w:lineRule="atLeast"/>
              <w:jc w:val="center"/>
              <w:rPr>
                <w:rFonts w:ascii="宋体" w:hAnsi="宋体" w:cs="宋体"/>
                <w:color w:val="auto"/>
                <w:kern w:val="0"/>
                <w:highlight w:val="none"/>
              </w:rPr>
            </w:pPr>
          </w:p>
        </w:tc>
        <w:tc>
          <w:tcPr>
            <w:tcW w:w="770" w:type="dxa"/>
            <w:vMerge w:val="continue"/>
            <w:vAlign w:val="center"/>
          </w:tcPr>
          <w:p w14:paraId="44A5350C">
            <w:pPr>
              <w:widowControl/>
              <w:spacing w:line="260" w:lineRule="atLeast"/>
              <w:jc w:val="center"/>
              <w:rPr>
                <w:rFonts w:ascii="宋体" w:hAnsi="宋体" w:cs="宋体"/>
                <w:color w:val="auto"/>
                <w:kern w:val="0"/>
                <w:highlight w:val="none"/>
              </w:rPr>
            </w:pPr>
          </w:p>
        </w:tc>
        <w:tc>
          <w:tcPr>
            <w:tcW w:w="4034" w:type="dxa"/>
            <w:vAlign w:val="center"/>
          </w:tcPr>
          <w:p w14:paraId="10F0F104">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餐厅的桌椅设备，摆放整齐，干净无尘</w:t>
            </w:r>
          </w:p>
        </w:tc>
        <w:tc>
          <w:tcPr>
            <w:tcW w:w="2430" w:type="dxa"/>
            <w:vMerge w:val="continue"/>
            <w:vAlign w:val="center"/>
          </w:tcPr>
          <w:p w14:paraId="065AF043">
            <w:pPr>
              <w:widowControl/>
              <w:spacing w:line="260" w:lineRule="atLeast"/>
              <w:jc w:val="left"/>
              <w:rPr>
                <w:rFonts w:ascii="宋体" w:hAnsi="宋体" w:cs="宋体"/>
                <w:color w:val="auto"/>
                <w:kern w:val="0"/>
                <w:highlight w:val="none"/>
              </w:rPr>
            </w:pPr>
          </w:p>
        </w:tc>
        <w:tc>
          <w:tcPr>
            <w:tcW w:w="766" w:type="dxa"/>
            <w:vAlign w:val="center"/>
          </w:tcPr>
          <w:p w14:paraId="69BFEA97">
            <w:pPr>
              <w:widowControl/>
              <w:spacing w:line="260" w:lineRule="atLeast"/>
              <w:jc w:val="center"/>
              <w:rPr>
                <w:rFonts w:ascii="宋体" w:hAnsi="宋体" w:cs="宋体"/>
                <w:color w:val="auto"/>
                <w:kern w:val="0"/>
                <w:highlight w:val="none"/>
              </w:rPr>
            </w:pPr>
          </w:p>
        </w:tc>
      </w:tr>
      <w:tr w14:paraId="7B74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continue"/>
            <w:vAlign w:val="center"/>
          </w:tcPr>
          <w:p w14:paraId="0E34C9AD">
            <w:pPr>
              <w:widowControl/>
              <w:spacing w:line="260" w:lineRule="atLeast"/>
              <w:jc w:val="center"/>
              <w:rPr>
                <w:rFonts w:ascii="宋体" w:hAnsi="宋体" w:cs="宋体"/>
                <w:color w:val="auto"/>
                <w:kern w:val="0"/>
                <w:highlight w:val="none"/>
              </w:rPr>
            </w:pPr>
          </w:p>
        </w:tc>
        <w:tc>
          <w:tcPr>
            <w:tcW w:w="770" w:type="dxa"/>
            <w:vMerge w:val="continue"/>
            <w:vAlign w:val="center"/>
          </w:tcPr>
          <w:p w14:paraId="1A29AFF8">
            <w:pPr>
              <w:widowControl/>
              <w:spacing w:line="260" w:lineRule="atLeast"/>
              <w:jc w:val="center"/>
              <w:rPr>
                <w:rFonts w:ascii="宋体" w:hAnsi="宋体" w:cs="宋体"/>
                <w:color w:val="auto"/>
                <w:kern w:val="0"/>
                <w:highlight w:val="none"/>
              </w:rPr>
            </w:pPr>
          </w:p>
        </w:tc>
        <w:tc>
          <w:tcPr>
            <w:tcW w:w="4034" w:type="dxa"/>
            <w:vAlign w:val="center"/>
          </w:tcPr>
          <w:p w14:paraId="4C507776">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餐厅摆放的植物长势良好、叶面干净</w:t>
            </w:r>
          </w:p>
        </w:tc>
        <w:tc>
          <w:tcPr>
            <w:tcW w:w="2430" w:type="dxa"/>
            <w:vMerge w:val="continue"/>
            <w:vAlign w:val="center"/>
          </w:tcPr>
          <w:p w14:paraId="4603D6D0">
            <w:pPr>
              <w:widowControl/>
              <w:spacing w:line="260" w:lineRule="atLeast"/>
              <w:jc w:val="left"/>
              <w:rPr>
                <w:rFonts w:ascii="宋体" w:hAnsi="宋体" w:cs="宋体"/>
                <w:color w:val="auto"/>
                <w:kern w:val="0"/>
                <w:highlight w:val="none"/>
              </w:rPr>
            </w:pPr>
          </w:p>
        </w:tc>
        <w:tc>
          <w:tcPr>
            <w:tcW w:w="766" w:type="dxa"/>
            <w:vAlign w:val="center"/>
          </w:tcPr>
          <w:p w14:paraId="1C54C773">
            <w:pPr>
              <w:widowControl/>
              <w:spacing w:line="260" w:lineRule="atLeast"/>
              <w:jc w:val="center"/>
              <w:rPr>
                <w:rFonts w:ascii="宋体" w:hAnsi="宋体" w:cs="宋体"/>
                <w:color w:val="auto"/>
                <w:kern w:val="0"/>
                <w:highlight w:val="none"/>
              </w:rPr>
            </w:pPr>
          </w:p>
        </w:tc>
      </w:tr>
      <w:tr w14:paraId="63A0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restart"/>
            <w:vAlign w:val="center"/>
          </w:tcPr>
          <w:p w14:paraId="385859D7">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4</w:t>
            </w:r>
          </w:p>
        </w:tc>
        <w:tc>
          <w:tcPr>
            <w:tcW w:w="770" w:type="dxa"/>
            <w:vMerge w:val="restart"/>
            <w:vAlign w:val="center"/>
          </w:tcPr>
          <w:p w14:paraId="307B6FA3">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厨  房  公  共  卫  生</w:t>
            </w:r>
          </w:p>
        </w:tc>
        <w:tc>
          <w:tcPr>
            <w:tcW w:w="4034" w:type="dxa"/>
            <w:vAlign w:val="center"/>
          </w:tcPr>
          <w:p w14:paraId="0A769496">
            <w:pPr>
              <w:widowControl/>
              <w:spacing w:line="260" w:lineRule="atLeast"/>
              <w:jc w:val="left"/>
              <w:rPr>
                <w:rFonts w:ascii="宋体" w:hAnsi="宋体" w:cs="宋体"/>
                <w:b/>
                <w:bCs/>
                <w:color w:val="auto"/>
                <w:kern w:val="0"/>
                <w:highlight w:val="none"/>
              </w:rPr>
            </w:pPr>
            <w:r>
              <w:rPr>
                <w:rFonts w:hint="eastAsia" w:ascii="宋体" w:hAnsi="宋体" w:cs="宋体"/>
                <w:color w:val="auto"/>
                <w:kern w:val="0"/>
                <w:highlight w:val="none"/>
              </w:rPr>
              <w:t>厨房禁止吸烟、乱丢垃圾。</w:t>
            </w:r>
          </w:p>
        </w:tc>
        <w:tc>
          <w:tcPr>
            <w:tcW w:w="2430" w:type="dxa"/>
            <w:vMerge w:val="restart"/>
            <w:vAlign w:val="center"/>
          </w:tcPr>
          <w:p w14:paraId="022F0634">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未达标一项，扣2分</w:t>
            </w:r>
          </w:p>
        </w:tc>
        <w:tc>
          <w:tcPr>
            <w:tcW w:w="766" w:type="dxa"/>
            <w:vAlign w:val="center"/>
          </w:tcPr>
          <w:p w14:paraId="610DA5D9">
            <w:pPr>
              <w:widowControl/>
              <w:spacing w:line="260" w:lineRule="atLeast"/>
              <w:jc w:val="center"/>
              <w:rPr>
                <w:rFonts w:ascii="宋体" w:hAnsi="宋体" w:cs="宋体"/>
                <w:color w:val="auto"/>
                <w:kern w:val="0"/>
                <w:highlight w:val="none"/>
              </w:rPr>
            </w:pPr>
          </w:p>
        </w:tc>
      </w:tr>
      <w:tr w14:paraId="158E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continue"/>
            <w:vAlign w:val="center"/>
          </w:tcPr>
          <w:p w14:paraId="18066332">
            <w:pPr>
              <w:widowControl/>
              <w:spacing w:line="260" w:lineRule="atLeast"/>
              <w:jc w:val="center"/>
              <w:rPr>
                <w:rFonts w:ascii="宋体" w:hAnsi="宋体" w:cs="宋体"/>
                <w:color w:val="auto"/>
                <w:kern w:val="0"/>
                <w:highlight w:val="none"/>
              </w:rPr>
            </w:pPr>
          </w:p>
        </w:tc>
        <w:tc>
          <w:tcPr>
            <w:tcW w:w="770" w:type="dxa"/>
            <w:vMerge w:val="continue"/>
            <w:vAlign w:val="center"/>
          </w:tcPr>
          <w:p w14:paraId="48184018">
            <w:pPr>
              <w:widowControl/>
              <w:spacing w:line="260" w:lineRule="atLeast"/>
              <w:jc w:val="center"/>
              <w:rPr>
                <w:rFonts w:ascii="宋体" w:hAnsi="宋体" w:cs="宋体"/>
                <w:color w:val="auto"/>
                <w:kern w:val="0"/>
                <w:highlight w:val="none"/>
              </w:rPr>
            </w:pPr>
          </w:p>
        </w:tc>
        <w:tc>
          <w:tcPr>
            <w:tcW w:w="4034" w:type="dxa"/>
            <w:vAlign w:val="center"/>
          </w:tcPr>
          <w:p w14:paraId="655FA4C5">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墙壁无食品残渣和污迹，门窗干净。</w:t>
            </w:r>
          </w:p>
        </w:tc>
        <w:tc>
          <w:tcPr>
            <w:tcW w:w="2430" w:type="dxa"/>
            <w:vMerge w:val="continue"/>
            <w:vAlign w:val="center"/>
          </w:tcPr>
          <w:p w14:paraId="2141016B">
            <w:pPr>
              <w:widowControl/>
              <w:spacing w:line="260" w:lineRule="atLeast"/>
              <w:jc w:val="left"/>
              <w:rPr>
                <w:rFonts w:ascii="宋体" w:hAnsi="宋体" w:cs="宋体"/>
                <w:color w:val="auto"/>
                <w:kern w:val="0"/>
                <w:highlight w:val="none"/>
              </w:rPr>
            </w:pPr>
          </w:p>
        </w:tc>
        <w:tc>
          <w:tcPr>
            <w:tcW w:w="766" w:type="dxa"/>
            <w:vAlign w:val="center"/>
          </w:tcPr>
          <w:p w14:paraId="55E03645">
            <w:pPr>
              <w:widowControl/>
              <w:spacing w:line="260" w:lineRule="atLeast"/>
              <w:jc w:val="center"/>
              <w:rPr>
                <w:rFonts w:ascii="宋体" w:hAnsi="宋体" w:cs="宋体"/>
                <w:color w:val="auto"/>
                <w:kern w:val="0"/>
                <w:highlight w:val="none"/>
              </w:rPr>
            </w:pPr>
          </w:p>
        </w:tc>
      </w:tr>
      <w:tr w14:paraId="2847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continue"/>
            <w:vAlign w:val="center"/>
          </w:tcPr>
          <w:p w14:paraId="2211D28D">
            <w:pPr>
              <w:widowControl/>
              <w:spacing w:line="260" w:lineRule="atLeast"/>
              <w:jc w:val="center"/>
              <w:rPr>
                <w:rFonts w:ascii="宋体" w:hAnsi="宋体" w:cs="宋体"/>
                <w:color w:val="auto"/>
                <w:kern w:val="0"/>
                <w:highlight w:val="none"/>
              </w:rPr>
            </w:pPr>
          </w:p>
        </w:tc>
        <w:tc>
          <w:tcPr>
            <w:tcW w:w="770" w:type="dxa"/>
            <w:vMerge w:val="continue"/>
            <w:vAlign w:val="center"/>
          </w:tcPr>
          <w:p w14:paraId="20C7309C">
            <w:pPr>
              <w:widowControl/>
              <w:spacing w:line="260" w:lineRule="atLeast"/>
              <w:jc w:val="center"/>
              <w:rPr>
                <w:rFonts w:ascii="宋体" w:hAnsi="宋体" w:cs="宋体"/>
                <w:color w:val="auto"/>
                <w:kern w:val="0"/>
                <w:highlight w:val="none"/>
              </w:rPr>
            </w:pPr>
          </w:p>
        </w:tc>
        <w:tc>
          <w:tcPr>
            <w:tcW w:w="4034" w:type="dxa"/>
            <w:vAlign w:val="center"/>
          </w:tcPr>
          <w:p w14:paraId="14A08BCB">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天面（吊顶）无蜘蛛网、吊尘</w:t>
            </w:r>
          </w:p>
        </w:tc>
        <w:tc>
          <w:tcPr>
            <w:tcW w:w="2430" w:type="dxa"/>
            <w:vMerge w:val="continue"/>
            <w:vAlign w:val="center"/>
          </w:tcPr>
          <w:p w14:paraId="6E1FAA48">
            <w:pPr>
              <w:widowControl/>
              <w:spacing w:line="260" w:lineRule="atLeast"/>
              <w:jc w:val="left"/>
              <w:rPr>
                <w:rFonts w:ascii="宋体" w:hAnsi="宋体" w:cs="宋体"/>
                <w:color w:val="auto"/>
                <w:kern w:val="0"/>
                <w:highlight w:val="none"/>
              </w:rPr>
            </w:pPr>
          </w:p>
        </w:tc>
        <w:tc>
          <w:tcPr>
            <w:tcW w:w="766" w:type="dxa"/>
            <w:vAlign w:val="center"/>
          </w:tcPr>
          <w:p w14:paraId="4FD48D8F">
            <w:pPr>
              <w:widowControl/>
              <w:spacing w:line="260" w:lineRule="atLeast"/>
              <w:jc w:val="center"/>
              <w:rPr>
                <w:rFonts w:ascii="宋体" w:hAnsi="宋体" w:cs="宋体"/>
                <w:color w:val="auto"/>
                <w:kern w:val="0"/>
                <w:highlight w:val="none"/>
              </w:rPr>
            </w:pPr>
          </w:p>
        </w:tc>
      </w:tr>
      <w:tr w14:paraId="13BF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58642B3A">
            <w:pPr>
              <w:widowControl/>
              <w:spacing w:line="260" w:lineRule="atLeast"/>
              <w:jc w:val="center"/>
              <w:rPr>
                <w:rFonts w:ascii="宋体" w:hAnsi="宋体" w:cs="宋体"/>
                <w:color w:val="auto"/>
                <w:kern w:val="0"/>
                <w:highlight w:val="none"/>
              </w:rPr>
            </w:pPr>
          </w:p>
        </w:tc>
        <w:tc>
          <w:tcPr>
            <w:tcW w:w="770" w:type="dxa"/>
            <w:vMerge w:val="continue"/>
            <w:vAlign w:val="center"/>
          </w:tcPr>
          <w:p w14:paraId="15DB4689">
            <w:pPr>
              <w:widowControl/>
              <w:spacing w:line="260" w:lineRule="atLeast"/>
              <w:jc w:val="center"/>
              <w:rPr>
                <w:rFonts w:ascii="宋体" w:hAnsi="宋体" w:cs="宋体"/>
                <w:color w:val="auto"/>
                <w:kern w:val="0"/>
                <w:highlight w:val="none"/>
              </w:rPr>
            </w:pPr>
          </w:p>
        </w:tc>
        <w:tc>
          <w:tcPr>
            <w:tcW w:w="4034" w:type="dxa"/>
            <w:vAlign w:val="center"/>
          </w:tcPr>
          <w:p w14:paraId="182DAFEB">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地面干净无水、无油垢、无垃圾，做到一市一清扫，每天一清洗。</w:t>
            </w:r>
          </w:p>
        </w:tc>
        <w:tc>
          <w:tcPr>
            <w:tcW w:w="2430" w:type="dxa"/>
            <w:vMerge w:val="continue"/>
            <w:vAlign w:val="center"/>
          </w:tcPr>
          <w:p w14:paraId="2BC27C0D">
            <w:pPr>
              <w:widowControl/>
              <w:spacing w:line="260" w:lineRule="atLeast"/>
              <w:jc w:val="left"/>
              <w:rPr>
                <w:rFonts w:ascii="宋体" w:hAnsi="宋体" w:cs="宋体"/>
                <w:color w:val="auto"/>
                <w:kern w:val="0"/>
                <w:highlight w:val="none"/>
              </w:rPr>
            </w:pPr>
          </w:p>
        </w:tc>
        <w:tc>
          <w:tcPr>
            <w:tcW w:w="766" w:type="dxa"/>
            <w:vAlign w:val="center"/>
          </w:tcPr>
          <w:p w14:paraId="5F1DC29B">
            <w:pPr>
              <w:widowControl/>
              <w:spacing w:line="260" w:lineRule="atLeast"/>
              <w:jc w:val="center"/>
              <w:rPr>
                <w:rFonts w:ascii="宋体" w:hAnsi="宋体" w:cs="宋体"/>
                <w:color w:val="auto"/>
                <w:kern w:val="0"/>
                <w:highlight w:val="none"/>
              </w:rPr>
            </w:pPr>
          </w:p>
        </w:tc>
      </w:tr>
      <w:tr w14:paraId="28D3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39FEB3F9">
            <w:pPr>
              <w:widowControl/>
              <w:spacing w:line="260" w:lineRule="atLeast"/>
              <w:jc w:val="center"/>
              <w:rPr>
                <w:rFonts w:ascii="宋体" w:hAnsi="宋体" w:cs="宋体"/>
                <w:color w:val="auto"/>
                <w:kern w:val="0"/>
                <w:highlight w:val="none"/>
              </w:rPr>
            </w:pPr>
          </w:p>
        </w:tc>
        <w:tc>
          <w:tcPr>
            <w:tcW w:w="770" w:type="dxa"/>
            <w:vMerge w:val="continue"/>
            <w:vAlign w:val="center"/>
          </w:tcPr>
          <w:p w14:paraId="7B4B2B00">
            <w:pPr>
              <w:widowControl/>
              <w:spacing w:line="260" w:lineRule="atLeast"/>
              <w:jc w:val="center"/>
              <w:rPr>
                <w:rFonts w:ascii="宋体" w:hAnsi="宋体" w:cs="宋体"/>
                <w:color w:val="auto"/>
                <w:kern w:val="0"/>
                <w:highlight w:val="none"/>
              </w:rPr>
            </w:pPr>
          </w:p>
        </w:tc>
        <w:tc>
          <w:tcPr>
            <w:tcW w:w="4034" w:type="dxa"/>
            <w:vAlign w:val="center"/>
          </w:tcPr>
          <w:p w14:paraId="0DBD8D26">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厨房设施、设备及物品，摆放整齐有序，清洁卫生</w:t>
            </w:r>
          </w:p>
        </w:tc>
        <w:tc>
          <w:tcPr>
            <w:tcW w:w="2430" w:type="dxa"/>
            <w:vMerge w:val="continue"/>
            <w:vAlign w:val="center"/>
          </w:tcPr>
          <w:p w14:paraId="3BDC9EE1">
            <w:pPr>
              <w:widowControl/>
              <w:spacing w:line="260" w:lineRule="atLeast"/>
              <w:jc w:val="left"/>
              <w:rPr>
                <w:rFonts w:ascii="宋体" w:hAnsi="宋体" w:cs="宋体"/>
                <w:color w:val="auto"/>
                <w:kern w:val="0"/>
                <w:highlight w:val="none"/>
              </w:rPr>
            </w:pPr>
          </w:p>
        </w:tc>
        <w:tc>
          <w:tcPr>
            <w:tcW w:w="766" w:type="dxa"/>
            <w:vAlign w:val="center"/>
          </w:tcPr>
          <w:p w14:paraId="19C800CC">
            <w:pPr>
              <w:widowControl/>
              <w:spacing w:line="260" w:lineRule="atLeast"/>
              <w:jc w:val="center"/>
              <w:rPr>
                <w:rFonts w:ascii="宋体" w:hAnsi="宋体" w:cs="宋体"/>
                <w:color w:val="auto"/>
                <w:kern w:val="0"/>
                <w:highlight w:val="none"/>
              </w:rPr>
            </w:pPr>
          </w:p>
        </w:tc>
      </w:tr>
      <w:tr w14:paraId="3B49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33" w:type="dxa"/>
            <w:vMerge w:val="continue"/>
            <w:vAlign w:val="center"/>
          </w:tcPr>
          <w:p w14:paraId="4CDF14A1">
            <w:pPr>
              <w:widowControl/>
              <w:spacing w:line="260" w:lineRule="atLeast"/>
              <w:jc w:val="center"/>
              <w:rPr>
                <w:rFonts w:ascii="宋体" w:hAnsi="宋体" w:cs="宋体"/>
                <w:color w:val="auto"/>
                <w:kern w:val="0"/>
                <w:highlight w:val="none"/>
              </w:rPr>
            </w:pPr>
          </w:p>
        </w:tc>
        <w:tc>
          <w:tcPr>
            <w:tcW w:w="770" w:type="dxa"/>
            <w:vMerge w:val="continue"/>
            <w:vAlign w:val="center"/>
          </w:tcPr>
          <w:p w14:paraId="25273A6F">
            <w:pPr>
              <w:widowControl/>
              <w:spacing w:line="260" w:lineRule="atLeast"/>
              <w:jc w:val="center"/>
              <w:rPr>
                <w:rFonts w:ascii="宋体" w:hAnsi="宋体" w:cs="宋体"/>
                <w:color w:val="auto"/>
                <w:kern w:val="0"/>
                <w:highlight w:val="none"/>
              </w:rPr>
            </w:pPr>
          </w:p>
        </w:tc>
        <w:tc>
          <w:tcPr>
            <w:tcW w:w="4034" w:type="dxa"/>
            <w:vAlign w:val="center"/>
          </w:tcPr>
          <w:p w14:paraId="6CF974E9">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冰箱（柜）实行分类使用，生熟分开，原料先进先用。冰箱每市一整、每日一清、每周一洗，保持整洁卫生。</w:t>
            </w:r>
          </w:p>
        </w:tc>
        <w:tc>
          <w:tcPr>
            <w:tcW w:w="2430" w:type="dxa"/>
            <w:vMerge w:val="continue"/>
            <w:vAlign w:val="center"/>
          </w:tcPr>
          <w:p w14:paraId="3906FE83">
            <w:pPr>
              <w:widowControl/>
              <w:spacing w:line="260" w:lineRule="atLeast"/>
              <w:jc w:val="left"/>
              <w:rPr>
                <w:rFonts w:ascii="宋体" w:hAnsi="宋体" w:cs="宋体"/>
                <w:color w:val="auto"/>
                <w:kern w:val="0"/>
                <w:highlight w:val="none"/>
              </w:rPr>
            </w:pPr>
          </w:p>
        </w:tc>
        <w:tc>
          <w:tcPr>
            <w:tcW w:w="766" w:type="dxa"/>
            <w:vAlign w:val="center"/>
          </w:tcPr>
          <w:p w14:paraId="5C5EC8C5">
            <w:pPr>
              <w:widowControl/>
              <w:spacing w:line="260" w:lineRule="atLeast"/>
              <w:jc w:val="center"/>
              <w:rPr>
                <w:rFonts w:ascii="宋体" w:hAnsi="宋体" w:cs="宋体"/>
                <w:color w:val="auto"/>
                <w:kern w:val="0"/>
                <w:highlight w:val="none"/>
              </w:rPr>
            </w:pPr>
          </w:p>
        </w:tc>
      </w:tr>
      <w:tr w14:paraId="42FF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33" w:type="dxa"/>
            <w:vMerge w:val="continue"/>
            <w:vAlign w:val="center"/>
          </w:tcPr>
          <w:p w14:paraId="7F0F2B86">
            <w:pPr>
              <w:widowControl/>
              <w:spacing w:line="260" w:lineRule="atLeast"/>
              <w:jc w:val="center"/>
              <w:rPr>
                <w:rFonts w:ascii="宋体" w:hAnsi="宋体" w:cs="宋体"/>
                <w:color w:val="auto"/>
                <w:kern w:val="0"/>
                <w:highlight w:val="none"/>
              </w:rPr>
            </w:pPr>
          </w:p>
        </w:tc>
        <w:tc>
          <w:tcPr>
            <w:tcW w:w="770" w:type="dxa"/>
            <w:vMerge w:val="continue"/>
            <w:vAlign w:val="center"/>
          </w:tcPr>
          <w:p w14:paraId="0405A6A0">
            <w:pPr>
              <w:widowControl/>
              <w:spacing w:line="260" w:lineRule="atLeast"/>
              <w:jc w:val="center"/>
              <w:rPr>
                <w:rFonts w:ascii="宋体" w:hAnsi="宋体" w:cs="宋体"/>
                <w:color w:val="auto"/>
                <w:kern w:val="0"/>
                <w:highlight w:val="none"/>
              </w:rPr>
            </w:pPr>
          </w:p>
        </w:tc>
        <w:tc>
          <w:tcPr>
            <w:tcW w:w="4034" w:type="dxa"/>
            <w:vAlign w:val="center"/>
          </w:tcPr>
          <w:p w14:paraId="67D5EDD0">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厨房用具（抹布、刀、砧板等）专人负责，生熟分开，有明显标志，严禁混合使用。</w:t>
            </w:r>
          </w:p>
        </w:tc>
        <w:tc>
          <w:tcPr>
            <w:tcW w:w="2430" w:type="dxa"/>
            <w:vMerge w:val="continue"/>
            <w:vAlign w:val="center"/>
          </w:tcPr>
          <w:p w14:paraId="15112C6B">
            <w:pPr>
              <w:widowControl/>
              <w:spacing w:line="260" w:lineRule="atLeast"/>
              <w:jc w:val="left"/>
              <w:rPr>
                <w:rFonts w:ascii="宋体" w:hAnsi="宋体" w:cs="宋体"/>
                <w:color w:val="auto"/>
                <w:kern w:val="0"/>
                <w:highlight w:val="none"/>
              </w:rPr>
            </w:pPr>
          </w:p>
        </w:tc>
        <w:tc>
          <w:tcPr>
            <w:tcW w:w="766" w:type="dxa"/>
            <w:vAlign w:val="center"/>
          </w:tcPr>
          <w:p w14:paraId="4EE1AEE8">
            <w:pPr>
              <w:widowControl/>
              <w:spacing w:line="260" w:lineRule="atLeast"/>
              <w:jc w:val="center"/>
              <w:rPr>
                <w:rFonts w:ascii="宋体" w:hAnsi="宋体" w:cs="宋体"/>
                <w:color w:val="auto"/>
                <w:kern w:val="0"/>
                <w:highlight w:val="none"/>
              </w:rPr>
            </w:pPr>
          </w:p>
        </w:tc>
      </w:tr>
      <w:tr w14:paraId="7CB9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6AE6E187">
            <w:pPr>
              <w:widowControl/>
              <w:spacing w:line="260" w:lineRule="atLeast"/>
              <w:jc w:val="center"/>
              <w:rPr>
                <w:rFonts w:ascii="宋体" w:hAnsi="宋体" w:cs="宋体"/>
                <w:color w:val="auto"/>
                <w:kern w:val="0"/>
                <w:highlight w:val="none"/>
              </w:rPr>
            </w:pPr>
          </w:p>
        </w:tc>
        <w:tc>
          <w:tcPr>
            <w:tcW w:w="770" w:type="dxa"/>
            <w:vMerge w:val="continue"/>
            <w:vAlign w:val="center"/>
          </w:tcPr>
          <w:p w14:paraId="3666E3CA">
            <w:pPr>
              <w:widowControl/>
              <w:spacing w:line="260" w:lineRule="atLeast"/>
              <w:jc w:val="center"/>
              <w:rPr>
                <w:rFonts w:ascii="宋体" w:hAnsi="宋体" w:cs="宋体"/>
                <w:color w:val="auto"/>
                <w:kern w:val="0"/>
                <w:highlight w:val="none"/>
              </w:rPr>
            </w:pPr>
          </w:p>
        </w:tc>
        <w:tc>
          <w:tcPr>
            <w:tcW w:w="4034" w:type="dxa"/>
            <w:vAlign w:val="center"/>
          </w:tcPr>
          <w:p w14:paraId="243D9E04">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食用油和调味品做到一市一清理，下班加盖，保持整洁卫生。</w:t>
            </w:r>
          </w:p>
        </w:tc>
        <w:tc>
          <w:tcPr>
            <w:tcW w:w="2430" w:type="dxa"/>
            <w:vMerge w:val="continue"/>
            <w:vAlign w:val="center"/>
          </w:tcPr>
          <w:p w14:paraId="6AE3CCED">
            <w:pPr>
              <w:widowControl/>
              <w:spacing w:line="260" w:lineRule="atLeast"/>
              <w:jc w:val="left"/>
              <w:rPr>
                <w:rFonts w:ascii="宋体" w:hAnsi="宋体" w:cs="宋体"/>
                <w:color w:val="auto"/>
                <w:kern w:val="0"/>
                <w:highlight w:val="none"/>
              </w:rPr>
            </w:pPr>
          </w:p>
        </w:tc>
        <w:tc>
          <w:tcPr>
            <w:tcW w:w="766" w:type="dxa"/>
            <w:vAlign w:val="center"/>
          </w:tcPr>
          <w:p w14:paraId="40399942">
            <w:pPr>
              <w:widowControl/>
              <w:spacing w:line="260" w:lineRule="atLeast"/>
              <w:jc w:val="center"/>
              <w:rPr>
                <w:rFonts w:ascii="宋体" w:hAnsi="宋体" w:cs="宋体"/>
                <w:color w:val="auto"/>
                <w:kern w:val="0"/>
                <w:highlight w:val="none"/>
              </w:rPr>
            </w:pPr>
          </w:p>
        </w:tc>
      </w:tr>
      <w:tr w14:paraId="5141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6B07407A">
            <w:pPr>
              <w:widowControl/>
              <w:spacing w:line="260" w:lineRule="atLeast"/>
              <w:jc w:val="center"/>
              <w:rPr>
                <w:rFonts w:ascii="宋体" w:hAnsi="宋体" w:cs="宋体"/>
                <w:color w:val="auto"/>
                <w:kern w:val="0"/>
                <w:highlight w:val="none"/>
              </w:rPr>
            </w:pPr>
          </w:p>
        </w:tc>
        <w:tc>
          <w:tcPr>
            <w:tcW w:w="770" w:type="dxa"/>
            <w:vMerge w:val="continue"/>
            <w:vAlign w:val="center"/>
          </w:tcPr>
          <w:p w14:paraId="10417BF0">
            <w:pPr>
              <w:widowControl/>
              <w:spacing w:line="260" w:lineRule="atLeast"/>
              <w:jc w:val="center"/>
              <w:rPr>
                <w:rFonts w:ascii="宋体" w:hAnsi="宋体" w:cs="宋体"/>
                <w:color w:val="auto"/>
                <w:kern w:val="0"/>
                <w:highlight w:val="none"/>
              </w:rPr>
            </w:pPr>
          </w:p>
        </w:tc>
        <w:tc>
          <w:tcPr>
            <w:tcW w:w="4034" w:type="dxa"/>
            <w:vAlign w:val="center"/>
          </w:tcPr>
          <w:p w14:paraId="3B3C6427">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收市后，食品和原材料要妥善处理，分类贮藏，摆放整齐。</w:t>
            </w:r>
          </w:p>
        </w:tc>
        <w:tc>
          <w:tcPr>
            <w:tcW w:w="2430" w:type="dxa"/>
            <w:vMerge w:val="continue"/>
            <w:vAlign w:val="center"/>
          </w:tcPr>
          <w:p w14:paraId="16DB0E54">
            <w:pPr>
              <w:widowControl/>
              <w:spacing w:line="260" w:lineRule="atLeast"/>
              <w:jc w:val="left"/>
              <w:rPr>
                <w:rFonts w:ascii="宋体" w:hAnsi="宋体" w:cs="宋体"/>
                <w:color w:val="auto"/>
                <w:kern w:val="0"/>
                <w:highlight w:val="none"/>
              </w:rPr>
            </w:pPr>
          </w:p>
        </w:tc>
        <w:tc>
          <w:tcPr>
            <w:tcW w:w="766" w:type="dxa"/>
            <w:vAlign w:val="center"/>
          </w:tcPr>
          <w:p w14:paraId="6CC15E0A">
            <w:pPr>
              <w:widowControl/>
              <w:spacing w:line="260" w:lineRule="atLeast"/>
              <w:jc w:val="center"/>
              <w:rPr>
                <w:rFonts w:ascii="宋体" w:hAnsi="宋体" w:cs="宋体"/>
                <w:color w:val="auto"/>
                <w:kern w:val="0"/>
                <w:highlight w:val="none"/>
              </w:rPr>
            </w:pPr>
          </w:p>
        </w:tc>
      </w:tr>
      <w:tr w14:paraId="7FD4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5EE2B025">
            <w:pPr>
              <w:widowControl/>
              <w:spacing w:line="260" w:lineRule="atLeast"/>
              <w:jc w:val="center"/>
              <w:rPr>
                <w:rFonts w:ascii="宋体" w:hAnsi="宋体" w:cs="宋体"/>
                <w:color w:val="auto"/>
                <w:kern w:val="0"/>
                <w:highlight w:val="none"/>
              </w:rPr>
            </w:pPr>
          </w:p>
        </w:tc>
        <w:tc>
          <w:tcPr>
            <w:tcW w:w="770" w:type="dxa"/>
            <w:vMerge w:val="continue"/>
            <w:vAlign w:val="center"/>
          </w:tcPr>
          <w:p w14:paraId="398C664A">
            <w:pPr>
              <w:widowControl/>
              <w:spacing w:line="260" w:lineRule="atLeast"/>
              <w:jc w:val="center"/>
              <w:rPr>
                <w:rFonts w:ascii="宋体" w:hAnsi="宋体" w:cs="宋体"/>
                <w:color w:val="auto"/>
                <w:kern w:val="0"/>
                <w:highlight w:val="none"/>
              </w:rPr>
            </w:pPr>
          </w:p>
        </w:tc>
        <w:tc>
          <w:tcPr>
            <w:tcW w:w="4034" w:type="dxa"/>
            <w:vAlign w:val="center"/>
          </w:tcPr>
          <w:p w14:paraId="5A3CFF78">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保持垃圾桶、潲水桶外观清洁、加盖，及时处理。</w:t>
            </w:r>
          </w:p>
        </w:tc>
        <w:tc>
          <w:tcPr>
            <w:tcW w:w="2430" w:type="dxa"/>
            <w:vMerge w:val="continue"/>
            <w:vAlign w:val="center"/>
          </w:tcPr>
          <w:p w14:paraId="71218F95">
            <w:pPr>
              <w:widowControl/>
              <w:spacing w:line="260" w:lineRule="atLeast"/>
              <w:jc w:val="left"/>
              <w:rPr>
                <w:rFonts w:ascii="宋体" w:hAnsi="宋体" w:cs="宋体"/>
                <w:color w:val="auto"/>
                <w:kern w:val="0"/>
                <w:highlight w:val="none"/>
              </w:rPr>
            </w:pPr>
          </w:p>
        </w:tc>
        <w:tc>
          <w:tcPr>
            <w:tcW w:w="766" w:type="dxa"/>
            <w:vAlign w:val="center"/>
          </w:tcPr>
          <w:p w14:paraId="2F8E4409">
            <w:pPr>
              <w:widowControl/>
              <w:spacing w:line="260" w:lineRule="atLeast"/>
              <w:jc w:val="center"/>
              <w:rPr>
                <w:rFonts w:ascii="宋体" w:hAnsi="宋体" w:cs="宋体"/>
                <w:color w:val="auto"/>
                <w:kern w:val="0"/>
                <w:highlight w:val="none"/>
              </w:rPr>
            </w:pPr>
          </w:p>
        </w:tc>
      </w:tr>
      <w:tr w14:paraId="11C3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continue"/>
            <w:vAlign w:val="center"/>
          </w:tcPr>
          <w:p w14:paraId="2487FC4C">
            <w:pPr>
              <w:widowControl/>
              <w:spacing w:line="260" w:lineRule="atLeast"/>
              <w:jc w:val="center"/>
              <w:rPr>
                <w:rFonts w:ascii="宋体" w:hAnsi="宋体" w:cs="宋体"/>
                <w:color w:val="auto"/>
                <w:kern w:val="0"/>
                <w:highlight w:val="none"/>
              </w:rPr>
            </w:pPr>
          </w:p>
        </w:tc>
        <w:tc>
          <w:tcPr>
            <w:tcW w:w="770" w:type="dxa"/>
            <w:vMerge w:val="continue"/>
            <w:vAlign w:val="center"/>
          </w:tcPr>
          <w:p w14:paraId="0FE6A962">
            <w:pPr>
              <w:widowControl/>
              <w:spacing w:line="260" w:lineRule="atLeast"/>
              <w:jc w:val="center"/>
              <w:rPr>
                <w:rFonts w:ascii="宋体" w:hAnsi="宋体" w:cs="宋体"/>
                <w:color w:val="auto"/>
                <w:kern w:val="0"/>
                <w:highlight w:val="none"/>
              </w:rPr>
            </w:pPr>
          </w:p>
        </w:tc>
        <w:tc>
          <w:tcPr>
            <w:tcW w:w="4034" w:type="dxa"/>
            <w:vAlign w:val="center"/>
          </w:tcPr>
          <w:p w14:paraId="1EFCC9CE">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排水道通畅，无淤泥，定期清洗。</w:t>
            </w:r>
          </w:p>
        </w:tc>
        <w:tc>
          <w:tcPr>
            <w:tcW w:w="2430" w:type="dxa"/>
            <w:vMerge w:val="continue"/>
            <w:vAlign w:val="center"/>
          </w:tcPr>
          <w:p w14:paraId="62D695F6">
            <w:pPr>
              <w:widowControl/>
              <w:spacing w:line="260" w:lineRule="atLeast"/>
              <w:jc w:val="left"/>
              <w:rPr>
                <w:rFonts w:ascii="宋体" w:hAnsi="宋体" w:cs="宋体"/>
                <w:color w:val="auto"/>
                <w:kern w:val="0"/>
                <w:highlight w:val="none"/>
              </w:rPr>
            </w:pPr>
          </w:p>
        </w:tc>
        <w:tc>
          <w:tcPr>
            <w:tcW w:w="766" w:type="dxa"/>
            <w:vAlign w:val="center"/>
          </w:tcPr>
          <w:p w14:paraId="5D43EC10">
            <w:pPr>
              <w:widowControl/>
              <w:spacing w:line="260" w:lineRule="atLeast"/>
              <w:jc w:val="center"/>
              <w:rPr>
                <w:rFonts w:ascii="宋体" w:hAnsi="宋体" w:cs="宋体"/>
                <w:color w:val="auto"/>
                <w:kern w:val="0"/>
                <w:highlight w:val="none"/>
              </w:rPr>
            </w:pPr>
          </w:p>
        </w:tc>
      </w:tr>
      <w:tr w14:paraId="3AF3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continue"/>
            <w:vAlign w:val="center"/>
          </w:tcPr>
          <w:p w14:paraId="26270C84">
            <w:pPr>
              <w:widowControl/>
              <w:spacing w:line="260" w:lineRule="atLeast"/>
              <w:jc w:val="center"/>
              <w:rPr>
                <w:rFonts w:ascii="宋体" w:hAnsi="宋体" w:cs="宋体"/>
                <w:color w:val="auto"/>
                <w:kern w:val="0"/>
                <w:highlight w:val="none"/>
              </w:rPr>
            </w:pPr>
          </w:p>
        </w:tc>
        <w:tc>
          <w:tcPr>
            <w:tcW w:w="770" w:type="dxa"/>
            <w:vMerge w:val="continue"/>
            <w:vAlign w:val="center"/>
          </w:tcPr>
          <w:p w14:paraId="4317E25E">
            <w:pPr>
              <w:widowControl/>
              <w:spacing w:line="260" w:lineRule="atLeast"/>
              <w:jc w:val="center"/>
              <w:rPr>
                <w:rFonts w:ascii="宋体" w:hAnsi="宋体" w:cs="宋体"/>
                <w:color w:val="auto"/>
                <w:kern w:val="0"/>
                <w:highlight w:val="none"/>
              </w:rPr>
            </w:pPr>
          </w:p>
        </w:tc>
        <w:tc>
          <w:tcPr>
            <w:tcW w:w="4034" w:type="dxa"/>
            <w:vAlign w:val="center"/>
          </w:tcPr>
          <w:p w14:paraId="065415C1">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落实好防尘、防蝇、防鼠措施</w:t>
            </w:r>
          </w:p>
        </w:tc>
        <w:tc>
          <w:tcPr>
            <w:tcW w:w="2430" w:type="dxa"/>
            <w:vMerge w:val="continue"/>
            <w:vAlign w:val="center"/>
          </w:tcPr>
          <w:p w14:paraId="62D34C47">
            <w:pPr>
              <w:widowControl/>
              <w:spacing w:line="260" w:lineRule="atLeast"/>
              <w:jc w:val="left"/>
              <w:rPr>
                <w:rFonts w:ascii="宋体" w:hAnsi="宋体" w:cs="宋体"/>
                <w:color w:val="auto"/>
                <w:kern w:val="0"/>
                <w:highlight w:val="none"/>
              </w:rPr>
            </w:pPr>
          </w:p>
        </w:tc>
        <w:tc>
          <w:tcPr>
            <w:tcW w:w="766" w:type="dxa"/>
            <w:vAlign w:val="center"/>
          </w:tcPr>
          <w:p w14:paraId="5F221E5A">
            <w:pPr>
              <w:widowControl/>
              <w:spacing w:line="260" w:lineRule="atLeast"/>
              <w:jc w:val="center"/>
              <w:rPr>
                <w:rFonts w:ascii="宋体" w:hAnsi="宋体" w:cs="宋体"/>
                <w:color w:val="auto"/>
                <w:kern w:val="0"/>
                <w:highlight w:val="none"/>
              </w:rPr>
            </w:pPr>
          </w:p>
        </w:tc>
      </w:tr>
      <w:tr w14:paraId="6980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restart"/>
            <w:vAlign w:val="center"/>
          </w:tcPr>
          <w:p w14:paraId="21B9562F">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5</w:t>
            </w:r>
          </w:p>
        </w:tc>
        <w:tc>
          <w:tcPr>
            <w:tcW w:w="770" w:type="dxa"/>
            <w:vMerge w:val="restart"/>
            <w:vAlign w:val="center"/>
          </w:tcPr>
          <w:p w14:paraId="5E2C0889">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糕  点  间  卫  生</w:t>
            </w:r>
          </w:p>
        </w:tc>
        <w:tc>
          <w:tcPr>
            <w:tcW w:w="4034" w:type="dxa"/>
            <w:vAlign w:val="center"/>
          </w:tcPr>
          <w:p w14:paraId="5A506A33">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操作前做好台板、刀棍棒等用具的清洁、消毒，生熟分开，并有明显标志。</w:t>
            </w:r>
          </w:p>
        </w:tc>
        <w:tc>
          <w:tcPr>
            <w:tcW w:w="2430" w:type="dxa"/>
            <w:vMerge w:val="restart"/>
            <w:vAlign w:val="center"/>
          </w:tcPr>
          <w:p w14:paraId="5A071F16">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未达标一项，扣2分</w:t>
            </w:r>
          </w:p>
        </w:tc>
        <w:tc>
          <w:tcPr>
            <w:tcW w:w="766" w:type="dxa"/>
            <w:vAlign w:val="center"/>
          </w:tcPr>
          <w:p w14:paraId="5E4072CC">
            <w:pPr>
              <w:widowControl/>
              <w:spacing w:line="260" w:lineRule="atLeast"/>
              <w:jc w:val="center"/>
              <w:rPr>
                <w:rFonts w:ascii="宋体" w:hAnsi="宋体" w:cs="宋体"/>
                <w:color w:val="auto"/>
                <w:kern w:val="0"/>
                <w:highlight w:val="none"/>
              </w:rPr>
            </w:pPr>
          </w:p>
        </w:tc>
      </w:tr>
      <w:tr w14:paraId="7C3A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0E4C2093">
            <w:pPr>
              <w:widowControl/>
              <w:spacing w:line="260" w:lineRule="atLeast"/>
              <w:jc w:val="center"/>
              <w:rPr>
                <w:rFonts w:ascii="宋体" w:hAnsi="宋体" w:cs="宋体"/>
                <w:color w:val="auto"/>
                <w:kern w:val="0"/>
                <w:highlight w:val="none"/>
              </w:rPr>
            </w:pPr>
          </w:p>
        </w:tc>
        <w:tc>
          <w:tcPr>
            <w:tcW w:w="770" w:type="dxa"/>
            <w:vMerge w:val="continue"/>
            <w:vAlign w:val="center"/>
          </w:tcPr>
          <w:p w14:paraId="198A5ABB">
            <w:pPr>
              <w:widowControl/>
              <w:spacing w:line="260" w:lineRule="atLeast"/>
              <w:jc w:val="center"/>
              <w:rPr>
                <w:rFonts w:ascii="宋体" w:hAnsi="宋体" w:cs="宋体"/>
                <w:color w:val="auto"/>
                <w:kern w:val="0"/>
                <w:highlight w:val="none"/>
              </w:rPr>
            </w:pPr>
          </w:p>
        </w:tc>
        <w:tc>
          <w:tcPr>
            <w:tcW w:w="4034" w:type="dxa"/>
            <w:vAlign w:val="center"/>
          </w:tcPr>
          <w:p w14:paraId="6BC77BAB">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成品必须放在专用的冰箱（柜）或食品贮存柜保存。</w:t>
            </w:r>
          </w:p>
        </w:tc>
        <w:tc>
          <w:tcPr>
            <w:tcW w:w="2430" w:type="dxa"/>
            <w:vMerge w:val="continue"/>
            <w:vAlign w:val="center"/>
          </w:tcPr>
          <w:p w14:paraId="5EE030C0">
            <w:pPr>
              <w:widowControl/>
              <w:spacing w:line="260" w:lineRule="atLeast"/>
              <w:jc w:val="left"/>
              <w:rPr>
                <w:rFonts w:ascii="宋体" w:hAnsi="宋体" w:cs="宋体"/>
                <w:color w:val="auto"/>
                <w:kern w:val="0"/>
                <w:highlight w:val="none"/>
              </w:rPr>
            </w:pPr>
          </w:p>
        </w:tc>
        <w:tc>
          <w:tcPr>
            <w:tcW w:w="766" w:type="dxa"/>
            <w:vAlign w:val="center"/>
          </w:tcPr>
          <w:p w14:paraId="59BB29AA">
            <w:pPr>
              <w:widowControl/>
              <w:spacing w:line="260" w:lineRule="atLeast"/>
              <w:jc w:val="center"/>
              <w:rPr>
                <w:rFonts w:ascii="宋体" w:hAnsi="宋体" w:cs="宋体"/>
                <w:color w:val="auto"/>
                <w:kern w:val="0"/>
                <w:highlight w:val="none"/>
              </w:rPr>
            </w:pPr>
          </w:p>
        </w:tc>
      </w:tr>
      <w:tr w14:paraId="7A87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60973762">
            <w:pPr>
              <w:widowControl/>
              <w:spacing w:line="260" w:lineRule="atLeast"/>
              <w:jc w:val="center"/>
              <w:rPr>
                <w:rFonts w:ascii="宋体" w:hAnsi="宋体" w:cs="宋体"/>
                <w:color w:val="auto"/>
                <w:kern w:val="0"/>
                <w:highlight w:val="none"/>
              </w:rPr>
            </w:pPr>
          </w:p>
        </w:tc>
        <w:tc>
          <w:tcPr>
            <w:tcW w:w="770" w:type="dxa"/>
            <w:vMerge w:val="continue"/>
            <w:vAlign w:val="center"/>
          </w:tcPr>
          <w:p w14:paraId="24348830">
            <w:pPr>
              <w:widowControl/>
              <w:spacing w:line="260" w:lineRule="atLeast"/>
              <w:jc w:val="center"/>
              <w:rPr>
                <w:rFonts w:ascii="宋体" w:hAnsi="宋体" w:cs="宋体"/>
                <w:color w:val="auto"/>
                <w:kern w:val="0"/>
                <w:highlight w:val="none"/>
              </w:rPr>
            </w:pPr>
          </w:p>
        </w:tc>
        <w:tc>
          <w:tcPr>
            <w:tcW w:w="4034" w:type="dxa"/>
            <w:vAlign w:val="center"/>
          </w:tcPr>
          <w:p w14:paraId="0E596E42">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保持烤箱、纸托、容器清洁，且上盖下垫，有防污染措施。</w:t>
            </w:r>
          </w:p>
        </w:tc>
        <w:tc>
          <w:tcPr>
            <w:tcW w:w="2430" w:type="dxa"/>
            <w:vMerge w:val="continue"/>
            <w:vAlign w:val="center"/>
          </w:tcPr>
          <w:p w14:paraId="17E7A522">
            <w:pPr>
              <w:widowControl/>
              <w:spacing w:line="260" w:lineRule="atLeast"/>
              <w:jc w:val="left"/>
              <w:rPr>
                <w:rFonts w:ascii="宋体" w:hAnsi="宋体" w:cs="宋体"/>
                <w:color w:val="auto"/>
                <w:kern w:val="0"/>
                <w:highlight w:val="none"/>
              </w:rPr>
            </w:pPr>
          </w:p>
        </w:tc>
        <w:tc>
          <w:tcPr>
            <w:tcW w:w="766" w:type="dxa"/>
            <w:vAlign w:val="center"/>
          </w:tcPr>
          <w:p w14:paraId="2CB6C3F2">
            <w:pPr>
              <w:widowControl/>
              <w:spacing w:line="260" w:lineRule="atLeast"/>
              <w:jc w:val="center"/>
              <w:rPr>
                <w:rFonts w:ascii="宋体" w:hAnsi="宋体" w:cs="宋体"/>
                <w:color w:val="auto"/>
                <w:kern w:val="0"/>
                <w:highlight w:val="none"/>
              </w:rPr>
            </w:pPr>
          </w:p>
        </w:tc>
      </w:tr>
      <w:tr w14:paraId="2204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continue"/>
            <w:vAlign w:val="center"/>
          </w:tcPr>
          <w:p w14:paraId="4D049EF1">
            <w:pPr>
              <w:widowControl/>
              <w:spacing w:line="260" w:lineRule="atLeast"/>
              <w:jc w:val="center"/>
              <w:rPr>
                <w:rFonts w:ascii="宋体" w:hAnsi="宋体" w:cs="宋体"/>
                <w:color w:val="auto"/>
                <w:kern w:val="0"/>
                <w:highlight w:val="none"/>
              </w:rPr>
            </w:pPr>
          </w:p>
        </w:tc>
        <w:tc>
          <w:tcPr>
            <w:tcW w:w="770" w:type="dxa"/>
            <w:vMerge w:val="continue"/>
            <w:vAlign w:val="center"/>
          </w:tcPr>
          <w:p w14:paraId="45524F01">
            <w:pPr>
              <w:widowControl/>
              <w:spacing w:line="260" w:lineRule="atLeast"/>
              <w:jc w:val="center"/>
              <w:rPr>
                <w:rFonts w:ascii="宋体" w:hAnsi="宋体" w:cs="宋体"/>
                <w:color w:val="auto"/>
                <w:kern w:val="0"/>
                <w:highlight w:val="none"/>
              </w:rPr>
            </w:pPr>
          </w:p>
        </w:tc>
        <w:tc>
          <w:tcPr>
            <w:tcW w:w="4034" w:type="dxa"/>
            <w:vAlign w:val="center"/>
          </w:tcPr>
          <w:p w14:paraId="01ADAFD6">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物品、原料分类摆放，整齐清晰明了。</w:t>
            </w:r>
          </w:p>
        </w:tc>
        <w:tc>
          <w:tcPr>
            <w:tcW w:w="2430" w:type="dxa"/>
            <w:vMerge w:val="continue"/>
            <w:vAlign w:val="center"/>
          </w:tcPr>
          <w:p w14:paraId="7F3F4961">
            <w:pPr>
              <w:widowControl/>
              <w:spacing w:line="260" w:lineRule="atLeast"/>
              <w:jc w:val="left"/>
              <w:rPr>
                <w:rFonts w:ascii="宋体" w:hAnsi="宋体" w:cs="宋体"/>
                <w:color w:val="auto"/>
                <w:kern w:val="0"/>
                <w:highlight w:val="none"/>
              </w:rPr>
            </w:pPr>
          </w:p>
        </w:tc>
        <w:tc>
          <w:tcPr>
            <w:tcW w:w="766" w:type="dxa"/>
            <w:vAlign w:val="center"/>
          </w:tcPr>
          <w:p w14:paraId="39EF07A0">
            <w:pPr>
              <w:widowControl/>
              <w:spacing w:line="260" w:lineRule="atLeast"/>
              <w:jc w:val="center"/>
              <w:rPr>
                <w:rFonts w:ascii="宋体" w:hAnsi="宋体" w:cs="宋体"/>
                <w:color w:val="auto"/>
                <w:kern w:val="0"/>
                <w:highlight w:val="none"/>
              </w:rPr>
            </w:pPr>
          </w:p>
        </w:tc>
      </w:tr>
      <w:tr w14:paraId="17E5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restart"/>
            <w:vAlign w:val="center"/>
          </w:tcPr>
          <w:p w14:paraId="1BED04B7">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6</w:t>
            </w:r>
          </w:p>
        </w:tc>
        <w:tc>
          <w:tcPr>
            <w:tcW w:w="770" w:type="dxa"/>
            <w:vMerge w:val="restart"/>
            <w:vAlign w:val="center"/>
          </w:tcPr>
          <w:p w14:paraId="6EDAAFAD">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洗  碗  间  卫  生</w:t>
            </w:r>
          </w:p>
        </w:tc>
        <w:tc>
          <w:tcPr>
            <w:tcW w:w="4034" w:type="dxa"/>
            <w:vAlign w:val="center"/>
          </w:tcPr>
          <w:p w14:paraId="56927FD3">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餐具清洗严格按一刮、二洗、三冲、四消毒、五保洁顺序操作。</w:t>
            </w:r>
          </w:p>
        </w:tc>
        <w:tc>
          <w:tcPr>
            <w:tcW w:w="2430" w:type="dxa"/>
            <w:vMerge w:val="restart"/>
            <w:vAlign w:val="center"/>
          </w:tcPr>
          <w:p w14:paraId="4D3EA4C8">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未达标一项，扣2分</w:t>
            </w:r>
          </w:p>
        </w:tc>
        <w:tc>
          <w:tcPr>
            <w:tcW w:w="766" w:type="dxa"/>
            <w:vAlign w:val="center"/>
          </w:tcPr>
          <w:p w14:paraId="77447268">
            <w:pPr>
              <w:widowControl/>
              <w:spacing w:line="260" w:lineRule="atLeast"/>
              <w:jc w:val="center"/>
              <w:rPr>
                <w:rFonts w:ascii="宋体" w:hAnsi="宋体" w:cs="宋体"/>
                <w:color w:val="auto"/>
                <w:kern w:val="0"/>
                <w:highlight w:val="none"/>
              </w:rPr>
            </w:pPr>
          </w:p>
        </w:tc>
      </w:tr>
      <w:tr w14:paraId="3BD0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3" w:type="dxa"/>
            <w:vMerge w:val="continue"/>
            <w:vAlign w:val="center"/>
          </w:tcPr>
          <w:p w14:paraId="6BB18E47">
            <w:pPr>
              <w:widowControl/>
              <w:spacing w:line="260" w:lineRule="atLeast"/>
              <w:jc w:val="center"/>
              <w:rPr>
                <w:rFonts w:ascii="宋体" w:hAnsi="宋体" w:cs="宋体"/>
                <w:color w:val="auto"/>
                <w:kern w:val="0"/>
                <w:highlight w:val="none"/>
              </w:rPr>
            </w:pPr>
          </w:p>
        </w:tc>
        <w:tc>
          <w:tcPr>
            <w:tcW w:w="770" w:type="dxa"/>
            <w:vMerge w:val="continue"/>
            <w:vAlign w:val="center"/>
          </w:tcPr>
          <w:p w14:paraId="15AC2432">
            <w:pPr>
              <w:widowControl/>
              <w:spacing w:line="260" w:lineRule="atLeast"/>
              <w:jc w:val="center"/>
              <w:rPr>
                <w:rFonts w:ascii="宋体" w:hAnsi="宋体" w:cs="宋体"/>
                <w:color w:val="auto"/>
                <w:kern w:val="0"/>
                <w:highlight w:val="none"/>
              </w:rPr>
            </w:pPr>
          </w:p>
        </w:tc>
        <w:tc>
          <w:tcPr>
            <w:tcW w:w="4034" w:type="dxa"/>
            <w:vAlign w:val="center"/>
          </w:tcPr>
          <w:p w14:paraId="07F542F2">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餐具消毒后，立即分类、摆放、保洁</w:t>
            </w:r>
          </w:p>
        </w:tc>
        <w:tc>
          <w:tcPr>
            <w:tcW w:w="2430" w:type="dxa"/>
            <w:vMerge w:val="continue"/>
            <w:vAlign w:val="center"/>
          </w:tcPr>
          <w:p w14:paraId="6715FAE7">
            <w:pPr>
              <w:widowControl/>
              <w:spacing w:line="260" w:lineRule="atLeast"/>
              <w:jc w:val="left"/>
              <w:rPr>
                <w:rFonts w:ascii="宋体" w:hAnsi="宋体" w:cs="宋体"/>
                <w:color w:val="auto"/>
                <w:kern w:val="0"/>
                <w:highlight w:val="none"/>
              </w:rPr>
            </w:pPr>
          </w:p>
        </w:tc>
        <w:tc>
          <w:tcPr>
            <w:tcW w:w="766" w:type="dxa"/>
            <w:vAlign w:val="center"/>
          </w:tcPr>
          <w:p w14:paraId="51476A93">
            <w:pPr>
              <w:widowControl/>
              <w:spacing w:line="260" w:lineRule="atLeast"/>
              <w:jc w:val="center"/>
              <w:rPr>
                <w:rFonts w:ascii="宋体" w:hAnsi="宋体" w:cs="宋体"/>
                <w:color w:val="auto"/>
                <w:kern w:val="0"/>
                <w:highlight w:val="none"/>
              </w:rPr>
            </w:pPr>
          </w:p>
        </w:tc>
      </w:tr>
      <w:tr w14:paraId="645D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4678DC4E">
            <w:pPr>
              <w:widowControl/>
              <w:spacing w:line="260" w:lineRule="atLeast"/>
              <w:jc w:val="center"/>
              <w:rPr>
                <w:rFonts w:ascii="宋体" w:hAnsi="宋体" w:cs="宋体"/>
                <w:color w:val="auto"/>
                <w:kern w:val="0"/>
                <w:highlight w:val="none"/>
              </w:rPr>
            </w:pPr>
          </w:p>
        </w:tc>
        <w:tc>
          <w:tcPr>
            <w:tcW w:w="770" w:type="dxa"/>
            <w:vMerge w:val="continue"/>
            <w:vAlign w:val="center"/>
          </w:tcPr>
          <w:p w14:paraId="25A87534">
            <w:pPr>
              <w:widowControl/>
              <w:spacing w:line="260" w:lineRule="atLeast"/>
              <w:jc w:val="center"/>
              <w:rPr>
                <w:rFonts w:ascii="宋体" w:hAnsi="宋体" w:cs="宋体"/>
                <w:color w:val="auto"/>
                <w:kern w:val="0"/>
                <w:highlight w:val="none"/>
              </w:rPr>
            </w:pPr>
          </w:p>
        </w:tc>
        <w:tc>
          <w:tcPr>
            <w:tcW w:w="4034" w:type="dxa"/>
            <w:vAlign w:val="center"/>
          </w:tcPr>
          <w:p w14:paraId="4AA50FB3">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餐具回收、洗涤、保洁时要轻拿轻放，避免不必要的损坏，保持较低损坏率。</w:t>
            </w:r>
          </w:p>
        </w:tc>
        <w:tc>
          <w:tcPr>
            <w:tcW w:w="2430" w:type="dxa"/>
            <w:vMerge w:val="continue"/>
            <w:vAlign w:val="center"/>
          </w:tcPr>
          <w:p w14:paraId="39582EA1">
            <w:pPr>
              <w:widowControl/>
              <w:spacing w:line="260" w:lineRule="atLeast"/>
              <w:jc w:val="left"/>
              <w:rPr>
                <w:rFonts w:ascii="宋体" w:hAnsi="宋体" w:cs="宋体"/>
                <w:color w:val="auto"/>
                <w:kern w:val="0"/>
                <w:highlight w:val="none"/>
              </w:rPr>
            </w:pPr>
          </w:p>
        </w:tc>
        <w:tc>
          <w:tcPr>
            <w:tcW w:w="766" w:type="dxa"/>
            <w:vAlign w:val="center"/>
          </w:tcPr>
          <w:p w14:paraId="07019FD9">
            <w:pPr>
              <w:widowControl/>
              <w:spacing w:line="260" w:lineRule="atLeast"/>
              <w:jc w:val="center"/>
              <w:rPr>
                <w:rFonts w:ascii="宋体" w:hAnsi="宋体" w:cs="宋体"/>
                <w:color w:val="auto"/>
                <w:kern w:val="0"/>
                <w:highlight w:val="none"/>
              </w:rPr>
            </w:pPr>
          </w:p>
        </w:tc>
      </w:tr>
      <w:tr w14:paraId="0F04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3" w:type="dxa"/>
            <w:vMerge w:val="restart"/>
            <w:vAlign w:val="center"/>
          </w:tcPr>
          <w:p w14:paraId="037F02E3">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7</w:t>
            </w:r>
          </w:p>
        </w:tc>
        <w:tc>
          <w:tcPr>
            <w:tcW w:w="770" w:type="dxa"/>
            <w:vMerge w:val="restart"/>
            <w:vAlign w:val="center"/>
          </w:tcPr>
          <w:p w14:paraId="3A9E60A2">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熟食管理</w:t>
            </w:r>
          </w:p>
        </w:tc>
        <w:tc>
          <w:tcPr>
            <w:tcW w:w="4034" w:type="dxa"/>
            <w:vAlign w:val="center"/>
          </w:tcPr>
          <w:p w14:paraId="68EDFA18">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熟食制作要实行按需定量。</w:t>
            </w:r>
          </w:p>
        </w:tc>
        <w:tc>
          <w:tcPr>
            <w:tcW w:w="2430" w:type="dxa"/>
            <w:vMerge w:val="restart"/>
            <w:vAlign w:val="center"/>
          </w:tcPr>
          <w:p w14:paraId="0CA0635B">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未达标一项，扣2分</w:t>
            </w:r>
          </w:p>
        </w:tc>
        <w:tc>
          <w:tcPr>
            <w:tcW w:w="766" w:type="dxa"/>
            <w:vAlign w:val="center"/>
          </w:tcPr>
          <w:p w14:paraId="00105E79">
            <w:pPr>
              <w:widowControl/>
              <w:spacing w:line="260" w:lineRule="atLeast"/>
              <w:jc w:val="center"/>
              <w:rPr>
                <w:rFonts w:ascii="宋体" w:hAnsi="宋体" w:cs="宋体"/>
                <w:color w:val="auto"/>
                <w:kern w:val="0"/>
                <w:highlight w:val="none"/>
              </w:rPr>
            </w:pPr>
          </w:p>
        </w:tc>
      </w:tr>
      <w:tr w14:paraId="33B8B837">
        <w:tblPrEx>
          <w:tblCellMar>
            <w:top w:w="0" w:type="dxa"/>
            <w:left w:w="108" w:type="dxa"/>
            <w:bottom w:w="0" w:type="dxa"/>
            <w:right w:w="108" w:type="dxa"/>
          </w:tblCellMar>
        </w:tblPrEx>
        <w:trPr>
          <w:trHeight w:val="624" w:hRule="atLeast"/>
        </w:trPr>
        <w:tc>
          <w:tcPr>
            <w:tcW w:w="833" w:type="dxa"/>
            <w:vMerge w:val="continue"/>
            <w:vAlign w:val="center"/>
          </w:tcPr>
          <w:p w14:paraId="4C400DBB">
            <w:pPr>
              <w:widowControl/>
              <w:spacing w:line="260" w:lineRule="atLeast"/>
              <w:jc w:val="center"/>
              <w:rPr>
                <w:rFonts w:ascii="宋体" w:hAnsi="宋体" w:cs="宋体"/>
                <w:color w:val="auto"/>
                <w:kern w:val="0"/>
                <w:highlight w:val="none"/>
              </w:rPr>
            </w:pPr>
          </w:p>
        </w:tc>
        <w:tc>
          <w:tcPr>
            <w:tcW w:w="770" w:type="dxa"/>
            <w:vMerge w:val="continue"/>
            <w:vAlign w:val="center"/>
          </w:tcPr>
          <w:p w14:paraId="505BA2C2">
            <w:pPr>
              <w:widowControl/>
              <w:spacing w:line="260" w:lineRule="atLeast"/>
              <w:jc w:val="center"/>
              <w:rPr>
                <w:rFonts w:ascii="宋体" w:hAnsi="宋体" w:cs="宋体"/>
                <w:color w:val="auto"/>
                <w:kern w:val="0"/>
                <w:highlight w:val="none"/>
              </w:rPr>
            </w:pPr>
          </w:p>
        </w:tc>
        <w:tc>
          <w:tcPr>
            <w:tcW w:w="4034" w:type="dxa"/>
            <w:vAlign w:val="center"/>
          </w:tcPr>
          <w:p w14:paraId="667FBC59">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熟食冰箱（柜）要专人管理，食品摆放合理整齐，半成品定期处理另作他用。</w:t>
            </w:r>
          </w:p>
        </w:tc>
        <w:tc>
          <w:tcPr>
            <w:tcW w:w="2430" w:type="dxa"/>
            <w:vMerge w:val="continue"/>
            <w:vAlign w:val="center"/>
          </w:tcPr>
          <w:p w14:paraId="4D69944C">
            <w:pPr>
              <w:widowControl/>
              <w:spacing w:line="260" w:lineRule="atLeast"/>
              <w:jc w:val="left"/>
              <w:rPr>
                <w:rFonts w:ascii="宋体" w:hAnsi="宋体" w:cs="宋体"/>
                <w:color w:val="auto"/>
                <w:kern w:val="0"/>
                <w:highlight w:val="none"/>
              </w:rPr>
            </w:pPr>
          </w:p>
        </w:tc>
        <w:tc>
          <w:tcPr>
            <w:tcW w:w="766" w:type="dxa"/>
            <w:vAlign w:val="center"/>
          </w:tcPr>
          <w:p w14:paraId="666B0C03">
            <w:pPr>
              <w:widowControl/>
              <w:spacing w:line="260" w:lineRule="atLeast"/>
              <w:jc w:val="center"/>
              <w:rPr>
                <w:rFonts w:ascii="宋体" w:hAnsi="宋体" w:cs="宋体"/>
                <w:color w:val="auto"/>
                <w:kern w:val="0"/>
                <w:highlight w:val="none"/>
              </w:rPr>
            </w:pPr>
          </w:p>
        </w:tc>
      </w:tr>
      <w:tr w14:paraId="424C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restart"/>
            <w:vAlign w:val="center"/>
          </w:tcPr>
          <w:p w14:paraId="507FE9C0">
            <w:pPr>
              <w:widowControl/>
              <w:spacing w:line="260" w:lineRule="atLeast"/>
              <w:jc w:val="center"/>
              <w:rPr>
                <w:rFonts w:ascii="宋体" w:hAnsi="宋体" w:cs="宋体"/>
                <w:color w:val="auto"/>
                <w:kern w:val="0"/>
                <w:highlight w:val="none"/>
              </w:rPr>
            </w:pPr>
            <w:r>
              <w:rPr>
                <w:rFonts w:ascii="宋体" w:hAnsi="宋体" w:cs="宋体"/>
                <w:color w:val="auto"/>
                <w:kern w:val="0"/>
                <w:highlight w:val="none"/>
              </w:rPr>
              <w:t>8</w:t>
            </w:r>
          </w:p>
        </w:tc>
        <w:tc>
          <w:tcPr>
            <w:tcW w:w="770" w:type="dxa"/>
            <w:vMerge w:val="restart"/>
            <w:vAlign w:val="center"/>
          </w:tcPr>
          <w:p w14:paraId="5637476F">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公  共  安  全</w:t>
            </w:r>
          </w:p>
        </w:tc>
        <w:tc>
          <w:tcPr>
            <w:tcW w:w="4034" w:type="dxa"/>
            <w:vAlign w:val="center"/>
          </w:tcPr>
          <w:p w14:paraId="21BC619D">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厨房重地，非工作人员不许入内。做好防盗、防毒、防火、防破坏。</w:t>
            </w:r>
          </w:p>
        </w:tc>
        <w:tc>
          <w:tcPr>
            <w:tcW w:w="2430" w:type="dxa"/>
            <w:vMerge w:val="restart"/>
            <w:vAlign w:val="center"/>
          </w:tcPr>
          <w:p w14:paraId="52F99A47">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未达标一项，扣5分</w:t>
            </w:r>
          </w:p>
        </w:tc>
        <w:tc>
          <w:tcPr>
            <w:tcW w:w="766" w:type="dxa"/>
            <w:vAlign w:val="center"/>
          </w:tcPr>
          <w:p w14:paraId="4CA07241">
            <w:pPr>
              <w:widowControl/>
              <w:spacing w:line="260" w:lineRule="atLeast"/>
              <w:jc w:val="center"/>
              <w:rPr>
                <w:rFonts w:ascii="宋体" w:hAnsi="宋体" w:cs="宋体"/>
                <w:color w:val="auto"/>
                <w:kern w:val="0"/>
                <w:highlight w:val="none"/>
              </w:rPr>
            </w:pPr>
          </w:p>
        </w:tc>
      </w:tr>
      <w:tr w14:paraId="2EFD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79B5473D">
            <w:pPr>
              <w:widowControl/>
              <w:spacing w:line="260" w:lineRule="atLeast"/>
              <w:jc w:val="center"/>
              <w:rPr>
                <w:rFonts w:ascii="宋体" w:hAnsi="宋体" w:cs="宋体"/>
                <w:color w:val="auto"/>
                <w:kern w:val="0"/>
                <w:highlight w:val="none"/>
              </w:rPr>
            </w:pPr>
          </w:p>
        </w:tc>
        <w:tc>
          <w:tcPr>
            <w:tcW w:w="770" w:type="dxa"/>
            <w:vMerge w:val="continue"/>
            <w:vAlign w:val="center"/>
          </w:tcPr>
          <w:p w14:paraId="3A7AF0DD">
            <w:pPr>
              <w:widowControl/>
              <w:spacing w:line="260" w:lineRule="atLeast"/>
              <w:jc w:val="center"/>
              <w:rPr>
                <w:rFonts w:ascii="宋体" w:hAnsi="宋体" w:cs="宋体"/>
                <w:color w:val="auto"/>
                <w:kern w:val="0"/>
                <w:highlight w:val="none"/>
              </w:rPr>
            </w:pPr>
          </w:p>
        </w:tc>
        <w:tc>
          <w:tcPr>
            <w:tcW w:w="4034" w:type="dxa"/>
            <w:vAlign w:val="center"/>
          </w:tcPr>
          <w:p w14:paraId="197711F3">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每位员工都知道水、电开关、阀门所在位置，并能正确操作。</w:t>
            </w:r>
          </w:p>
        </w:tc>
        <w:tc>
          <w:tcPr>
            <w:tcW w:w="2430" w:type="dxa"/>
            <w:vMerge w:val="continue"/>
            <w:vAlign w:val="center"/>
          </w:tcPr>
          <w:p w14:paraId="07F84B95">
            <w:pPr>
              <w:widowControl/>
              <w:spacing w:line="260" w:lineRule="atLeast"/>
              <w:jc w:val="left"/>
              <w:rPr>
                <w:rFonts w:ascii="宋体" w:hAnsi="宋体" w:cs="宋体"/>
                <w:color w:val="auto"/>
                <w:kern w:val="0"/>
                <w:highlight w:val="none"/>
              </w:rPr>
            </w:pPr>
          </w:p>
        </w:tc>
        <w:tc>
          <w:tcPr>
            <w:tcW w:w="766" w:type="dxa"/>
            <w:vAlign w:val="center"/>
          </w:tcPr>
          <w:p w14:paraId="5B783E5C">
            <w:pPr>
              <w:widowControl/>
              <w:spacing w:line="260" w:lineRule="atLeast"/>
              <w:jc w:val="center"/>
              <w:rPr>
                <w:rFonts w:ascii="宋体" w:hAnsi="宋体" w:cs="宋体"/>
                <w:color w:val="auto"/>
                <w:kern w:val="0"/>
                <w:highlight w:val="none"/>
              </w:rPr>
            </w:pPr>
          </w:p>
        </w:tc>
      </w:tr>
      <w:tr w14:paraId="585B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33" w:type="dxa"/>
            <w:vMerge w:val="continue"/>
            <w:vAlign w:val="center"/>
          </w:tcPr>
          <w:p w14:paraId="45C7EB9A">
            <w:pPr>
              <w:widowControl/>
              <w:spacing w:line="260" w:lineRule="atLeast"/>
              <w:jc w:val="center"/>
              <w:rPr>
                <w:rFonts w:ascii="宋体" w:hAnsi="宋体" w:cs="宋体"/>
                <w:color w:val="auto"/>
                <w:kern w:val="0"/>
                <w:highlight w:val="none"/>
              </w:rPr>
            </w:pPr>
          </w:p>
        </w:tc>
        <w:tc>
          <w:tcPr>
            <w:tcW w:w="770" w:type="dxa"/>
            <w:vMerge w:val="continue"/>
            <w:vAlign w:val="center"/>
          </w:tcPr>
          <w:p w14:paraId="21A63E53">
            <w:pPr>
              <w:widowControl/>
              <w:spacing w:line="260" w:lineRule="atLeast"/>
              <w:jc w:val="center"/>
              <w:rPr>
                <w:rFonts w:ascii="宋体" w:hAnsi="宋体" w:cs="宋体"/>
                <w:color w:val="auto"/>
                <w:kern w:val="0"/>
                <w:highlight w:val="none"/>
              </w:rPr>
            </w:pPr>
          </w:p>
        </w:tc>
        <w:tc>
          <w:tcPr>
            <w:tcW w:w="4034" w:type="dxa"/>
            <w:vAlign w:val="center"/>
          </w:tcPr>
          <w:p w14:paraId="01B1C5A8">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正确使用和维护各种设施设备，如发现有损坏（异常）应及时报修和做好必要的应急处理，不能带“病”运行。</w:t>
            </w:r>
          </w:p>
        </w:tc>
        <w:tc>
          <w:tcPr>
            <w:tcW w:w="2430" w:type="dxa"/>
            <w:vMerge w:val="continue"/>
            <w:vAlign w:val="center"/>
          </w:tcPr>
          <w:p w14:paraId="1BF866CB">
            <w:pPr>
              <w:widowControl/>
              <w:spacing w:line="260" w:lineRule="atLeast"/>
              <w:jc w:val="left"/>
              <w:rPr>
                <w:rFonts w:ascii="宋体" w:hAnsi="宋体" w:cs="宋体"/>
                <w:color w:val="auto"/>
                <w:kern w:val="0"/>
                <w:highlight w:val="none"/>
              </w:rPr>
            </w:pPr>
          </w:p>
        </w:tc>
        <w:tc>
          <w:tcPr>
            <w:tcW w:w="766" w:type="dxa"/>
            <w:vAlign w:val="center"/>
          </w:tcPr>
          <w:p w14:paraId="238C4C65">
            <w:pPr>
              <w:widowControl/>
              <w:spacing w:line="260" w:lineRule="atLeast"/>
              <w:jc w:val="center"/>
              <w:rPr>
                <w:rFonts w:ascii="宋体" w:hAnsi="宋体" w:cs="宋体"/>
                <w:color w:val="auto"/>
                <w:kern w:val="0"/>
                <w:highlight w:val="none"/>
              </w:rPr>
            </w:pPr>
          </w:p>
        </w:tc>
      </w:tr>
      <w:tr w14:paraId="573F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4CACAE71">
            <w:pPr>
              <w:widowControl/>
              <w:spacing w:line="260" w:lineRule="atLeast"/>
              <w:jc w:val="center"/>
              <w:rPr>
                <w:rFonts w:ascii="宋体" w:hAnsi="宋体" w:cs="宋体"/>
                <w:color w:val="auto"/>
                <w:kern w:val="0"/>
                <w:highlight w:val="none"/>
              </w:rPr>
            </w:pPr>
          </w:p>
        </w:tc>
        <w:tc>
          <w:tcPr>
            <w:tcW w:w="770" w:type="dxa"/>
            <w:vMerge w:val="continue"/>
            <w:vAlign w:val="center"/>
          </w:tcPr>
          <w:p w14:paraId="17ACF680">
            <w:pPr>
              <w:widowControl/>
              <w:spacing w:line="260" w:lineRule="atLeast"/>
              <w:jc w:val="center"/>
              <w:rPr>
                <w:rFonts w:ascii="宋体" w:hAnsi="宋体" w:cs="宋体"/>
                <w:color w:val="auto"/>
                <w:kern w:val="0"/>
                <w:highlight w:val="none"/>
              </w:rPr>
            </w:pPr>
          </w:p>
        </w:tc>
        <w:tc>
          <w:tcPr>
            <w:tcW w:w="4034" w:type="dxa"/>
            <w:vAlign w:val="center"/>
          </w:tcPr>
          <w:p w14:paraId="617950FC">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易燃、易爆物品应严格按规定摆放使用，并做好阀门关闭和贮藏。</w:t>
            </w:r>
          </w:p>
        </w:tc>
        <w:tc>
          <w:tcPr>
            <w:tcW w:w="2430" w:type="dxa"/>
            <w:vMerge w:val="continue"/>
            <w:vAlign w:val="center"/>
          </w:tcPr>
          <w:p w14:paraId="0624AE24">
            <w:pPr>
              <w:widowControl/>
              <w:spacing w:line="260" w:lineRule="atLeast"/>
              <w:jc w:val="left"/>
              <w:rPr>
                <w:rFonts w:ascii="宋体" w:hAnsi="宋体" w:cs="宋体"/>
                <w:color w:val="auto"/>
                <w:kern w:val="0"/>
                <w:highlight w:val="none"/>
              </w:rPr>
            </w:pPr>
          </w:p>
        </w:tc>
        <w:tc>
          <w:tcPr>
            <w:tcW w:w="766" w:type="dxa"/>
            <w:vAlign w:val="center"/>
          </w:tcPr>
          <w:p w14:paraId="48393F58">
            <w:pPr>
              <w:widowControl/>
              <w:spacing w:line="260" w:lineRule="atLeast"/>
              <w:jc w:val="center"/>
              <w:rPr>
                <w:rFonts w:ascii="宋体" w:hAnsi="宋体" w:cs="宋体"/>
                <w:color w:val="auto"/>
                <w:kern w:val="0"/>
                <w:highlight w:val="none"/>
              </w:rPr>
            </w:pPr>
          </w:p>
        </w:tc>
      </w:tr>
      <w:tr w14:paraId="7573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49EE1890">
            <w:pPr>
              <w:widowControl/>
              <w:spacing w:line="260" w:lineRule="atLeast"/>
              <w:jc w:val="center"/>
              <w:rPr>
                <w:rFonts w:ascii="宋体" w:hAnsi="宋体" w:cs="宋体"/>
                <w:color w:val="auto"/>
                <w:kern w:val="0"/>
                <w:highlight w:val="none"/>
              </w:rPr>
            </w:pPr>
          </w:p>
        </w:tc>
        <w:tc>
          <w:tcPr>
            <w:tcW w:w="770" w:type="dxa"/>
            <w:vMerge w:val="continue"/>
            <w:vAlign w:val="center"/>
          </w:tcPr>
          <w:p w14:paraId="4E311B36">
            <w:pPr>
              <w:widowControl/>
              <w:spacing w:line="260" w:lineRule="atLeast"/>
              <w:jc w:val="center"/>
              <w:rPr>
                <w:rFonts w:ascii="宋体" w:hAnsi="宋体" w:cs="宋体"/>
                <w:color w:val="auto"/>
                <w:kern w:val="0"/>
                <w:highlight w:val="none"/>
              </w:rPr>
            </w:pPr>
          </w:p>
        </w:tc>
        <w:tc>
          <w:tcPr>
            <w:tcW w:w="4034" w:type="dxa"/>
            <w:vAlign w:val="center"/>
          </w:tcPr>
          <w:p w14:paraId="4CEDCAB9">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下班时，检查所有开关、阀门、冰柜、橱柜门和窗口是否关闭，大门锁好。</w:t>
            </w:r>
          </w:p>
        </w:tc>
        <w:tc>
          <w:tcPr>
            <w:tcW w:w="2430" w:type="dxa"/>
            <w:vMerge w:val="continue"/>
            <w:vAlign w:val="center"/>
          </w:tcPr>
          <w:p w14:paraId="5986E875">
            <w:pPr>
              <w:widowControl/>
              <w:spacing w:line="260" w:lineRule="atLeast"/>
              <w:jc w:val="left"/>
              <w:rPr>
                <w:rFonts w:ascii="宋体" w:hAnsi="宋体" w:cs="宋体"/>
                <w:color w:val="auto"/>
                <w:kern w:val="0"/>
                <w:highlight w:val="none"/>
              </w:rPr>
            </w:pPr>
          </w:p>
        </w:tc>
        <w:tc>
          <w:tcPr>
            <w:tcW w:w="766" w:type="dxa"/>
            <w:vAlign w:val="center"/>
          </w:tcPr>
          <w:p w14:paraId="2790B4C3">
            <w:pPr>
              <w:widowControl/>
              <w:spacing w:line="260" w:lineRule="atLeast"/>
              <w:jc w:val="center"/>
              <w:rPr>
                <w:rFonts w:ascii="宋体" w:hAnsi="宋体" w:cs="宋体"/>
                <w:color w:val="auto"/>
                <w:kern w:val="0"/>
                <w:highlight w:val="none"/>
              </w:rPr>
            </w:pPr>
          </w:p>
        </w:tc>
      </w:tr>
      <w:tr w14:paraId="1F71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33" w:type="dxa"/>
            <w:vMerge w:val="restart"/>
            <w:vAlign w:val="center"/>
          </w:tcPr>
          <w:p w14:paraId="6410C2C5">
            <w:pPr>
              <w:widowControl/>
              <w:spacing w:line="260" w:lineRule="atLeast"/>
              <w:jc w:val="center"/>
              <w:rPr>
                <w:rFonts w:ascii="宋体" w:hAnsi="宋体" w:cs="宋体"/>
                <w:color w:val="auto"/>
                <w:kern w:val="0"/>
                <w:highlight w:val="none"/>
              </w:rPr>
            </w:pPr>
            <w:r>
              <w:rPr>
                <w:rFonts w:ascii="宋体" w:hAnsi="宋体" w:cs="宋体"/>
                <w:color w:val="auto"/>
                <w:kern w:val="0"/>
                <w:highlight w:val="none"/>
              </w:rPr>
              <w:t>9</w:t>
            </w:r>
          </w:p>
        </w:tc>
        <w:tc>
          <w:tcPr>
            <w:tcW w:w="770" w:type="dxa"/>
            <w:vMerge w:val="restart"/>
            <w:vAlign w:val="center"/>
          </w:tcPr>
          <w:p w14:paraId="720CDB80">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食  品  安  全</w:t>
            </w:r>
          </w:p>
        </w:tc>
        <w:tc>
          <w:tcPr>
            <w:tcW w:w="4034" w:type="dxa"/>
            <w:vAlign w:val="center"/>
          </w:tcPr>
          <w:p w14:paraId="724DB8D4">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上岗前必须经过食品安全和卫生培训，严格落实《餐饮服务食品安全操作规范》。</w:t>
            </w:r>
          </w:p>
        </w:tc>
        <w:tc>
          <w:tcPr>
            <w:tcW w:w="2430" w:type="dxa"/>
            <w:vMerge w:val="restart"/>
            <w:vAlign w:val="center"/>
          </w:tcPr>
          <w:p w14:paraId="2AB89C9F">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未达标一项，扣5分</w:t>
            </w:r>
          </w:p>
        </w:tc>
        <w:tc>
          <w:tcPr>
            <w:tcW w:w="766" w:type="dxa"/>
            <w:vAlign w:val="center"/>
          </w:tcPr>
          <w:p w14:paraId="075D4021">
            <w:pPr>
              <w:widowControl/>
              <w:spacing w:line="260" w:lineRule="atLeast"/>
              <w:jc w:val="center"/>
              <w:rPr>
                <w:rFonts w:ascii="宋体" w:hAnsi="宋体" w:cs="宋体"/>
                <w:color w:val="auto"/>
                <w:kern w:val="0"/>
                <w:highlight w:val="none"/>
              </w:rPr>
            </w:pPr>
          </w:p>
        </w:tc>
      </w:tr>
      <w:tr w14:paraId="096D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33" w:type="dxa"/>
            <w:vMerge w:val="continue"/>
            <w:vAlign w:val="center"/>
          </w:tcPr>
          <w:p w14:paraId="6FA7F5F6">
            <w:pPr>
              <w:widowControl/>
              <w:spacing w:line="260" w:lineRule="atLeast"/>
              <w:jc w:val="center"/>
              <w:rPr>
                <w:rFonts w:ascii="宋体" w:hAnsi="宋体" w:cs="宋体"/>
                <w:color w:val="auto"/>
                <w:kern w:val="0"/>
                <w:highlight w:val="none"/>
              </w:rPr>
            </w:pPr>
          </w:p>
        </w:tc>
        <w:tc>
          <w:tcPr>
            <w:tcW w:w="770" w:type="dxa"/>
            <w:vMerge w:val="continue"/>
            <w:vAlign w:val="center"/>
          </w:tcPr>
          <w:p w14:paraId="1993C6AC">
            <w:pPr>
              <w:widowControl/>
              <w:spacing w:line="260" w:lineRule="atLeast"/>
              <w:jc w:val="center"/>
              <w:rPr>
                <w:rFonts w:ascii="宋体" w:hAnsi="宋体" w:cs="宋体"/>
                <w:color w:val="auto"/>
                <w:kern w:val="0"/>
                <w:highlight w:val="none"/>
              </w:rPr>
            </w:pPr>
          </w:p>
        </w:tc>
        <w:tc>
          <w:tcPr>
            <w:tcW w:w="4034" w:type="dxa"/>
            <w:vAlign w:val="center"/>
          </w:tcPr>
          <w:p w14:paraId="553961F7">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不新鲜或来路不明、变质、过期的原料，不收、不用、不煮、不卖。</w:t>
            </w:r>
          </w:p>
        </w:tc>
        <w:tc>
          <w:tcPr>
            <w:tcW w:w="2430" w:type="dxa"/>
            <w:vMerge w:val="continue"/>
            <w:vAlign w:val="center"/>
          </w:tcPr>
          <w:p w14:paraId="15702463">
            <w:pPr>
              <w:widowControl/>
              <w:spacing w:line="260" w:lineRule="atLeast"/>
              <w:jc w:val="left"/>
              <w:rPr>
                <w:rFonts w:ascii="宋体" w:hAnsi="宋体" w:cs="宋体"/>
                <w:color w:val="auto"/>
                <w:kern w:val="0"/>
                <w:highlight w:val="none"/>
              </w:rPr>
            </w:pPr>
          </w:p>
        </w:tc>
        <w:tc>
          <w:tcPr>
            <w:tcW w:w="766" w:type="dxa"/>
            <w:vAlign w:val="center"/>
          </w:tcPr>
          <w:p w14:paraId="0A30B3C6">
            <w:pPr>
              <w:widowControl/>
              <w:spacing w:line="260" w:lineRule="atLeast"/>
              <w:jc w:val="center"/>
              <w:rPr>
                <w:rFonts w:ascii="宋体" w:hAnsi="宋体" w:cs="宋体"/>
                <w:color w:val="auto"/>
                <w:kern w:val="0"/>
                <w:highlight w:val="none"/>
              </w:rPr>
            </w:pPr>
          </w:p>
        </w:tc>
      </w:tr>
      <w:tr w14:paraId="5088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33" w:type="dxa"/>
            <w:vMerge w:val="continue"/>
            <w:vAlign w:val="center"/>
          </w:tcPr>
          <w:p w14:paraId="4482DB04">
            <w:pPr>
              <w:widowControl/>
              <w:spacing w:line="260" w:lineRule="atLeast"/>
              <w:jc w:val="center"/>
              <w:rPr>
                <w:rFonts w:ascii="宋体" w:hAnsi="宋体" w:cs="宋体"/>
                <w:color w:val="auto"/>
                <w:kern w:val="0"/>
                <w:highlight w:val="none"/>
              </w:rPr>
            </w:pPr>
          </w:p>
        </w:tc>
        <w:tc>
          <w:tcPr>
            <w:tcW w:w="770" w:type="dxa"/>
            <w:vMerge w:val="continue"/>
            <w:vAlign w:val="center"/>
          </w:tcPr>
          <w:p w14:paraId="6B18F33B">
            <w:pPr>
              <w:widowControl/>
              <w:spacing w:line="260" w:lineRule="atLeast"/>
              <w:jc w:val="center"/>
              <w:rPr>
                <w:rFonts w:ascii="宋体" w:hAnsi="宋体" w:cs="宋体"/>
                <w:color w:val="auto"/>
                <w:kern w:val="0"/>
                <w:highlight w:val="none"/>
              </w:rPr>
            </w:pPr>
          </w:p>
        </w:tc>
        <w:tc>
          <w:tcPr>
            <w:tcW w:w="4034" w:type="dxa"/>
            <w:vAlign w:val="center"/>
          </w:tcPr>
          <w:p w14:paraId="373802EA">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正确贮存、鉴别和使用食品原材料和半成品，隔夜熟食和半成品要彻底加热才能出售。</w:t>
            </w:r>
          </w:p>
        </w:tc>
        <w:tc>
          <w:tcPr>
            <w:tcW w:w="2430" w:type="dxa"/>
            <w:vMerge w:val="continue"/>
            <w:vAlign w:val="center"/>
          </w:tcPr>
          <w:p w14:paraId="7AD494CF">
            <w:pPr>
              <w:widowControl/>
              <w:spacing w:line="260" w:lineRule="atLeast"/>
              <w:jc w:val="left"/>
              <w:rPr>
                <w:rFonts w:ascii="宋体" w:hAnsi="宋体" w:cs="宋体"/>
                <w:color w:val="auto"/>
                <w:kern w:val="0"/>
                <w:highlight w:val="none"/>
              </w:rPr>
            </w:pPr>
          </w:p>
        </w:tc>
        <w:tc>
          <w:tcPr>
            <w:tcW w:w="766" w:type="dxa"/>
            <w:vAlign w:val="center"/>
          </w:tcPr>
          <w:p w14:paraId="485DC62E">
            <w:pPr>
              <w:widowControl/>
              <w:spacing w:line="260" w:lineRule="atLeast"/>
              <w:jc w:val="center"/>
              <w:rPr>
                <w:rFonts w:ascii="宋体" w:hAnsi="宋体" w:cs="宋体"/>
                <w:color w:val="auto"/>
                <w:kern w:val="0"/>
                <w:highlight w:val="none"/>
              </w:rPr>
            </w:pPr>
          </w:p>
        </w:tc>
      </w:tr>
      <w:tr w14:paraId="51A6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262DF073">
            <w:pPr>
              <w:widowControl/>
              <w:spacing w:line="260" w:lineRule="atLeast"/>
              <w:jc w:val="center"/>
              <w:rPr>
                <w:rFonts w:ascii="宋体" w:hAnsi="宋体" w:cs="宋体"/>
                <w:color w:val="auto"/>
                <w:kern w:val="0"/>
                <w:highlight w:val="none"/>
              </w:rPr>
            </w:pPr>
          </w:p>
        </w:tc>
        <w:tc>
          <w:tcPr>
            <w:tcW w:w="770" w:type="dxa"/>
            <w:vMerge w:val="continue"/>
            <w:vAlign w:val="center"/>
          </w:tcPr>
          <w:p w14:paraId="4B6E29E4">
            <w:pPr>
              <w:widowControl/>
              <w:spacing w:line="260" w:lineRule="atLeast"/>
              <w:jc w:val="center"/>
              <w:rPr>
                <w:rFonts w:ascii="宋体" w:hAnsi="宋体" w:cs="宋体"/>
                <w:color w:val="auto"/>
                <w:kern w:val="0"/>
                <w:highlight w:val="none"/>
              </w:rPr>
            </w:pPr>
          </w:p>
        </w:tc>
        <w:tc>
          <w:tcPr>
            <w:tcW w:w="4034" w:type="dxa"/>
            <w:vAlign w:val="center"/>
          </w:tcPr>
          <w:p w14:paraId="5C49FFEB">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严格按《食品添加剂使用卫生标准》购买、贮存、使用和记录食品添加剂。</w:t>
            </w:r>
          </w:p>
        </w:tc>
        <w:tc>
          <w:tcPr>
            <w:tcW w:w="2430" w:type="dxa"/>
            <w:vMerge w:val="continue"/>
            <w:vAlign w:val="center"/>
          </w:tcPr>
          <w:p w14:paraId="1DEBD063">
            <w:pPr>
              <w:widowControl/>
              <w:spacing w:line="260" w:lineRule="atLeast"/>
              <w:jc w:val="left"/>
              <w:rPr>
                <w:rFonts w:ascii="宋体" w:hAnsi="宋体" w:cs="宋体"/>
                <w:color w:val="auto"/>
                <w:kern w:val="0"/>
                <w:highlight w:val="none"/>
              </w:rPr>
            </w:pPr>
          </w:p>
        </w:tc>
        <w:tc>
          <w:tcPr>
            <w:tcW w:w="766" w:type="dxa"/>
            <w:vAlign w:val="center"/>
          </w:tcPr>
          <w:p w14:paraId="7AA61CA9">
            <w:pPr>
              <w:widowControl/>
              <w:spacing w:line="260" w:lineRule="atLeast"/>
              <w:jc w:val="center"/>
              <w:rPr>
                <w:rFonts w:ascii="宋体" w:hAnsi="宋体" w:cs="宋体"/>
                <w:color w:val="auto"/>
                <w:kern w:val="0"/>
                <w:highlight w:val="none"/>
              </w:rPr>
            </w:pPr>
          </w:p>
        </w:tc>
      </w:tr>
      <w:tr w14:paraId="60F2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7929BCF7">
            <w:pPr>
              <w:widowControl/>
              <w:spacing w:line="260" w:lineRule="atLeast"/>
              <w:jc w:val="center"/>
              <w:rPr>
                <w:rFonts w:ascii="宋体" w:hAnsi="宋体" w:cs="宋体"/>
                <w:color w:val="auto"/>
                <w:kern w:val="0"/>
                <w:highlight w:val="none"/>
              </w:rPr>
            </w:pPr>
          </w:p>
        </w:tc>
        <w:tc>
          <w:tcPr>
            <w:tcW w:w="770" w:type="dxa"/>
            <w:vMerge w:val="continue"/>
            <w:vAlign w:val="center"/>
          </w:tcPr>
          <w:p w14:paraId="51435B65">
            <w:pPr>
              <w:widowControl/>
              <w:spacing w:line="260" w:lineRule="atLeast"/>
              <w:jc w:val="center"/>
              <w:rPr>
                <w:rFonts w:ascii="宋体" w:hAnsi="宋体" w:cs="宋体"/>
                <w:color w:val="auto"/>
                <w:kern w:val="0"/>
                <w:highlight w:val="none"/>
              </w:rPr>
            </w:pPr>
          </w:p>
        </w:tc>
        <w:tc>
          <w:tcPr>
            <w:tcW w:w="4034" w:type="dxa"/>
            <w:vAlign w:val="center"/>
          </w:tcPr>
          <w:p w14:paraId="201621B6">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严格对食品留样，不漏留。留样和样品处置应做好记录。</w:t>
            </w:r>
          </w:p>
        </w:tc>
        <w:tc>
          <w:tcPr>
            <w:tcW w:w="2430" w:type="dxa"/>
            <w:vAlign w:val="center"/>
          </w:tcPr>
          <w:p w14:paraId="0C180BCD">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未达标一项，扣5分</w:t>
            </w:r>
          </w:p>
        </w:tc>
        <w:tc>
          <w:tcPr>
            <w:tcW w:w="766" w:type="dxa"/>
            <w:vAlign w:val="center"/>
          </w:tcPr>
          <w:p w14:paraId="1189724B">
            <w:pPr>
              <w:widowControl/>
              <w:spacing w:line="260" w:lineRule="atLeast"/>
              <w:jc w:val="center"/>
              <w:rPr>
                <w:rFonts w:ascii="宋体" w:hAnsi="宋体" w:cs="宋体"/>
                <w:color w:val="auto"/>
                <w:kern w:val="0"/>
                <w:highlight w:val="none"/>
              </w:rPr>
            </w:pPr>
          </w:p>
        </w:tc>
      </w:tr>
      <w:tr w14:paraId="52B7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4FF075F3">
            <w:pPr>
              <w:widowControl/>
              <w:spacing w:line="260" w:lineRule="atLeast"/>
              <w:jc w:val="center"/>
              <w:rPr>
                <w:rFonts w:ascii="宋体" w:hAnsi="宋体" w:cs="宋体"/>
                <w:color w:val="auto"/>
                <w:kern w:val="0"/>
                <w:highlight w:val="none"/>
              </w:rPr>
            </w:pPr>
          </w:p>
        </w:tc>
        <w:tc>
          <w:tcPr>
            <w:tcW w:w="770" w:type="dxa"/>
            <w:vMerge w:val="continue"/>
            <w:vAlign w:val="center"/>
          </w:tcPr>
          <w:p w14:paraId="56E9DE37">
            <w:pPr>
              <w:widowControl/>
              <w:spacing w:line="260" w:lineRule="atLeast"/>
              <w:jc w:val="center"/>
              <w:rPr>
                <w:rFonts w:ascii="宋体" w:hAnsi="宋体" w:cs="宋体"/>
                <w:color w:val="auto"/>
                <w:kern w:val="0"/>
                <w:highlight w:val="none"/>
              </w:rPr>
            </w:pPr>
          </w:p>
        </w:tc>
        <w:tc>
          <w:tcPr>
            <w:tcW w:w="4034" w:type="dxa"/>
            <w:vAlign w:val="center"/>
          </w:tcPr>
          <w:p w14:paraId="64FED63F">
            <w:pPr>
              <w:spacing w:line="260" w:lineRule="atLeast"/>
              <w:jc w:val="left"/>
              <w:rPr>
                <w:rFonts w:ascii="宋体" w:hAnsi="宋体" w:cs="宋体"/>
                <w:color w:val="auto"/>
                <w:highlight w:val="none"/>
              </w:rPr>
            </w:pPr>
            <w:r>
              <w:rPr>
                <w:rFonts w:hint="eastAsia" w:ascii="宋体" w:hAnsi="宋体" w:cs="宋体"/>
                <w:color w:val="auto"/>
                <w:kern w:val="0"/>
                <w:highlight w:val="none"/>
              </w:rPr>
              <w:t>确保食品安全，杜绝食品中毒。</w:t>
            </w:r>
          </w:p>
        </w:tc>
        <w:tc>
          <w:tcPr>
            <w:tcW w:w="2430" w:type="dxa"/>
            <w:vAlign w:val="center"/>
          </w:tcPr>
          <w:p w14:paraId="1F6E08CE">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发生食品中毒事件的，每次扣200分。</w:t>
            </w:r>
          </w:p>
        </w:tc>
        <w:tc>
          <w:tcPr>
            <w:tcW w:w="766" w:type="dxa"/>
            <w:vAlign w:val="center"/>
          </w:tcPr>
          <w:p w14:paraId="5B54791D">
            <w:pPr>
              <w:widowControl/>
              <w:spacing w:line="260" w:lineRule="atLeast"/>
              <w:jc w:val="center"/>
              <w:rPr>
                <w:rFonts w:ascii="宋体" w:hAnsi="宋体" w:cs="宋体"/>
                <w:color w:val="auto"/>
                <w:kern w:val="0"/>
                <w:highlight w:val="none"/>
              </w:rPr>
            </w:pPr>
          </w:p>
        </w:tc>
      </w:tr>
      <w:tr w14:paraId="58AD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restart"/>
            <w:vAlign w:val="center"/>
          </w:tcPr>
          <w:p w14:paraId="56BF076F">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10</w:t>
            </w:r>
          </w:p>
        </w:tc>
        <w:tc>
          <w:tcPr>
            <w:tcW w:w="770" w:type="dxa"/>
            <w:vMerge w:val="restart"/>
            <w:vAlign w:val="center"/>
          </w:tcPr>
          <w:p w14:paraId="798D1BEA">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菜  肴  质  量</w:t>
            </w:r>
          </w:p>
        </w:tc>
        <w:tc>
          <w:tcPr>
            <w:tcW w:w="4034" w:type="dxa"/>
            <w:vAlign w:val="center"/>
          </w:tcPr>
          <w:p w14:paraId="3574E41B">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初加工方法准确，原料干净、无杂质、无异味；不浪费，物尽其用。</w:t>
            </w:r>
          </w:p>
        </w:tc>
        <w:tc>
          <w:tcPr>
            <w:tcW w:w="2430" w:type="dxa"/>
            <w:vMerge w:val="restart"/>
            <w:vAlign w:val="center"/>
          </w:tcPr>
          <w:p w14:paraId="605FC2A3">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未达标一项，扣5分</w:t>
            </w:r>
          </w:p>
          <w:p w14:paraId="54BAD775">
            <w:pPr>
              <w:spacing w:line="260" w:lineRule="atLeast"/>
              <w:jc w:val="left"/>
              <w:rPr>
                <w:rFonts w:ascii="宋体" w:hAnsi="宋体" w:cs="宋体"/>
                <w:color w:val="auto"/>
                <w:kern w:val="0"/>
                <w:highlight w:val="none"/>
              </w:rPr>
            </w:pPr>
          </w:p>
        </w:tc>
        <w:tc>
          <w:tcPr>
            <w:tcW w:w="766" w:type="dxa"/>
            <w:vAlign w:val="center"/>
          </w:tcPr>
          <w:p w14:paraId="1EE88117">
            <w:pPr>
              <w:widowControl/>
              <w:spacing w:line="260" w:lineRule="atLeast"/>
              <w:jc w:val="center"/>
              <w:rPr>
                <w:rFonts w:ascii="宋体" w:hAnsi="宋体" w:cs="宋体"/>
                <w:color w:val="auto"/>
                <w:kern w:val="0"/>
                <w:highlight w:val="none"/>
              </w:rPr>
            </w:pPr>
          </w:p>
        </w:tc>
      </w:tr>
      <w:tr w14:paraId="0EC0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05519D81">
            <w:pPr>
              <w:widowControl/>
              <w:spacing w:line="260" w:lineRule="atLeast"/>
              <w:jc w:val="center"/>
              <w:rPr>
                <w:rFonts w:ascii="宋体" w:hAnsi="宋体" w:cs="宋体"/>
                <w:color w:val="auto"/>
                <w:kern w:val="0"/>
                <w:highlight w:val="none"/>
              </w:rPr>
            </w:pPr>
          </w:p>
        </w:tc>
        <w:tc>
          <w:tcPr>
            <w:tcW w:w="770" w:type="dxa"/>
            <w:vMerge w:val="continue"/>
            <w:vAlign w:val="center"/>
          </w:tcPr>
          <w:p w14:paraId="27141876">
            <w:pPr>
              <w:widowControl/>
              <w:spacing w:line="260" w:lineRule="atLeast"/>
              <w:jc w:val="center"/>
              <w:rPr>
                <w:rFonts w:ascii="宋体" w:hAnsi="宋体" w:cs="宋体"/>
                <w:color w:val="auto"/>
                <w:kern w:val="0"/>
                <w:highlight w:val="none"/>
              </w:rPr>
            </w:pPr>
          </w:p>
        </w:tc>
        <w:tc>
          <w:tcPr>
            <w:tcW w:w="4034" w:type="dxa"/>
            <w:vAlign w:val="center"/>
          </w:tcPr>
          <w:p w14:paraId="48FB1BFE">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配菜要刀工精细、便于食用；配比合理；腌制适当；原料先进先用。</w:t>
            </w:r>
          </w:p>
        </w:tc>
        <w:tc>
          <w:tcPr>
            <w:tcW w:w="2430" w:type="dxa"/>
            <w:vMerge w:val="continue"/>
            <w:vAlign w:val="center"/>
          </w:tcPr>
          <w:p w14:paraId="646DB0CB">
            <w:pPr>
              <w:spacing w:line="260" w:lineRule="atLeast"/>
              <w:jc w:val="left"/>
              <w:rPr>
                <w:rFonts w:ascii="宋体" w:hAnsi="宋体" w:cs="宋体"/>
                <w:color w:val="auto"/>
                <w:kern w:val="0"/>
                <w:highlight w:val="none"/>
              </w:rPr>
            </w:pPr>
          </w:p>
        </w:tc>
        <w:tc>
          <w:tcPr>
            <w:tcW w:w="766" w:type="dxa"/>
            <w:vAlign w:val="center"/>
          </w:tcPr>
          <w:p w14:paraId="5F244D90">
            <w:pPr>
              <w:widowControl/>
              <w:spacing w:line="260" w:lineRule="atLeast"/>
              <w:jc w:val="center"/>
              <w:rPr>
                <w:rFonts w:ascii="宋体" w:hAnsi="宋体" w:cs="宋体"/>
                <w:color w:val="auto"/>
                <w:kern w:val="0"/>
                <w:highlight w:val="none"/>
              </w:rPr>
            </w:pPr>
          </w:p>
        </w:tc>
      </w:tr>
      <w:tr w14:paraId="790A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05C0BAAA">
            <w:pPr>
              <w:widowControl/>
              <w:spacing w:line="260" w:lineRule="atLeast"/>
              <w:jc w:val="center"/>
              <w:rPr>
                <w:rFonts w:ascii="宋体" w:hAnsi="宋体" w:cs="宋体"/>
                <w:color w:val="auto"/>
                <w:kern w:val="0"/>
                <w:highlight w:val="none"/>
              </w:rPr>
            </w:pPr>
          </w:p>
        </w:tc>
        <w:tc>
          <w:tcPr>
            <w:tcW w:w="770" w:type="dxa"/>
            <w:vMerge w:val="continue"/>
            <w:vAlign w:val="center"/>
          </w:tcPr>
          <w:p w14:paraId="4DC5B86A">
            <w:pPr>
              <w:widowControl/>
              <w:spacing w:line="260" w:lineRule="atLeast"/>
              <w:jc w:val="center"/>
              <w:rPr>
                <w:rFonts w:ascii="宋体" w:hAnsi="宋体" w:cs="宋体"/>
                <w:color w:val="auto"/>
                <w:kern w:val="0"/>
                <w:highlight w:val="none"/>
              </w:rPr>
            </w:pPr>
          </w:p>
        </w:tc>
        <w:tc>
          <w:tcPr>
            <w:tcW w:w="4034" w:type="dxa"/>
            <w:vAlign w:val="center"/>
          </w:tcPr>
          <w:p w14:paraId="35409E3D">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打荷要器皿合适、围边讲究；原料熟透、试味准确、菜无异物</w:t>
            </w:r>
          </w:p>
        </w:tc>
        <w:tc>
          <w:tcPr>
            <w:tcW w:w="2430" w:type="dxa"/>
            <w:vMerge w:val="continue"/>
            <w:vAlign w:val="center"/>
          </w:tcPr>
          <w:p w14:paraId="0B035AF0">
            <w:pPr>
              <w:widowControl/>
              <w:spacing w:line="260" w:lineRule="atLeast"/>
              <w:jc w:val="left"/>
              <w:rPr>
                <w:rFonts w:ascii="宋体" w:hAnsi="宋体" w:cs="宋体"/>
                <w:color w:val="auto"/>
                <w:kern w:val="0"/>
                <w:highlight w:val="none"/>
              </w:rPr>
            </w:pPr>
          </w:p>
        </w:tc>
        <w:tc>
          <w:tcPr>
            <w:tcW w:w="766" w:type="dxa"/>
            <w:vAlign w:val="center"/>
          </w:tcPr>
          <w:p w14:paraId="1AC45553">
            <w:pPr>
              <w:widowControl/>
              <w:spacing w:line="260" w:lineRule="atLeast"/>
              <w:jc w:val="center"/>
              <w:rPr>
                <w:rFonts w:ascii="宋体" w:hAnsi="宋体" w:cs="宋体"/>
                <w:color w:val="auto"/>
                <w:kern w:val="0"/>
                <w:highlight w:val="none"/>
              </w:rPr>
            </w:pPr>
          </w:p>
        </w:tc>
      </w:tr>
      <w:tr w14:paraId="7E44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104C4712">
            <w:pPr>
              <w:widowControl/>
              <w:spacing w:line="260" w:lineRule="atLeast"/>
              <w:jc w:val="center"/>
              <w:rPr>
                <w:rFonts w:ascii="宋体" w:hAnsi="宋体" w:cs="宋体"/>
                <w:color w:val="auto"/>
                <w:kern w:val="0"/>
                <w:highlight w:val="none"/>
              </w:rPr>
            </w:pPr>
          </w:p>
        </w:tc>
        <w:tc>
          <w:tcPr>
            <w:tcW w:w="770" w:type="dxa"/>
            <w:vMerge w:val="continue"/>
            <w:vAlign w:val="center"/>
          </w:tcPr>
          <w:p w14:paraId="594F2720">
            <w:pPr>
              <w:widowControl/>
              <w:spacing w:line="260" w:lineRule="atLeast"/>
              <w:jc w:val="center"/>
              <w:rPr>
                <w:rFonts w:ascii="宋体" w:hAnsi="宋体" w:cs="宋体"/>
                <w:color w:val="auto"/>
                <w:kern w:val="0"/>
                <w:highlight w:val="none"/>
              </w:rPr>
            </w:pPr>
          </w:p>
        </w:tc>
        <w:tc>
          <w:tcPr>
            <w:tcW w:w="4034" w:type="dxa"/>
            <w:vAlign w:val="center"/>
          </w:tcPr>
          <w:p w14:paraId="4C9CC932">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炒菜要火候适度均匀、调味恰当准确、勾芡厚薄适当，少用食品添加剂。</w:t>
            </w:r>
          </w:p>
        </w:tc>
        <w:tc>
          <w:tcPr>
            <w:tcW w:w="2430" w:type="dxa"/>
            <w:vMerge w:val="continue"/>
            <w:vAlign w:val="center"/>
          </w:tcPr>
          <w:p w14:paraId="35DF6373">
            <w:pPr>
              <w:widowControl/>
              <w:spacing w:line="260" w:lineRule="atLeast"/>
              <w:jc w:val="left"/>
              <w:rPr>
                <w:rFonts w:ascii="宋体" w:hAnsi="宋体" w:cs="宋体"/>
                <w:color w:val="auto"/>
                <w:kern w:val="0"/>
                <w:highlight w:val="none"/>
              </w:rPr>
            </w:pPr>
          </w:p>
        </w:tc>
        <w:tc>
          <w:tcPr>
            <w:tcW w:w="766" w:type="dxa"/>
            <w:vAlign w:val="center"/>
          </w:tcPr>
          <w:p w14:paraId="55F6F5E9">
            <w:pPr>
              <w:widowControl/>
              <w:spacing w:line="260" w:lineRule="atLeast"/>
              <w:jc w:val="center"/>
              <w:rPr>
                <w:rFonts w:ascii="宋体" w:hAnsi="宋体" w:cs="宋体"/>
                <w:color w:val="auto"/>
                <w:kern w:val="0"/>
                <w:highlight w:val="none"/>
              </w:rPr>
            </w:pPr>
          </w:p>
        </w:tc>
      </w:tr>
      <w:tr w14:paraId="5359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33" w:type="dxa"/>
            <w:vMerge w:val="continue"/>
            <w:vAlign w:val="center"/>
          </w:tcPr>
          <w:p w14:paraId="33A8C60F">
            <w:pPr>
              <w:widowControl/>
              <w:spacing w:line="260" w:lineRule="atLeast"/>
              <w:jc w:val="center"/>
              <w:rPr>
                <w:rFonts w:ascii="宋体" w:hAnsi="宋体" w:cs="宋体"/>
                <w:color w:val="auto"/>
                <w:kern w:val="0"/>
                <w:highlight w:val="none"/>
              </w:rPr>
            </w:pPr>
          </w:p>
        </w:tc>
        <w:tc>
          <w:tcPr>
            <w:tcW w:w="770" w:type="dxa"/>
            <w:vMerge w:val="continue"/>
            <w:vAlign w:val="center"/>
          </w:tcPr>
          <w:p w14:paraId="6CC2FD65">
            <w:pPr>
              <w:widowControl/>
              <w:spacing w:line="260" w:lineRule="atLeast"/>
              <w:jc w:val="center"/>
              <w:rPr>
                <w:rFonts w:ascii="宋体" w:hAnsi="宋体" w:cs="宋体"/>
                <w:color w:val="auto"/>
                <w:kern w:val="0"/>
                <w:highlight w:val="none"/>
              </w:rPr>
            </w:pPr>
          </w:p>
        </w:tc>
        <w:tc>
          <w:tcPr>
            <w:tcW w:w="4034" w:type="dxa"/>
            <w:vAlign w:val="center"/>
          </w:tcPr>
          <w:p w14:paraId="0F8004A1">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烧卤制品要卫生安全、调味准确、刀工精细、装盘美观大方。</w:t>
            </w:r>
          </w:p>
        </w:tc>
        <w:tc>
          <w:tcPr>
            <w:tcW w:w="2430" w:type="dxa"/>
            <w:vMerge w:val="continue"/>
            <w:vAlign w:val="center"/>
          </w:tcPr>
          <w:p w14:paraId="3D3E4E8F">
            <w:pPr>
              <w:widowControl/>
              <w:spacing w:line="260" w:lineRule="atLeast"/>
              <w:jc w:val="left"/>
              <w:rPr>
                <w:rFonts w:ascii="宋体" w:hAnsi="宋体" w:cs="宋体"/>
                <w:color w:val="auto"/>
                <w:kern w:val="0"/>
                <w:highlight w:val="none"/>
              </w:rPr>
            </w:pPr>
          </w:p>
        </w:tc>
        <w:tc>
          <w:tcPr>
            <w:tcW w:w="766" w:type="dxa"/>
            <w:vAlign w:val="center"/>
          </w:tcPr>
          <w:p w14:paraId="1A589506">
            <w:pPr>
              <w:widowControl/>
              <w:spacing w:line="260" w:lineRule="atLeast"/>
              <w:jc w:val="center"/>
              <w:rPr>
                <w:rFonts w:ascii="宋体" w:hAnsi="宋体" w:cs="宋体"/>
                <w:color w:val="auto"/>
                <w:kern w:val="0"/>
                <w:highlight w:val="none"/>
              </w:rPr>
            </w:pPr>
          </w:p>
        </w:tc>
      </w:tr>
      <w:tr w14:paraId="4CBC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3" w:type="dxa"/>
            <w:vMerge w:val="continue"/>
            <w:vAlign w:val="center"/>
          </w:tcPr>
          <w:p w14:paraId="376E2D45">
            <w:pPr>
              <w:widowControl/>
              <w:spacing w:line="260" w:lineRule="atLeast"/>
              <w:jc w:val="center"/>
              <w:rPr>
                <w:rFonts w:ascii="宋体" w:hAnsi="宋体" w:cs="宋体"/>
                <w:color w:val="auto"/>
                <w:kern w:val="0"/>
                <w:highlight w:val="none"/>
              </w:rPr>
            </w:pPr>
          </w:p>
        </w:tc>
        <w:tc>
          <w:tcPr>
            <w:tcW w:w="770" w:type="dxa"/>
            <w:vMerge w:val="continue"/>
            <w:vAlign w:val="center"/>
          </w:tcPr>
          <w:p w14:paraId="18CB78D3">
            <w:pPr>
              <w:widowControl/>
              <w:spacing w:line="260" w:lineRule="atLeast"/>
              <w:jc w:val="center"/>
              <w:rPr>
                <w:rFonts w:ascii="宋体" w:hAnsi="宋体" w:cs="宋体"/>
                <w:color w:val="auto"/>
                <w:kern w:val="0"/>
                <w:highlight w:val="none"/>
              </w:rPr>
            </w:pPr>
          </w:p>
        </w:tc>
        <w:tc>
          <w:tcPr>
            <w:tcW w:w="4034" w:type="dxa"/>
            <w:vAlign w:val="center"/>
          </w:tcPr>
          <w:p w14:paraId="50E6F870">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菜肴传送要及时、安全、卫生。</w:t>
            </w:r>
          </w:p>
        </w:tc>
        <w:tc>
          <w:tcPr>
            <w:tcW w:w="2430" w:type="dxa"/>
            <w:vMerge w:val="continue"/>
            <w:vAlign w:val="center"/>
          </w:tcPr>
          <w:p w14:paraId="47D5CCF5">
            <w:pPr>
              <w:widowControl/>
              <w:spacing w:line="260" w:lineRule="atLeast"/>
              <w:jc w:val="left"/>
              <w:rPr>
                <w:rFonts w:ascii="宋体" w:hAnsi="宋体" w:cs="宋体"/>
                <w:color w:val="auto"/>
                <w:kern w:val="0"/>
                <w:highlight w:val="none"/>
              </w:rPr>
            </w:pPr>
          </w:p>
        </w:tc>
        <w:tc>
          <w:tcPr>
            <w:tcW w:w="766" w:type="dxa"/>
            <w:vAlign w:val="center"/>
          </w:tcPr>
          <w:p w14:paraId="7024BEE6">
            <w:pPr>
              <w:widowControl/>
              <w:spacing w:line="260" w:lineRule="atLeast"/>
              <w:jc w:val="center"/>
              <w:rPr>
                <w:rFonts w:ascii="宋体" w:hAnsi="宋体" w:cs="宋体"/>
                <w:color w:val="auto"/>
                <w:kern w:val="0"/>
                <w:highlight w:val="none"/>
              </w:rPr>
            </w:pPr>
          </w:p>
        </w:tc>
      </w:tr>
      <w:tr w14:paraId="5B09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3" w:type="dxa"/>
            <w:vMerge w:val="restart"/>
            <w:vAlign w:val="center"/>
          </w:tcPr>
          <w:p w14:paraId="73AD6A31">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11</w:t>
            </w:r>
          </w:p>
        </w:tc>
        <w:tc>
          <w:tcPr>
            <w:tcW w:w="770" w:type="dxa"/>
            <w:vMerge w:val="restart"/>
            <w:vAlign w:val="center"/>
          </w:tcPr>
          <w:p w14:paraId="5ECFBC8E">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服  务  质  量</w:t>
            </w:r>
          </w:p>
        </w:tc>
        <w:tc>
          <w:tcPr>
            <w:tcW w:w="4034" w:type="dxa"/>
            <w:vAlign w:val="center"/>
          </w:tcPr>
          <w:p w14:paraId="62817D02">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制服清洁整齐，仪容仪表要符合要求。</w:t>
            </w:r>
          </w:p>
        </w:tc>
        <w:tc>
          <w:tcPr>
            <w:tcW w:w="2430" w:type="dxa"/>
            <w:vAlign w:val="center"/>
          </w:tcPr>
          <w:p w14:paraId="1CA5A55F">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不按规定着装的每人次扣1分</w:t>
            </w:r>
          </w:p>
        </w:tc>
        <w:tc>
          <w:tcPr>
            <w:tcW w:w="766" w:type="dxa"/>
            <w:vAlign w:val="center"/>
          </w:tcPr>
          <w:p w14:paraId="19C5F9B7">
            <w:pPr>
              <w:widowControl/>
              <w:spacing w:line="260" w:lineRule="atLeast"/>
              <w:jc w:val="center"/>
              <w:rPr>
                <w:rFonts w:ascii="宋体" w:hAnsi="宋体" w:cs="宋体"/>
                <w:color w:val="auto"/>
                <w:kern w:val="0"/>
                <w:highlight w:val="none"/>
              </w:rPr>
            </w:pPr>
          </w:p>
        </w:tc>
      </w:tr>
      <w:tr w14:paraId="3B95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33" w:type="dxa"/>
            <w:vMerge w:val="continue"/>
            <w:vAlign w:val="center"/>
          </w:tcPr>
          <w:p w14:paraId="1DD47C71">
            <w:pPr>
              <w:widowControl/>
              <w:spacing w:line="260" w:lineRule="atLeast"/>
              <w:jc w:val="center"/>
              <w:rPr>
                <w:rFonts w:ascii="宋体" w:hAnsi="宋体" w:cs="宋体"/>
                <w:color w:val="auto"/>
                <w:kern w:val="0"/>
                <w:highlight w:val="none"/>
              </w:rPr>
            </w:pPr>
          </w:p>
        </w:tc>
        <w:tc>
          <w:tcPr>
            <w:tcW w:w="770" w:type="dxa"/>
            <w:vMerge w:val="continue"/>
            <w:vAlign w:val="center"/>
          </w:tcPr>
          <w:p w14:paraId="7BB6AB73">
            <w:pPr>
              <w:widowControl/>
              <w:spacing w:line="260" w:lineRule="atLeast"/>
              <w:jc w:val="center"/>
              <w:rPr>
                <w:rFonts w:ascii="宋体" w:hAnsi="宋体" w:cs="宋体"/>
                <w:color w:val="auto"/>
                <w:kern w:val="0"/>
                <w:highlight w:val="none"/>
              </w:rPr>
            </w:pPr>
          </w:p>
        </w:tc>
        <w:tc>
          <w:tcPr>
            <w:tcW w:w="4034" w:type="dxa"/>
            <w:vAlign w:val="center"/>
          </w:tcPr>
          <w:p w14:paraId="29DC6805">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服务态度要热情周到、耐心及时，不能互相推诿，怠慢干部职工。</w:t>
            </w:r>
          </w:p>
        </w:tc>
        <w:tc>
          <w:tcPr>
            <w:tcW w:w="2430" w:type="dxa"/>
            <w:vAlign w:val="center"/>
          </w:tcPr>
          <w:p w14:paraId="078F4A6E">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出现互相推诿，怠慢客人情况，每人次扣2分</w:t>
            </w:r>
          </w:p>
        </w:tc>
        <w:tc>
          <w:tcPr>
            <w:tcW w:w="766" w:type="dxa"/>
            <w:vAlign w:val="center"/>
          </w:tcPr>
          <w:p w14:paraId="1F2723CC">
            <w:pPr>
              <w:widowControl/>
              <w:spacing w:line="260" w:lineRule="atLeast"/>
              <w:jc w:val="center"/>
              <w:rPr>
                <w:rFonts w:ascii="宋体" w:hAnsi="宋体" w:cs="宋体"/>
                <w:color w:val="auto"/>
                <w:kern w:val="0"/>
                <w:highlight w:val="none"/>
              </w:rPr>
            </w:pPr>
          </w:p>
        </w:tc>
      </w:tr>
      <w:tr w14:paraId="7486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33" w:type="dxa"/>
            <w:vMerge w:val="continue"/>
            <w:vAlign w:val="center"/>
          </w:tcPr>
          <w:p w14:paraId="5F544506">
            <w:pPr>
              <w:widowControl/>
              <w:spacing w:line="260" w:lineRule="atLeast"/>
              <w:jc w:val="center"/>
              <w:rPr>
                <w:rFonts w:ascii="宋体" w:hAnsi="宋体" w:cs="宋体"/>
                <w:color w:val="auto"/>
                <w:kern w:val="0"/>
                <w:highlight w:val="none"/>
              </w:rPr>
            </w:pPr>
          </w:p>
        </w:tc>
        <w:tc>
          <w:tcPr>
            <w:tcW w:w="770" w:type="dxa"/>
            <w:vMerge w:val="continue"/>
            <w:vAlign w:val="center"/>
          </w:tcPr>
          <w:p w14:paraId="3EE8D477">
            <w:pPr>
              <w:widowControl/>
              <w:spacing w:line="260" w:lineRule="atLeast"/>
              <w:jc w:val="center"/>
              <w:rPr>
                <w:rFonts w:ascii="宋体" w:hAnsi="宋体" w:cs="宋体"/>
                <w:color w:val="auto"/>
                <w:kern w:val="0"/>
                <w:highlight w:val="none"/>
              </w:rPr>
            </w:pPr>
          </w:p>
        </w:tc>
        <w:tc>
          <w:tcPr>
            <w:tcW w:w="4034" w:type="dxa"/>
            <w:vAlign w:val="center"/>
          </w:tcPr>
          <w:p w14:paraId="052BB88B">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受过专业培训，知悉服务知识和掌握服务技能，能独立完成各种接待任务</w:t>
            </w:r>
          </w:p>
        </w:tc>
        <w:tc>
          <w:tcPr>
            <w:tcW w:w="2430" w:type="dxa"/>
            <w:vMerge w:val="restart"/>
            <w:vAlign w:val="center"/>
          </w:tcPr>
          <w:p w14:paraId="795361C4">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未能按标准提供优质服务，出现失误的每次扣2分</w:t>
            </w:r>
          </w:p>
        </w:tc>
        <w:tc>
          <w:tcPr>
            <w:tcW w:w="766" w:type="dxa"/>
            <w:vAlign w:val="center"/>
          </w:tcPr>
          <w:p w14:paraId="0EDAA207">
            <w:pPr>
              <w:widowControl/>
              <w:spacing w:line="260" w:lineRule="atLeast"/>
              <w:jc w:val="center"/>
              <w:rPr>
                <w:rFonts w:ascii="宋体" w:hAnsi="宋体" w:cs="宋体"/>
                <w:color w:val="auto"/>
                <w:kern w:val="0"/>
                <w:highlight w:val="none"/>
              </w:rPr>
            </w:pPr>
          </w:p>
        </w:tc>
      </w:tr>
      <w:tr w14:paraId="6872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33" w:type="dxa"/>
            <w:vMerge w:val="continue"/>
            <w:vAlign w:val="center"/>
          </w:tcPr>
          <w:p w14:paraId="6D30E812">
            <w:pPr>
              <w:widowControl/>
              <w:spacing w:line="260" w:lineRule="atLeast"/>
              <w:jc w:val="center"/>
              <w:rPr>
                <w:rFonts w:ascii="宋体" w:hAnsi="宋体" w:cs="宋体"/>
                <w:color w:val="auto"/>
                <w:kern w:val="0"/>
                <w:highlight w:val="none"/>
              </w:rPr>
            </w:pPr>
          </w:p>
        </w:tc>
        <w:tc>
          <w:tcPr>
            <w:tcW w:w="770" w:type="dxa"/>
            <w:vMerge w:val="continue"/>
            <w:vAlign w:val="center"/>
          </w:tcPr>
          <w:p w14:paraId="0843DCC6">
            <w:pPr>
              <w:widowControl/>
              <w:spacing w:line="260" w:lineRule="atLeast"/>
              <w:jc w:val="center"/>
              <w:rPr>
                <w:rFonts w:ascii="宋体" w:hAnsi="宋体" w:cs="宋体"/>
                <w:color w:val="auto"/>
                <w:kern w:val="0"/>
                <w:highlight w:val="none"/>
              </w:rPr>
            </w:pPr>
          </w:p>
        </w:tc>
        <w:tc>
          <w:tcPr>
            <w:tcW w:w="4034" w:type="dxa"/>
            <w:vAlign w:val="center"/>
          </w:tcPr>
          <w:p w14:paraId="2E795080">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根据采购人要求，做好餐厅不同岗位的接待服务工作。</w:t>
            </w:r>
          </w:p>
        </w:tc>
        <w:tc>
          <w:tcPr>
            <w:tcW w:w="2430" w:type="dxa"/>
            <w:vMerge w:val="continue"/>
            <w:vAlign w:val="center"/>
          </w:tcPr>
          <w:p w14:paraId="7F121DA8">
            <w:pPr>
              <w:widowControl/>
              <w:spacing w:line="260" w:lineRule="atLeast"/>
              <w:jc w:val="left"/>
              <w:rPr>
                <w:rFonts w:ascii="宋体" w:hAnsi="宋体" w:cs="宋体"/>
                <w:color w:val="auto"/>
                <w:kern w:val="0"/>
                <w:highlight w:val="none"/>
              </w:rPr>
            </w:pPr>
          </w:p>
        </w:tc>
        <w:tc>
          <w:tcPr>
            <w:tcW w:w="766" w:type="dxa"/>
            <w:vAlign w:val="center"/>
          </w:tcPr>
          <w:p w14:paraId="7508AA18">
            <w:pPr>
              <w:widowControl/>
              <w:spacing w:line="260" w:lineRule="atLeast"/>
              <w:jc w:val="center"/>
              <w:rPr>
                <w:rFonts w:ascii="宋体" w:hAnsi="宋体" w:cs="宋体"/>
                <w:color w:val="auto"/>
                <w:kern w:val="0"/>
                <w:highlight w:val="none"/>
              </w:rPr>
            </w:pPr>
          </w:p>
        </w:tc>
      </w:tr>
      <w:tr w14:paraId="5FE7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833" w:type="dxa"/>
            <w:vAlign w:val="center"/>
          </w:tcPr>
          <w:p w14:paraId="026DCBA5">
            <w:pPr>
              <w:widowControl/>
              <w:spacing w:line="260" w:lineRule="atLeast"/>
              <w:jc w:val="center"/>
              <w:rPr>
                <w:rFonts w:ascii="宋体" w:hAnsi="宋体" w:cs="宋体"/>
                <w:color w:val="auto"/>
                <w:kern w:val="0"/>
                <w:highlight w:val="none"/>
              </w:rPr>
            </w:pPr>
            <w:r>
              <w:rPr>
                <w:rFonts w:hint="eastAsia" w:ascii="宋体" w:hAnsi="宋体" w:cs="宋体"/>
                <w:color w:val="auto"/>
                <w:kern w:val="0"/>
                <w:highlight w:val="none"/>
              </w:rPr>
              <w:t>12</w:t>
            </w:r>
          </w:p>
        </w:tc>
        <w:tc>
          <w:tcPr>
            <w:tcW w:w="770" w:type="dxa"/>
            <w:textDirection w:val="tbRlV"/>
            <w:vAlign w:val="center"/>
          </w:tcPr>
          <w:p w14:paraId="492A33AF">
            <w:pPr>
              <w:widowControl/>
              <w:spacing w:line="260" w:lineRule="atLeast"/>
              <w:ind w:left="113" w:right="113" w:firstLine="210" w:firstLineChars="100"/>
              <w:jc w:val="center"/>
              <w:rPr>
                <w:rFonts w:ascii="宋体" w:hAnsi="宋体" w:cs="宋体"/>
                <w:b/>
                <w:bCs/>
                <w:color w:val="auto"/>
                <w:highlight w:val="none"/>
              </w:rPr>
            </w:pPr>
            <w:r>
              <w:rPr>
                <w:rFonts w:hint="eastAsia" w:ascii="宋体" w:hAnsi="宋体" w:cs="宋体"/>
                <w:color w:val="auto"/>
                <w:kern w:val="0"/>
                <w:highlight w:val="none"/>
              </w:rPr>
              <w:t>节约用水用电</w:t>
            </w:r>
          </w:p>
        </w:tc>
        <w:tc>
          <w:tcPr>
            <w:tcW w:w="4034" w:type="dxa"/>
            <w:vAlign w:val="center"/>
          </w:tcPr>
          <w:p w14:paraId="730DA9FF">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按照节能减排相关要求，制定节约用电用水的方案及相关制度。</w:t>
            </w:r>
          </w:p>
        </w:tc>
        <w:tc>
          <w:tcPr>
            <w:tcW w:w="2430" w:type="dxa"/>
            <w:vAlign w:val="center"/>
          </w:tcPr>
          <w:p w14:paraId="6E3FA248">
            <w:pPr>
              <w:widowControl/>
              <w:spacing w:line="260" w:lineRule="atLeast"/>
              <w:jc w:val="left"/>
              <w:rPr>
                <w:rFonts w:ascii="宋体" w:hAnsi="宋体" w:cs="宋体"/>
                <w:color w:val="auto"/>
                <w:kern w:val="0"/>
                <w:highlight w:val="none"/>
              </w:rPr>
            </w:pPr>
            <w:r>
              <w:rPr>
                <w:rFonts w:hint="eastAsia" w:ascii="宋体" w:hAnsi="宋体" w:cs="宋体"/>
                <w:color w:val="auto"/>
                <w:kern w:val="0"/>
                <w:highlight w:val="none"/>
              </w:rPr>
              <w:t>未能出具具体方案的扣5分</w:t>
            </w:r>
          </w:p>
        </w:tc>
        <w:tc>
          <w:tcPr>
            <w:tcW w:w="766" w:type="dxa"/>
            <w:vAlign w:val="center"/>
          </w:tcPr>
          <w:p w14:paraId="1A418DBC">
            <w:pPr>
              <w:widowControl/>
              <w:spacing w:line="260" w:lineRule="atLeast"/>
              <w:jc w:val="center"/>
              <w:rPr>
                <w:rFonts w:ascii="宋体" w:hAnsi="宋体" w:cs="宋体"/>
                <w:color w:val="auto"/>
                <w:highlight w:val="none"/>
              </w:rPr>
            </w:pPr>
          </w:p>
        </w:tc>
      </w:tr>
      <w:tr w14:paraId="73F1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833" w:type="dxa"/>
            <w:gridSpan w:val="5"/>
            <w:vAlign w:val="center"/>
          </w:tcPr>
          <w:p w14:paraId="3F4C7A00">
            <w:pPr>
              <w:widowControl/>
              <w:spacing w:line="260" w:lineRule="atLeast"/>
              <w:jc w:val="left"/>
              <w:rPr>
                <w:rFonts w:ascii="宋体" w:hAnsi="宋体" w:cs="宋体"/>
                <w:color w:val="auto"/>
                <w:kern w:val="0"/>
                <w:highlight w:val="none"/>
              </w:rPr>
            </w:pPr>
            <w:r>
              <w:rPr>
                <w:rFonts w:hint="eastAsia" w:ascii="宋体" w:hAnsi="宋体" w:cs="宋体"/>
                <w:color w:val="auto"/>
                <w:highlight w:val="none"/>
              </w:rPr>
              <w:t>注：每分代表50元。采购人每月底按上述考核细则汇总考核扣分和扣款，最终每月折算的扣款金额从每月支付的服务费中扣除，扣完当月服务费为止，</w:t>
            </w:r>
            <w:r>
              <w:rPr>
                <w:rFonts w:hint="eastAsia" w:ascii="宋体" w:hAnsi="宋体" w:cs="宋体"/>
                <w:color w:val="auto"/>
                <w:kern w:val="0"/>
                <w:highlight w:val="none"/>
              </w:rPr>
              <w:t>供应商应针对出现的问题及时整改。发生食品中毒事件的，</w:t>
            </w:r>
            <w:r>
              <w:rPr>
                <w:rFonts w:hint="eastAsia" w:ascii="Calibri" w:hAnsi="Calibri"/>
                <w:color w:val="auto"/>
                <w:highlight w:val="none"/>
              </w:rPr>
              <w:t>采购人有权依法解除合同，一切不利后果由供应商承担。</w:t>
            </w:r>
          </w:p>
        </w:tc>
      </w:tr>
    </w:tbl>
    <w:p w14:paraId="041AC094">
      <w:pPr>
        <w:spacing w:line="260" w:lineRule="atLeast"/>
        <w:rPr>
          <w:rFonts w:ascii="Calibri" w:hAnsi="Calibri"/>
          <w:color w:val="auto"/>
          <w:highlight w:val="none"/>
        </w:rPr>
      </w:pPr>
    </w:p>
    <w:p w14:paraId="115A97F4">
      <w:pPr>
        <w:rPr>
          <w:color w:val="auto"/>
          <w:highlight w:val="none"/>
        </w:rPr>
      </w:pPr>
    </w:p>
    <w:p w14:paraId="5B84293B">
      <w:pPr>
        <w:pStyle w:val="60"/>
        <w:jc w:val="both"/>
        <w:rPr>
          <w:rFonts w:ascii="仿宋" w:hAnsi="仿宋" w:eastAsia="仿宋" w:cs="仿宋"/>
          <w:b/>
          <w:bCs/>
          <w:color w:val="auto"/>
          <w:sz w:val="28"/>
          <w:szCs w:val="28"/>
          <w:highlight w:val="none"/>
        </w:rPr>
      </w:pPr>
    </w:p>
    <w:p w14:paraId="782EA21C">
      <w:pPr>
        <w:pStyle w:val="60"/>
        <w:jc w:val="both"/>
        <w:rPr>
          <w:rFonts w:ascii="仿宋" w:hAnsi="仿宋" w:eastAsia="仿宋" w:cs="仿宋"/>
          <w:b/>
          <w:bCs/>
          <w:color w:val="auto"/>
          <w:sz w:val="28"/>
          <w:szCs w:val="28"/>
          <w:highlight w:val="none"/>
        </w:rPr>
      </w:pPr>
    </w:p>
    <w:p w14:paraId="300DF8AB">
      <w:pPr>
        <w:pStyle w:val="60"/>
        <w:jc w:val="both"/>
        <w:rPr>
          <w:rFonts w:ascii="仿宋" w:hAnsi="仿宋" w:eastAsia="仿宋" w:cs="仿宋"/>
          <w:b/>
          <w:bCs/>
          <w:color w:val="auto"/>
          <w:sz w:val="28"/>
          <w:szCs w:val="28"/>
          <w:highlight w:val="none"/>
        </w:rPr>
      </w:pPr>
    </w:p>
    <w:p w14:paraId="23099290">
      <w:pPr>
        <w:pStyle w:val="60"/>
        <w:jc w:val="both"/>
        <w:rPr>
          <w:rFonts w:ascii="仿宋" w:hAnsi="仿宋" w:eastAsia="仿宋" w:cs="仿宋"/>
          <w:b/>
          <w:bCs/>
          <w:color w:val="auto"/>
          <w:sz w:val="28"/>
          <w:szCs w:val="28"/>
          <w:highlight w:val="none"/>
        </w:rPr>
      </w:pPr>
    </w:p>
    <w:p w14:paraId="41485B01">
      <w:pPr>
        <w:pStyle w:val="60"/>
        <w:jc w:val="both"/>
        <w:rPr>
          <w:rFonts w:ascii="仿宋" w:hAnsi="仿宋" w:eastAsia="仿宋" w:cs="仿宋"/>
          <w:b/>
          <w:bCs/>
          <w:color w:val="auto"/>
          <w:sz w:val="28"/>
          <w:szCs w:val="28"/>
          <w:highlight w:val="none"/>
        </w:rPr>
      </w:pPr>
    </w:p>
    <w:p w14:paraId="0FD81427">
      <w:pPr>
        <w:pStyle w:val="60"/>
        <w:jc w:val="both"/>
        <w:rPr>
          <w:rFonts w:ascii="仿宋" w:hAnsi="仿宋" w:eastAsia="仿宋" w:cs="仿宋"/>
          <w:b/>
          <w:bCs/>
          <w:color w:val="auto"/>
          <w:sz w:val="28"/>
          <w:szCs w:val="28"/>
          <w:highlight w:val="none"/>
        </w:rPr>
      </w:pPr>
    </w:p>
    <w:p w14:paraId="6F89C706">
      <w:pPr>
        <w:pStyle w:val="60"/>
        <w:jc w:val="both"/>
        <w:rPr>
          <w:rFonts w:ascii="仿宋" w:hAnsi="仿宋" w:eastAsia="仿宋" w:cs="仿宋"/>
          <w:b/>
          <w:bCs/>
          <w:color w:val="auto"/>
          <w:sz w:val="28"/>
          <w:szCs w:val="28"/>
          <w:highlight w:val="none"/>
        </w:rPr>
      </w:pPr>
    </w:p>
    <w:p w14:paraId="13A52D7D">
      <w:pPr>
        <w:pStyle w:val="60"/>
        <w:jc w:val="both"/>
        <w:rPr>
          <w:rFonts w:ascii="仿宋" w:hAnsi="仿宋" w:eastAsia="仿宋" w:cs="仿宋"/>
          <w:b/>
          <w:bCs/>
          <w:color w:val="auto"/>
          <w:sz w:val="28"/>
          <w:szCs w:val="28"/>
          <w:highlight w:val="none"/>
        </w:rPr>
      </w:pPr>
    </w:p>
    <w:p w14:paraId="42CED513">
      <w:pPr>
        <w:pStyle w:val="60"/>
        <w:jc w:val="both"/>
        <w:rPr>
          <w:rFonts w:ascii="仿宋" w:hAnsi="仿宋" w:eastAsia="仿宋" w:cs="仿宋"/>
          <w:b/>
          <w:bCs/>
          <w:color w:val="auto"/>
          <w:sz w:val="28"/>
          <w:szCs w:val="28"/>
          <w:highlight w:val="none"/>
        </w:rPr>
      </w:pPr>
    </w:p>
    <w:p w14:paraId="13D10A61">
      <w:pPr>
        <w:pStyle w:val="60"/>
        <w:jc w:val="both"/>
        <w:rPr>
          <w:rFonts w:ascii="仿宋" w:hAnsi="仿宋" w:eastAsia="仿宋" w:cs="仿宋"/>
          <w:b/>
          <w:bCs/>
          <w:color w:val="auto"/>
          <w:sz w:val="28"/>
          <w:szCs w:val="28"/>
          <w:highlight w:val="none"/>
        </w:rPr>
      </w:pPr>
    </w:p>
    <w:p w14:paraId="5587E1DC">
      <w:pPr>
        <w:pStyle w:val="60"/>
        <w:jc w:val="both"/>
        <w:rPr>
          <w:rFonts w:ascii="仿宋" w:hAnsi="仿宋" w:eastAsia="仿宋" w:cs="仿宋"/>
          <w:b/>
          <w:bCs/>
          <w:color w:val="auto"/>
          <w:sz w:val="28"/>
          <w:szCs w:val="28"/>
          <w:highlight w:val="none"/>
        </w:rPr>
      </w:pPr>
    </w:p>
    <w:p w14:paraId="58F09EB8">
      <w:pPr>
        <w:pStyle w:val="60"/>
        <w:jc w:val="both"/>
        <w:rPr>
          <w:rFonts w:ascii="仿宋" w:hAnsi="仿宋" w:eastAsia="仿宋" w:cs="仿宋"/>
          <w:b/>
          <w:bCs/>
          <w:color w:val="auto"/>
          <w:sz w:val="28"/>
          <w:szCs w:val="28"/>
          <w:highlight w:val="none"/>
        </w:rPr>
      </w:pPr>
    </w:p>
    <w:p w14:paraId="2205E4F8">
      <w:pPr>
        <w:pStyle w:val="60"/>
        <w:jc w:val="both"/>
        <w:rPr>
          <w:rFonts w:ascii="仿宋" w:hAnsi="仿宋" w:eastAsia="仿宋" w:cs="仿宋"/>
          <w:b/>
          <w:bCs/>
          <w:color w:val="auto"/>
          <w:sz w:val="28"/>
          <w:szCs w:val="28"/>
          <w:highlight w:val="none"/>
        </w:rPr>
      </w:pPr>
    </w:p>
    <w:p w14:paraId="572DB5B1">
      <w:pPr>
        <w:pStyle w:val="60"/>
        <w:jc w:val="both"/>
        <w:rPr>
          <w:rFonts w:ascii="仿宋" w:hAnsi="仿宋" w:eastAsia="仿宋" w:cs="仿宋"/>
          <w:b/>
          <w:bCs/>
          <w:color w:val="auto"/>
          <w:sz w:val="28"/>
          <w:szCs w:val="28"/>
          <w:highlight w:val="none"/>
        </w:rPr>
      </w:pPr>
    </w:p>
    <w:p w14:paraId="0FA0189A">
      <w:pPr>
        <w:pStyle w:val="60"/>
        <w:jc w:val="both"/>
        <w:rPr>
          <w:rFonts w:ascii="仿宋" w:hAnsi="仿宋" w:eastAsia="仿宋" w:cs="仿宋"/>
          <w:b/>
          <w:bCs/>
          <w:color w:val="auto"/>
          <w:sz w:val="28"/>
          <w:szCs w:val="28"/>
          <w:highlight w:val="none"/>
        </w:rPr>
      </w:pPr>
    </w:p>
    <w:p w14:paraId="0BDC827F">
      <w:pPr>
        <w:pStyle w:val="60"/>
        <w:jc w:val="both"/>
        <w:rPr>
          <w:rFonts w:ascii="仿宋" w:hAnsi="仿宋" w:eastAsia="仿宋" w:cs="仿宋"/>
          <w:b/>
          <w:bCs/>
          <w:color w:val="auto"/>
          <w:sz w:val="28"/>
          <w:szCs w:val="28"/>
          <w:highlight w:val="none"/>
        </w:rPr>
      </w:pPr>
    </w:p>
    <w:p w14:paraId="2586FE9B">
      <w:pPr>
        <w:pStyle w:val="60"/>
        <w:jc w:val="both"/>
        <w:rPr>
          <w:rFonts w:ascii="仿宋" w:hAnsi="仿宋" w:eastAsia="仿宋" w:cs="仿宋"/>
          <w:b/>
          <w:bCs/>
          <w:color w:val="auto"/>
          <w:sz w:val="28"/>
          <w:szCs w:val="28"/>
          <w:highlight w:val="none"/>
        </w:rPr>
      </w:pPr>
    </w:p>
    <w:p w14:paraId="46E24A30">
      <w:pPr>
        <w:pStyle w:val="60"/>
        <w:jc w:val="both"/>
        <w:rPr>
          <w:rFonts w:ascii="仿宋" w:hAnsi="仿宋" w:eastAsia="仿宋" w:cs="仿宋"/>
          <w:b/>
          <w:bCs/>
          <w:color w:val="auto"/>
          <w:sz w:val="28"/>
          <w:szCs w:val="28"/>
          <w:highlight w:val="none"/>
        </w:rPr>
      </w:pPr>
    </w:p>
    <w:p w14:paraId="7244F105">
      <w:pPr>
        <w:pStyle w:val="60"/>
        <w:jc w:val="both"/>
        <w:rPr>
          <w:rFonts w:ascii="仿宋" w:hAnsi="仿宋" w:eastAsia="仿宋" w:cs="仿宋"/>
          <w:b/>
          <w:bCs/>
          <w:color w:val="auto"/>
          <w:sz w:val="28"/>
          <w:szCs w:val="28"/>
          <w:highlight w:val="none"/>
        </w:rPr>
      </w:pPr>
    </w:p>
    <w:p w14:paraId="59DF47FF">
      <w:pPr>
        <w:pStyle w:val="60"/>
        <w:jc w:val="both"/>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附件2</w:t>
      </w:r>
    </w:p>
    <w:p w14:paraId="65D9F327">
      <w:pPr>
        <w:pStyle w:val="60"/>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职责划分</w:t>
      </w:r>
    </w:p>
    <w:p w14:paraId="7552001F">
      <w:pPr>
        <w:widowControl/>
        <w:spacing w:line="520" w:lineRule="exact"/>
        <w:rPr>
          <w:rFonts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一、学校职责</w:t>
      </w:r>
    </w:p>
    <w:p w14:paraId="65DBA71C">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1.统筹运营调度权责：负责制定食堂整体运营管理制度、后厨各岗位职责、作业操作标准、文明服务规范及考勤调度制度，对拟投入服务团队人员实行统一定岗、统一管理、统一调度、统一考核，全面把控食堂日常服务运营秩序。</w:t>
      </w:r>
    </w:p>
    <w:p w14:paraId="36A6D522">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2.人员准入审核权责：负责审核后厨人员入职资质、有效健康证明、从业资格证书及岗位适配能力，对资质不符、身体条件不达标、无法胜任岗位工作的人员，有权要求</w:t>
      </w:r>
      <w:r>
        <w:rPr>
          <w:rFonts w:hint="eastAsia" w:asciiTheme="majorEastAsia" w:hAnsiTheme="majorEastAsia" w:eastAsiaTheme="majorEastAsia" w:cstheme="majorEastAsia"/>
          <w:color w:val="auto"/>
          <w:szCs w:val="21"/>
          <w:highlight w:val="none"/>
        </w:rPr>
        <w:t>中标供应商</w:t>
      </w:r>
      <w:r>
        <w:rPr>
          <w:rFonts w:hint="eastAsia" w:asciiTheme="majorEastAsia" w:hAnsiTheme="majorEastAsia" w:eastAsiaTheme="majorEastAsia" w:cstheme="majorEastAsia"/>
          <w:color w:val="auto"/>
          <w:kern w:val="0"/>
          <w:szCs w:val="21"/>
          <w:highlight w:val="none"/>
          <w:lang w:bidi="ar"/>
        </w:rPr>
        <w:t>无条件限时更换，严把人员准入关口。</w:t>
      </w:r>
    </w:p>
    <w:p w14:paraId="394B4BC6">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3.日常服务监督权责：常态化监督人员在岗状态、服务态度、操作规范性、食品安全执行情况、后厨及公共区域环境卫生维护情况，对违规操作、服务不达标、消极怠工、屡教不改等行为，及时督查、如实记录、依规扣分，全程监督履约质量。</w:t>
      </w:r>
    </w:p>
    <w:p w14:paraId="18A6BD47">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4.考核评价管理权责：负责制定科学量化的月度考核，根据《桂林医科大学食堂管理考核评分表》对本月食堂餐饮服务进行定期考核，对</w:t>
      </w:r>
      <w:r>
        <w:rPr>
          <w:rFonts w:hint="eastAsia" w:asciiTheme="majorEastAsia" w:hAnsiTheme="majorEastAsia" w:eastAsiaTheme="majorEastAsia" w:cstheme="majorEastAsia"/>
          <w:color w:val="auto"/>
          <w:szCs w:val="21"/>
          <w:highlight w:val="none"/>
        </w:rPr>
        <w:t>中标供应商</w:t>
      </w:r>
      <w:r>
        <w:rPr>
          <w:rFonts w:hint="eastAsia" w:asciiTheme="majorEastAsia" w:hAnsiTheme="majorEastAsia" w:eastAsiaTheme="majorEastAsia" w:cstheme="majorEastAsia"/>
          <w:color w:val="auto"/>
          <w:kern w:val="0"/>
          <w:szCs w:val="21"/>
          <w:highlight w:val="none"/>
          <w:lang w:bidi="ar"/>
        </w:rPr>
        <w:t>整体履约能力、人员管理水平、服务保障质量及人员个人工作绩效开展综合考评，考核结果作为月度费用结算、人员更替调整及违约追责的核心依据。</w:t>
      </w:r>
    </w:p>
    <w:p w14:paraId="4FB8182C">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5.场地物资保障权责：提供食堂作业场地、后厨生产设备、厨具器具、清洁耗材、消杀用品等岗位工作必备物资，持续保障作业条件，确保人员正常开展岗位工作。</w:t>
      </w:r>
    </w:p>
    <w:p w14:paraId="64841F7B">
      <w:pPr>
        <w:widowControl/>
        <w:spacing w:line="520" w:lineRule="exact"/>
        <w:ind w:firstLine="420" w:firstLineChars="200"/>
        <w:rPr>
          <w:rFonts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6.安全统筹监管权责：全面负责食堂食品安全、生产安全、消防安全的统筹管理与日常监管，定期开展安全专项检查、隐患排查，督促</w:t>
      </w:r>
      <w:r>
        <w:rPr>
          <w:rFonts w:hint="eastAsia" w:asciiTheme="majorEastAsia" w:hAnsiTheme="majorEastAsia" w:eastAsiaTheme="majorEastAsia" w:cstheme="majorEastAsia"/>
          <w:color w:val="auto"/>
          <w:szCs w:val="21"/>
          <w:highlight w:val="none"/>
        </w:rPr>
        <w:t>中标供应商</w:t>
      </w:r>
      <w:r>
        <w:rPr>
          <w:rFonts w:hint="eastAsia" w:asciiTheme="majorEastAsia" w:hAnsiTheme="majorEastAsia" w:eastAsiaTheme="majorEastAsia" w:cstheme="majorEastAsia"/>
          <w:color w:val="auto"/>
          <w:kern w:val="0"/>
          <w:szCs w:val="21"/>
          <w:highlight w:val="none"/>
          <w:lang w:bidi="ar"/>
        </w:rPr>
        <w:t>落实安全生产管理制度，压实全员安全责任。</w:t>
      </w:r>
    </w:p>
    <w:p w14:paraId="3BB8A72C">
      <w:pPr>
        <w:widowControl/>
        <w:spacing w:line="520" w:lineRule="exact"/>
        <w:rPr>
          <w:rFonts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二、中标供应商职责</w:t>
      </w:r>
    </w:p>
    <w:p w14:paraId="35F215A2">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1. 完成109名后厨人员的招聘、筛选、背景核查、入职体检及岗前合规培训，确保所有上岗人员资质齐全、证件有效、持证上岗，保障岗位满编配置、无空缺缺岗。</w:t>
      </w:r>
    </w:p>
    <w:p w14:paraId="2334A8BE">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2. 人事全域管理：全权负责后厨人员劳动合同签订、人事档案归集、日常考勤统计、请销假管理、纪律约束、离职交接手续办理，独立处置人员工伤申报、劳资纠纷、劳动仲裁、法律咨询及诉讼等全部人事事务，承担对应用工主体责任。</w:t>
      </w:r>
    </w:p>
    <w:p w14:paraId="363A400A">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3. 岗位替补保障：建立常态化人员储备与应急替补机制，针对人员离职、事假、病假、突发缺勤等空岗情况，在24小时内完成足额替补，持续保障109个岗位稳定运行，杜绝缺岗、空岗影响食堂正常就餐保障工作。</w:t>
      </w:r>
    </w:p>
    <w:p w14:paraId="73B79041">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4. 薪资福利合规管理：严格遵照国家劳动法律法规及合同约定，按时足额发放员工薪资、依法缴纳社会保险及法定福利，负责员工绩效考核、薪资调整、福利落实等工作，确保用工合规、薪资无拖欠、福利无缺位。</w:t>
      </w:r>
    </w:p>
    <w:p w14:paraId="6425F889">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5. 常态化培训与管控：定期组织全员开展岗位技能、食品安全、安全生产、职业道德、校园纪律等专项培训，规范员工操作行为与服务礼仪，督促员工严格遵守学校各项管理制度，针对学校督查发现的问题限时闭环整改。</w:t>
      </w:r>
    </w:p>
    <w:p w14:paraId="1FBC8167">
      <w:pPr>
        <w:widowControl/>
        <w:spacing w:line="520" w:lineRule="exact"/>
        <w:ind w:firstLine="420" w:firstLineChars="200"/>
        <w:rPr>
          <w:rFonts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6. 专项对接与履约管理。设立专职项目对接负责人，常态化对接学校食堂管理部门，及时处置人员异动、问题整改、考核反馈、突发应急等工作，严格履行合同全部条款，主动配合学校管理，确保履约到位、联动高效、整改闭环。</w:t>
      </w:r>
    </w:p>
    <w:p w14:paraId="1DBD19E5">
      <w:pPr>
        <w:widowControl/>
        <w:spacing w:line="520" w:lineRule="exact"/>
        <w:rPr>
          <w:rFonts w:asciiTheme="majorEastAsia" w:hAnsiTheme="majorEastAsia" w:eastAsiaTheme="majorEastAsia" w:cstheme="majorEastAsia"/>
          <w:b/>
          <w:bCs/>
          <w:color w:val="auto"/>
          <w:kern w:val="0"/>
          <w:szCs w:val="21"/>
          <w:highlight w:val="none"/>
          <w:lang w:bidi="ar"/>
        </w:rPr>
      </w:pPr>
      <w:r>
        <w:rPr>
          <w:rFonts w:hint="eastAsia" w:asciiTheme="majorEastAsia" w:hAnsiTheme="majorEastAsia" w:eastAsiaTheme="majorEastAsia" w:cstheme="majorEastAsia"/>
          <w:b/>
          <w:bCs/>
          <w:color w:val="auto"/>
          <w:kern w:val="0"/>
          <w:szCs w:val="21"/>
          <w:highlight w:val="none"/>
          <w:lang w:bidi="ar"/>
        </w:rPr>
        <w:t>三、拟投入人员职责</w:t>
      </w:r>
    </w:p>
    <w:p w14:paraId="7A9738FC">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1. 岗位履职义务：严格遵守学校食堂各项规章制度、食品安全操作规范及卫生管理标准，认真履行对应岗位职责，保质保量完成每日岗位工作任务，无条件服从学校管理人员的统一调度、工作安排与现场管理。</w:t>
      </w:r>
    </w:p>
    <w:p w14:paraId="167210BD">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2. 规范操作义务：严格按照食品安全、后厨作业标准化流程开展食材处理、菜品加工、留样管控、餐具消杀、环境卫生清洁等工作，杜绝违规操作、违章作业，主动规避各类食品安全隐患。</w:t>
      </w:r>
    </w:p>
    <w:p w14:paraId="30F8D96F">
      <w:pPr>
        <w:widowControl/>
        <w:spacing w:line="520" w:lineRule="exact"/>
        <w:ind w:firstLine="420" w:firstLineChars="200"/>
        <w:rPr>
          <w:rFonts w:hint="eastAsia"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3.纪律遵守义务：严格遵守学校考勤制度、岗位纪律、仪容仪表规范及校园管理规定，在岗期间坚守岗位、履职尽责，严禁迟到、早退、旷工、擅离职守、消极怠工、串岗闲聊等违规行为。</w:t>
      </w:r>
    </w:p>
    <w:p w14:paraId="55BA48B2">
      <w:pPr>
        <w:widowControl/>
        <w:spacing w:line="52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4. 安全防控义务：自觉遵守食堂安全生产、消防安全、食材安全管理规定，主动排查岗位安全隐患，发现设备故障、食材异常、安全风险等问题第一时间上报，积极配合安全检查与隐患整改工作。</w:t>
      </w:r>
    </w:p>
    <w:p w14:paraId="6683B88B">
      <w:pPr>
        <w:widowControl/>
        <w:spacing w:line="52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lang w:bidi="ar"/>
        </w:rPr>
        <w:t>5. 文明服务义务：秉持文明礼貌、规范有序的服务原则，规范服务言行、优化服务态度，全力保障师生就餐体验，杜绝服务生硬、推诿扯皮、态度恶劣等问题，自觉维护学校食堂服务形象。</w:t>
      </w:r>
    </w:p>
    <w:p w14:paraId="664B8B34">
      <w:pPr>
        <w:pStyle w:val="60"/>
        <w:jc w:val="both"/>
        <w:rPr>
          <w:color w:val="auto"/>
          <w:highlight w:val="none"/>
        </w:rPr>
      </w:pPr>
    </w:p>
    <w:p w14:paraId="7B283A81">
      <w:pPr>
        <w:pStyle w:val="60"/>
        <w:jc w:val="both"/>
        <w:rPr>
          <w:color w:val="auto"/>
          <w:highlight w:val="none"/>
        </w:rPr>
      </w:pPr>
    </w:p>
    <w:p w14:paraId="5159674A">
      <w:pPr>
        <w:pStyle w:val="60"/>
        <w:jc w:val="both"/>
        <w:rPr>
          <w:color w:val="auto"/>
          <w:highlight w:val="none"/>
        </w:rPr>
      </w:pPr>
    </w:p>
    <w:p w14:paraId="6DDC689B">
      <w:pPr>
        <w:pStyle w:val="60"/>
        <w:jc w:val="both"/>
        <w:rPr>
          <w:color w:val="auto"/>
          <w:highlight w:val="none"/>
        </w:rPr>
      </w:pPr>
    </w:p>
    <w:p w14:paraId="3BA603A3">
      <w:pPr>
        <w:pStyle w:val="60"/>
        <w:jc w:val="both"/>
        <w:rPr>
          <w:color w:val="auto"/>
          <w:highlight w:val="none"/>
        </w:rPr>
      </w:pPr>
    </w:p>
    <w:p w14:paraId="6AE64B78">
      <w:pPr>
        <w:pStyle w:val="60"/>
        <w:jc w:val="both"/>
        <w:rPr>
          <w:color w:val="auto"/>
          <w:highlight w:val="none"/>
        </w:rPr>
      </w:pPr>
    </w:p>
    <w:p w14:paraId="1FEA30D5">
      <w:pPr>
        <w:pStyle w:val="60"/>
        <w:jc w:val="both"/>
        <w:rPr>
          <w:color w:val="auto"/>
          <w:highlight w:val="none"/>
        </w:rPr>
      </w:pPr>
    </w:p>
    <w:p w14:paraId="76602721">
      <w:pPr>
        <w:pStyle w:val="60"/>
        <w:jc w:val="both"/>
        <w:rPr>
          <w:color w:val="auto"/>
          <w:highlight w:val="none"/>
        </w:rPr>
      </w:pPr>
    </w:p>
    <w:p w14:paraId="61CA0F54">
      <w:pPr>
        <w:pStyle w:val="60"/>
        <w:jc w:val="both"/>
        <w:rPr>
          <w:color w:val="auto"/>
          <w:highlight w:val="none"/>
        </w:rPr>
      </w:pPr>
    </w:p>
    <w:p w14:paraId="1FBAEA8D">
      <w:pPr>
        <w:pStyle w:val="60"/>
        <w:jc w:val="both"/>
        <w:rPr>
          <w:color w:val="auto"/>
          <w:highlight w:val="none"/>
        </w:rPr>
      </w:pPr>
    </w:p>
    <w:p w14:paraId="60C4DF50">
      <w:pPr>
        <w:pStyle w:val="60"/>
        <w:jc w:val="both"/>
        <w:rPr>
          <w:color w:val="auto"/>
          <w:highlight w:val="none"/>
        </w:rPr>
      </w:pPr>
    </w:p>
    <w:p w14:paraId="7BB7F3D3">
      <w:pPr>
        <w:pStyle w:val="60"/>
        <w:jc w:val="both"/>
        <w:rPr>
          <w:color w:val="auto"/>
          <w:highlight w:val="none"/>
        </w:rPr>
      </w:pPr>
    </w:p>
    <w:p w14:paraId="5B11D7D7">
      <w:pPr>
        <w:pStyle w:val="60"/>
        <w:jc w:val="both"/>
        <w:rPr>
          <w:color w:val="auto"/>
          <w:highlight w:val="none"/>
        </w:rPr>
      </w:pPr>
    </w:p>
    <w:p w14:paraId="56924C6A">
      <w:pPr>
        <w:pStyle w:val="60"/>
        <w:jc w:val="both"/>
        <w:rPr>
          <w:color w:val="auto"/>
          <w:highlight w:val="none"/>
        </w:rPr>
      </w:pPr>
    </w:p>
    <w:p w14:paraId="458A5B45">
      <w:pPr>
        <w:pStyle w:val="60"/>
        <w:jc w:val="both"/>
        <w:rPr>
          <w:color w:val="auto"/>
          <w:highlight w:val="none"/>
        </w:rPr>
      </w:pPr>
    </w:p>
    <w:p w14:paraId="67DC3AF5">
      <w:pPr>
        <w:pStyle w:val="60"/>
        <w:jc w:val="both"/>
        <w:rPr>
          <w:color w:val="auto"/>
          <w:highlight w:val="none"/>
        </w:rPr>
      </w:pPr>
    </w:p>
    <w:p w14:paraId="06CEC17E">
      <w:pPr>
        <w:pStyle w:val="60"/>
        <w:jc w:val="both"/>
        <w:rPr>
          <w:color w:val="auto"/>
          <w:highlight w:val="none"/>
        </w:rPr>
      </w:pPr>
    </w:p>
    <w:p w14:paraId="44E1B53F">
      <w:pPr>
        <w:pStyle w:val="60"/>
        <w:jc w:val="both"/>
        <w:rPr>
          <w:color w:val="auto"/>
          <w:highlight w:val="none"/>
        </w:rPr>
      </w:pPr>
    </w:p>
    <w:p w14:paraId="21F30DC0">
      <w:pPr>
        <w:pStyle w:val="60"/>
        <w:jc w:val="both"/>
        <w:rPr>
          <w:color w:val="auto"/>
          <w:highlight w:val="none"/>
        </w:rPr>
      </w:pPr>
    </w:p>
    <w:p w14:paraId="04634CC1">
      <w:pPr>
        <w:pStyle w:val="60"/>
        <w:jc w:val="both"/>
        <w:rPr>
          <w:color w:val="auto"/>
          <w:highlight w:val="none"/>
        </w:rPr>
      </w:pPr>
    </w:p>
    <w:p w14:paraId="70843EF5">
      <w:pPr>
        <w:pStyle w:val="60"/>
        <w:jc w:val="both"/>
        <w:rPr>
          <w:color w:val="auto"/>
          <w:highlight w:val="none"/>
        </w:rPr>
      </w:pPr>
    </w:p>
    <w:p w14:paraId="1C703BB6">
      <w:pPr>
        <w:pStyle w:val="60"/>
        <w:jc w:val="both"/>
        <w:rPr>
          <w:color w:val="auto"/>
          <w:highlight w:val="none"/>
        </w:rPr>
      </w:pPr>
    </w:p>
    <w:p w14:paraId="18AF6E97">
      <w:pPr>
        <w:pStyle w:val="60"/>
        <w:jc w:val="both"/>
        <w:rPr>
          <w:color w:val="auto"/>
          <w:highlight w:val="none"/>
        </w:rPr>
      </w:pPr>
    </w:p>
    <w:p w14:paraId="1D32568C">
      <w:pPr>
        <w:pStyle w:val="60"/>
        <w:jc w:val="both"/>
        <w:rPr>
          <w:color w:val="auto"/>
          <w:highlight w:val="none"/>
        </w:rPr>
      </w:pPr>
    </w:p>
    <w:p w14:paraId="2F2EFB79">
      <w:pPr>
        <w:pStyle w:val="60"/>
        <w:jc w:val="both"/>
        <w:rPr>
          <w:color w:val="auto"/>
          <w:highlight w:val="none"/>
        </w:rPr>
      </w:pPr>
    </w:p>
    <w:p w14:paraId="387216CA">
      <w:pPr>
        <w:pStyle w:val="60"/>
        <w:jc w:val="both"/>
        <w:rPr>
          <w:color w:val="auto"/>
          <w:highlight w:val="none"/>
        </w:rPr>
      </w:pPr>
    </w:p>
    <w:p w14:paraId="0BE12851">
      <w:pPr>
        <w:pStyle w:val="60"/>
        <w:jc w:val="both"/>
        <w:rPr>
          <w:color w:val="auto"/>
          <w:highlight w:val="none"/>
        </w:rPr>
      </w:pPr>
    </w:p>
    <w:p w14:paraId="57D4523D">
      <w:pPr>
        <w:pStyle w:val="60"/>
        <w:jc w:val="both"/>
        <w:rPr>
          <w:color w:val="auto"/>
          <w:highlight w:val="none"/>
        </w:rPr>
      </w:pPr>
    </w:p>
    <w:p w14:paraId="0763CB73">
      <w:pPr>
        <w:pStyle w:val="60"/>
        <w:jc w:val="both"/>
        <w:rPr>
          <w:color w:val="auto"/>
          <w:highlight w:val="none"/>
        </w:rPr>
      </w:pPr>
    </w:p>
    <w:p w14:paraId="1A80B3BA">
      <w:pPr>
        <w:pStyle w:val="60"/>
        <w:jc w:val="both"/>
        <w:rPr>
          <w:color w:val="auto"/>
          <w:highlight w:val="none"/>
        </w:rPr>
      </w:pPr>
    </w:p>
    <w:p w14:paraId="567B9BD8">
      <w:pPr>
        <w:pStyle w:val="60"/>
        <w:jc w:val="both"/>
        <w:rPr>
          <w:color w:val="auto"/>
          <w:highlight w:val="none"/>
        </w:rPr>
      </w:pPr>
    </w:p>
    <w:p w14:paraId="5F168CED">
      <w:pPr>
        <w:pStyle w:val="60"/>
        <w:jc w:val="both"/>
        <w:rPr>
          <w:color w:val="auto"/>
          <w:highlight w:val="none"/>
        </w:rPr>
      </w:pPr>
    </w:p>
    <w:p w14:paraId="7F2949AB">
      <w:pPr>
        <w:pStyle w:val="60"/>
        <w:jc w:val="both"/>
        <w:rPr>
          <w:rFonts w:ascii="仿宋" w:hAnsi="仿宋" w:eastAsia="仿宋" w:cs="仿宋"/>
          <w:b/>
          <w:bCs/>
          <w:color w:val="auto"/>
          <w:sz w:val="28"/>
          <w:szCs w:val="28"/>
          <w:highlight w:val="none"/>
        </w:rPr>
      </w:pPr>
    </w:p>
    <w:p w14:paraId="6DFC22B3">
      <w:pPr>
        <w:pStyle w:val="60"/>
        <w:jc w:val="both"/>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附件3</w:t>
      </w:r>
    </w:p>
    <w:p w14:paraId="7CCC1759">
      <w:pPr>
        <w:pStyle w:val="60"/>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退出机制</w:t>
      </w:r>
    </w:p>
    <w:p w14:paraId="3CA8A7F2">
      <w:pPr>
        <w:spacing w:line="520" w:lineRule="exact"/>
        <w:outlineLvl w:val="2"/>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1.合同期满自然退出</w:t>
      </w:r>
    </w:p>
    <w:p w14:paraId="2D3FB712">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（1）服务合作合同期限届满，学校年度综合考评不合格。</w:t>
      </w:r>
    </w:p>
    <w:p w14:paraId="005F044F">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（2）中标人因自身经营原因，主动书面申请终止合作的，须提前 90 日提交退场申请。</w:t>
      </w:r>
    </w:p>
    <w:p w14:paraId="58350B36">
      <w:pPr>
        <w:spacing w:line="520" w:lineRule="exact"/>
        <w:outlineLvl w:val="2"/>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2.考核整改劝退（限期整改，到期退场）</w:t>
      </w:r>
    </w:p>
    <w:p w14:paraId="05FBFF86">
      <w:pPr>
        <w:spacing w:before="120" w:after="120" w:line="52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实行月度考核、年度总评，考核总分 100 分，合格线70 分，出现下列情形予以黄牌警告、限期整改，整改仍不达标启动劝退：</w:t>
      </w:r>
    </w:p>
    <w:p w14:paraId="2F865E92">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（1）单月考核得分低于 80 分，15 日内整改复查不合格；连续两个季度考核不达标；年度综合评分低于 70 分；</w:t>
      </w:r>
    </w:p>
    <w:p w14:paraId="50E6C4EE">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（2）拟投入人员管理不规范：无证上岗、健康证过期、人员流动性过大擅自减员，多次整改无改善；</w:t>
      </w:r>
    </w:p>
    <w:p w14:paraId="401DB9A6">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（3）未按时足额发放员工工资、未全员缴纳社保、意外保险的，引发员工投诉，限期未完成补缴补发；</w:t>
      </w:r>
    </w:p>
    <w:p w14:paraId="4F67F151">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（4）食堂环境卫生、餐具消毒、食材储存加工多次检查不达标，拒不落实市场监管、学校整改要求；</w:t>
      </w:r>
    </w:p>
    <w:p w14:paraId="61A18C5C">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（5）不配合学校重大活动、考试、疫情等应急供餐保障工作；</w:t>
      </w:r>
    </w:p>
    <w:p w14:paraId="0D92A0C2">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（6）师生就餐满意度连续两次低于 70%，投诉频发且处置不到位。</w:t>
      </w:r>
      <w:r>
        <w:rPr>
          <w:rFonts w:hint="eastAsia" w:asciiTheme="majorEastAsia" w:hAnsiTheme="majorEastAsia" w:eastAsiaTheme="majorEastAsia" w:cstheme="majorEastAsia"/>
          <w:color w:val="auto"/>
          <w:szCs w:val="21"/>
          <w:highlight w:val="none"/>
        </w:rPr>
        <w:br w:type="textWrapping"/>
      </w:r>
      <w:r>
        <w:rPr>
          <w:rFonts w:hint="eastAsia" w:asciiTheme="majorEastAsia" w:hAnsiTheme="majorEastAsia" w:eastAsiaTheme="majorEastAsia" w:cstheme="majorEastAsia"/>
          <w:color w:val="auto"/>
          <w:szCs w:val="21"/>
          <w:highlight w:val="none"/>
        </w:rPr>
        <w:t>下达整改通知书后 30 日内未整改到位，学校出具劝退告知书，设置30日平稳交接过渡期。</w:t>
      </w:r>
    </w:p>
    <w:p w14:paraId="4D2DE534">
      <w:pPr>
        <w:spacing w:before="300" w:after="120" w:line="520" w:lineRule="exact"/>
        <w:outlineLvl w:val="2"/>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3.重大违规强制清退（单方立即解除合同，一票否决）</w:t>
      </w:r>
    </w:p>
    <w:p w14:paraId="74BED49A">
      <w:pPr>
        <w:spacing w:before="120" w:after="120" w:line="52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投标人存在下列任一情形，学校可单方面终止合同，在7 日内完成全部交接，全额扣除履约保证金，并追究违约责任：</w:t>
      </w:r>
    </w:p>
    <w:p w14:paraId="57EF1A8B">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（1）食品安全重大隐患：发生群体性食物中毒、使用过期变质食材、非法添加食品添加剂，被市场监管部门立案处罚，造成校园舆情或师生人身伤害。</w:t>
      </w:r>
    </w:p>
    <w:p w14:paraId="0ADA376B">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（2）严重劳动违法：拖欠员工工资超过30日、使用童工、同工不同酬、大规模欠薪引发群体性讨薪、劳动仲裁上访。</w:t>
      </w:r>
    </w:p>
    <w:p w14:paraId="708CAD14">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（3）安全责任事故：后厨燃气、消防、用电操作不当引发火灾、爆炸、人员重伤等责任事故，重大安全隐患拒不整改。</w:t>
      </w:r>
    </w:p>
    <w:p w14:paraId="5FD8D4B8">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（4）转包分包违规：未经学校书面许可，将服务转包、分包、挂靠第三方机构。</w:t>
      </w:r>
    </w:p>
    <w:p w14:paraId="1C658BCF">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（5）廉洁失信行为：向学校管理人员行贿、提供回扣，伪造资质、健康证、社保缴费凭证等材料。</w:t>
      </w:r>
    </w:p>
    <w:p w14:paraId="7EB14C6D">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（6）恶意停供：擅自减少在岗人员、故意缩减供餐时段、单方面停止食堂运营，影响师生正常就餐。</w:t>
      </w:r>
    </w:p>
    <w:p w14:paraId="72CDF5B2">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（7）出现打架斗殴、欺凌员工、盗窃食堂物资等恶性事件，造成恶劣校园影响。</w:t>
      </w:r>
    </w:p>
    <w:p w14:paraId="6257907E">
      <w:pPr>
        <w:spacing w:before="300" w:after="120" w:line="520" w:lineRule="exact"/>
        <w:outlineLvl w:val="2"/>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4.自然退出流程</w:t>
      </w:r>
    </w:p>
    <w:p w14:paraId="544F2217">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（1）到期前60日：中标供应商提交员工安置方案、工资结清计划、场地设备交接清单。</w:t>
      </w:r>
    </w:p>
    <w:p w14:paraId="7ADBB0E8">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（2）合同到期之日启动全面交接，10日内完成人员撤离、场地清理、财务对账。</w:t>
      </w:r>
    </w:p>
    <w:p w14:paraId="591EAB57">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（3）财务完成结算，扣除物资损坏、损耗费用后，无息退还剩余保证金。</w:t>
      </w:r>
    </w:p>
    <w:p w14:paraId="08A01A93">
      <w:pPr>
        <w:spacing w:before="300" w:after="120" w:line="520" w:lineRule="exact"/>
        <w:outlineLvl w:val="2"/>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5.考核劝退流程</w:t>
      </w:r>
    </w:p>
    <w:p w14:paraId="01283772">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（1）现场取证并下发《限期整改通知书》，明确整改事项、时限、复查节点。</w:t>
      </w:r>
    </w:p>
    <w:p w14:paraId="7EE3D32C">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（2）复查不合格，食堂管理科整理考核记录、师生投诉、检查台账等佐证材料，形成劝退意见。</w:t>
      </w:r>
    </w:p>
    <w:p w14:paraId="0529391F">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（3）过渡期内中标供应商须保证人员稳定、正常供餐，不得降低服务标准；过渡期届满后完成清场交接。</w:t>
      </w:r>
    </w:p>
    <w:p w14:paraId="19811C20">
      <w:pPr>
        <w:spacing w:before="300" w:after="120" w:line="520" w:lineRule="exact"/>
        <w:outlineLvl w:val="2"/>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6.人员劳动关系交接</w:t>
      </w:r>
    </w:p>
    <w:p w14:paraId="0920C481">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（1）退场前全额结清拟投入员工工资、加班费、高温补贴等所有劳动报酬，足额补缴欠缴社保、意外险，缴费凭证交学校核验。</w:t>
      </w:r>
    </w:p>
    <w:p w14:paraId="491F4A47">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（2）依法出具解除终止劳动合同证明，按法律法规支付经济补偿金，杜绝劳资纠纷、上访事件。</w:t>
      </w:r>
    </w:p>
    <w:p w14:paraId="50714F39">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（3）完整移交员工健康证、培训档案、身份资料；退场后因用工遗留问题产生仲裁、赔偿，全部由中标供应商承担，学校可从保证金抵扣。</w:t>
      </w:r>
    </w:p>
    <w:p w14:paraId="25F917D9">
      <w:pPr>
        <w:spacing w:before="300" w:after="120" w:line="520" w:lineRule="exact"/>
        <w:outlineLvl w:val="2"/>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7.场地、设备、物资交接</w:t>
      </w:r>
    </w:p>
    <w:p w14:paraId="6014A703">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（1）对照进场资产清单盘点灶具、冷库、餐具、清洗设备等公共资产，人为损毁、丢失照价赔偿。</w:t>
      </w:r>
    </w:p>
    <w:p w14:paraId="13580D5D">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（2）自行采购原材料、工具、私人物资限期清运，过期食材统一无害化销毁；完成全区域深度消杀，验收合格方可离场。</w:t>
      </w:r>
    </w:p>
    <w:p w14:paraId="34055226">
      <w:pPr>
        <w:spacing w:before="300" w:after="120" w:line="520" w:lineRule="exact"/>
        <w:outlineLvl w:val="2"/>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8.财务清算</w:t>
      </w:r>
    </w:p>
    <w:p w14:paraId="4B2D3978">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（1）核对服务费、水电分摊、违规罚款、设备维修费、应急垫付费用。</w:t>
      </w:r>
    </w:p>
    <w:p w14:paraId="21029D3E">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（2）履约保证金抵扣顺序：员工欠薪赔偿→资产损坏赔偿→合同违约金→应急供餐垫付资金；保证金不足抵扣的，中标供应商 7 日内补足差额，学校保留诉讼追偿权利。</w:t>
      </w:r>
    </w:p>
    <w:p w14:paraId="7C571588">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（3）全部对账凭证、发票交由财务处归档留存。</w:t>
      </w:r>
    </w:p>
    <w:p w14:paraId="33E20395">
      <w:pPr>
        <w:spacing w:before="300" w:after="120" w:line="520" w:lineRule="exact"/>
        <w:outlineLvl w:val="2"/>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9.资料移交</w:t>
      </w:r>
    </w:p>
    <w:p w14:paraId="00B04AAB">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完整移交食品安全台账、日管控周排查记录、员工安全培训记录、保险单据、应急预案等全套资料；合作期内未了结的食安、安全、劳动纠纷，由中标供应商终身承担赔偿责任。</w:t>
      </w:r>
    </w:p>
    <w:p w14:paraId="062D25F1">
      <w:pPr>
        <w:spacing w:before="300" w:after="120" w:line="520" w:lineRule="exact"/>
        <w:outlineLvl w:val="2"/>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10.过渡期供餐保障</w:t>
      </w:r>
    </w:p>
    <w:p w14:paraId="0D153B4A">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（1）劝退、强制清退过渡期内，中标供应商不得擅自减员、压缩菜品、抬高售价；恶意减员导致无法供餐，学校直接动用保证金临时聘用人员。</w:t>
      </w:r>
    </w:p>
    <w:p w14:paraId="02902F5B">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（2）学校同步启动新餐饮运营与管理项目招标，最大限度缩短用工空档，保障就餐不间断。</w:t>
      </w:r>
    </w:p>
    <w:p w14:paraId="7075635E">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（3）若中标供应商锁门停工、煽动员工罢工闹事，学校可直接接管场地强制清场。</w:t>
      </w:r>
    </w:p>
    <w:p w14:paraId="62721114">
      <w:pPr>
        <w:spacing w:before="300" w:after="120" w:line="520" w:lineRule="exact"/>
        <w:outlineLvl w:val="2"/>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rPr>
        <w:t>11.违约处置</w:t>
      </w:r>
    </w:p>
    <w:p w14:paraId="4D062008">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（1）未按期退场、遗留劳资纠纷、拒不履行赔偿义务的，全额没收履约保证金，3 年内禁止参与采购人所有食堂、餐饮项目投标。</w:t>
      </w:r>
    </w:p>
    <w:p w14:paraId="7F079EBB">
      <w:pPr>
        <w:spacing w:before="120" w:after="120" w:line="5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（2）存在食品安全违法、恶意欠薪、商业行贿等违法行为，同步上报桂林市人社局、市场监管局，纳入行业失信黑名单，永久禁止进入本校后勤服务市场。</w:t>
      </w:r>
    </w:p>
    <w:p w14:paraId="6261653E">
      <w:pPr>
        <w:pStyle w:val="60"/>
        <w:spacing w:line="520" w:lineRule="exact"/>
        <w:jc w:val="both"/>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（3）因中标供应商退场处置不当造成学校声誉损失、师生人身损害的，额外承担全部诉讼费、赔偿金。</w:t>
      </w:r>
    </w:p>
    <w:p w14:paraId="4D75D85C">
      <w:pPr>
        <w:widowControl/>
        <w:jc w:val="left"/>
        <w:rPr>
          <w:rFonts w:ascii="宋体" w:hAnsi="宋体" w:cs="宋体"/>
          <w:color w:val="auto"/>
          <w:sz w:val="32"/>
          <w:szCs w:val="32"/>
          <w:highlight w:val="none"/>
        </w:rPr>
      </w:pPr>
    </w:p>
    <w:p w14:paraId="3CFA1D49">
      <w:pPr>
        <w:widowControl/>
        <w:jc w:val="left"/>
        <w:rPr>
          <w:rFonts w:ascii="宋体" w:hAnsi="宋体" w:cs="宋体"/>
          <w:color w:val="auto"/>
          <w:sz w:val="32"/>
          <w:szCs w:val="32"/>
          <w:highlight w:val="none"/>
        </w:rPr>
      </w:pPr>
    </w:p>
    <w:p w14:paraId="62424785">
      <w:pPr>
        <w:widowControl/>
        <w:jc w:val="left"/>
        <w:rPr>
          <w:rFonts w:ascii="宋体" w:hAnsi="宋体" w:cs="宋体"/>
          <w:color w:val="auto"/>
          <w:sz w:val="32"/>
          <w:szCs w:val="32"/>
          <w:highlight w:val="none"/>
        </w:rPr>
      </w:pPr>
    </w:p>
    <w:p w14:paraId="23BE9687">
      <w:pPr>
        <w:widowControl/>
        <w:jc w:val="left"/>
        <w:rPr>
          <w:rFonts w:ascii="宋体" w:hAnsi="宋体" w:cs="宋体"/>
          <w:color w:val="auto"/>
          <w:sz w:val="32"/>
          <w:szCs w:val="32"/>
          <w:highlight w:val="none"/>
        </w:rPr>
      </w:pPr>
    </w:p>
    <w:p w14:paraId="61A19162">
      <w:pPr>
        <w:widowControl/>
        <w:jc w:val="left"/>
        <w:rPr>
          <w:rFonts w:ascii="宋体" w:hAnsi="宋体" w:cs="宋体"/>
          <w:color w:val="auto"/>
          <w:sz w:val="32"/>
          <w:szCs w:val="32"/>
          <w:highlight w:val="none"/>
        </w:rPr>
      </w:pPr>
    </w:p>
    <w:p w14:paraId="0E533C5D">
      <w:pPr>
        <w:widowControl/>
        <w:jc w:val="left"/>
        <w:rPr>
          <w:rFonts w:ascii="宋体" w:hAnsi="宋体" w:cs="宋体"/>
          <w:color w:val="auto"/>
          <w:sz w:val="32"/>
          <w:szCs w:val="32"/>
          <w:highlight w:val="none"/>
        </w:rPr>
      </w:pPr>
    </w:p>
    <w:p w14:paraId="2A3F7482">
      <w:pPr>
        <w:widowControl/>
        <w:jc w:val="left"/>
        <w:rPr>
          <w:rFonts w:ascii="宋体" w:hAnsi="宋体" w:cs="宋体"/>
          <w:color w:val="auto"/>
          <w:sz w:val="32"/>
          <w:szCs w:val="32"/>
          <w:highlight w:val="none"/>
        </w:rPr>
      </w:pPr>
    </w:p>
    <w:p w14:paraId="5F6565F5">
      <w:pPr>
        <w:widowControl/>
        <w:jc w:val="left"/>
        <w:rPr>
          <w:rFonts w:ascii="宋体" w:hAnsi="宋体" w:cs="宋体"/>
          <w:color w:val="auto"/>
          <w:sz w:val="32"/>
          <w:szCs w:val="32"/>
          <w:highlight w:val="none"/>
        </w:rPr>
      </w:pPr>
    </w:p>
    <w:p w14:paraId="500553D3">
      <w:pPr>
        <w:widowControl/>
        <w:jc w:val="left"/>
        <w:rPr>
          <w:rFonts w:ascii="宋体" w:hAnsi="宋体" w:cs="宋体"/>
          <w:color w:val="auto"/>
          <w:sz w:val="32"/>
          <w:szCs w:val="32"/>
          <w:highlight w:val="none"/>
        </w:rPr>
      </w:pPr>
    </w:p>
    <w:p w14:paraId="776DAE19">
      <w:pPr>
        <w:pStyle w:val="2"/>
        <w:rPr>
          <w:rFonts w:hAnsi="宋体"/>
          <w:color w:val="auto"/>
          <w:sz w:val="32"/>
          <w:szCs w:val="32"/>
          <w:highlight w:val="none"/>
        </w:rPr>
      </w:pPr>
    </w:p>
    <w:p w14:paraId="45BCFD3A">
      <w:pPr>
        <w:pStyle w:val="2"/>
        <w:rPr>
          <w:rFonts w:hAnsi="宋体"/>
          <w:color w:val="auto"/>
          <w:sz w:val="32"/>
          <w:szCs w:val="32"/>
          <w:highlight w:val="none"/>
        </w:rPr>
      </w:pPr>
    </w:p>
    <w:p w14:paraId="7E4B758E">
      <w:pPr>
        <w:pStyle w:val="2"/>
        <w:rPr>
          <w:rFonts w:hAnsi="宋体"/>
          <w:color w:val="auto"/>
          <w:sz w:val="32"/>
          <w:szCs w:val="32"/>
          <w:highlight w:val="none"/>
        </w:rPr>
      </w:pPr>
    </w:p>
    <w:p w14:paraId="2FE9C079">
      <w:pPr>
        <w:widowControl/>
        <w:jc w:val="left"/>
        <w:rPr>
          <w:rFonts w:ascii="宋体" w:hAnsi="宋体" w:cs="宋体"/>
          <w:color w:val="auto"/>
          <w:sz w:val="32"/>
          <w:szCs w:val="32"/>
          <w:highlight w:val="none"/>
        </w:rPr>
      </w:pPr>
    </w:p>
    <w:p w14:paraId="3589AD69">
      <w:pPr>
        <w:widowControl/>
        <w:jc w:val="left"/>
        <w:rPr>
          <w:rFonts w:ascii="宋体" w:hAnsi="宋体" w:cs="宋体"/>
          <w:color w:val="auto"/>
          <w:sz w:val="32"/>
          <w:szCs w:val="32"/>
          <w:highlight w:val="none"/>
        </w:rPr>
      </w:pPr>
      <w:r>
        <w:rPr>
          <w:rFonts w:hint="eastAsia" w:ascii="宋体" w:hAnsi="宋体" w:cs="宋体"/>
          <w:color w:val="auto"/>
          <w:sz w:val="32"/>
          <w:szCs w:val="32"/>
          <w:highlight w:val="none"/>
        </w:rPr>
        <w:t>附件4：</w:t>
      </w:r>
    </w:p>
    <w:p w14:paraId="7DCE6B9C">
      <w:pPr>
        <w:pStyle w:val="20"/>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中小企业划型标准规定</w:t>
      </w:r>
    </w:p>
    <w:p w14:paraId="73033109">
      <w:pPr>
        <w:pStyle w:val="20"/>
        <w:jc w:val="center"/>
        <w:rPr>
          <w:rFonts w:ascii="宋体" w:hAnsi="宋体" w:cs="宋体"/>
          <w:color w:val="auto"/>
          <w:sz w:val="21"/>
          <w:szCs w:val="21"/>
          <w:highlight w:val="none"/>
        </w:rPr>
      </w:pPr>
      <w:r>
        <w:rPr>
          <w:rFonts w:hint="eastAsia" w:ascii="宋体" w:hAnsi="宋体" w:cs="宋体"/>
          <w:color w:val="auto"/>
          <w:sz w:val="21"/>
          <w:szCs w:val="21"/>
          <w:highlight w:val="none"/>
        </w:rPr>
        <w:t>工信部联企业〔2011〕300号</w:t>
      </w:r>
    </w:p>
    <w:p w14:paraId="5C7D1FBA">
      <w:pPr>
        <w:pStyle w:val="20"/>
        <w:rPr>
          <w:rFonts w:ascii="宋体" w:hAnsi="宋体" w:cs="宋体"/>
          <w:color w:val="auto"/>
          <w:sz w:val="21"/>
          <w:szCs w:val="21"/>
          <w:highlight w:val="none"/>
        </w:rPr>
      </w:pPr>
    </w:p>
    <w:p w14:paraId="47370D58">
      <w:pPr>
        <w:pStyle w:val="20"/>
        <w:rPr>
          <w:rFonts w:ascii="宋体" w:hAnsi="宋体" w:cs="宋体"/>
          <w:color w:val="auto"/>
          <w:sz w:val="21"/>
          <w:szCs w:val="21"/>
          <w:highlight w:val="none"/>
        </w:rPr>
      </w:pPr>
      <w:r>
        <w:rPr>
          <w:rFonts w:hint="eastAsia" w:ascii="宋体" w:hAnsi="宋体" w:cs="宋体"/>
          <w:color w:val="auto"/>
          <w:sz w:val="21"/>
          <w:szCs w:val="21"/>
          <w:highlight w:val="none"/>
        </w:rPr>
        <w:t>　　一、根据《中华人民共和国中小企业促进法》和《国务院关于进一步促进中小企业发展的若干意见》（国发〔2009〕36号），制定本规定。</w:t>
      </w:r>
    </w:p>
    <w:p w14:paraId="2607BC97">
      <w:pPr>
        <w:pStyle w:val="20"/>
        <w:rPr>
          <w:rFonts w:ascii="宋体" w:hAnsi="宋体" w:cs="宋体"/>
          <w:color w:val="auto"/>
          <w:sz w:val="21"/>
          <w:szCs w:val="21"/>
          <w:highlight w:val="none"/>
        </w:rPr>
      </w:pPr>
      <w:r>
        <w:rPr>
          <w:rFonts w:hint="eastAsia" w:ascii="宋体" w:hAnsi="宋体" w:cs="宋体"/>
          <w:color w:val="auto"/>
          <w:sz w:val="21"/>
          <w:szCs w:val="21"/>
          <w:highlight w:val="none"/>
        </w:rPr>
        <w:t>　　二、中小企业划分为中型、小型、微型三种类型，具体标准根据企业从业人员、营业收入、资产总额等指标，结合行业特点制定。</w:t>
      </w:r>
    </w:p>
    <w:p w14:paraId="11DABB9C">
      <w:pPr>
        <w:pStyle w:val="20"/>
        <w:rPr>
          <w:rFonts w:ascii="宋体" w:hAnsi="宋体" w:cs="宋体"/>
          <w:color w:val="auto"/>
          <w:sz w:val="21"/>
          <w:szCs w:val="21"/>
          <w:highlight w:val="none"/>
        </w:rPr>
      </w:pPr>
      <w:r>
        <w:rPr>
          <w:rFonts w:hint="eastAsia" w:ascii="宋体" w:hAnsi="宋体" w:cs="宋体"/>
          <w:color w:val="auto"/>
          <w:sz w:val="21"/>
          <w:szCs w:val="21"/>
          <w:highlight w:val="none"/>
        </w:rPr>
        <w:t>　　三、本规定适用的行业包括：农、林、牧、渔业，工业（包括采矿业，制造业，电力、热力、燃气及水生产和服务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F5BFF7B">
      <w:pPr>
        <w:pStyle w:val="20"/>
        <w:rPr>
          <w:rFonts w:ascii="宋体" w:hAnsi="宋体" w:cs="宋体"/>
          <w:color w:val="auto"/>
          <w:sz w:val="21"/>
          <w:szCs w:val="21"/>
          <w:highlight w:val="none"/>
        </w:rPr>
      </w:pPr>
      <w:r>
        <w:rPr>
          <w:rFonts w:hint="eastAsia" w:ascii="宋体" w:hAnsi="宋体" w:cs="宋体"/>
          <w:color w:val="auto"/>
          <w:sz w:val="21"/>
          <w:szCs w:val="21"/>
          <w:highlight w:val="none"/>
        </w:rPr>
        <w:t>　　四、各行业划型标准为：</w:t>
      </w:r>
    </w:p>
    <w:p w14:paraId="5764C0D0">
      <w:pPr>
        <w:pStyle w:val="20"/>
        <w:rPr>
          <w:rFonts w:ascii="宋体" w:hAnsi="宋体" w:cs="宋体"/>
          <w:color w:val="auto"/>
          <w:sz w:val="21"/>
          <w:szCs w:val="21"/>
          <w:highlight w:val="none"/>
        </w:rPr>
      </w:pPr>
      <w:r>
        <w:rPr>
          <w:rFonts w:hint="eastAsia" w:ascii="宋体" w:hAnsi="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4F45CF11">
      <w:pPr>
        <w:pStyle w:val="20"/>
        <w:rPr>
          <w:rFonts w:ascii="宋体" w:hAnsi="宋体" w:cs="宋体"/>
          <w:color w:val="auto"/>
          <w:sz w:val="21"/>
          <w:szCs w:val="21"/>
          <w:highlight w:val="none"/>
        </w:rPr>
      </w:pPr>
      <w:r>
        <w:rPr>
          <w:rFonts w:hint="eastAsia" w:ascii="宋体" w:hAnsi="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425A168">
      <w:pPr>
        <w:pStyle w:val="20"/>
        <w:rPr>
          <w:rFonts w:ascii="宋体" w:hAnsi="宋体" w:cs="宋体"/>
          <w:color w:val="auto"/>
          <w:sz w:val="21"/>
          <w:szCs w:val="21"/>
          <w:highlight w:val="none"/>
        </w:rPr>
      </w:pPr>
      <w:r>
        <w:rPr>
          <w:rFonts w:hint="eastAsia" w:ascii="宋体" w:hAnsi="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ADF1A3">
      <w:pPr>
        <w:pStyle w:val="20"/>
        <w:rPr>
          <w:rFonts w:ascii="宋体" w:hAnsi="宋体" w:cs="宋体"/>
          <w:color w:val="auto"/>
          <w:sz w:val="21"/>
          <w:szCs w:val="21"/>
          <w:highlight w:val="none"/>
        </w:rPr>
      </w:pPr>
      <w:r>
        <w:rPr>
          <w:rFonts w:hint="eastAsia" w:ascii="宋体" w:hAnsi="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61BF8C6">
      <w:pPr>
        <w:pStyle w:val="20"/>
        <w:rPr>
          <w:rFonts w:ascii="宋体" w:hAnsi="宋体" w:cs="宋体"/>
          <w:color w:val="auto"/>
          <w:sz w:val="21"/>
          <w:szCs w:val="21"/>
          <w:highlight w:val="none"/>
        </w:rPr>
      </w:pPr>
      <w:r>
        <w:rPr>
          <w:rFonts w:hint="eastAsia" w:ascii="宋体" w:hAnsi="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A236F76">
      <w:pPr>
        <w:pStyle w:val="20"/>
        <w:rPr>
          <w:rFonts w:ascii="宋体" w:hAnsi="宋体" w:cs="宋体"/>
          <w:color w:val="auto"/>
          <w:sz w:val="21"/>
          <w:szCs w:val="21"/>
          <w:highlight w:val="none"/>
        </w:rPr>
      </w:pPr>
      <w:r>
        <w:rPr>
          <w:rFonts w:hint="eastAsia" w:ascii="宋体" w:hAnsi="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C77F029">
      <w:pPr>
        <w:pStyle w:val="20"/>
        <w:rPr>
          <w:rFonts w:ascii="宋体" w:hAnsi="宋体" w:cs="宋体"/>
          <w:color w:val="auto"/>
          <w:sz w:val="21"/>
          <w:szCs w:val="21"/>
          <w:highlight w:val="none"/>
        </w:rPr>
      </w:pPr>
      <w:r>
        <w:rPr>
          <w:rFonts w:hint="eastAsia" w:ascii="宋体" w:hAnsi="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0453D1F">
      <w:pPr>
        <w:pStyle w:val="20"/>
        <w:rPr>
          <w:rFonts w:ascii="宋体" w:hAnsi="宋体" w:cs="宋体"/>
          <w:color w:val="auto"/>
          <w:sz w:val="21"/>
          <w:szCs w:val="21"/>
          <w:highlight w:val="none"/>
        </w:rPr>
      </w:pPr>
      <w:r>
        <w:rPr>
          <w:rFonts w:hint="eastAsia" w:ascii="宋体" w:hAnsi="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B469B23">
      <w:pPr>
        <w:pStyle w:val="20"/>
        <w:rPr>
          <w:rFonts w:ascii="宋体" w:hAnsi="宋体" w:cs="宋体"/>
          <w:color w:val="auto"/>
          <w:sz w:val="21"/>
          <w:szCs w:val="21"/>
          <w:highlight w:val="none"/>
        </w:rPr>
      </w:pPr>
      <w:r>
        <w:rPr>
          <w:rFonts w:hint="eastAsia" w:ascii="宋体" w:hAnsi="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EBA757E">
      <w:pPr>
        <w:pStyle w:val="20"/>
        <w:rPr>
          <w:rFonts w:ascii="宋体" w:hAnsi="宋体" w:cs="宋体"/>
          <w:color w:val="auto"/>
          <w:sz w:val="21"/>
          <w:szCs w:val="21"/>
          <w:highlight w:val="none"/>
        </w:rPr>
      </w:pPr>
      <w:r>
        <w:rPr>
          <w:rFonts w:hint="eastAsia" w:ascii="宋体" w:hAnsi="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23A2C48">
      <w:pPr>
        <w:pStyle w:val="20"/>
        <w:rPr>
          <w:rFonts w:ascii="宋体" w:hAnsi="宋体" w:cs="宋体"/>
          <w:color w:val="auto"/>
          <w:sz w:val="21"/>
          <w:szCs w:val="21"/>
          <w:highlight w:val="none"/>
        </w:rPr>
      </w:pPr>
      <w:r>
        <w:rPr>
          <w:rFonts w:hint="eastAsia" w:ascii="宋体" w:hAnsi="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CC180E7">
      <w:pPr>
        <w:pStyle w:val="20"/>
        <w:rPr>
          <w:rFonts w:ascii="宋体" w:hAnsi="宋体" w:cs="宋体"/>
          <w:color w:val="auto"/>
          <w:sz w:val="21"/>
          <w:szCs w:val="21"/>
          <w:highlight w:val="none"/>
        </w:rPr>
      </w:pPr>
      <w:r>
        <w:rPr>
          <w:rFonts w:hint="eastAsia" w:ascii="宋体" w:hAnsi="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67AE0FB">
      <w:pPr>
        <w:pStyle w:val="20"/>
        <w:rPr>
          <w:rFonts w:ascii="宋体" w:hAnsi="宋体" w:cs="宋体"/>
          <w:color w:val="auto"/>
          <w:sz w:val="21"/>
          <w:szCs w:val="21"/>
          <w:highlight w:val="none"/>
        </w:rPr>
      </w:pPr>
      <w:r>
        <w:rPr>
          <w:rFonts w:hint="eastAsia" w:ascii="宋体" w:hAnsi="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315C678">
      <w:pPr>
        <w:pStyle w:val="20"/>
        <w:rPr>
          <w:rFonts w:ascii="宋体" w:hAnsi="宋体" w:cs="宋体"/>
          <w:color w:val="auto"/>
          <w:sz w:val="21"/>
          <w:szCs w:val="21"/>
          <w:highlight w:val="none"/>
        </w:rPr>
      </w:pPr>
      <w:r>
        <w:rPr>
          <w:rFonts w:hint="eastAsia" w:ascii="宋体" w:hAnsi="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56B8F6E">
      <w:pPr>
        <w:pStyle w:val="20"/>
        <w:rPr>
          <w:rFonts w:ascii="宋体" w:hAnsi="宋体" w:cs="宋体"/>
          <w:color w:val="auto"/>
          <w:sz w:val="21"/>
          <w:szCs w:val="21"/>
          <w:highlight w:val="none"/>
        </w:rPr>
      </w:pPr>
      <w:r>
        <w:rPr>
          <w:rFonts w:hint="eastAsia" w:ascii="宋体" w:hAnsi="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A6A64C0">
      <w:pPr>
        <w:pStyle w:val="20"/>
        <w:rPr>
          <w:rFonts w:ascii="宋体" w:hAnsi="宋体" w:cs="宋体"/>
          <w:color w:val="auto"/>
          <w:sz w:val="21"/>
          <w:szCs w:val="21"/>
          <w:highlight w:val="none"/>
        </w:rPr>
      </w:pPr>
      <w:r>
        <w:rPr>
          <w:rFonts w:hint="eastAsia" w:ascii="宋体" w:hAnsi="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1EA7F8FC">
      <w:pPr>
        <w:pStyle w:val="20"/>
        <w:rPr>
          <w:rFonts w:ascii="宋体" w:hAnsi="宋体" w:cs="宋体"/>
          <w:color w:val="auto"/>
          <w:sz w:val="21"/>
          <w:szCs w:val="21"/>
          <w:highlight w:val="none"/>
        </w:rPr>
      </w:pPr>
      <w:r>
        <w:rPr>
          <w:rFonts w:hint="eastAsia" w:ascii="宋体" w:hAnsi="宋体" w:cs="宋体"/>
          <w:color w:val="auto"/>
          <w:sz w:val="21"/>
          <w:szCs w:val="21"/>
          <w:highlight w:val="none"/>
        </w:rPr>
        <w:t>　　五、企业类型的划分以统计部门的统计数据为依据。</w:t>
      </w:r>
    </w:p>
    <w:p w14:paraId="2D07B038">
      <w:pPr>
        <w:pStyle w:val="20"/>
        <w:rPr>
          <w:rFonts w:ascii="宋体" w:hAnsi="宋体" w:cs="宋体"/>
          <w:color w:val="auto"/>
          <w:sz w:val="21"/>
          <w:szCs w:val="21"/>
          <w:highlight w:val="none"/>
        </w:rPr>
      </w:pPr>
      <w:r>
        <w:rPr>
          <w:rFonts w:hint="eastAsia" w:ascii="宋体" w:hAnsi="宋体" w:cs="宋体"/>
          <w:color w:val="auto"/>
          <w:sz w:val="21"/>
          <w:szCs w:val="21"/>
          <w:highlight w:val="none"/>
        </w:rPr>
        <w:t>　　六、本规定适用于在中华人民共和国境内依法设立的各类所有制和各种组织形式的企业。个体工商户和本规定以外的行业，参照本规定进行划型。</w:t>
      </w:r>
    </w:p>
    <w:p w14:paraId="1B001190">
      <w:pPr>
        <w:pStyle w:val="20"/>
        <w:rPr>
          <w:rFonts w:ascii="宋体" w:hAnsi="宋体" w:cs="宋体"/>
          <w:color w:val="auto"/>
          <w:sz w:val="21"/>
          <w:szCs w:val="21"/>
          <w:highlight w:val="none"/>
        </w:rPr>
      </w:pPr>
      <w:r>
        <w:rPr>
          <w:rFonts w:hint="eastAsia" w:ascii="宋体" w:hAnsi="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6CAE8425">
      <w:pPr>
        <w:pStyle w:val="20"/>
        <w:rPr>
          <w:rFonts w:ascii="宋体" w:hAnsi="宋体" w:cs="宋体"/>
          <w:color w:val="auto"/>
          <w:sz w:val="21"/>
          <w:szCs w:val="21"/>
          <w:highlight w:val="none"/>
        </w:rPr>
      </w:pPr>
      <w:r>
        <w:rPr>
          <w:rFonts w:hint="eastAsia" w:ascii="宋体" w:hAnsi="宋体" w:cs="宋体"/>
          <w:color w:val="auto"/>
          <w:sz w:val="21"/>
          <w:szCs w:val="21"/>
          <w:highlight w:val="none"/>
        </w:rPr>
        <w:t>　　八、本规定由工业和信息化部、国家统计局会同有关部门根据《国民经济行业分类》修订情况和企业发展变化情况适时修订。</w:t>
      </w:r>
    </w:p>
    <w:p w14:paraId="7E10808A">
      <w:pPr>
        <w:pStyle w:val="20"/>
        <w:rPr>
          <w:rFonts w:ascii="宋体" w:hAnsi="宋体" w:cs="宋体"/>
          <w:color w:val="auto"/>
          <w:sz w:val="21"/>
          <w:szCs w:val="21"/>
          <w:highlight w:val="none"/>
        </w:rPr>
      </w:pPr>
      <w:r>
        <w:rPr>
          <w:rFonts w:hint="eastAsia" w:ascii="宋体" w:hAnsi="宋体" w:cs="宋体"/>
          <w:color w:val="auto"/>
          <w:sz w:val="21"/>
          <w:szCs w:val="21"/>
          <w:highlight w:val="none"/>
        </w:rPr>
        <w:t>　　九、本规定由工业和信息化部、国家统计局会同有关部门负责解释。</w:t>
      </w:r>
    </w:p>
    <w:p w14:paraId="5A202D23">
      <w:pPr>
        <w:pStyle w:val="20"/>
        <w:ind w:firstLine="420"/>
        <w:rPr>
          <w:rFonts w:ascii="宋体" w:hAnsi="宋体" w:cs="宋体"/>
          <w:color w:val="auto"/>
          <w:sz w:val="21"/>
          <w:szCs w:val="21"/>
          <w:highlight w:val="none"/>
        </w:rPr>
      </w:pPr>
      <w:r>
        <w:rPr>
          <w:rFonts w:hint="eastAsia" w:ascii="宋体" w:hAnsi="宋体" w:cs="宋体"/>
          <w:color w:val="auto"/>
          <w:sz w:val="21"/>
          <w:szCs w:val="21"/>
          <w:highlight w:val="none"/>
        </w:rPr>
        <w:t>十、本规定自发布之日起执行，原国家经贸委、原国家计委、财政部和国家统计局2003年颁布的《中小企业标准暂行规定》同时废止。</w:t>
      </w:r>
    </w:p>
    <w:p w14:paraId="1F706D0F">
      <w:pPr>
        <w:pStyle w:val="4"/>
        <w:spacing w:before="0" w:after="0" w:line="360" w:lineRule="auto"/>
        <w:jc w:val="center"/>
        <w:rPr>
          <w:rFonts w:ascii="宋体" w:hAnsi="宋体" w:cs="宋体"/>
          <w:color w:val="auto"/>
          <w:highlight w:val="none"/>
        </w:rPr>
      </w:pPr>
      <w:r>
        <w:rPr>
          <w:rFonts w:hint="eastAsia" w:ascii="宋体" w:hAnsi="宋体" w:cs="宋体"/>
          <w:color w:val="auto"/>
          <w:highlight w:val="none"/>
        </w:rPr>
        <w:br w:type="page"/>
      </w:r>
      <w:bookmarkStart w:id="65" w:name="_Toc17701"/>
      <w:r>
        <w:rPr>
          <w:rFonts w:hint="eastAsia" w:ascii="宋体" w:hAnsi="宋体" w:cs="宋体"/>
          <w:color w:val="auto"/>
          <w:highlight w:val="none"/>
        </w:rPr>
        <w:t>第三章 投标人须知</w:t>
      </w:r>
      <w:bookmarkEnd w:id="64"/>
      <w:bookmarkEnd w:id="65"/>
    </w:p>
    <w:p w14:paraId="3714AE05">
      <w:pPr>
        <w:jc w:val="center"/>
        <w:rPr>
          <w:rFonts w:ascii="宋体" w:hAnsi="宋体" w:cs="宋体"/>
          <w:color w:val="auto"/>
          <w:sz w:val="36"/>
          <w:szCs w:val="36"/>
          <w:highlight w:val="none"/>
        </w:rPr>
      </w:pPr>
      <w:bookmarkStart w:id="66" w:name="_Toc254970526"/>
      <w:bookmarkStart w:id="67" w:name="_Toc254970667"/>
      <w:r>
        <w:rPr>
          <w:rFonts w:hint="eastAsia" w:ascii="宋体" w:hAnsi="宋体" w:cs="宋体"/>
          <w:color w:val="auto"/>
          <w:sz w:val="36"/>
          <w:szCs w:val="36"/>
          <w:highlight w:val="none"/>
        </w:rPr>
        <w:t>投标人须知前附表</w:t>
      </w:r>
      <w:bookmarkEnd w:id="66"/>
      <w:bookmarkEnd w:id="67"/>
    </w:p>
    <w:tbl>
      <w:tblPr>
        <w:tblStyle w:val="49"/>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43DEA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F64B9E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463D9735">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3BD2CB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065AF14">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67FA75D8">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0E87C8AC">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0A2A22D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D882A7E">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2.2对在“信用中国”网站（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www.ccgp.gov.cn）被列入失信被执行人、重大税收违法失信主体、政府采购严重违法失信行为记录名单及其他不符合《中华人民共和国政府采购法》第二十二条规定条件的供应商，不得参与政府采购活动。</w:t>
            </w:r>
          </w:p>
        </w:tc>
      </w:tr>
      <w:tr w14:paraId="274D3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95" w:type="dxa"/>
            <w:tcBorders>
              <w:top w:val="single" w:color="auto" w:sz="4" w:space="0"/>
              <w:left w:val="single" w:color="auto" w:sz="4" w:space="0"/>
              <w:bottom w:val="single" w:color="auto" w:sz="4" w:space="0"/>
              <w:right w:val="single" w:color="auto" w:sz="4" w:space="0"/>
            </w:tcBorders>
            <w:vAlign w:val="center"/>
          </w:tcPr>
          <w:p w14:paraId="20DDD7D7">
            <w:pPr>
              <w:adjustRightInd w:val="0"/>
              <w:spacing w:line="400" w:lineRule="exact"/>
              <w:jc w:val="center"/>
              <w:rPr>
                <w:rFonts w:ascii="宋体" w:hAnsi="宋体" w:cs="宋体"/>
                <w:color w:val="auto"/>
                <w:szCs w:val="21"/>
                <w:highlight w:val="none"/>
              </w:rPr>
            </w:pPr>
            <w:bookmarkStart w:id="68" w:name="_9.2"/>
            <w:bookmarkEnd w:id="68"/>
            <w:bookmarkStart w:id="69" w:name="_5"/>
            <w:bookmarkEnd w:id="69"/>
            <w:bookmarkStart w:id="70" w:name="_8.1"/>
            <w:bookmarkEnd w:id="70"/>
            <w:r>
              <w:rPr>
                <w:rFonts w:hint="eastAsia" w:ascii="宋体" w:hAnsi="宋体" w:cs="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79AE1AF5">
            <w:pPr>
              <w:pStyle w:val="18"/>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本项目是否接受联合体投标：</w:t>
            </w:r>
            <w:r>
              <w:rPr>
                <w:rFonts w:hint="eastAsia" w:ascii="宋体" w:hAnsi="宋体" w:cs="宋体"/>
                <w:b/>
                <w:color w:val="auto"/>
                <w:szCs w:val="21"/>
                <w:highlight w:val="none"/>
              </w:rPr>
              <w:t>本项目不接受联合体投标。</w:t>
            </w:r>
          </w:p>
        </w:tc>
      </w:tr>
      <w:tr w14:paraId="4C066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74F3B45">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15A1BB68">
            <w:pPr>
              <w:pStyle w:val="18"/>
              <w:adjustRightInd w:val="0"/>
              <w:spacing w:line="400" w:lineRule="exact"/>
              <w:rPr>
                <w:rFonts w:ascii="宋体" w:hAnsi="宋体" w:cs="宋体"/>
                <w:color w:val="auto"/>
                <w:szCs w:val="21"/>
                <w:highlight w:val="none"/>
              </w:rPr>
            </w:pPr>
            <w:bookmarkStart w:id="71" w:name="_Hlk54105293"/>
            <w:r>
              <w:rPr>
                <w:rFonts w:hint="eastAsia" w:ascii="宋体" w:hAnsi="宋体" w:cs="宋体"/>
                <w:color w:val="auto"/>
                <w:szCs w:val="21"/>
                <w:highlight w:val="none"/>
              </w:rPr>
              <w:t>如接受联合体投标，</w:t>
            </w:r>
            <w:bookmarkEnd w:id="71"/>
            <w:r>
              <w:rPr>
                <w:rFonts w:hint="eastAsia" w:ascii="宋体" w:hAnsi="宋体" w:cs="宋体"/>
                <w:color w:val="auto"/>
                <w:szCs w:val="21"/>
                <w:highlight w:val="none"/>
              </w:rPr>
              <w:t>联合体投标要求如下：</w:t>
            </w:r>
          </w:p>
          <w:p w14:paraId="789F497D">
            <w:pPr>
              <w:pStyle w:val="18"/>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1.两个以上投标人可以组成一个投标联合体，以一个投标人的身份共同参加投标。联合体投标的，须提供《联合体投标协议书》（格式后附）。</w:t>
            </w:r>
          </w:p>
          <w:p w14:paraId="11D32FE8">
            <w:pPr>
              <w:pStyle w:val="18"/>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6DE1958B">
            <w:pPr>
              <w:pStyle w:val="18"/>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3.联合体各方之间必须签订联合投标协议，协议书必须明确主体方（或者牵头方）并明确约定联合体各方承担的工作和相应的责任（各方承担责任与义务的分工必须符合采购需求，否则，</w:t>
            </w:r>
            <w:r>
              <w:rPr>
                <w:rFonts w:hint="eastAsia" w:ascii="宋体" w:hAnsi="宋体" w:cs="宋体"/>
                <w:b/>
                <w:color w:val="auto"/>
                <w:szCs w:val="21"/>
                <w:highlight w:val="none"/>
              </w:rPr>
              <w:t>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0232F388">
            <w:pPr>
              <w:pStyle w:val="18"/>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77B54999">
            <w:pPr>
              <w:pStyle w:val="18"/>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00D55E56">
            <w:pPr>
              <w:pStyle w:val="18"/>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1490B514">
            <w:pPr>
              <w:pStyle w:val="18"/>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0E7F7DB6">
            <w:pPr>
              <w:pStyle w:val="18"/>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74E1F0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D69F2A9">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548F1775">
            <w:pPr>
              <w:pStyle w:val="18"/>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☑不允许分包</w:t>
            </w:r>
          </w:p>
          <w:p w14:paraId="1083CA15">
            <w:pPr>
              <w:pStyle w:val="18"/>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□允许分包</w:t>
            </w:r>
          </w:p>
          <w:p w14:paraId="2AEC54A8">
            <w:pPr>
              <w:pStyle w:val="18"/>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                    。</w:t>
            </w:r>
          </w:p>
          <w:p w14:paraId="47788061">
            <w:pPr>
              <w:pStyle w:val="18"/>
              <w:adjustRightInd w:val="0"/>
              <w:spacing w:line="400" w:lineRule="exact"/>
              <w:jc w:val="both"/>
              <w:rPr>
                <w:rFonts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75C6E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ADF5046">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04174DA6">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采用最低评标价法的采购项目，提供相同品牌产品（非单一产品采购项目的，指核心产品）的不同投标人评标报价相同时，按照下列方式确定一个投标人获得中标供应商推荐资格：</w:t>
            </w:r>
          </w:p>
          <w:p w14:paraId="0D0A7FF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□依次按投标报价低的优先、带“▲”的实质性要求正偏离项数多的优先、均无正偏离或者正偏离项数一致时负偏离项数少的优先、保修（维护）期长优先、交货期短优先、故障响应时间短优先的顺序推荐。</w:t>
            </w:r>
          </w:p>
          <w:p w14:paraId="66DC1C7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253C029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0A3CA8D6">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采用综合评分法的采购项目，提供相同品牌产品（非单一产品采购项目的，指核心产品）的不同投标人评审得分相同时，按照下列方式确定一个投标人获得中标供应商推荐资格：</w:t>
            </w:r>
          </w:p>
          <w:p w14:paraId="5425D9E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w:t>
            </w:r>
            <w:r>
              <w:rPr>
                <w:rFonts w:hint="eastAsia" w:ascii="宋体" w:hAnsi="宋体"/>
                <w:color w:val="auto"/>
                <w:highlight w:val="none"/>
              </w:rPr>
              <w:t>服务方案</w:t>
            </w:r>
            <w:r>
              <w:rPr>
                <w:rFonts w:hint="eastAsia" w:ascii="宋体" w:hAnsi="宋体" w:cs="宋体"/>
                <w:color w:val="auto"/>
                <w:szCs w:val="21"/>
                <w:highlight w:val="none"/>
              </w:rPr>
              <w:t>分高的优先、</w:t>
            </w:r>
            <w:r>
              <w:rPr>
                <w:rFonts w:hint="eastAsia" w:ascii="宋体" w:hAnsi="宋体"/>
                <w:color w:val="auto"/>
                <w:highlight w:val="none"/>
              </w:rPr>
              <w:t>人员管理及培训方案</w:t>
            </w:r>
            <w:r>
              <w:rPr>
                <w:rFonts w:hint="eastAsia" w:ascii="宋体" w:hAnsi="宋体" w:cs="宋体"/>
                <w:color w:val="auto"/>
                <w:szCs w:val="21"/>
                <w:highlight w:val="none"/>
              </w:rPr>
              <w:t>分高的优先、</w:t>
            </w:r>
            <w:r>
              <w:rPr>
                <w:rFonts w:hint="eastAsia" w:ascii="宋体" w:hAnsi="宋体"/>
                <w:bCs/>
                <w:color w:val="auto"/>
                <w:highlight w:val="none"/>
              </w:rPr>
              <w:t>突发事件处理预案</w:t>
            </w:r>
            <w:r>
              <w:rPr>
                <w:rFonts w:hint="eastAsia" w:ascii="宋体" w:hAnsi="宋体" w:cs="宋体"/>
                <w:color w:val="auto"/>
                <w:szCs w:val="21"/>
                <w:highlight w:val="none"/>
              </w:rPr>
              <w:t>分高的优先、</w:t>
            </w:r>
            <w:r>
              <w:rPr>
                <w:rFonts w:hint="eastAsia" w:ascii="宋体" w:hAnsi="宋体"/>
                <w:color w:val="auto"/>
                <w:szCs w:val="21"/>
                <w:highlight w:val="none"/>
                <w:lang w:val="zh-CN"/>
              </w:rPr>
              <w:t>技术力量分高</w:t>
            </w:r>
            <w:r>
              <w:rPr>
                <w:rFonts w:hint="eastAsia" w:ascii="宋体" w:hAnsi="宋体" w:cs="宋体"/>
                <w:color w:val="auto"/>
                <w:szCs w:val="21"/>
                <w:highlight w:val="none"/>
              </w:rPr>
              <w:t>的优先、</w:t>
            </w:r>
            <w:r>
              <w:rPr>
                <w:rFonts w:hint="eastAsia" w:ascii="宋体" w:hAnsi="宋体"/>
                <w:color w:val="auto"/>
                <w:szCs w:val="21"/>
                <w:highlight w:val="none"/>
                <w:lang w:val="zh-CN"/>
              </w:rPr>
              <w:t>成功案例</w:t>
            </w:r>
            <w:r>
              <w:rPr>
                <w:rFonts w:hint="eastAsia" w:ascii="宋体" w:hAnsi="宋体" w:cs="宋体"/>
                <w:color w:val="auto"/>
                <w:szCs w:val="21"/>
                <w:highlight w:val="none"/>
              </w:rPr>
              <w:t>分高的优先</w:t>
            </w:r>
            <w:r>
              <w:rPr>
                <w:rFonts w:hint="eastAsia" w:ascii="宋体" w:hAnsi="宋体"/>
                <w:color w:val="auto"/>
                <w:szCs w:val="21"/>
                <w:highlight w:val="none"/>
              </w:rPr>
              <w:t>、</w:t>
            </w:r>
            <w:r>
              <w:rPr>
                <w:rFonts w:hint="eastAsia" w:ascii="宋体" w:hAnsi="宋体"/>
                <w:color w:val="auto"/>
                <w:szCs w:val="21"/>
                <w:highlight w:val="none"/>
                <w:lang w:val="zh-CN"/>
              </w:rPr>
              <w:t>相关证书</w:t>
            </w:r>
            <w:r>
              <w:rPr>
                <w:rFonts w:hint="eastAsia" w:ascii="宋体" w:hAnsi="宋体" w:cs="宋体"/>
                <w:color w:val="auto"/>
                <w:szCs w:val="21"/>
                <w:highlight w:val="none"/>
              </w:rPr>
              <w:t>分高的优先顺序推荐；</w:t>
            </w:r>
          </w:p>
          <w:p w14:paraId="4B24792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5148ED5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190C6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95" w:type="dxa"/>
            <w:vMerge w:val="restart"/>
            <w:tcBorders>
              <w:top w:val="single" w:color="auto" w:sz="4" w:space="0"/>
              <w:left w:val="single" w:color="auto" w:sz="4" w:space="0"/>
              <w:right w:val="single" w:color="auto" w:sz="4" w:space="0"/>
            </w:tcBorders>
            <w:vAlign w:val="center"/>
          </w:tcPr>
          <w:p w14:paraId="6BF08EC6">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8670" w:type="dxa"/>
            <w:tcBorders>
              <w:top w:val="single" w:color="auto" w:sz="4" w:space="0"/>
              <w:left w:val="single" w:color="auto" w:sz="4" w:space="0"/>
              <w:bottom w:val="single" w:color="auto" w:sz="4" w:space="0"/>
              <w:right w:val="single" w:color="auto" w:sz="4" w:space="0"/>
            </w:tcBorders>
            <w:vAlign w:val="center"/>
          </w:tcPr>
          <w:p w14:paraId="06A23D0A">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本项目不组织现场考察</w:t>
            </w:r>
          </w:p>
        </w:tc>
      </w:tr>
      <w:tr w14:paraId="31F45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0CBA52E1">
            <w:pPr>
              <w:adjustRightInd w:val="0"/>
              <w:spacing w:line="400" w:lineRule="exact"/>
              <w:jc w:val="center"/>
              <w:rPr>
                <w:rFonts w:ascii="宋体" w:hAnsi="宋体" w:cs="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630A325D">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193B159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0AB73837">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w:t>
            </w:r>
          </w:p>
        </w:tc>
      </w:tr>
      <w:tr w14:paraId="168F6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0592E995">
            <w:pPr>
              <w:adjustRightInd w:val="0"/>
              <w:spacing w:line="400" w:lineRule="exact"/>
              <w:jc w:val="center"/>
              <w:rPr>
                <w:rFonts w:ascii="宋体" w:hAnsi="宋体" w:cs="宋体"/>
                <w:color w:val="auto"/>
                <w:szCs w:val="21"/>
                <w:highlight w:val="none"/>
              </w:rPr>
            </w:pPr>
            <w:bookmarkStart w:id="72" w:name="_13.1"/>
            <w:bookmarkEnd w:id="72"/>
            <w:r>
              <w:rPr>
                <w:rFonts w:hint="eastAsia" w:ascii="宋体" w:hAnsi="宋体" w:cs="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7017AE7A">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578D64BF">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665ED8EA">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2.开标一览表（格式后附）；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55161FE">
            <w:pPr>
              <w:tabs>
                <w:tab w:val="left" w:pos="459"/>
              </w:tabs>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投标人</w:t>
            </w:r>
            <w:r>
              <w:rPr>
                <w:rFonts w:hint="eastAsia" w:ascii="宋体" w:hAnsi="宋体"/>
                <w:color w:val="auto"/>
                <w:szCs w:val="21"/>
                <w:highlight w:val="none"/>
              </w:rPr>
              <w:t>享受中小企业扶持政策的材料（</w:t>
            </w:r>
            <w:r>
              <w:rPr>
                <w:rFonts w:hint="eastAsia" w:ascii="宋体" w:hAnsi="宋体"/>
                <w:color w:val="auto"/>
                <w:szCs w:val="21"/>
                <w:highlight w:val="none"/>
                <w:lang w:val="en-US" w:eastAsia="zh-CN"/>
              </w:rPr>
              <w:t>投标人</w:t>
            </w:r>
            <w:r>
              <w:rPr>
                <w:rFonts w:hint="eastAsia" w:ascii="宋体" w:hAnsi="宋体"/>
                <w:color w:val="auto"/>
                <w:szCs w:val="21"/>
                <w:highlight w:val="none"/>
              </w:rPr>
              <w:t>根据自身响应情况，提供以下任意一项材料以证明自身可享受中小企业扶持政策）：</w:t>
            </w:r>
          </w:p>
          <w:p w14:paraId="337DD865">
            <w:pPr>
              <w:tabs>
                <w:tab w:val="left" w:pos="459"/>
              </w:tabs>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（1）《中小企业声明函》（格式后附）；</w:t>
            </w:r>
          </w:p>
          <w:p w14:paraId="2E4B0050">
            <w:pPr>
              <w:tabs>
                <w:tab w:val="left" w:pos="459"/>
              </w:tabs>
              <w:snapToGrid w:val="0"/>
              <w:spacing w:line="36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rPr>
              <w:t>（2）《残疾人福利性单位声明函》（格式后附）</w:t>
            </w:r>
            <w:r>
              <w:rPr>
                <w:rFonts w:hint="eastAsia" w:ascii="宋体" w:hAnsi="宋体"/>
                <w:color w:val="auto"/>
                <w:szCs w:val="21"/>
                <w:highlight w:val="none"/>
                <w:lang w:eastAsia="zh-CN"/>
              </w:rPr>
              <w:t>；</w:t>
            </w:r>
          </w:p>
          <w:p w14:paraId="11532A1C">
            <w:pPr>
              <w:tabs>
                <w:tab w:val="left" w:pos="459"/>
              </w:tabs>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（3）省级以上监狱管理局、戒毒管理局(含新疆生产建设兵团)出具的属于监狱企业的证明文件； </w:t>
            </w:r>
          </w:p>
          <w:p w14:paraId="5FB46791">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.《关于符合本国产品标准的声明函》或者财政部会同有关部门规定的有关证明文件；（供应商根据自身响应情况出具）</w:t>
            </w:r>
          </w:p>
          <w:p w14:paraId="26F6085C">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投标人针对报价需要说明的其他文件和说明（格式自拟）。</w:t>
            </w:r>
          </w:p>
          <w:p w14:paraId="47AB6D5D">
            <w:pPr>
              <w:adjustRightInd w:val="0"/>
              <w:spacing w:line="400" w:lineRule="exact"/>
              <w:jc w:val="left"/>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b/>
                <w:bCs/>
                <w:color w:val="auto"/>
                <w:szCs w:val="21"/>
                <w:highlight w:val="none"/>
              </w:rPr>
              <w:t>以上标明“必须提供”的材料，必须加盖投标人电子签章。格式</w:t>
            </w:r>
            <w:r>
              <w:rPr>
                <w:rFonts w:hint="eastAsia" w:ascii="宋体" w:hAnsi="宋体" w:cs="宋体"/>
                <w:b/>
                <w:color w:val="auto"/>
                <w:szCs w:val="21"/>
                <w:highlight w:val="none"/>
              </w:rPr>
              <w:t>中有要求法定代表人或者委托代理人签字，必须按要求签字（或者电子签名）</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1B61C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1793511C">
            <w:pPr>
              <w:adjustRightInd w:val="0"/>
              <w:spacing w:line="400" w:lineRule="exact"/>
              <w:rPr>
                <w:rFonts w:ascii="宋体" w:hAnsi="宋体" w:cs="宋体"/>
                <w:color w:val="auto"/>
                <w:szCs w:val="21"/>
                <w:highlight w:val="none"/>
              </w:rPr>
            </w:pPr>
            <w:bookmarkStart w:id="73" w:name="_13.2"/>
            <w:bookmarkEnd w:id="73"/>
          </w:p>
        </w:tc>
        <w:tc>
          <w:tcPr>
            <w:tcW w:w="8670" w:type="dxa"/>
            <w:tcBorders>
              <w:top w:val="single" w:color="auto" w:sz="4" w:space="0"/>
              <w:left w:val="single" w:color="auto" w:sz="4" w:space="0"/>
              <w:bottom w:val="single" w:color="auto" w:sz="4" w:space="0"/>
              <w:right w:val="single" w:color="auto" w:sz="4" w:space="0"/>
            </w:tcBorders>
            <w:vAlign w:val="center"/>
          </w:tcPr>
          <w:p w14:paraId="099B4B02">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2599492B">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91"/>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498CE5E">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rPr>
              <w:t>月以来任意一个月的依法缴纳税收的</w:t>
            </w:r>
            <w:r>
              <w:rPr>
                <w:rFonts w:hint="eastAsia" w:ascii="宋体" w:hAnsi="宋体" w:cs="宋体"/>
                <w:color w:val="auto"/>
                <w:highlight w:val="none"/>
              </w:rPr>
              <w:t>证明材料</w:t>
            </w:r>
            <w:r>
              <w:rPr>
                <w:rFonts w:hint="eastAsia" w:ascii="宋体" w:hAnsi="宋体" w:cs="宋体"/>
                <w:color w:val="auto"/>
                <w:szCs w:val="21"/>
                <w:highlight w:val="none"/>
              </w:rPr>
              <w:t>复印件；依法免税的供应商，</w:t>
            </w:r>
            <w:r>
              <w:rPr>
                <w:rFonts w:hint="eastAsia" w:ascii="宋体" w:hAnsi="宋体" w:cs="宋体"/>
                <w:color w:val="auto"/>
                <w:highlight w:val="none"/>
              </w:rPr>
              <w:t>必须提供符合免税条件的证明材料</w:t>
            </w:r>
            <w:r>
              <w:rPr>
                <w:rFonts w:hint="eastAsia" w:ascii="宋体" w:hAnsi="宋体" w:cs="宋体"/>
                <w:color w:val="auto"/>
                <w:szCs w:val="21"/>
                <w:highlight w:val="none"/>
              </w:rPr>
              <w:t>。从成立之日起至投标文件提交截止时间止不足要求月数的，</w:t>
            </w:r>
            <w:r>
              <w:rPr>
                <w:rFonts w:hint="eastAsia" w:ascii="宋体" w:hAnsi="宋体" w:cs="宋体"/>
                <w:color w:val="auto"/>
                <w:highlight w:val="none"/>
              </w:rPr>
              <w:t>则无需提交</w:t>
            </w:r>
            <w:r>
              <w:rPr>
                <w:rFonts w:hint="eastAsia" w:ascii="宋体" w:hAnsi="宋体" w:cs="宋体"/>
                <w:color w:val="auto"/>
                <w:szCs w:val="21"/>
                <w:highlight w:val="none"/>
              </w:rPr>
              <w:t>）；（</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5319428">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rPr>
              <w:t>月以来任意一个月的依法缴纳社会保障资金的缴费</w:t>
            </w:r>
            <w:r>
              <w:rPr>
                <w:rFonts w:hint="eastAsia" w:ascii="宋体" w:hAnsi="宋体" w:cs="宋体"/>
                <w:color w:val="auto"/>
                <w:highlight w:val="none"/>
              </w:rPr>
              <w:t>证明材料</w:t>
            </w:r>
            <w:r>
              <w:rPr>
                <w:rFonts w:hint="eastAsia" w:ascii="宋体" w:hAnsi="宋体" w:cs="宋体"/>
                <w:color w:val="auto"/>
                <w:szCs w:val="21"/>
                <w:highlight w:val="none"/>
              </w:rPr>
              <w:t>（</w:t>
            </w:r>
            <w:r>
              <w:rPr>
                <w:rFonts w:hint="eastAsia" w:ascii="宋体" w:hAnsi="宋体" w:cs="宋体"/>
                <w:color w:val="auto"/>
                <w:highlight w:val="none"/>
              </w:rPr>
              <w:t>如：</w:t>
            </w:r>
            <w:r>
              <w:rPr>
                <w:rFonts w:hint="eastAsia" w:ascii="宋体" w:hAnsi="宋体" w:cs="宋体"/>
                <w:color w:val="auto"/>
                <w:szCs w:val="21"/>
                <w:highlight w:val="none"/>
              </w:rPr>
              <w:t>专用收据、社会保险缴纳清单或者社保部门的证明）复印件。依法不需要缴纳社会保障资金的供应商，必须提供相应文件证明不需要缴纳社会保障资金。从成立之日起至投标文件提交截止时间止不足要求月数的，则无需提交]；（</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A0DC29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4.投标人财务状况报告（</w:t>
            </w:r>
            <w:bookmarkStart w:id="74" w:name="OLE_LINK10"/>
            <w:r>
              <w:rPr>
                <w:rFonts w:hint="eastAsia" w:ascii="宋体" w:hAnsi="宋体" w:cs="宋体"/>
                <w:color w:val="auto"/>
                <w:szCs w:val="21"/>
                <w:highlight w:val="none"/>
                <w:u w:val="single"/>
              </w:rPr>
              <w:t>2024</w:t>
            </w:r>
            <w:r>
              <w:rPr>
                <w:rFonts w:hint="eastAsia" w:ascii="宋体" w:hAnsi="宋体" w:cs="宋体"/>
                <w:color w:val="auto"/>
                <w:szCs w:val="21"/>
                <w:highlight w:val="none"/>
              </w:rPr>
              <w:t>年以来任一年度的</w:t>
            </w:r>
            <w:bookmarkEnd w:id="74"/>
            <w:r>
              <w:rPr>
                <w:rFonts w:hint="eastAsia" w:ascii="宋体" w:hAnsi="宋体" w:cs="宋体"/>
                <w:color w:val="auto"/>
                <w:szCs w:val="21"/>
                <w:highlight w:val="none"/>
              </w:rPr>
              <w:t>财务报表复印件，或者2026年以来银行出具的资信证明，或者中国人民银行征信中心出具的信用报告（企业投标的提供企业信用报告，自然人投标的提供个人信用报告</w:t>
            </w:r>
            <w:r>
              <w:rPr>
                <w:rFonts w:hint="eastAsia" w:ascii="宋体" w:hAnsi="宋体" w:cs="宋体"/>
                <w:color w:val="auto"/>
                <w:highlight w:val="none"/>
              </w:rPr>
              <w:t>，投标人属于成立时间在规定年度之后的法人或其他组织，需提供成立之日起至投标截止时间前的月报表</w:t>
            </w:r>
            <w:r>
              <w:rPr>
                <w:rFonts w:hint="eastAsia" w:ascii="宋体" w:hAnsi="宋体" w:cs="宋体"/>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CEEB84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5.投标人直接控股股东信息表（格式后附）；</w:t>
            </w:r>
            <w:r>
              <w:rPr>
                <w:rFonts w:hint="eastAsia" w:ascii="宋体" w:hAnsi="宋体" w:cs="宋体"/>
                <w:b/>
                <w:color w:val="auto"/>
                <w:szCs w:val="21"/>
                <w:highlight w:val="none"/>
              </w:rPr>
              <w:t>（必须提供，否则按无效投标处理）</w:t>
            </w:r>
          </w:p>
          <w:p w14:paraId="7D214A92">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6.投标人直接管理关系信息表（格式后附）；</w:t>
            </w:r>
            <w:r>
              <w:rPr>
                <w:rFonts w:hint="eastAsia" w:ascii="宋体" w:hAnsi="宋体" w:cs="宋体"/>
                <w:b/>
                <w:color w:val="auto"/>
                <w:szCs w:val="21"/>
                <w:highlight w:val="none"/>
              </w:rPr>
              <w:t>（必须提供，否则按无效投标处理）</w:t>
            </w:r>
          </w:p>
          <w:p w14:paraId="0136B2C3">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7.投标声明（格式后附）；（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A748FB9">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8.联合体协议书（格式后附）；（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54BA7E7B">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9.除招标文件规定必须提供以外，投标人认为需要提供的其他证明材料。</w:t>
            </w:r>
          </w:p>
          <w:p w14:paraId="11930499">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w:t>
            </w:r>
          </w:p>
          <w:p w14:paraId="50241D86">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1.以上标明“必须提供”的材料必须加盖投标人电子签章，格式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中有要求法定代表人或者委托代理人签字的，必须按要求签字（或者电子签名）</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p w14:paraId="148D8383">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2.联合体投标时，第1-7项资格证明文件联合体各方均必须分别提供，联合体各方分别盖章和签字（或者电子签名），否则按无效投标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13FAE64D">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3.分公司参加投标的，应当取得总公司授权。</w:t>
            </w:r>
          </w:p>
        </w:tc>
      </w:tr>
      <w:tr w14:paraId="573B1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10A199A5">
            <w:pPr>
              <w:adjustRightInd w:val="0"/>
              <w:spacing w:line="400" w:lineRule="exact"/>
              <w:rPr>
                <w:rFonts w:ascii="宋体" w:hAnsi="宋体" w:cs="宋体"/>
                <w:color w:val="auto"/>
                <w:szCs w:val="21"/>
                <w:highlight w:val="none"/>
              </w:rPr>
            </w:pPr>
            <w:bookmarkStart w:id="75" w:name="_13.3"/>
            <w:bookmarkEnd w:id="75"/>
          </w:p>
        </w:tc>
        <w:tc>
          <w:tcPr>
            <w:tcW w:w="8670" w:type="dxa"/>
            <w:tcBorders>
              <w:top w:val="single" w:color="auto" w:sz="4" w:space="0"/>
              <w:left w:val="single" w:color="auto" w:sz="4" w:space="0"/>
              <w:bottom w:val="single" w:color="auto" w:sz="4" w:space="0"/>
              <w:right w:val="single" w:color="auto" w:sz="4" w:space="0"/>
            </w:tcBorders>
            <w:vAlign w:val="center"/>
          </w:tcPr>
          <w:p w14:paraId="22900052">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0969182B">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FD0DCF3">
            <w:pPr>
              <w:adjustRightInd w:val="0"/>
              <w:spacing w:line="400" w:lineRule="exact"/>
              <w:jc w:val="left"/>
              <w:rPr>
                <w:rFonts w:ascii="宋体" w:hAnsi="宋体" w:cs="宋体"/>
                <w:b/>
                <w:bCs/>
                <w:color w:val="auto"/>
                <w:szCs w:val="21"/>
                <w:highlight w:val="none"/>
              </w:rPr>
            </w:pPr>
            <w:r>
              <w:rPr>
                <w:rFonts w:hint="eastAsia" w:ascii="宋体" w:hAnsi="宋体" w:cs="宋体"/>
                <w:color w:val="auto"/>
                <w:szCs w:val="21"/>
                <w:highlight w:val="none"/>
              </w:rPr>
              <w:t>2.投标保证金提交凭证；</w:t>
            </w:r>
            <w:r>
              <w:rPr>
                <w:rFonts w:hint="eastAsia" w:ascii="宋体" w:hAnsi="宋体" w:cs="宋体"/>
                <w:b/>
                <w:bCs/>
                <w:color w:val="auto"/>
                <w:szCs w:val="21"/>
                <w:highlight w:val="none"/>
              </w:rPr>
              <w:t>（如要求提交投标保证金的则必须提供，否则按无效投标处理）</w:t>
            </w:r>
          </w:p>
          <w:p w14:paraId="2AB91A0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A27C6B9">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02FF74B0">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5.商务要求承诺响应表（格式后附）；（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D2C305F">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highlight w:val="none"/>
              </w:rPr>
              <w:t>服务方案</w:t>
            </w:r>
            <w:r>
              <w:rPr>
                <w:rFonts w:hint="eastAsia" w:ascii="宋体" w:hAnsi="宋体" w:cs="宋体"/>
                <w:color w:val="auto"/>
                <w:szCs w:val="21"/>
                <w:highlight w:val="none"/>
              </w:rPr>
              <w:t>（格式后附）；</w:t>
            </w:r>
          </w:p>
          <w:p w14:paraId="43487B57">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olor w:val="auto"/>
                <w:highlight w:val="none"/>
              </w:rPr>
              <w:t>人员管理及培训方案</w:t>
            </w:r>
            <w:r>
              <w:rPr>
                <w:rFonts w:hint="eastAsia" w:ascii="宋体" w:hAnsi="宋体" w:cs="宋体"/>
                <w:color w:val="auto"/>
                <w:szCs w:val="21"/>
                <w:highlight w:val="none"/>
              </w:rPr>
              <w:t>（格式后附）；</w:t>
            </w:r>
          </w:p>
          <w:p w14:paraId="4EB0866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bCs/>
                <w:color w:val="auto"/>
                <w:highlight w:val="none"/>
              </w:rPr>
              <w:t>突发事件处理预案</w:t>
            </w:r>
            <w:r>
              <w:rPr>
                <w:rFonts w:hint="eastAsia" w:ascii="宋体" w:hAnsi="宋体" w:cs="宋体"/>
                <w:color w:val="auto"/>
                <w:szCs w:val="21"/>
                <w:highlight w:val="none"/>
              </w:rPr>
              <w:t>（格式后附）；</w:t>
            </w:r>
          </w:p>
          <w:p w14:paraId="652025E8">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9.投标人的业绩证明材料（格式后附）；</w:t>
            </w:r>
          </w:p>
          <w:p w14:paraId="1D5B19F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10.投标人情况介绍（格式自拟）；</w:t>
            </w:r>
          </w:p>
          <w:p w14:paraId="4B00B72E">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11.联合体协议书（格式后附，详见“其他文书、文件格式”）；（</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7580495B">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12.除招标文件规定必须提供以外，投标人认为需要提供的其他证明材料（格式自拟）。（投标人根据“第二章 采购需求”及“第四章 评标方法及评标标准”提供有关证明材料）。</w:t>
            </w:r>
          </w:p>
          <w:p w14:paraId="558B2C9B">
            <w:pPr>
              <w:adjustRightInd w:val="0"/>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注：以上标明“必须提供”的材料必须加盖投标人电子签章，格式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中有要求法定代表人或者委托代理人签字的，必须按要求签字（或者电子签名）</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5C345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bottom w:val="single" w:color="auto" w:sz="4" w:space="0"/>
              <w:right w:val="single" w:color="auto" w:sz="4" w:space="0"/>
            </w:tcBorders>
            <w:vAlign w:val="center"/>
          </w:tcPr>
          <w:p w14:paraId="11C47E03">
            <w:pPr>
              <w:adjustRightInd w:val="0"/>
              <w:spacing w:line="400" w:lineRule="exact"/>
              <w:rPr>
                <w:rFonts w:ascii="宋体" w:hAnsi="宋体" w:cs="宋体"/>
                <w:color w:val="auto"/>
                <w:szCs w:val="21"/>
                <w:highlight w:val="none"/>
              </w:rPr>
            </w:pPr>
            <w:bookmarkStart w:id="76" w:name="_13.4"/>
            <w:bookmarkEnd w:id="76"/>
          </w:p>
        </w:tc>
        <w:tc>
          <w:tcPr>
            <w:tcW w:w="8670" w:type="dxa"/>
            <w:tcBorders>
              <w:top w:val="single" w:color="auto" w:sz="4" w:space="0"/>
              <w:left w:val="single" w:color="auto" w:sz="4" w:space="0"/>
              <w:bottom w:val="single" w:color="auto" w:sz="4" w:space="0"/>
              <w:right w:val="single" w:color="auto" w:sz="4" w:space="0"/>
            </w:tcBorders>
            <w:vAlign w:val="center"/>
          </w:tcPr>
          <w:p w14:paraId="3A22F28F">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69C03E00">
            <w:pPr>
              <w:tabs>
                <w:tab w:val="left" w:pos="312"/>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1.服务内容及要求响应表（格式后附）；（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F176EFA">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2.项目实施人员一览表（格式后附）；</w:t>
            </w:r>
          </w:p>
          <w:p w14:paraId="110932A8">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3.优惠条件：投标人承诺给予采购人的各种优惠条件，包括售后服务优惠（格式自拟）；注：投标人不得给予赠品或者与采购无关的其他商品、服务；</w:t>
            </w:r>
          </w:p>
          <w:p w14:paraId="28E91599">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4.投标人对本项目的合理化建议和改进措施（格式自拟）；</w:t>
            </w:r>
          </w:p>
          <w:p w14:paraId="10EE5BC3">
            <w:pPr>
              <w:adjustRightIn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rPr>
              <w:t>5.除招标文件规定必须提供以外，投标人需要说明的其他文件和说明（格式自拟）。</w:t>
            </w:r>
          </w:p>
          <w:p w14:paraId="2342FEC4">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中有要求法定代表人或者委托代理人签字的，必须按要求签字（或者电子签名）</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11FC4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00CB371">
            <w:pPr>
              <w:adjustRightInd w:val="0"/>
              <w:spacing w:line="400" w:lineRule="exact"/>
              <w:jc w:val="center"/>
              <w:rPr>
                <w:rFonts w:ascii="宋体" w:hAnsi="宋体" w:cs="宋体"/>
                <w:color w:val="auto"/>
                <w:szCs w:val="21"/>
                <w:highlight w:val="none"/>
              </w:rPr>
            </w:pPr>
            <w:bookmarkStart w:id="77" w:name="_16.2"/>
            <w:bookmarkEnd w:id="77"/>
            <w:bookmarkStart w:id="78" w:name="_13.5"/>
            <w:bookmarkEnd w:id="78"/>
            <w:r>
              <w:rPr>
                <w:rFonts w:hint="eastAsia" w:ascii="宋体" w:hAnsi="宋体" w:cs="宋体"/>
                <w:color w:val="auto"/>
                <w:szCs w:val="21"/>
                <w:highlight w:val="none"/>
              </w:rPr>
              <w:t>16</w:t>
            </w:r>
            <w:bookmarkStart w:id="79" w:name="_Hlt19693759"/>
            <w:bookmarkStart w:id="80" w:name="_Hlt19194066"/>
            <w:bookmarkStart w:id="81" w:name="_Hlt19194067"/>
            <w:bookmarkStart w:id="82" w:name="_Hlt19693758"/>
            <w:r>
              <w:rPr>
                <w:rFonts w:hint="eastAsia" w:ascii="宋体" w:hAnsi="宋体" w:cs="宋体"/>
                <w:color w:val="auto"/>
                <w:szCs w:val="21"/>
                <w:highlight w:val="none"/>
              </w:rPr>
              <w:t>.</w:t>
            </w:r>
            <w:bookmarkEnd w:id="79"/>
            <w:bookmarkEnd w:id="80"/>
            <w:bookmarkEnd w:id="81"/>
            <w:bookmarkEnd w:id="82"/>
            <w:r>
              <w:rPr>
                <w:rFonts w:hint="eastAsia" w:ascii="宋体" w:hAnsi="宋体" w:cs="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624CD582">
            <w:pPr>
              <w:widowControl/>
              <w:spacing w:line="380" w:lineRule="exact"/>
              <w:ind w:firstLine="422" w:firstLineChars="200"/>
              <w:jc w:val="left"/>
              <w:rPr>
                <w:rFonts w:ascii="Arial" w:hAnsi="Arial" w:cs="Arial"/>
                <w:color w:val="auto"/>
                <w:szCs w:val="21"/>
                <w:highlight w:val="none"/>
              </w:rPr>
            </w:pPr>
            <w:r>
              <w:rPr>
                <w:rFonts w:hint="eastAsia" w:ascii="宋体" w:hAnsi="宋体"/>
                <w:b/>
                <w:bCs/>
                <w:color w:val="auto"/>
                <w:szCs w:val="21"/>
                <w:highlight w:val="none"/>
              </w:rPr>
              <w:t>投标报价是履行合同的最终价格，</w:t>
            </w:r>
            <w:r>
              <w:rPr>
                <w:rFonts w:hint="eastAsia" w:ascii="Arial" w:hAnsi="Arial" w:cs="Arial"/>
                <w:color w:val="auto"/>
                <w:szCs w:val="21"/>
                <w:highlight w:val="none"/>
              </w:rPr>
              <w:t>包含但不限于以下部分：</w:t>
            </w:r>
          </w:p>
          <w:p w14:paraId="38A7C5CD">
            <w:pPr>
              <w:widowControl/>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①服务的价格；</w:t>
            </w:r>
          </w:p>
          <w:p w14:paraId="175C20B1">
            <w:pPr>
              <w:widowControl/>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②必要的保险费用和各项税金；</w:t>
            </w:r>
          </w:p>
          <w:p w14:paraId="445EEA43">
            <w:pPr>
              <w:widowControl/>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③服务团队人员的工资、福利、各项保险、培训费、体检费、服装费、税费、管理费等一切服务成本费用的总和，不含食堂供餐食材费和劳动保护用品费用；</w:t>
            </w:r>
          </w:p>
          <w:p w14:paraId="084DDC84">
            <w:pPr>
              <w:widowControl/>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④提供本项目全程服务过程中所发生的一切费用；</w:t>
            </w:r>
          </w:p>
          <w:p w14:paraId="2E117511">
            <w:pPr>
              <w:widowControl/>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⑤中标供应商合理的利润。</w:t>
            </w:r>
          </w:p>
          <w:p w14:paraId="6EC4E118">
            <w:pPr>
              <w:widowControl/>
              <w:spacing w:line="380" w:lineRule="exact"/>
              <w:ind w:firstLine="420" w:firstLineChars="200"/>
              <w:jc w:val="left"/>
              <w:rPr>
                <w:rFonts w:ascii="宋体" w:hAnsi="宋体" w:cs="宋体"/>
                <w:b/>
                <w:color w:val="auto"/>
                <w:szCs w:val="21"/>
                <w:highlight w:val="none"/>
              </w:rPr>
            </w:pPr>
            <w:r>
              <w:rPr>
                <w:rFonts w:hint="eastAsia" w:ascii="Arial" w:hAnsi="Arial" w:cs="Arial"/>
                <w:color w:val="auto"/>
                <w:szCs w:val="21"/>
                <w:highlight w:val="none"/>
              </w:rPr>
              <w:t>⑥在本项目服务期内，投标总价不予调整，采购人不再支付中标价格以外的任何费用。</w:t>
            </w:r>
          </w:p>
        </w:tc>
      </w:tr>
      <w:tr w14:paraId="6D2B7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53D35BB">
            <w:pPr>
              <w:adjustRightInd w:val="0"/>
              <w:spacing w:line="400" w:lineRule="exact"/>
              <w:jc w:val="center"/>
              <w:rPr>
                <w:rFonts w:ascii="宋体" w:hAnsi="宋体" w:cs="宋体"/>
                <w:color w:val="auto"/>
                <w:szCs w:val="21"/>
                <w:highlight w:val="none"/>
              </w:rPr>
            </w:pPr>
            <w:bookmarkStart w:id="83" w:name="_17.1"/>
            <w:bookmarkEnd w:id="83"/>
            <w:r>
              <w:rPr>
                <w:rFonts w:hint="eastAsia" w:ascii="宋体" w:hAnsi="宋体" w:cs="宋体"/>
                <w:color w:val="auto"/>
                <w:szCs w:val="21"/>
                <w:highlight w:val="none"/>
              </w:rPr>
              <w:t>17.2</w:t>
            </w:r>
          </w:p>
        </w:tc>
        <w:tc>
          <w:tcPr>
            <w:tcW w:w="8670" w:type="dxa"/>
            <w:tcBorders>
              <w:top w:val="single" w:color="auto" w:sz="4" w:space="0"/>
              <w:left w:val="single" w:color="auto" w:sz="4" w:space="0"/>
              <w:bottom w:val="single" w:color="auto" w:sz="4" w:space="0"/>
              <w:right w:val="single" w:color="auto" w:sz="4" w:space="0"/>
            </w:tcBorders>
            <w:vAlign w:val="center"/>
          </w:tcPr>
          <w:p w14:paraId="6842FE87">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180</w:t>
            </w:r>
            <w:r>
              <w:rPr>
                <w:rFonts w:hint="eastAsia" w:ascii="宋体" w:hAnsi="宋体" w:cs="宋体"/>
                <w:color w:val="auto"/>
                <w:szCs w:val="21"/>
                <w:highlight w:val="none"/>
              </w:rPr>
              <w:t>日。</w:t>
            </w:r>
          </w:p>
        </w:tc>
      </w:tr>
      <w:tr w14:paraId="68621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7C26E4D">
            <w:pPr>
              <w:adjustRightInd w:val="0"/>
              <w:spacing w:line="400" w:lineRule="exact"/>
              <w:jc w:val="center"/>
              <w:rPr>
                <w:rFonts w:ascii="宋体" w:hAnsi="宋体" w:cs="宋体"/>
                <w:color w:val="auto"/>
                <w:szCs w:val="21"/>
                <w:highlight w:val="none"/>
              </w:rPr>
            </w:pPr>
            <w:bookmarkStart w:id="84" w:name="_18"/>
            <w:bookmarkEnd w:id="84"/>
            <w:r>
              <w:rPr>
                <w:rFonts w:hint="eastAsia" w:ascii="宋体" w:hAnsi="宋体" w:cs="宋体"/>
                <w:color w:val="auto"/>
                <w:szCs w:val="21"/>
                <w:highlight w:val="none"/>
              </w:rPr>
              <w:t>18.1</w:t>
            </w:r>
          </w:p>
        </w:tc>
        <w:tc>
          <w:tcPr>
            <w:tcW w:w="8670" w:type="dxa"/>
            <w:tcBorders>
              <w:top w:val="single" w:color="auto" w:sz="4" w:space="0"/>
              <w:left w:val="single" w:color="auto" w:sz="4" w:space="0"/>
              <w:bottom w:val="single" w:color="auto" w:sz="4" w:space="0"/>
              <w:right w:val="single" w:color="auto" w:sz="4" w:space="0"/>
            </w:tcBorders>
            <w:vAlign w:val="center"/>
          </w:tcPr>
          <w:p w14:paraId="390E62C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□本项目不收取投标保证金。</w:t>
            </w:r>
          </w:p>
          <w:p w14:paraId="77F142B6">
            <w:pPr>
              <w:snapToGrid w:val="0"/>
              <w:spacing w:line="360" w:lineRule="auto"/>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本项目收取投标保证金，具体规定如下：</w:t>
            </w:r>
          </w:p>
          <w:p w14:paraId="7D994410">
            <w:pPr>
              <w:snapToGrid w:val="0"/>
              <w:spacing w:line="360" w:lineRule="auto"/>
              <w:rPr>
                <w:rFonts w:ascii="宋体" w:hAnsi="宋体"/>
                <w:color w:val="auto"/>
                <w:szCs w:val="21"/>
                <w:highlight w:val="none"/>
              </w:rPr>
            </w:pPr>
            <w:r>
              <w:rPr>
                <w:rFonts w:hint="eastAsia" w:ascii="宋体" w:hAnsi="宋体" w:cs="宋体"/>
                <w:color w:val="auto"/>
                <w:kern w:val="0"/>
                <w:szCs w:val="21"/>
                <w:highlight w:val="none"/>
              </w:rPr>
              <w:t>本项目投标保证金为人民币肆万元整（¥40000.00）（须足额交纳）。</w:t>
            </w:r>
          </w:p>
          <w:p w14:paraId="7BD51511">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投标保证金的交纳方式：银行转账、支票、汇票、本票或者金融机构、担保机构出具的保函</w:t>
            </w:r>
            <w:r>
              <w:rPr>
                <w:rFonts w:hint="eastAsia" w:ascii="宋体" w:hAnsi="宋体"/>
                <w:color w:val="auto"/>
                <w:szCs w:val="21"/>
                <w:highlight w:val="none"/>
              </w:rPr>
              <w:t>（包含电子保函）</w:t>
            </w:r>
            <w:r>
              <w:rPr>
                <w:rFonts w:hint="eastAsia" w:ascii="宋体" w:hAnsi="宋体" w:cs="宋体"/>
                <w:color w:val="auto"/>
                <w:kern w:val="0"/>
                <w:szCs w:val="21"/>
                <w:highlight w:val="none"/>
              </w:rPr>
              <w:t>，禁止采用现钞方式。采用银行转账方式的，在投标文件提交截止时间前交至指定账户并且到账</w:t>
            </w:r>
            <w:r>
              <w:rPr>
                <w:rFonts w:hint="eastAsia" w:ascii="宋体" w:hAnsi="宋体" w:cs="宋体"/>
                <w:b/>
                <w:color w:val="auto"/>
                <w:kern w:val="0"/>
                <w:szCs w:val="21"/>
                <w:highlight w:val="none"/>
              </w:rPr>
              <w:t>（开户名称：云之龙咨询集团有限公司桂林分公司；银行账号：8113001013100074449；开户银行：中信银行股份有限公司南宁园湖支行）</w:t>
            </w:r>
            <w:r>
              <w:rPr>
                <w:rFonts w:hint="eastAsia" w:ascii="宋体" w:hAnsi="宋体" w:cs="宋体"/>
                <w:color w:val="auto"/>
                <w:kern w:val="0"/>
                <w:szCs w:val="21"/>
                <w:highlight w:val="none"/>
              </w:rPr>
              <w:t>；采用支票、汇票、本票或者保函等方式的，在投标文件提交截止时间前，投标人必须提交单独密封的支票、汇票、本票或者保函原件。</w:t>
            </w:r>
            <w:r>
              <w:rPr>
                <w:rFonts w:hint="eastAsia" w:ascii="宋体" w:hAnsi="宋体" w:cs="宋体"/>
                <w:b/>
                <w:color w:val="auto"/>
                <w:kern w:val="0"/>
                <w:szCs w:val="21"/>
                <w:highlight w:val="none"/>
              </w:rPr>
              <w:t>否则视为无效投标保证金。</w:t>
            </w:r>
          </w:p>
          <w:p w14:paraId="389625B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相关要求：</w:t>
            </w:r>
          </w:p>
          <w:p w14:paraId="7332812C">
            <w:pPr>
              <w:pStyle w:val="18"/>
              <w:spacing w:line="360" w:lineRule="auto"/>
              <w:rPr>
                <w:rFonts w:ascii="宋体" w:hAnsi="宋体"/>
                <w:color w:val="auto"/>
                <w:szCs w:val="21"/>
                <w:highlight w:val="none"/>
              </w:rPr>
            </w:pPr>
            <w:r>
              <w:rPr>
                <w:rFonts w:hint="eastAsia" w:ascii="宋体" w:hAnsi="宋体"/>
                <w:color w:val="auto"/>
                <w:szCs w:val="21"/>
                <w:highlight w:val="none"/>
              </w:rPr>
              <w:t>1.投标保证金采用银行转账交纳方式，在投标截止时间前交至指定账户并且到账，投标人应将银行转账底单的复印件作为投标保证金提交凭证，</w:t>
            </w:r>
            <w:r>
              <w:rPr>
                <w:rFonts w:ascii="宋体" w:hAnsi="宋体"/>
                <w:color w:val="auto"/>
                <w:szCs w:val="21"/>
                <w:highlight w:val="none"/>
              </w:rPr>
              <w:t>放置于</w:t>
            </w:r>
            <w:r>
              <w:rPr>
                <w:rFonts w:hint="eastAsia" w:ascii="宋体" w:hAnsi="宋体"/>
                <w:color w:val="auto"/>
                <w:szCs w:val="21"/>
                <w:highlight w:val="none"/>
              </w:rPr>
              <w:t>商务及技术文件</w:t>
            </w:r>
            <w:r>
              <w:rPr>
                <w:rFonts w:ascii="宋体" w:hAnsi="宋体"/>
                <w:color w:val="auto"/>
                <w:szCs w:val="21"/>
                <w:highlight w:val="none"/>
              </w:rPr>
              <w:t>中</w:t>
            </w:r>
            <w:r>
              <w:rPr>
                <w:rFonts w:hint="eastAsia" w:ascii="宋体" w:hAnsi="宋体"/>
                <w:color w:val="auto"/>
                <w:szCs w:val="21"/>
                <w:highlight w:val="none"/>
              </w:rPr>
              <w:t>，</w:t>
            </w:r>
            <w:r>
              <w:rPr>
                <w:rFonts w:hint="eastAsia" w:ascii="宋体" w:hAnsi="宋体"/>
                <w:b/>
                <w:color w:val="auto"/>
                <w:szCs w:val="21"/>
                <w:highlight w:val="none"/>
              </w:rPr>
              <w:t>否则投标无效</w:t>
            </w:r>
            <w:r>
              <w:rPr>
                <w:rFonts w:hint="eastAsia" w:ascii="宋体" w:hAnsi="宋体"/>
                <w:color w:val="auto"/>
                <w:szCs w:val="21"/>
                <w:highlight w:val="none"/>
              </w:rPr>
              <w:t>。</w:t>
            </w:r>
          </w:p>
          <w:p w14:paraId="73927A0E">
            <w:pPr>
              <w:snapToGrid w:val="0"/>
              <w:spacing w:line="360" w:lineRule="auto"/>
              <w:rPr>
                <w:rFonts w:ascii="宋体" w:hAnsi="宋体"/>
                <w:color w:val="auto"/>
                <w:szCs w:val="21"/>
                <w:highlight w:val="none"/>
              </w:rPr>
            </w:pPr>
            <w:r>
              <w:rPr>
                <w:rFonts w:hint="eastAsia" w:ascii="宋体" w:hAnsi="宋体"/>
                <w:color w:val="auto"/>
                <w:szCs w:val="21"/>
                <w:highlight w:val="none"/>
              </w:rPr>
              <w:t>2.投标保证金采用支票、汇票、本票或者银行、保险机构出具的保函</w:t>
            </w:r>
            <w:r>
              <w:rPr>
                <w:color w:val="auto"/>
                <w:highlight w:val="none"/>
              </w:rPr>
              <w:t>（包含电子保函）</w:t>
            </w:r>
            <w:r>
              <w:rPr>
                <w:rFonts w:hint="eastAsia" w:ascii="宋体" w:hAnsi="宋体"/>
                <w:color w:val="auto"/>
                <w:szCs w:val="21"/>
                <w:highlight w:val="none"/>
              </w:rPr>
              <w:t>交纳方式的，投标人应将支票、汇票、本票或者银行、保险机构出具的保函</w:t>
            </w:r>
            <w:r>
              <w:rPr>
                <w:color w:val="auto"/>
                <w:highlight w:val="none"/>
              </w:rPr>
              <w:t>（包含电子保函）</w:t>
            </w:r>
            <w:r>
              <w:rPr>
                <w:rFonts w:hint="eastAsia" w:ascii="宋体" w:hAnsi="宋体"/>
                <w:color w:val="auto"/>
                <w:szCs w:val="21"/>
                <w:highlight w:val="none"/>
              </w:rPr>
              <w:t>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w:t>
            </w:r>
            <w:r>
              <w:rPr>
                <w:rFonts w:hint="eastAsia"/>
                <w:color w:val="auto"/>
                <w:highlight w:val="none"/>
              </w:rPr>
              <w:t>在投标截止时间前采用现场或邮寄方式</w:t>
            </w:r>
            <w:r>
              <w:rPr>
                <w:rFonts w:hint="eastAsia" w:ascii="宋体" w:hAnsi="宋体"/>
                <w:color w:val="auto"/>
                <w:szCs w:val="21"/>
                <w:highlight w:val="none"/>
              </w:rPr>
              <w:t>（现场提交地址：</w:t>
            </w:r>
            <w:r>
              <w:rPr>
                <w:rFonts w:hint="eastAsia" w:ascii="宋体" w:hAnsi="宋体" w:cs="宋体"/>
                <w:color w:val="auto"/>
                <w:szCs w:val="21"/>
                <w:highlight w:val="none"/>
                <w:u w:val="single"/>
              </w:rPr>
              <w:t>桂林市公共资源交易中心9号开标室（广西桂林市临桂区西城中路69号创业大厦西辅楼4楼北区）</w:t>
            </w:r>
            <w:r>
              <w:rPr>
                <w:rFonts w:hint="eastAsia" w:ascii="宋体" w:hAnsi="宋体"/>
                <w:color w:val="auto"/>
                <w:szCs w:val="21"/>
                <w:highlight w:val="none"/>
              </w:rPr>
              <w:t>；邮寄地址：</w:t>
            </w:r>
            <w:r>
              <w:rPr>
                <w:rFonts w:hint="eastAsia" w:ascii="宋体" w:hAnsi="宋体"/>
                <w:color w:val="auto"/>
                <w:szCs w:val="21"/>
                <w:highlight w:val="none"/>
                <w:u w:val="single"/>
              </w:rPr>
              <w:t>广西壮族自治区桂林市临桂区西城北路2号耀辉•美好家园2幢12层1号房</w:t>
            </w:r>
            <w:r>
              <w:rPr>
                <w:rFonts w:hint="eastAsia" w:ascii="宋体" w:hAnsi="宋体"/>
                <w:color w:val="auto"/>
                <w:szCs w:val="21"/>
                <w:highlight w:val="none"/>
              </w:rPr>
              <w:t>，收件人：</w:t>
            </w:r>
            <w:r>
              <w:rPr>
                <w:rFonts w:hint="eastAsia" w:ascii="宋体" w:hAnsi="宋体"/>
                <w:color w:val="auto"/>
                <w:szCs w:val="21"/>
                <w:highlight w:val="none"/>
                <w:u w:val="single"/>
              </w:rPr>
              <w:t>吕雯、万紫琳</w:t>
            </w:r>
            <w:r>
              <w:rPr>
                <w:rFonts w:hint="eastAsia" w:ascii="宋体" w:hAnsi="宋体"/>
                <w:color w:val="auto"/>
                <w:szCs w:val="21"/>
                <w:highlight w:val="none"/>
              </w:rPr>
              <w:t>，联系方式：</w:t>
            </w:r>
            <w:r>
              <w:rPr>
                <w:rFonts w:hint="eastAsia" w:ascii="宋体" w:hAnsi="宋体"/>
                <w:color w:val="auto"/>
                <w:szCs w:val="21"/>
                <w:highlight w:val="none"/>
                <w:u w:val="single"/>
              </w:rPr>
              <w:t xml:space="preserve"> </w:t>
            </w:r>
            <w:r>
              <w:rPr>
                <w:rFonts w:ascii="宋体" w:hAnsi="宋体"/>
                <w:color w:val="auto"/>
                <w:szCs w:val="21"/>
                <w:highlight w:val="none"/>
                <w:u w:val="single"/>
              </w:rPr>
              <w:t>0773-2887388</w:t>
            </w:r>
            <w:r>
              <w:rPr>
                <w:rFonts w:hint="eastAsia" w:ascii="宋体" w:hAnsi="宋体"/>
                <w:color w:val="auto"/>
                <w:szCs w:val="21"/>
                <w:highlight w:val="none"/>
                <w:u w:val="single"/>
              </w:rPr>
              <w:t>、2</w:t>
            </w:r>
            <w:r>
              <w:rPr>
                <w:rFonts w:ascii="宋体" w:hAnsi="宋体"/>
                <w:color w:val="auto"/>
                <w:szCs w:val="21"/>
                <w:highlight w:val="none"/>
                <w:u w:val="single"/>
              </w:rPr>
              <w:t>887399</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支票、汇票、本票或者银行、保险机构出具的保函原件提交给采购人或者采购代理机构（电子保函除外），未按时提交的</w:t>
            </w:r>
            <w:r>
              <w:rPr>
                <w:rFonts w:hint="eastAsia" w:ascii="宋体" w:hAnsi="宋体"/>
                <w:b/>
                <w:color w:val="auto"/>
                <w:szCs w:val="21"/>
                <w:highlight w:val="none"/>
              </w:rPr>
              <w:t>，投标无效</w:t>
            </w:r>
            <w:r>
              <w:rPr>
                <w:rFonts w:hint="eastAsia" w:ascii="宋体" w:hAnsi="宋体"/>
                <w:color w:val="auto"/>
                <w:szCs w:val="21"/>
                <w:highlight w:val="none"/>
              </w:rPr>
              <w:t>，由采购人或者采购代理机构向投标人出具回执（邮寄方式的除外），并妥善保管。</w:t>
            </w:r>
          </w:p>
          <w:p w14:paraId="55615BB4">
            <w:pPr>
              <w:snapToGrid w:val="0"/>
              <w:spacing w:line="360" w:lineRule="auto"/>
              <w:rPr>
                <w:rFonts w:ascii="宋体" w:hAnsi="宋体" w:cs="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.投标人为联合体的，可以由联合体中的一方或者多方共同交纳投标保证金，其交纳的保证金对联合体各方均具有约束力。</w:t>
            </w:r>
          </w:p>
          <w:p w14:paraId="1307E288">
            <w:pPr>
              <w:snapToGrid w:val="0"/>
              <w:spacing w:line="360" w:lineRule="auto"/>
              <w:rPr>
                <w:rFonts w:ascii="宋体" w:hAnsi="宋体"/>
                <w:b/>
                <w:color w:val="auto"/>
                <w:szCs w:val="21"/>
                <w:highlight w:val="none"/>
              </w:rPr>
            </w:pPr>
            <w:r>
              <w:rPr>
                <w:rFonts w:hint="eastAsia" w:ascii="宋体" w:hAnsi="宋体"/>
                <w:b/>
                <w:color w:val="auto"/>
                <w:szCs w:val="21"/>
                <w:highlight w:val="none"/>
              </w:rPr>
              <w:t xml:space="preserve">备注： </w:t>
            </w:r>
          </w:p>
          <w:p w14:paraId="308A4297">
            <w:pPr>
              <w:snapToGrid w:val="0"/>
              <w:spacing w:line="360" w:lineRule="auto"/>
              <w:rPr>
                <w:rFonts w:ascii="宋体" w:hAnsi="宋体"/>
                <w:b/>
                <w:color w:val="auto"/>
                <w:szCs w:val="21"/>
                <w:highlight w:val="none"/>
              </w:rPr>
            </w:pPr>
            <w:r>
              <w:rPr>
                <w:rFonts w:hint="eastAsia" w:ascii="宋体" w:hAnsi="宋体"/>
                <w:b/>
                <w:color w:val="auto"/>
                <w:szCs w:val="21"/>
                <w:highlight w:val="none"/>
              </w:rPr>
              <w:t>（1）投标保证金在投标截止时间后提交的，或者不按规定交纳方式交纳的，或者未足额交纳的（包含保函额度不足的），视为无效投标保证金。</w:t>
            </w:r>
          </w:p>
          <w:p w14:paraId="432963C3">
            <w:pPr>
              <w:snapToGrid w:val="0"/>
              <w:spacing w:line="360" w:lineRule="auto"/>
              <w:rPr>
                <w:rFonts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25E4FF91">
            <w:pPr>
              <w:snapToGrid w:val="0"/>
              <w:spacing w:line="360" w:lineRule="auto"/>
              <w:rPr>
                <w:rFonts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5D2D1B57">
            <w:pPr>
              <w:snapToGrid w:val="0"/>
              <w:spacing w:line="360" w:lineRule="auto"/>
              <w:rPr>
                <w:rFonts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267EC54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b/>
                <w:color w:val="auto"/>
                <w:szCs w:val="21"/>
                <w:highlight w:val="none"/>
              </w:rPr>
              <w:t>（5）采用银行、保险机构出具保函的，必须为无条件保函，否则视为无效投标保证金。</w:t>
            </w:r>
          </w:p>
        </w:tc>
      </w:tr>
      <w:tr w14:paraId="4B04F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524A4F1">
            <w:pPr>
              <w:adjustRightInd w:val="0"/>
              <w:spacing w:line="400" w:lineRule="exact"/>
              <w:jc w:val="center"/>
              <w:rPr>
                <w:rFonts w:ascii="宋体" w:hAnsi="宋体" w:cs="宋体"/>
                <w:color w:val="auto"/>
                <w:szCs w:val="21"/>
                <w:highlight w:val="none"/>
              </w:rPr>
            </w:pPr>
            <w:bookmarkStart w:id="85" w:name="_19.2"/>
            <w:bookmarkEnd w:id="85"/>
            <w:r>
              <w:rPr>
                <w:rFonts w:hint="eastAsia" w:ascii="宋体" w:hAnsi="宋体" w:cs="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39D86AB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□本项目不接受电子备份投标文件。</w:t>
            </w:r>
          </w:p>
          <w:p w14:paraId="3E830563">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☑本项目接受</w:t>
            </w:r>
            <w:r>
              <w:rPr>
                <w:rFonts w:hint="eastAsia" w:ascii="宋体" w:hAnsi="宋体" w:cs="宋体"/>
                <w:color w:val="auto"/>
                <w:highlight w:val="none"/>
              </w:rPr>
              <w:t>电子</w:t>
            </w:r>
            <w:r>
              <w:rPr>
                <w:rFonts w:hint="eastAsia" w:ascii="宋体" w:hAnsi="宋体" w:cs="宋体"/>
                <w:color w:val="auto"/>
                <w:szCs w:val="21"/>
                <w:highlight w:val="none"/>
              </w:rPr>
              <w:t>备份投标文件。</w:t>
            </w:r>
          </w:p>
          <w:p w14:paraId="43727A0F">
            <w:pPr>
              <w:autoSpaceDE w:val="0"/>
              <w:autoSpaceDN w:val="0"/>
              <w:adjustRightInd w:val="0"/>
              <w:spacing w:line="400" w:lineRule="exact"/>
              <w:ind w:firstLine="420" w:firstLineChars="200"/>
              <w:textAlignment w:val="bottom"/>
              <w:rPr>
                <w:rFonts w:ascii="宋体" w:hAnsi="宋体" w:cs="宋体"/>
                <w:color w:val="auto"/>
                <w:highlight w:val="none"/>
              </w:rPr>
            </w:pPr>
            <w:r>
              <w:rPr>
                <w:rFonts w:hint="eastAsia" w:ascii="宋体" w:hAnsi="宋体" w:cs="宋体"/>
                <w:color w:val="auto"/>
                <w:highlight w:val="none"/>
              </w:rPr>
              <w:t>电子</w:t>
            </w:r>
            <w:r>
              <w:rPr>
                <w:rFonts w:hint="eastAsia" w:ascii="宋体" w:hAnsi="宋体" w:cs="宋体"/>
                <w:color w:val="auto"/>
                <w:szCs w:val="21"/>
                <w:highlight w:val="none"/>
              </w:rPr>
              <w:t>备份投标文件</w:t>
            </w:r>
            <w:r>
              <w:rPr>
                <w:rFonts w:hint="eastAsia" w:ascii="宋体" w:hAnsi="宋体" w:cs="宋体"/>
                <w:color w:val="auto"/>
                <w:highlight w:val="none"/>
              </w:rPr>
              <w:t>提交方式：投标人可以在投标截止时间前采用以下</w:t>
            </w:r>
            <w:r>
              <w:rPr>
                <w:rFonts w:hint="eastAsia" w:ascii="宋体" w:hAnsi="宋体" w:cs="宋体"/>
                <w:color w:val="auto"/>
                <w:highlight w:val="none"/>
                <w:u w:val="single"/>
              </w:rPr>
              <w:t>第（1）或（2）</w:t>
            </w:r>
            <w:r>
              <w:rPr>
                <w:rFonts w:hint="eastAsia" w:ascii="宋体" w:hAnsi="宋体" w:cs="宋体"/>
                <w:color w:val="auto"/>
                <w:highlight w:val="none"/>
              </w:rPr>
              <w:t>种方式向采购代理机构提交电子备份投标文件：</w:t>
            </w:r>
          </w:p>
          <w:p w14:paraId="19C17C26">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1）现场提交方式，应采用U盘进行存储，提交地址：桂林市公共资源交易中心9号开标室（广西桂林市临桂区西城中路69号创业大厦西辅楼4楼北区）；外包装上注明投标人名称、项目名称及项目编号（外包装不作密封要求）。</w:t>
            </w:r>
          </w:p>
          <w:p w14:paraId="2EC48A75">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（2）电子邮件方式，接收电子备份投标文件的电子邮箱为：guilinyl@vip.sina.com。</w:t>
            </w:r>
          </w:p>
          <w:p w14:paraId="45007D60">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（3）邮寄方式，应采用U盘进行存储，邮寄地址：</w:t>
            </w:r>
            <w:r>
              <w:rPr>
                <w:rFonts w:hint="eastAsia" w:ascii="宋体" w:hAnsi="宋体" w:cs="宋体"/>
                <w:color w:val="auto"/>
                <w:highlight w:val="none"/>
                <w:u w:val="single"/>
              </w:rPr>
              <w:t xml:space="preserve">   \   </w:t>
            </w:r>
            <w:r>
              <w:rPr>
                <w:rFonts w:hint="eastAsia" w:ascii="宋体" w:hAnsi="宋体" w:cs="宋体"/>
                <w:color w:val="auto"/>
                <w:highlight w:val="none"/>
              </w:rPr>
              <w:t>，收件人：</w:t>
            </w:r>
            <w:r>
              <w:rPr>
                <w:rFonts w:hint="eastAsia" w:ascii="宋体" w:hAnsi="宋体" w:cs="宋体"/>
                <w:color w:val="auto"/>
                <w:highlight w:val="none"/>
                <w:u w:val="single"/>
              </w:rPr>
              <w:t xml:space="preserve">  \    </w:t>
            </w:r>
            <w:r>
              <w:rPr>
                <w:rFonts w:hint="eastAsia" w:ascii="宋体" w:hAnsi="宋体" w:cs="宋体"/>
                <w:color w:val="auto"/>
                <w:highlight w:val="none"/>
              </w:rPr>
              <w:t>，联系方式：</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；外包装上注明投标人名称、项目名称及项目编号（外包装不作密封要求）。 </w:t>
            </w:r>
          </w:p>
          <w:p w14:paraId="3ED6A1A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政府采购云平台”操作规范上传至“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ascii="宋体" w:hAnsi="宋体" w:cs="宋体"/>
                <w:b/>
                <w:bCs/>
                <w:color w:val="auto"/>
                <w:highlight w:val="none"/>
              </w:rPr>
              <w:t>投标人的投标文件作无效处理。</w:t>
            </w:r>
          </w:p>
        </w:tc>
      </w:tr>
      <w:tr w14:paraId="7F95A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18636E77">
            <w:pPr>
              <w:adjustRightInd w:val="0"/>
              <w:spacing w:line="400" w:lineRule="exact"/>
              <w:jc w:val="center"/>
              <w:rPr>
                <w:rFonts w:ascii="宋体" w:hAnsi="宋体" w:cs="宋体"/>
                <w:color w:val="auto"/>
                <w:szCs w:val="21"/>
                <w:highlight w:val="none"/>
              </w:rPr>
            </w:pPr>
            <w:bookmarkStart w:id="86" w:name="_21.1"/>
            <w:bookmarkEnd w:id="86"/>
            <w:r>
              <w:rPr>
                <w:rFonts w:hint="eastAsia" w:ascii="宋体" w:hAnsi="宋体" w:cs="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3991853A">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1.投标文件提交截止时间：详见招标公告</w:t>
            </w:r>
          </w:p>
          <w:p w14:paraId="1EB0CC2D">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2.投标地点：详见招标公告</w:t>
            </w:r>
          </w:p>
        </w:tc>
      </w:tr>
      <w:tr w14:paraId="54582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B205EC7">
            <w:pPr>
              <w:adjustRightInd w:val="0"/>
              <w:spacing w:line="400" w:lineRule="exact"/>
              <w:jc w:val="center"/>
              <w:rPr>
                <w:rFonts w:ascii="宋体" w:hAnsi="宋体" w:cs="宋体"/>
                <w:color w:val="auto"/>
                <w:szCs w:val="21"/>
                <w:highlight w:val="none"/>
              </w:rPr>
            </w:pPr>
            <w:bookmarkStart w:id="87" w:name="_23"/>
            <w:bookmarkEnd w:id="87"/>
            <w:r>
              <w:rPr>
                <w:rFonts w:hint="eastAsia" w:ascii="宋体" w:hAnsi="宋体" w:cs="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13E0C4A6">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30E4CB4E">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6C046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61981C4">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2B941C0A">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2A3EE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09611C5">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24.3（2）</w:t>
            </w:r>
          </w:p>
        </w:tc>
        <w:tc>
          <w:tcPr>
            <w:tcW w:w="8670" w:type="dxa"/>
            <w:tcBorders>
              <w:top w:val="single" w:color="auto" w:sz="4" w:space="0"/>
              <w:left w:val="single" w:color="auto" w:sz="4" w:space="0"/>
              <w:bottom w:val="single" w:color="auto" w:sz="4" w:space="0"/>
              <w:right w:val="single" w:color="auto" w:sz="4" w:space="0"/>
            </w:tcBorders>
            <w:vAlign w:val="center"/>
          </w:tcPr>
          <w:p w14:paraId="1834521D">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宣布的内容：投标人名称、投标价格、</w:t>
            </w:r>
            <w:r>
              <w:rPr>
                <w:rFonts w:hint="eastAsia" w:ascii="宋体" w:hAnsi="宋体" w:cs="宋体"/>
                <w:color w:val="auto"/>
                <w:szCs w:val="21"/>
                <w:highlight w:val="none"/>
                <w:u w:val="single"/>
              </w:rPr>
              <w:t>\</w:t>
            </w:r>
          </w:p>
        </w:tc>
      </w:tr>
      <w:tr w14:paraId="2F105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A59CF18">
            <w:pPr>
              <w:adjustRightInd w:val="0"/>
              <w:spacing w:line="400" w:lineRule="exact"/>
              <w:jc w:val="center"/>
              <w:rPr>
                <w:rFonts w:ascii="宋体" w:hAnsi="宋体" w:cs="宋体"/>
                <w:color w:val="auto"/>
                <w:szCs w:val="21"/>
                <w:highlight w:val="none"/>
              </w:rPr>
            </w:pPr>
            <w:bookmarkStart w:id="88" w:name="_25.3"/>
            <w:bookmarkEnd w:id="88"/>
            <w:r>
              <w:rPr>
                <w:rFonts w:hint="eastAsia" w:ascii="宋体" w:hAnsi="宋体" w:cs="宋体"/>
                <w:color w:val="auto"/>
                <w:szCs w:val="21"/>
                <w:highlight w:val="none"/>
              </w:rPr>
              <w:t>25.3（2）</w:t>
            </w:r>
          </w:p>
        </w:tc>
        <w:tc>
          <w:tcPr>
            <w:tcW w:w="8670" w:type="dxa"/>
            <w:tcBorders>
              <w:top w:val="single" w:color="auto" w:sz="4" w:space="0"/>
              <w:left w:val="single" w:color="auto" w:sz="4" w:space="0"/>
              <w:bottom w:val="single" w:color="auto" w:sz="4" w:space="0"/>
              <w:right w:val="single" w:color="auto" w:sz="4" w:space="0"/>
            </w:tcBorders>
            <w:vAlign w:val="center"/>
          </w:tcPr>
          <w:p w14:paraId="726AB806">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0322C0B5">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查询渠道：“信用中国”网站（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w:t>
            </w:r>
          </w:p>
          <w:p w14:paraId="6747A369">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4254F42C">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查询记录和证据留存方式：在查询网站中直接截图查询记录，截图作为“广西政府采购云平台”作为附件上传保存。</w:t>
            </w:r>
          </w:p>
          <w:p w14:paraId="50282495">
            <w:pPr>
              <w:adjustRightInd w:val="0"/>
              <w:spacing w:line="400" w:lineRule="exact"/>
              <w:rPr>
                <w:rFonts w:ascii="宋体" w:hAnsi="宋体" w:cs="宋体"/>
                <w:b/>
                <w:color w:val="auto"/>
                <w:szCs w:val="21"/>
                <w:highlight w:val="none"/>
              </w:rPr>
            </w:pPr>
            <w:r>
              <w:rPr>
                <w:rFonts w:hint="eastAsia" w:ascii="宋体" w:hAnsi="宋体" w:cs="宋体"/>
                <w:color w:val="auto"/>
                <w:szCs w:val="21"/>
                <w:highlight w:val="none"/>
              </w:rPr>
              <w:t>信用信息使用规则：对在“信用中国”网站（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377BC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106F301">
            <w:pPr>
              <w:adjustRightInd w:val="0"/>
              <w:spacing w:line="400" w:lineRule="exact"/>
              <w:jc w:val="center"/>
              <w:rPr>
                <w:rFonts w:ascii="宋体" w:hAnsi="宋体" w:cs="宋体"/>
                <w:color w:val="auto"/>
                <w:szCs w:val="21"/>
                <w:highlight w:val="none"/>
              </w:rPr>
            </w:pPr>
            <w:bookmarkStart w:id="89" w:name="_26"/>
            <w:bookmarkEnd w:id="89"/>
            <w:r>
              <w:rPr>
                <w:rFonts w:hint="eastAsia" w:ascii="宋体" w:hAnsi="宋体" w:cs="宋体"/>
                <w:color w:val="auto"/>
                <w:szCs w:val="21"/>
                <w:highlight w:val="none"/>
              </w:rPr>
              <w:t>26.1</w:t>
            </w:r>
          </w:p>
        </w:tc>
        <w:tc>
          <w:tcPr>
            <w:tcW w:w="8670" w:type="dxa"/>
            <w:tcBorders>
              <w:top w:val="single" w:color="auto" w:sz="4" w:space="0"/>
              <w:left w:val="single" w:color="auto" w:sz="4" w:space="0"/>
              <w:bottom w:val="single" w:color="auto" w:sz="4" w:space="0"/>
              <w:right w:val="single" w:color="auto" w:sz="4" w:space="0"/>
            </w:tcBorders>
            <w:vAlign w:val="center"/>
          </w:tcPr>
          <w:p w14:paraId="22A538A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人</w:t>
            </w:r>
          </w:p>
        </w:tc>
      </w:tr>
      <w:tr w14:paraId="001B9E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19A99EA">
            <w:pPr>
              <w:adjustRightInd w:val="0"/>
              <w:spacing w:line="400" w:lineRule="exact"/>
              <w:jc w:val="center"/>
              <w:rPr>
                <w:rFonts w:ascii="宋体" w:hAnsi="宋体" w:cs="宋体"/>
                <w:color w:val="auto"/>
                <w:szCs w:val="21"/>
                <w:highlight w:val="none"/>
              </w:rPr>
            </w:pPr>
            <w:bookmarkStart w:id="90" w:name="_28.3"/>
            <w:bookmarkEnd w:id="90"/>
            <w:r>
              <w:rPr>
                <w:rFonts w:hint="eastAsia" w:ascii="宋体" w:hAnsi="宋体" w:cs="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430F784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w:t>
            </w:r>
          </w:p>
          <w:p w14:paraId="4386269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0C825C4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35224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95" w:type="dxa"/>
            <w:tcBorders>
              <w:top w:val="single" w:color="auto" w:sz="4" w:space="0"/>
              <w:left w:val="single" w:color="auto" w:sz="4" w:space="0"/>
              <w:bottom w:val="single" w:color="auto" w:sz="4" w:space="0"/>
              <w:right w:val="single" w:color="auto" w:sz="4" w:space="0"/>
            </w:tcBorders>
            <w:vAlign w:val="center"/>
          </w:tcPr>
          <w:p w14:paraId="3E970597">
            <w:pPr>
              <w:adjustRightInd w:val="0"/>
              <w:spacing w:line="400" w:lineRule="exact"/>
              <w:jc w:val="center"/>
              <w:rPr>
                <w:rFonts w:ascii="宋体" w:hAnsi="宋体" w:cs="宋体"/>
                <w:color w:val="auto"/>
                <w:szCs w:val="21"/>
                <w:highlight w:val="none"/>
              </w:rPr>
            </w:pPr>
            <w:bookmarkStart w:id="91" w:name="_29.2.2（2）"/>
            <w:bookmarkEnd w:id="91"/>
            <w:r>
              <w:rPr>
                <w:rFonts w:hint="eastAsia" w:ascii="宋体" w:hAnsi="宋体" w:cs="宋体"/>
                <w:color w:val="auto"/>
                <w:szCs w:val="21"/>
                <w:highlight w:val="none"/>
              </w:rPr>
              <w:t>29.2</w:t>
            </w:r>
          </w:p>
        </w:tc>
        <w:tc>
          <w:tcPr>
            <w:tcW w:w="8670" w:type="dxa"/>
            <w:tcBorders>
              <w:top w:val="single" w:color="auto" w:sz="4" w:space="0"/>
              <w:left w:val="single" w:color="auto" w:sz="4" w:space="0"/>
              <w:right w:val="single" w:color="auto" w:sz="4" w:space="0"/>
            </w:tcBorders>
            <w:vAlign w:val="center"/>
          </w:tcPr>
          <w:p w14:paraId="42BE475A">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18C4133A">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服务内容及要求评审中允许负偏离的条款数：</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38132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00430554">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29.3</w:t>
            </w:r>
          </w:p>
        </w:tc>
        <w:tc>
          <w:tcPr>
            <w:tcW w:w="8670" w:type="dxa"/>
            <w:tcBorders>
              <w:top w:val="single" w:color="auto" w:sz="4" w:space="0"/>
              <w:left w:val="single" w:color="auto" w:sz="4" w:space="0"/>
              <w:right w:val="single" w:color="auto" w:sz="4" w:space="0"/>
            </w:tcBorders>
            <w:vAlign w:val="center"/>
          </w:tcPr>
          <w:p w14:paraId="2630148D">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中标候选人推荐数量：</w:t>
            </w:r>
          </w:p>
          <w:p w14:paraId="1D911F1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w:t>
            </w:r>
            <w:r>
              <w:rPr>
                <w:rFonts w:hint="eastAsia" w:ascii="宋体" w:hAnsi="宋体" w:cs="宋体"/>
                <w:color w:val="auto"/>
                <w:szCs w:val="21"/>
                <w:highlight w:val="none"/>
              </w:rPr>
              <w:t>名</w:t>
            </w:r>
          </w:p>
          <w:p w14:paraId="6361C017">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☑根据[总得分由高到低（综合评分法）]排列次序并全部推荐为中标候选人</w:t>
            </w:r>
          </w:p>
        </w:tc>
      </w:tr>
      <w:tr w14:paraId="58EE2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1FD9B57">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30.1</w:t>
            </w:r>
          </w:p>
        </w:tc>
        <w:tc>
          <w:tcPr>
            <w:tcW w:w="8670" w:type="dxa"/>
            <w:tcBorders>
              <w:top w:val="single" w:color="auto" w:sz="4" w:space="0"/>
              <w:left w:val="single" w:color="auto" w:sz="4" w:space="0"/>
              <w:bottom w:val="single" w:color="auto" w:sz="4" w:space="0"/>
              <w:right w:val="single" w:color="auto" w:sz="4" w:space="0"/>
            </w:tcBorders>
            <w:vAlign w:val="center"/>
          </w:tcPr>
          <w:p w14:paraId="093D2722">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采用综合评分法的采购项目，采购人确定中标供应商时，出现中标候选人并列的情形，采购人按以下方式确定中标供应商：</w:t>
            </w:r>
          </w:p>
          <w:p w14:paraId="0A13049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w:t>
            </w:r>
            <w:r>
              <w:rPr>
                <w:rFonts w:hint="eastAsia" w:ascii="宋体" w:hAnsi="宋体"/>
                <w:color w:val="auto"/>
                <w:highlight w:val="none"/>
              </w:rPr>
              <w:t>服务方案</w:t>
            </w:r>
            <w:r>
              <w:rPr>
                <w:rFonts w:hint="eastAsia" w:ascii="宋体" w:hAnsi="宋体" w:cs="宋体"/>
                <w:color w:val="auto"/>
                <w:szCs w:val="21"/>
                <w:highlight w:val="none"/>
              </w:rPr>
              <w:t>分高的优先、</w:t>
            </w:r>
            <w:r>
              <w:rPr>
                <w:rFonts w:hint="eastAsia" w:ascii="宋体" w:hAnsi="宋体"/>
                <w:color w:val="auto"/>
                <w:highlight w:val="none"/>
              </w:rPr>
              <w:t>人员管理及培训方案</w:t>
            </w:r>
            <w:r>
              <w:rPr>
                <w:rFonts w:hint="eastAsia" w:ascii="宋体" w:hAnsi="宋体" w:cs="宋体"/>
                <w:color w:val="auto"/>
                <w:szCs w:val="21"/>
                <w:highlight w:val="none"/>
              </w:rPr>
              <w:t>分高的优先、</w:t>
            </w:r>
            <w:r>
              <w:rPr>
                <w:rFonts w:hint="eastAsia" w:ascii="宋体" w:hAnsi="宋体"/>
                <w:bCs/>
                <w:color w:val="auto"/>
                <w:highlight w:val="none"/>
              </w:rPr>
              <w:t>突发事件处理预案</w:t>
            </w:r>
            <w:r>
              <w:rPr>
                <w:rFonts w:hint="eastAsia" w:ascii="宋体" w:hAnsi="宋体" w:cs="宋体"/>
                <w:color w:val="auto"/>
                <w:szCs w:val="21"/>
                <w:highlight w:val="none"/>
              </w:rPr>
              <w:t>分高的优先、</w:t>
            </w:r>
            <w:r>
              <w:rPr>
                <w:rFonts w:hint="eastAsia" w:ascii="宋体" w:hAnsi="宋体"/>
                <w:color w:val="auto"/>
                <w:szCs w:val="21"/>
                <w:highlight w:val="none"/>
                <w:lang w:val="zh-CN"/>
              </w:rPr>
              <w:t>技术力量分高</w:t>
            </w:r>
            <w:r>
              <w:rPr>
                <w:rFonts w:hint="eastAsia" w:ascii="宋体" w:hAnsi="宋体" w:cs="宋体"/>
                <w:color w:val="auto"/>
                <w:szCs w:val="21"/>
                <w:highlight w:val="none"/>
              </w:rPr>
              <w:t>的优先、</w:t>
            </w:r>
            <w:r>
              <w:rPr>
                <w:rFonts w:hint="eastAsia" w:ascii="宋体" w:hAnsi="宋体"/>
                <w:color w:val="auto"/>
                <w:szCs w:val="21"/>
                <w:highlight w:val="none"/>
                <w:lang w:val="zh-CN"/>
              </w:rPr>
              <w:t>成功案例</w:t>
            </w:r>
            <w:r>
              <w:rPr>
                <w:rFonts w:hint="eastAsia" w:ascii="宋体" w:hAnsi="宋体" w:cs="宋体"/>
                <w:color w:val="auto"/>
                <w:szCs w:val="21"/>
                <w:highlight w:val="none"/>
              </w:rPr>
              <w:t>分高的优先</w:t>
            </w:r>
            <w:r>
              <w:rPr>
                <w:rFonts w:hint="eastAsia" w:ascii="宋体" w:hAnsi="宋体"/>
                <w:color w:val="auto"/>
                <w:szCs w:val="21"/>
                <w:highlight w:val="none"/>
              </w:rPr>
              <w:t>、</w:t>
            </w:r>
            <w:r>
              <w:rPr>
                <w:rFonts w:hint="eastAsia" w:ascii="宋体" w:hAnsi="宋体"/>
                <w:color w:val="auto"/>
                <w:szCs w:val="21"/>
                <w:highlight w:val="none"/>
                <w:lang w:val="zh-CN"/>
              </w:rPr>
              <w:t>相关证书</w:t>
            </w:r>
            <w:r>
              <w:rPr>
                <w:rFonts w:hint="eastAsia" w:ascii="宋体" w:hAnsi="宋体" w:cs="宋体"/>
                <w:color w:val="auto"/>
                <w:szCs w:val="21"/>
                <w:highlight w:val="none"/>
              </w:rPr>
              <w:t>分高的优先顺序推荐；</w:t>
            </w:r>
          </w:p>
          <w:p w14:paraId="16A4DCE5">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4DBAF935">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18F7530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采用最低评标价法的采购项目，采购人确定中标供应商时，出现中标候选人并列的情形，采购人按以下的方式确定中标供应商：</w:t>
            </w:r>
          </w:p>
          <w:p w14:paraId="6339E9A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节能及环保产品累计金额高的优先、带“▲”的实质性要求正偏离项数多的优先、均无正偏离或者正偏离项数一致时负偏离项数少的优先、保修（维护）期长优先、交货期短优先、故障响应时间短优先的顺序确定。</w:t>
            </w:r>
          </w:p>
          <w:p w14:paraId="3FC63E0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33477F5F">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6BFA4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42B40A8E">
            <w:pPr>
              <w:adjustRightInd w:val="0"/>
              <w:spacing w:line="400" w:lineRule="exact"/>
              <w:jc w:val="center"/>
              <w:rPr>
                <w:rFonts w:ascii="宋体" w:hAnsi="宋体" w:cs="宋体"/>
                <w:color w:val="auto"/>
                <w:szCs w:val="21"/>
                <w:highlight w:val="none"/>
              </w:rPr>
            </w:pPr>
            <w:bookmarkStart w:id="92" w:name="_39.1"/>
            <w:bookmarkEnd w:id="92"/>
            <w:r>
              <w:rPr>
                <w:rFonts w:hint="eastAsia" w:ascii="宋体" w:hAnsi="宋体" w:cs="宋体"/>
                <w:color w:val="auto"/>
                <w:szCs w:val="21"/>
                <w:highlight w:val="none"/>
              </w:rPr>
              <w:t>35.1</w:t>
            </w:r>
          </w:p>
        </w:tc>
        <w:tc>
          <w:tcPr>
            <w:tcW w:w="8670" w:type="dxa"/>
            <w:tcBorders>
              <w:top w:val="single" w:color="auto" w:sz="4" w:space="0"/>
              <w:left w:val="single" w:color="auto" w:sz="4" w:space="0"/>
              <w:bottom w:val="single" w:color="auto" w:sz="4" w:space="0"/>
              <w:right w:val="single" w:color="auto" w:sz="4" w:space="0"/>
            </w:tcBorders>
            <w:vAlign w:val="center"/>
          </w:tcPr>
          <w:p w14:paraId="1005B1AC">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□本项目不收取履约保证金。</w:t>
            </w:r>
          </w:p>
          <w:p w14:paraId="457DBCEB">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☑本项目收取履约保证金，具体规定如下：</w:t>
            </w:r>
          </w:p>
          <w:p w14:paraId="03C56E5F">
            <w:pPr>
              <w:widowControl/>
              <w:autoSpaceDE w:val="0"/>
              <w:autoSpaceDN w:val="0"/>
              <w:snapToGrid w:val="0"/>
              <w:spacing w:line="360" w:lineRule="auto"/>
              <w:ind w:firstLine="420" w:firstLineChars="200"/>
              <w:jc w:val="left"/>
              <w:textAlignment w:val="bottom"/>
              <w:rPr>
                <w:rFonts w:ascii="宋体" w:hAnsi="宋体" w:cs="宋体"/>
                <w:color w:val="auto"/>
                <w:szCs w:val="21"/>
                <w:highlight w:val="none"/>
              </w:rPr>
            </w:pPr>
            <w:r>
              <w:rPr>
                <w:rFonts w:hint="eastAsia" w:ascii="宋体" w:hAnsi="宋体" w:cs="宋体"/>
                <w:color w:val="auto"/>
                <w:szCs w:val="21"/>
                <w:highlight w:val="none"/>
              </w:rPr>
              <w:t>履约保证金金额：按合同金额</w:t>
            </w:r>
            <w:r>
              <w:rPr>
                <w:rFonts w:hint="eastAsia"/>
                <w:color w:val="auto"/>
                <w:highlight w:val="none"/>
              </w:rPr>
              <w:t>2%缴纳，</w:t>
            </w:r>
            <w:r>
              <w:rPr>
                <w:rFonts w:hint="eastAsia" w:ascii="宋体" w:hAnsi="宋体" w:cs="宋体"/>
                <w:color w:val="auto"/>
                <w:szCs w:val="21"/>
                <w:highlight w:val="none"/>
              </w:rPr>
              <w:t>中标供应商必须在合同签订前向采购人足额缴纳履约保证金。</w:t>
            </w:r>
          </w:p>
          <w:p w14:paraId="4827F4AC">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b/>
                <w:color w:val="auto"/>
                <w:szCs w:val="21"/>
                <w:highlight w:val="none"/>
              </w:rPr>
              <w:t>注：根据《广西壮族自治区财政厅关于持续优化政府采购营商环境推动高质量发展的通知》（桂财采〔2024〕55号）规定，对中小企业收取的</w:t>
            </w:r>
            <w:r>
              <w:rPr>
                <w:rFonts w:hint="eastAsia" w:ascii="宋体" w:hAnsi="宋体" w:cs="宋体"/>
                <w:b/>
                <w:color w:val="auto"/>
                <w:kern w:val="0"/>
                <w:szCs w:val="21"/>
                <w:highlight w:val="none"/>
              </w:rPr>
              <w:t>履约保证金数额不得超过政府采购合同金额的2%。</w:t>
            </w:r>
          </w:p>
          <w:p w14:paraId="3FE2533C">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履约保证金递交方式：银行转账、支票、汇票、本票或者金融、担保机构出具的保函</w:t>
            </w:r>
            <w:r>
              <w:rPr>
                <w:rFonts w:hint="eastAsia" w:ascii="宋体" w:hAnsi="宋体" w:cs="宋体"/>
                <w:color w:val="auto"/>
                <w:highlight w:val="none"/>
              </w:rPr>
              <w:t>（包含电子保函）</w:t>
            </w:r>
            <w:r>
              <w:rPr>
                <w:rFonts w:hint="eastAsia" w:ascii="宋体" w:hAnsi="宋体" w:cs="宋体"/>
                <w:color w:val="auto"/>
                <w:szCs w:val="21"/>
                <w:highlight w:val="none"/>
              </w:rPr>
              <w:t>等非现金方式</w:t>
            </w:r>
          </w:p>
          <w:p w14:paraId="689FFC16">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5C96C948">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（1）中标供应商若不能完全履行合同，履约保证金不返还；中标供应商若完全履行合同，服务期满后且不存在违约情形的，中标供应商凭履约保证金缴款凭证、退付意见书到采购人财务部门办理无息退还手续。</w:t>
            </w:r>
          </w:p>
          <w:p w14:paraId="1FB4C193">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（2）在履约保证金退还日期前，若中标供应商的开户名称、开户银行、账号有变动的，请以书面形式通知履约保证金收取单位，否则由此产生的后果由中标供应商自负。</w:t>
            </w:r>
          </w:p>
          <w:p w14:paraId="7472E5E3">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（3）中标供应商在签订合同后存在违约情形的，履约保证金不予退还。履约保证金不足以赔偿损失的，按实际损失赔偿。</w:t>
            </w:r>
          </w:p>
          <w:p w14:paraId="76EA2C39">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履约保证金指定账户：</w:t>
            </w:r>
          </w:p>
          <w:p w14:paraId="10AF832B">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开户名称：桂林医科大学</w:t>
            </w:r>
          </w:p>
          <w:p w14:paraId="3847B0DC">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开户银行：中国建设银行股份有限公司桂林致和路支行</w:t>
            </w:r>
          </w:p>
          <w:p w14:paraId="3158B027">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账号：4500 1635 4130 5050 0589</w:t>
            </w:r>
          </w:p>
          <w:p w14:paraId="326AA5E8">
            <w:pPr>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备注：</w:t>
            </w:r>
          </w:p>
          <w:p w14:paraId="406B71AC">
            <w:pPr>
              <w:adjustRightIn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74F4BCC1">
            <w:pPr>
              <w:adjustRightInd w:val="0"/>
              <w:spacing w:line="360" w:lineRule="auto"/>
              <w:jc w:val="left"/>
              <w:rPr>
                <w:rFonts w:ascii="宋体" w:hAnsi="宋体" w:cs="宋体"/>
                <w:color w:val="auto"/>
                <w:kern w:val="0"/>
                <w:szCs w:val="21"/>
                <w:highlight w:val="none"/>
              </w:rPr>
            </w:pPr>
            <w:r>
              <w:rPr>
                <w:rFonts w:hint="eastAsia" w:ascii="宋体" w:hAnsi="宋体" w:cs="宋体"/>
                <w:b/>
                <w:color w:val="auto"/>
                <w:szCs w:val="21"/>
                <w:highlight w:val="none"/>
              </w:rPr>
              <w:t>2.采用金融、担保机构出具的保函的，必须为无条件保函，否则不予签订合同。</w:t>
            </w:r>
          </w:p>
        </w:tc>
      </w:tr>
      <w:tr w14:paraId="10EFB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A7D1F84">
            <w:pPr>
              <w:adjustRightInd w:val="0"/>
              <w:spacing w:line="400" w:lineRule="exact"/>
              <w:jc w:val="center"/>
              <w:rPr>
                <w:rFonts w:ascii="宋体" w:hAnsi="宋体" w:cs="宋体"/>
                <w:color w:val="auto"/>
                <w:szCs w:val="21"/>
                <w:highlight w:val="none"/>
              </w:rPr>
            </w:pPr>
            <w:bookmarkStart w:id="93" w:name="_40.1"/>
            <w:bookmarkEnd w:id="93"/>
            <w:r>
              <w:rPr>
                <w:rFonts w:hint="eastAsia" w:ascii="宋体" w:hAnsi="宋体" w:cs="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2D2F001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7F22626A">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65267F55">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0919E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88F0FB0">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38.2</w:t>
            </w:r>
          </w:p>
        </w:tc>
        <w:tc>
          <w:tcPr>
            <w:tcW w:w="8670" w:type="dxa"/>
            <w:tcBorders>
              <w:top w:val="single" w:color="auto" w:sz="4" w:space="0"/>
              <w:left w:val="single" w:color="auto" w:sz="4" w:space="0"/>
              <w:bottom w:val="single" w:color="auto" w:sz="4" w:space="0"/>
              <w:right w:val="single" w:color="auto" w:sz="4" w:space="0"/>
            </w:tcBorders>
            <w:vAlign w:val="center"/>
          </w:tcPr>
          <w:p w14:paraId="0359A60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21436B9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质疑联系部门及联系方式：云之龙咨询集团有限公司桂林分公司，联系人：吕雯、万紫琳，联系电话：0773-2887388  2887399 。通讯地址：广西桂林市临桂区西城北路2号耀辉•美好家园2幢12层1号房。</w:t>
            </w:r>
          </w:p>
          <w:p w14:paraId="3283E5F6">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业务时间：工作日每天上午8时00分到12时00分，下午3时00分到6时00分。</w:t>
            </w:r>
          </w:p>
        </w:tc>
      </w:tr>
      <w:tr w14:paraId="3EAD3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0E2B6F4">
            <w:pPr>
              <w:adjustRightInd w:val="0"/>
              <w:spacing w:line="400" w:lineRule="exact"/>
              <w:jc w:val="center"/>
              <w:rPr>
                <w:rFonts w:ascii="宋体" w:hAnsi="宋体" w:cs="宋体"/>
                <w:color w:val="auto"/>
                <w:szCs w:val="21"/>
                <w:highlight w:val="none"/>
              </w:rPr>
            </w:pPr>
            <w:bookmarkStart w:id="94" w:name="_42"/>
            <w:bookmarkEnd w:id="94"/>
            <w:bookmarkStart w:id="95" w:name="_41"/>
            <w:bookmarkEnd w:id="95"/>
            <w:bookmarkStart w:id="96" w:name="_Hlt17709148"/>
            <w:r>
              <w:rPr>
                <w:rFonts w:hint="eastAsia" w:ascii="宋体" w:hAnsi="宋体" w:cs="宋体"/>
                <w:color w:val="auto"/>
                <w:szCs w:val="21"/>
                <w:highlight w:val="none"/>
              </w:rPr>
              <w:t>3</w:t>
            </w:r>
            <w:bookmarkEnd w:id="96"/>
            <w:r>
              <w:rPr>
                <w:rFonts w:hint="eastAsia" w:ascii="宋体" w:hAnsi="宋体" w:cs="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549187A8">
            <w:pPr>
              <w:pStyle w:val="27"/>
              <w:adjustRightInd w:val="0"/>
              <w:spacing w:line="400" w:lineRule="exact"/>
              <w:rPr>
                <w:rFonts w:hAnsi="宋体" w:cs="宋体"/>
                <w:color w:val="auto"/>
                <w:sz w:val="21"/>
                <w:highlight w:val="none"/>
              </w:rPr>
            </w:pPr>
            <w:r>
              <w:rPr>
                <w:rFonts w:hint="eastAsia" w:hAnsi="宋体" w:cs="宋体"/>
                <w:color w:val="auto"/>
                <w:sz w:val="21"/>
                <w:highlight w:val="none"/>
              </w:rPr>
              <w:t>1.采购代理费支付方式：</w:t>
            </w:r>
          </w:p>
          <w:p w14:paraId="6E0E09C7">
            <w:pPr>
              <w:pStyle w:val="27"/>
              <w:adjustRightInd w:val="0"/>
              <w:spacing w:line="400" w:lineRule="exact"/>
              <w:rPr>
                <w:rFonts w:hAnsi="宋体" w:cs="宋体"/>
                <w:color w:val="auto"/>
                <w:sz w:val="21"/>
                <w:highlight w:val="none"/>
              </w:rPr>
            </w:pPr>
            <w:r>
              <w:rPr>
                <w:rFonts w:hint="eastAsia" w:hAnsi="宋体" w:cs="宋体"/>
                <w:color w:val="auto"/>
                <w:highlight w:val="none"/>
              </w:rPr>
              <w:t>☑</w:t>
            </w:r>
            <w:r>
              <w:rPr>
                <w:rFonts w:hint="eastAsia" w:hAnsi="宋体" w:cs="宋体"/>
                <w:color w:val="auto"/>
                <w:sz w:val="21"/>
                <w:highlight w:val="none"/>
              </w:rPr>
              <w:t>本项目代理服务费由中标供应商在获取中标通知书前向采购代理机构一次性付清</w:t>
            </w:r>
            <w:r>
              <w:rPr>
                <w:rFonts w:hint="eastAsia" w:hAnsi="宋体"/>
                <w:color w:val="auto"/>
                <w:highlight w:val="none"/>
              </w:rPr>
              <w:t>。</w:t>
            </w:r>
          </w:p>
          <w:p w14:paraId="2B99F7A7">
            <w:pPr>
              <w:pStyle w:val="27"/>
              <w:adjustRightInd w:val="0"/>
              <w:spacing w:line="400" w:lineRule="exact"/>
              <w:rPr>
                <w:rFonts w:hAnsi="宋体" w:cs="宋体"/>
                <w:color w:val="auto"/>
                <w:sz w:val="21"/>
                <w:highlight w:val="none"/>
              </w:rPr>
            </w:pPr>
            <w:r>
              <w:rPr>
                <w:rFonts w:hint="eastAsia" w:hAnsi="宋体" w:cs="宋体"/>
                <w:color w:val="auto"/>
                <w:sz w:val="21"/>
                <w:highlight w:val="none"/>
              </w:rPr>
              <w:t>□采购人支付。</w:t>
            </w:r>
          </w:p>
          <w:p w14:paraId="4CBE8BEC">
            <w:pPr>
              <w:pStyle w:val="27"/>
              <w:adjustRightInd w:val="0"/>
              <w:spacing w:line="400" w:lineRule="exact"/>
              <w:rPr>
                <w:rFonts w:hAnsi="宋体" w:cs="宋体"/>
                <w:color w:val="auto"/>
                <w:sz w:val="21"/>
                <w:highlight w:val="none"/>
              </w:rPr>
            </w:pPr>
            <w:r>
              <w:rPr>
                <w:rFonts w:hint="eastAsia" w:hAnsi="宋体" w:cs="宋体"/>
                <w:color w:val="auto"/>
                <w:sz w:val="21"/>
                <w:highlight w:val="none"/>
              </w:rPr>
              <w:t>2.采购代理费收取标准：</w:t>
            </w:r>
          </w:p>
          <w:p w14:paraId="450AB6CC">
            <w:pPr>
              <w:spacing w:line="360" w:lineRule="exact"/>
              <w:rPr>
                <w:rFonts w:ascii="宋体" w:hAnsi="宋体"/>
                <w:color w:val="auto"/>
                <w:szCs w:val="21"/>
                <w:highlight w:val="none"/>
              </w:rPr>
            </w:pPr>
            <w:r>
              <w:rPr>
                <w:rFonts w:hint="eastAsia" w:hAnsi="宋体" w:cs="宋体"/>
                <w:color w:val="auto"/>
                <w:highlight w:val="none"/>
              </w:rPr>
              <w:t>☑以项目。</w:t>
            </w:r>
            <w:r>
              <w:rPr>
                <w:rFonts w:hint="eastAsia" w:ascii="宋体" w:hAnsi="宋体"/>
                <w:color w:val="auto"/>
                <w:highlight w:val="none"/>
              </w:rPr>
              <w:t>采购代理服务费按以下“采购代理服务收费标准”中</w:t>
            </w:r>
            <w:r>
              <w:rPr>
                <w:rFonts w:hint="eastAsia" w:ascii="宋体" w:hAnsi="宋体"/>
                <w:color w:val="auto"/>
                <w:szCs w:val="21"/>
                <w:highlight w:val="none"/>
              </w:rPr>
              <w:t>“服务招标”类</w:t>
            </w:r>
            <w:r>
              <w:rPr>
                <w:rFonts w:hint="eastAsia" w:ascii="宋体" w:hAnsi="宋体"/>
                <w:color w:val="auto"/>
                <w:highlight w:val="none"/>
              </w:rPr>
              <w:t>收费标准下浮50%计算（不足人民币5000元的，按5000元计）。</w:t>
            </w:r>
          </w:p>
          <w:p w14:paraId="471396B0">
            <w:pPr>
              <w:spacing w:line="360" w:lineRule="exact"/>
              <w:rPr>
                <w:rFonts w:ascii="宋体" w:hAnsi="宋体"/>
                <w:color w:val="auto"/>
                <w:szCs w:val="21"/>
                <w:highlight w:val="none"/>
              </w:rPr>
            </w:pPr>
            <w:r>
              <w:rPr>
                <w:rFonts w:hint="eastAsia" w:ascii="宋体" w:hAnsi="宋体"/>
                <w:color w:val="auto"/>
                <w:szCs w:val="21"/>
                <w:highlight w:val="none"/>
              </w:rPr>
              <w:t>采购代理服务收费标准：</w:t>
            </w:r>
          </w:p>
          <w:tbl>
            <w:tblPr>
              <w:tblStyle w:val="4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7"/>
              <w:gridCol w:w="1647"/>
              <w:gridCol w:w="1782"/>
              <w:gridCol w:w="2052"/>
            </w:tblGrid>
            <w:tr w14:paraId="799D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5588AAF6">
                  <w:pPr>
                    <w:pStyle w:val="27"/>
                    <w:spacing w:line="360" w:lineRule="exact"/>
                    <w:ind w:left="25"/>
                    <w:rPr>
                      <w:rFonts w:hAnsi="宋体"/>
                      <w:color w:val="auto"/>
                      <w:sz w:val="21"/>
                      <w:highlight w:val="none"/>
                    </w:rPr>
                  </w:pPr>
                  <w:r>
                    <w:rPr>
                      <w:rFonts w:hAnsi="宋体"/>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245235" cy="642620"/>
                            <wp:effectExtent l="1905" t="4445" r="2540" b="8255"/>
                            <wp:wrapNone/>
                            <wp:docPr id="9" name="直线 3"/>
                            <wp:cNvGraphicFramePr/>
                            <a:graphic xmlns:a="http://schemas.openxmlformats.org/drawingml/2006/main">
                              <a:graphicData uri="http://schemas.microsoft.com/office/word/2010/wordprocessingShape">
                                <wps:wsp>
                                  <wps:cNvCnPr/>
                                  <wps:spPr>
                                    <a:xfrm>
                                      <a:off x="0" y="0"/>
                                      <a:ext cx="1245235" cy="64262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3" o:spid="_x0000_s1026" o:spt="20" style="position:absolute;left:0pt;margin-left:23.35pt;margin-top:0.85pt;height:50.6pt;width:98.05pt;z-index:251659264;mso-width-relative:page;mso-height-relative:page;" filled="f" stroked="t" coordsize="21600,21600" o:gfxdata="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objjdQA&#10;AAAIAQAADwAAAAAAAAABACAAAAAiAAAAZHJzL2Rvd25yZXYueG1sUEsBAhQAFAAAAAgAh07iQJqd&#10;k/nqAQAA3gMAAA4AAAAAAAAAAQAgAAAAIwEAAGRycy9lMm9Eb2MueG1sUEsFBgAAAAAGAAYAWQEA&#10;AH8FAAAAAA==&#10;">
                            <v:fill on="f" focussize="0,0"/>
                            <v:stroke color="#000000" joinstyle="round"/>
                            <v:imagedata o:title=""/>
                            <o:lock v:ext="edit" aspectratio="f"/>
                          </v:line>
                        </w:pict>
                      </mc:Fallback>
                    </mc:AlternateContent>
                  </w:r>
                  <w:r>
                    <w:rPr>
                      <w:rFonts w:hint="eastAsia" w:hAnsi="宋体"/>
                      <w:color w:val="auto"/>
                      <w:sz w:val="21"/>
                      <w:highlight w:val="none"/>
                    </w:rPr>
                    <w:t>费率          服务类型</w:t>
                  </w:r>
                </w:p>
                <w:p w14:paraId="77139514">
                  <w:pPr>
                    <w:pStyle w:val="27"/>
                    <w:spacing w:line="360" w:lineRule="exact"/>
                    <w:ind w:left="25"/>
                    <w:rPr>
                      <w:rFonts w:hAnsi="宋体"/>
                      <w:color w:val="auto"/>
                      <w:sz w:val="21"/>
                      <w:highlight w:val="none"/>
                    </w:rPr>
                  </w:pPr>
                  <w:r>
                    <w:rPr>
                      <w:rFonts w:hAnsi="宋体"/>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69850</wp:posOffset>
                            </wp:positionV>
                            <wp:extent cx="1587500" cy="370205"/>
                            <wp:effectExtent l="1270" t="4445" r="11430" b="6350"/>
                            <wp:wrapNone/>
                            <wp:docPr id="8" name="直线 4"/>
                            <wp:cNvGraphicFramePr/>
                            <a:graphic xmlns:a="http://schemas.openxmlformats.org/drawingml/2006/main">
                              <a:graphicData uri="http://schemas.microsoft.com/office/word/2010/wordprocessingShape">
                                <wps:wsp>
                                  <wps:cNvCnPr/>
                                  <wps:spPr>
                                    <a:xfrm>
                                      <a:off x="0" y="0"/>
                                      <a:ext cx="1587500" cy="37020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4" o:spid="_x0000_s1026" o:spt="20" style="position:absolute;left:0pt;margin-left:-1.8pt;margin-top:5.5pt;height:29.15pt;width:125pt;z-index:251660288;mso-width-relative:page;mso-height-relative:page;" filled="f" stroked="t" coordsize="21600,21600" o:gfxdata="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ejR5tYA&#10;AAAIAQAADwAAAAAAAAABACAAAAAiAAAAZHJzL2Rvd25yZXYueG1sUEsBAhQAFAAAAAgAh07iQB+R&#10;flToAQAA3gMAAA4AAAAAAAAAAQAgAAAAJQEAAGRycy9lMm9Eb2MueG1sUEsFBgAAAAAGAAYAWQEA&#10;AH8FAAAAAA==&#10;">
                            <v:fill on="f" focussize="0,0"/>
                            <v:stroke color="#000000" joinstyle="round"/>
                            <v:imagedata o:title=""/>
                            <o:lock v:ext="edit" aspectratio="f"/>
                          </v:line>
                        </w:pict>
                      </mc:Fallback>
                    </mc:AlternateContent>
                  </w:r>
                </w:p>
                <w:p w14:paraId="454B07D1">
                  <w:pPr>
                    <w:pStyle w:val="27"/>
                    <w:spacing w:line="360" w:lineRule="exact"/>
                    <w:ind w:left="25"/>
                    <w:rPr>
                      <w:rFonts w:hAnsi="宋体"/>
                      <w:color w:val="auto"/>
                      <w:sz w:val="21"/>
                      <w:highlight w:val="none"/>
                    </w:rPr>
                  </w:pPr>
                  <w:r>
                    <w:rPr>
                      <w:rFonts w:hint="eastAsia" w:hAnsi="宋体"/>
                      <w:color w:val="auto"/>
                      <w:sz w:val="21"/>
                      <w:highlight w:val="none"/>
                    </w:rPr>
                    <w:t>中标金额</w:t>
                  </w:r>
                </w:p>
              </w:tc>
              <w:tc>
                <w:tcPr>
                  <w:tcW w:w="1647" w:type="dxa"/>
                  <w:tcBorders>
                    <w:top w:val="single" w:color="auto" w:sz="4" w:space="0"/>
                    <w:left w:val="single" w:color="auto" w:sz="4" w:space="0"/>
                    <w:bottom w:val="single" w:color="auto" w:sz="4" w:space="0"/>
                    <w:right w:val="single" w:color="auto" w:sz="4" w:space="0"/>
                    <w:tl2br w:val="nil"/>
                    <w:tr2bl w:val="nil"/>
                  </w:tcBorders>
                  <w:vAlign w:val="center"/>
                </w:tcPr>
                <w:p w14:paraId="6A77B7F6">
                  <w:pPr>
                    <w:pStyle w:val="27"/>
                    <w:spacing w:line="360" w:lineRule="exact"/>
                    <w:ind w:left="25"/>
                    <w:jc w:val="center"/>
                    <w:rPr>
                      <w:rFonts w:hAnsi="宋体"/>
                      <w:color w:val="auto"/>
                      <w:sz w:val="21"/>
                      <w:highlight w:val="none"/>
                    </w:rPr>
                  </w:pPr>
                  <w:r>
                    <w:rPr>
                      <w:rFonts w:hint="eastAsia" w:hAnsi="宋体"/>
                      <w:color w:val="auto"/>
                      <w:sz w:val="21"/>
                      <w:highlight w:val="none"/>
                    </w:rPr>
                    <w:t>货物招标</w:t>
                  </w:r>
                </w:p>
              </w:tc>
              <w:tc>
                <w:tcPr>
                  <w:tcW w:w="1782" w:type="dxa"/>
                  <w:tcBorders>
                    <w:top w:val="single" w:color="auto" w:sz="4" w:space="0"/>
                    <w:left w:val="single" w:color="auto" w:sz="4" w:space="0"/>
                    <w:bottom w:val="single" w:color="auto" w:sz="4" w:space="0"/>
                    <w:right w:val="single" w:color="auto" w:sz="4" w:space="0"/>
                    <w:tl2br w:val="nil"/>
                    <w:tr2bl w:val="nil"/>
                  </w:tcBorders>
                  <w:vAlign w:val="center"/>
                </w:tcPr>
                <w:p w14:paraId="0DD94CCF">
                  <w:pPr>
                    <w:pStyle w:val="27"/>
                    <w:spacing w:line="360" w:lineRule="exact"/>
                    <w:ind w:left="25"/>
                    <w:jc w:val="center"/>
                    <w:rPr>
                      <w:rFonts w:hAnsi="宋体"/>
                      <w:color w:val="auto"/>
                      <w:sz w:val="21"/>
                      <w:highlight w:val="none"/>
                    </w:rPr>
                  </w:pPr>
                  <w:r>
                    <w:rPr>
                      <w:rFonts w:hint="eastAsia" w:hAnsi="宋体"/>
                      <w:color w:val="auto"/>
                      <w:sz w:val="21"/>
                      <w:highlight w:val="none"/>
                    </w:rPr>
                    <w:t>服务招标</w:t>
                  </w:r>
                </w:p>
              </w:tc>
              <w:tc>
                <w:tcPr>
                  <w:tcW w:w="2052" w:type="dxa"/>
                  <w:tcBorders>
                    <w:top w:val="single" w:color="auto" w:sz="4" w:space="0"/>
                    <w:left w:val="single" w:color="auto" w:sz="4" w:space="0"/>
                    <w:bottom w:val="single" w:color="auto" w:sz="4" w:space="0"/>
                    <w:right w:val="single" w:color="auto" w:sz="4" w:space="0"/>
                    <w:tl2br w:val="nil"/>
                    <w:tr2bl w:val="nil"/>
                  </w:tcBorders>
                  <w:vAlign w:val="center"/>
                </w:tcPr>
                <w:p w14:paraId="64645F03">
                  <w:pPr>
                    <w:pStyle w:val="27"/>
                    <w:spacing w:line="360" w:lineRule="exact"/>
                    <w:ind w:left="25"/>
                    <w:jc w:val="center"/>
                    <w:rPr>
                      <w:rFonts w:hAnsi="宋体"/>
                      <w:color w:val="auto"/>
                      <w:sz w:val="21"/>
                      <w:highlight w:val="none"/>
                    </w:rPr>
                  </w:pPr>
                  <w:r>
                    <w:rPr>
                      <w:rFonts w:hint="eastAsia" w:hAnsi="宋体"/>
                      <w:color w:val="auto"/>
                      <w:sz w:val="21"/>
                      <w:highlight w:val="none"/>
                    </w:rPr>
                    <w:t>工程招标</w:t>
                  </w:r>
                </w:p>
              </w:tc>
            </w:tr>
            <w:tr w14:paraId="34C8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3B26D69E">
                  <w:pPr>
                    <w:pStyle w:val="27"/>
                    <w:spacing w:line="360" w:lineRule="exact"/>
                    <w:ind w:left="25"/>
                    <w:rPr>
                      <w:rFonts w:hAnsi="宋体"/>
                      <w:color w:val="auto"/>
                      <w:sz w:val="21"/>
                      <w:highlight w:val="none"/>
                    </w:rPr>
                  </w:pPr>
                  <w:r>
                    <w:rPr>
                      <w:rFonts w:hint="eastAsia" w:hAnsi="宋体"/>
                      <w:color w:val="auto"/>
                      <w:sz w:val="21"/>
                      <w:highlight w:val="none"/>
                    </w:rPr>
                    <w:t>100万元以下</w:t>
                  </w:r>
                </w:p>
              </w:tc>
              <w:tc>
                <w:tcPr>
                  <w:tcW w:w="1647" w:type="dxa"/>
                  <w:tcBorders>
                    <w:top w:val="single" w:color="auto" w:sz="4" w:space="0"/>
                    <w:left w:val="single" w:color="auto" w:sz="4" w:space="0"/>
                    <w:bottom w:val="single" w:color="auto" w:sz="4" w:space="0"/>
                    <w:right w:val="single" w:color="auto" w:sz="4" w:space="0"/>
                    <w:tl2br w:val="nil"/>
                    <w:tr2bl w:val="nil"/>
                  </w:tcBorders>
                </w:tcPr>
                <w:p w14:paraId="5C044709">
                  <w:pPr>
                    <w:pStyle w:val="195"/>
                    <w:spacing w:line="360" w:lineRule="exact"/>
                    <w:ind w:left="25"/>
                    <w:jc w:val="center"/>
                    <w:rPr>
                      <w:rFonts w:ascii="宋体" w:hAnsi="宋体"/>
                      <w:color w:val="auto"/>
                      <w:szCs w:val="21"/>
                      <w:highlight w:val="none"/>
                    </w:rPr>
                  </w:pPr>
                  <w:r>
                    <w:rPr>
                      <w:rFonts w:hint="eastAsia" w:ascii="宋体" w:hAnsi="宋体"/>
                      <w:color w:val="auto"/>
                      <w:szCs w:val="21"/>
                      <w:highlight w:val="none"/>
                    </w:rPr>
                    <w:t>1.5%</w:t>
                  </w:r>
                </w:p>
              </w:tc>
              <w:tc>
                <w:tcPr>
                  <w:tcW w:w="1782" w:type="dxa"/>
                  <w:tcBorders>
                    <w:top w:val="single" w:color="auto" w:sz="4" w:space="0"/>
                    <w:left w:val="single" w:color="auto" w:sz="4" w:space="0"/>
                    <w:bottom w:val="single" w:color="auto" w:sz="4" w:space="0"/>
                    <w:right w:val="single" w:color="auto" w:sz="4" w:space="0"/>
                    <w:tl2br w:val="nil"/>
                    <w:tr2bl w:val="nil"/>
                  </w:tcBorders>
                </w:tcPr>
                <w:p w14:paraId="2B2603BB">
                  <w:pPr>
                    <w:pStyle w:val="195"/>
                    <w:spacing w:line="360" w:lineRule="exact"/>
                    <w:ind w:left="25"/>
                    <w:jc w:val="center"/>
                    <w:rPr>
                      <w:rFonts w:ascii="宋体" w:hAnsi="宋体"/>
                      <w:color w:val="auto"/>
                      <w:szCs w:val="21"/>
                      <w:highlight w:val="none"/>
                    </w:rPr>
                  </w:pPr>
                  <w:r>
                    <w:rPr>
                      <w:rFonts w:hint="eastAsia" w:ascii="宋体" w:hAnsi="宋体"/>
                      <w:color w:val="auto"/>
                      <w:szCs w:val="21"/>
                      <w:highlight w:val="none"/>
                    </w:rPr>
                    <w:t>1.5%</w:t>
                  </w:r>
                </w:p>
              </w:tc>
              <w:tc>
                <w:tcPr>
                  <w:tcW w:w="2052" w:type="dxa"/>
                  <w:tcBorders>
                    <w:top w:val="single" w:color="auto" w:sz="4" w:space="0"/>
                    <w:left w:val="single" w:color="auto" w:sz="4" w:space="0"/>
                    <w:bottom w:val="single" w:color="auto" w:sz="4" w:space="0"/>
                    <w:right w:val="single" w:color="auto" w:sz="4" w:space="0"/>
                    <w:tl2br w:val="nil"/>
                    <w:tr2bl w:val="nil"/>
                  </w:tcBorders>
                </w:tcPr>
                <w:p w14:paraId="6C69E024">
                  <w:pPr>
                    <w:pStyle w:val="195"/>
                    <w:spacing w:line="360" w:lineRule="exact"/>
                    <w:ind w:left="25"/>
                    <w:jc w:val="center"/>
                    <w:rPr>
                      <w:rFonts w:ascii="宋体" w:hAnsi="宋体"/>
                      <w:color w:val="auto"/>
                      <w:szCs w:val="21"/>
                      <w:highlight w:val="none"/>
                    </w:rPr>
                  </w:pPr>
                  <w:r>
                    <w:rPr>
                      <w:rFonts w:hint="eastAsia" w:ascii="宋体" w:hAnsi="宋体"/>
                      <w:color w:val="auto"/>
                      <w:szCs w:val="21"/>
                      <w:highlight w:val="none"/>
                    </w:rPr>
                    <w:t>1.0%</w:t>
                  </w:r>
                </w:p>
              </w:tc>
            </w:tr>
            <w:tr w14:paraId="2510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14E0915C">
                  <w:pPr>
                    <w:pStyle w:val="27"/>
                    <w:spacing w:line="360" w:lineRule="exact"/>
                    <w:ind w:left="25"/>
                    <w:rPr>
                      <w:rFonts w:hAnsi="宋体"/>
                      <w:color w:val="auto"/>
                      <w:sz w:val="21"/>
                      <w:highlight w:val="none"/>
                    </w:rPr>
                  </w:pPr>
                  <w:r>
                    <w:rPr>
                      <w:rFonts w:hint="eastAsia" w:hAnsi="宋体"/>
                      <w:color w:val="auto"/>
                      <w:sz w:val="21"/>
                      <w:highlight w:val="none"/>
                    </w:rPr>
                    <w:t>100～500万元</w:t>
                  </w:r>
                </w:p>
              </w:tc>
              <w:tc>
                <w:tcPr>
                  <w:tcW w:w="1647" w:type="dxa"/>
                  <w:tcBorders>
                    <w:top w:val="single" w:color="auto" w:sz="4" w:space="0"/>
                    <w:left w:val="single" w:color="auto" w:sz="4" w:space="0"/>
                    <w:bottom w:val="single" w:color="auto" w:sz="4" w:space="0"/>
                    <w:right w:val="single" w:color="auto" w:sz="4" w:space="0"/>
                    <w:tl2br w:val="nil"/>
                    <w:tr2bl w:val="nil"/>
                  </w:tcBorders>
                </w:tcPr>
                <w:p w14:paraId="0635203C">
                  <w:pPr>
                    <w:pStyle w:val="195"/>
                    <w:spacing w:line="360" w:lineRule="exact"/>
                    <w:ind w:left="25"/>
                    <w:jc w:val="center"/>
                    <w:rPr>
                      <w:rFonts w:ascii="宋体" w:hAnsi="宋体"/>
                      <w:color w:val="auto"/>
                      <w:szCs w:val="21"/>
                      <w:highlight w:val="none"/>
                    </w:rPr>
                  </w:pPr>
                  <w:r>
                    <w:rPr>
                      <w:rFonts w:hint="eastAsia" w:ascii="宋体" w:hAnsi="宋体"/>
                      <w:color w:val="auto"/>
                      <w:szCs w:val="21"/>
                      <w:highlight w:val="none"/>
                    </w:rPr>
                    <w:t>1.1%</w:t>
                  </w:r>
                </w:p>
              </w:tc>
              <w:tc>
                <w:tcPr>
                  <w:tcW w:w="1782" w:type="dxa"/>
                  <w:tcBorders>
                    <w:top w:val="single" w:color="auto" w:sz="4" w:space="0"/>
                    <w:left w:val="single" w:color="auto" w:sz="4" w:space="0"/>
                    <w:bottom w:val="single" w:color="auto" w:sz="4" w:space="0"/>
                    <w:right w:val="single" w:color="auto" w:sz="4" w:space="0"/>
                    <w:tl2br w:val="nil"/>
                    <w:tr2bl w:val="nil"/>
                  </w:tcBorders>
                </w:tcPr>
                <w:p w14:paraId="3F225EE9">
                  <w:pPr>
                    <w:pStyle w:val="195"/>
                    <w:spacing w:line="360" w:lineRule="exact"/>
                    <w:ind w:left="25"/>
                    <w:jc w:val="center"/>
                    <w:rPr>
                      <w:rFonts w:ascii="宋体" w:hAnsi="宋体"/>
                      <w:color w:val="auto"/>
                      <w:szCs w:val="21"/>
                      <w:highlight w:val="none"/>
                    </w:rPr>
                  </w:pPr>
                  <w:r>
                    <w:rPr>
                      <w:rFonts w:hint="eastAsia" w:ascii="宋体" w:hAnsi="宋体"/>
                      <w:color w:val="auto"/>
                      <w:szCs w:val="21"/>
                      <w:highlight w:val="none"/>
                    </w:rPr>
                    <w:t>0.8%</w:t>
                  </w:r>
                </w:p>
              </w:tc>
              <w:tc>
                <w:tcPr>
                  <w:tcW w:w="2052" w:type="dxa"/>
                  <w:tcBorders>
                    <w:top w:val="single" w:color="auto" w:sz="4" w:space="0"/>
                    <w:left w:val="single" w:color="auto" w:sz="4" w:space="0"/>
                    <w:bottom w:val="single" w:color="auto" w:sz="4" w:space="0"/>
                    <w:right w:val="single" w:color="auto" w:sz="4" w:space="0"/>
                    <w:tl2br w:val="nil"/>
                    <w:tr2bl w:val="nil"/>
                  </w:tcBorders>
                </w:tcPr>
                <w:p w14:paraId="249FE491">
                  <w:pPr>
                    <w:pStyle w:val="195"/>
                    <w:spacing w:line="360" w:lineRule="exact"/>
                    <w:ind w:left="25"/>
                    <w:jc w:val="center"/>
                    <w:rPr>
                      <w:rFonts w:ascii="宋体" w:hAnsi="宋体"/>
                      <w:color w:val="auto"/>
                      <w:szCs w:val="21"/>
                      <w:highlight w:val="none"/>
                    </w:rPr>
                  </w:pPr>
                  <w:r>
                    <w:rPr>
                      <w:rFonts w:hint="eastAsia" w:ascii="宋体" w:hAnsi="宋体"/>
                      <w:color w:val="auto"/>
                      <w:szCs w:val="21"/>
                      <w:highlight w:val="none"/>
                    </w:rPr>
                    <w:t>0.7%</w:t>
                  </w:r>
                </w:p>
              </w:tc>
            </w:tr>
            <w:tr w14:paraId="4340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7E4A86DE">
                  <w:pPr>
                    <w:pStyle w:val="27"/>
                    <w:spacing w:line="360" w:lineRule="exact"/>
                    <w:ind w:left="25"/>
                    <w:rPr>
                      <w:rFonts w:hAnsi="宋体"/>
                      <w:color w:val="auto"/>
                      <w:sz w:val="21"/>
                      <w:highlight w:val="none"/>
                    </w:rPr>
                  </w:pPr>
                  <w:r>
                    <w:rPr>
                      <w:rFonts w:hint="eastAsia" w:hAnsi="宋体"/>
                      <w:color w:val="auto"/>
                      <w:sz w:val="21"/>
                      <w:highlight w:val="none"/>
                    </w:rPr>
                    <w:t>500～1000万元</w:t>
                  </w:r>
                </w:p>
              </w:tc>
              <w:tc>
                <w:tcPr>
                  <w:tcW w:w="1647" w:type="dxa"/>
                  <w:tcBorders>
                    <w:top w:val="single" w:color="auto" w:sz="4" w:space="0"/>
                    <w:left w:val="single" w:color="auto" w:sz="4" w:space="0"/>
                    <w:bottom w:val="single" w:color="auto" w:sz="4" w:space="0"/>
                    <w:right w:val="single" w:color="auto" w:sz="4" w:space="0"/>
                    <w:tl2br w:val="nil"/>
                    <w:tr2bl w:val="nil"/>
                  </w:tcBorders>
                </w:tcPr>
                <w:p w14:paraId="0C24F002">
                  <w:pPr>
                    <w:pStyle w:val="27"/>
                    <w:spacing w:line="360" w:lineRule="exact"/>
                    <w:ind w:left="25"/>
                    <w:jc w:val="center"/>
                    <w:rPr>
                      <w:rFonts w:hAnsi="宋体"/>
                      <w:color w:val="auto"/>
                      <w:sz w:val="21"/>
                      <w:highlight w:val="none"/>
                    </w:rPr>
                  </w:pPr>
                  <w:r>
                    <w:rPr>
                      <w:rFonts w:hint="eastAsia" w:hAnsi="宋体"/>
                      <w:color w:val="auto"/>
                      <w:sz w:val="21"/>
                      <w:highlight w:val="none"/>
                    </w:rPr>
                    <w:t>0.8%</w:t>
                  </w:r>
                </w:p>
              </w:tc>
              <w:tc>
                <w:tcPr>
                  <w:tcW w:w="1782" w:type="dxa"/>
                  <w:tcBorders>
                    <w:top w:val="single" w:color="auto" w:sz="4" w:space="0"/>
                    <w:left w:val="single" w:color="auto" w:sz="4" w:space="0"/>
                    <w:bottom w:val="single" w:color="auto" w:sz="4" w:space="0"/>
                    <w:right w:val="single" w:color="auto" w:sz="4" w:space="0"/>
                    <w:tl2br w:val="nil"/>
                    <w:tr2bl w:val="nil"/>
                  </w:tcBorders>
                </w:tcPr>
                <w:p w14:paraId="00182BDC">
                  <w:pPr>
                    <w:pStyle w:val="27"/>
                    <w:spacing w:line="360" w:lineRule="exact"/>
                    <w:ind w:left="25"/>
                    <w:jc w:val="center"/>
                    <w:rPr>
                      <w:rFonts w:hAnsi="宋体"/>
                      <w:color w:val="auto"/>
                      <w:sz w:val="21"/>
                      <w:highlight w:val="none"/>
                    </w:rPr>
                  </w:pPr>
                  <w:r>
                    <w:rPr>
                      <w:rFonts w:hint="eastAsia" w:hAnsi="宋体"/>
                      <w:color w:val="auto"/>
                      <w:sz w:val="21"/>
                      <w:highlight w:val="none"/>
                    </w:rPr>
                    <w:t>0.45%</w:t>
                  </w:r>
                </w:p>
              </w:tc>
              <w:tc>
                <w:tcPr>
                  <w:tcW w:w="2052" w:type="dxa"/>
                  <w:tcBorders>
                    <w:top w:val="single" w:color="auto" w:sz="4" w:space="0"/>
                    <w:left w:val="single" w:color="auto" w:sz="4" w:space="0"/>
                    <w:bottom w:val="single" w:color="auto" w:sz="4" w:space="0"/>
                    <w:right w:val="single" w:color="auto" w:sz="4" w:space="0"/>
                    <w:tl2br w:val="nil"/>
                    <w:tr2bl w:val="nil"/>
                  </w:tcBorders>
                </w:tcPr>
                <w:p w14:paraId="3A575410">
                  <w:pPr>
                    <w:pStyle w:val="27"/>
                    <w:spacing w:line="360" w:lineRule="exact"/>
                    <w:ind w:left="25"/>
                    <w:jc w:val="center"/>
                    <w:rPr>
                      <w:rFonts w:hAnsi="宋体"/>
                      <w:color w:val="auto"/>
                      <w:sz w:val="21"/>
                      <w:highlight w:val="none"/>
                    </w:rPr>
                  </w:pPr>
                  <w:r>
                    <w:rPr>
                      <w:rFonts w:hint="eastAsia" w:hAnsi="宋体"/>
                      <w:color w:val="auto"/>
                      <w:sz w:val="21"/>
                      <w:highlight w:val="none"/>
                    </w:rPr>
                    <w:t>0.55%</w:t>
                  </w:r>
                </w:p>
              </w:tc>
            </w:tr>
            <w:tr w14:paraId="759D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27E0AE7E">
                  <w:pPr>
                    <w:pStyle w:val="27"/>
                    <w:spacing w:line="360" w:lineRule="exact"/>
                    <w:ind w:left="25"/>
                    <w:rPr>
                      <w:rFonts w:hAnsi="宋体"/>
                      <w:color w:val="auto"/>
                      <w:sz w:val="21"/>
                      <w:highlight w:val="none"/>
                    </w:rPr>
                  </w:pPr>
                  <w:r>
                    <w:rPr>
                      <w:rFonts w:hint="eastAsia" w:hAnsi="宋体"/>
                      <w:color w:val="auto"/>
                      <w:sz w:val="21"/>
                      <w:highlight w:val="none"/>
                    </w:rPr>
                    <w:t>1000～5000万元</w:t>
                  </w:r>
                </w:p>
              </w:tc>
              <w:tc>
                <w:tcPr>
                  <w:tcW w:w="1647" w:type="dxa"/>
                  <w:tcBorders>
                    <w:top w:val="single" w:color="auto" w:sz="4" w:space="0"/>
                    <w:left w:val="single" w:color="auto" w:sz="4" w:space="0"/>
                    <w:bottom w:val="single" w:color="auto" w:sz="4" w:space="0"/>
                    <w:right w:val="single" w:color="auto" w:sz="4" w:space="0"/>
                    <w:tl2br w:val="nil"/>
                    <w:tr2bl w:val="nil"/>
                  </w:tcBorders>
                </w:tcPr>
                <w:p w14:paraId="7192F236">
                  <w:pPr>
                    <w:pStyle w:val="27"/>
                    <w:spacing w:line="360" w:lineRule="exact"/>
                    <w:ind w:left="25"/>
                    <w:jc w:val="center"/>
                    <w:rPr>
                      <w:rFonts w:hAnsi="宋体"/>
                      <w:color w:val="auto"/>
                      <w:sz w:val="21"/>
                      <w:highlight w:val="none"/>
                    </w:rPr>
                  </w:pPr>
                  <w:r>
                    <w:rPr>
                      <w:rFonts w:hint="eastAsia" w:hAnsi="宋体"/>
                      <w:color w:val="auto"/>
                      <w:sz w:val="21"/>
                      <w:highlight w:val="none"/>
                    </w:rPr>
                    <w:t>0.5%</w:t>
                  </w:r>
                </w:p>
              </w:tc>
              <w:tc>
                <w:tcPr>
                  <w:tcW w:w="1782" w:type="dxa"/>
                  <w:tcBorders>
                    <w:top w:val="single" w:color="auto" w:sz="4" w:space="0"/>
                    <w:left w:val="single" w:color="auto" w:sz="4" w:space="0"/>
                    <w:bottom w:val="single" w:color="auto" w:sz="4" w:space="0"/>
                    <w:right w:val="single" w:color="auto" w:sz="4" w:space="0"/>
                    <w:tl2br w:val="nil"/>
                    <w:tr2bl w:val="nil"/>
                  </w:tcBorders>
                </w:tcPr>
                <w:p w14:paraId="2D62E4AD">
                  <w:pPr>
                    <w:pStyle w:val="27"/>
                    <w:spacing w:line="360" w:lineRule="exact"/>
                    <w:ind w:left="25"/>
                    <w:jc w:val="center"/>
                    <w:rPr>
                      <w:rFonts w:hAnsi="宋体"/>
                      <w:color w:val="auto"/>
                      <w:sz w:val="21"/>
                      <w:highlight w:val="none"/>
                    </w:rPr>
                  </w:pPr>
                  <w:r>
                    <w:rPr>
                      <w:rFonts w:hint="eastAsia" w:hAnsi="宋体"/>
                      <w:color w:val="auto"/>
                      <w:sz w:val="21"/>
                      <w:highlight w:val="none"/>
                    </w:rPr>
                    <w:t>0.25%</w:t>
                  </w:r>
                </w:p>
              </w:tc>
              <w:tc>
                <w:tcPr>
                  <w:tcW w:w="2052" w:type="dxa"/>
                  <w:tcBorders>
                    <w:top w:val="single" w:color="auto" w:sz="4" w:space="0"/>
                    <w:left w:val="single" w:color="auto" w:sz="4" w:space="0"/>
                    <w:bottom w:val="single" w:color="auto" w:sz="4" w:space="0"/>
                    <w:right w:val="single" w:color="auto" w:sz="4" w:space="0"/>
                    <w:tl2br w:val="nil"/>
                    <w:tr2bl w:val="nil"/>
                  </w:tcBorders>
                </w:tcPr>
                <w:p w14:paraId="45EB796B">
                  <w:pPr>
                    <w:pStyle w:val="27"/>
                    <w:spacing w:line="360" w:lineRule="exact"/>
                    <w:ind w:left="25"/>
                    <w:jc w:val="center"/>
                    <w:rPr>
                      <w:rFonts w:hAnsi="宋体"/>
                      <w:color w:val="auto"/>
                      <w:sz w:val="21"/>
                      <w:highlight w:val="none"/>
                    </w:rPr>
                  </w:pPr>
                  <w:r>
                    <w:rPr>
                      <w:rFonts w:hint="eastAsia" w:hAnsi="宋体"/>
                      <w:color w:val="auto"/>
                      <w:sz w:val="21"/>
                      <w:highlight w:val="none"/>
                    </w:rPr>
                    <w:t>0.35%</w:t>
                  </w:r>
                </w:p>
              </w:tc>
            </w:tr>
            <w:tr w14:paraId="1643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4435499B">
                  <w:pPr>
                    <w:pStyle w:val="27"/>
                    <w:spacing w:line="360" w:lineRule="exact"/>
                    <w:ind w:left="25"/>
                    <w:rPr>
                      <w:rFonts w:hAnsi="宋体"/>
                      <w:color w:val="auto"/>
                      <w:sz w:val="21"/>
                      <w:highlight w:val="none"/>
                    </w:rPr>
                  </w:pPr>
                  <w:r>
                    <w:rPr>
                      <w:rFonts w:hint="eastAsia" w:hAnsi="宋体"/>
                      <w:color w:val="auto"/>
                      <w:sz w:val="21"/>
                      <w:highlight w:val="none"/>
                    </w:rPr>
                    <w:t>5000万元～1亿元</w:t>
                  </w:r>
                </w:p>
              </w:tc>
              <w:tc>
                <w:tcPr>
                  <w:tcW w:w="1647" w:type="dxa"/>
                  <w:tcBorders>
                    <w:top w:val="single" w:color="auto" w:sz="4" w:space="0"/>
                    <w:left w:val="single" w:color="auto" w:sz="4" w:space="0"/>
                    <w:bottom w:val="single" w:color="auto" w:sz="4" w:space="0"/>
                    <w:right w:val="single" w:color="auto" w:sz="4" w:space="0"/>
                    <w:tl2br w:val="nil"/>
                    <w:tr2bl w:val="nil"/>
                  </w:tcBorders>
                </w:tcPr>
                <w:p w14:paraId="4B55A715">
                  <w:pPr>
                    <w:pStyle w:val="27"/>
                    <w:spacing w:line="360" w:lineRule="exact"/>
                    <w:ind w:left="25"/>
                    <w:jc w:val="center"/>
                    <w:rPr>
                      <w:rFonts w:hAnsi="宋体"/>
                      <w:color w:val="auto"/>
                      <w:sz w:val="21"/>
                      <w:highlight w:val="none"/>
                    </w:rPr>
                  </w:pPr>
                  <w:r>
                    <w:rPr>
                      <w:rFonts w:hint="eastAsia" w:hAnsi="宋体"/>
                      <w:color w:val="auto"/>
                      <w:sz w:val="21"/>
                      <w:highlight w:val="none"/>
                    </w:rPr>
                    <w:t>0.25%</w:t>
                  </w:r>
                </w:p>
              </w:tc>
              <w:tc>
                <w:tcPr>
                  <w:tcW w:w="1782" w:type="dxa"/>
                  <w:tcBorders>
                    <w:top w:val="single" w:color="auto" w:sz="4" w:space="0"/>
                    <w:left w:val="single" w:color="auto" w:sz="4" w:space="0"/>
                    <w:bottom w:val="single" w:color="auto" w:sz="4" w:space="0"/>
                    <w:right w:val="single" w:color="auto" w:sz="4" w:space="0"/>
                    <w:tl2br w:val="nil"/>
                    <w:tr2bl w:val="nil"/>
                  </w:tcBorders>
                </w:tcPr>
                <w:p w14:paraId="2FF7C06C">
                  <w:pPr>
                    <w:pStyle w:val="27"/>
                    <w:spacing w:line="360" w:lineRule="exact"/>
                    <w:ind w:left="25"/>
                    <w:jc w:val="center"/>
                    <w:rPr>
                      <w:rFonts w:hAnsi="宋体"/>
                      <w:color w:val="auto"/>
                      <w:sz w:val="21"/>
                      <w:highlight w:val="none"/>
                    </w:rPr>
                  </w:pPr>
                  <w:r>
                    <w:rPr>
                      <w:rFonts w:hint="eastAsia" w:hAnsi="宋体"/>
                      <w:color w:val="auto"/>
                      <w:sz w:val="21"/>
                      <w:highlight w:val="none"/>
                    </w:rPr>
                    <w:t>0.1%</w:t>
                  </w:r>
                </w:p>
              </w:tc>
              <w:tc>
                <w:tcPr>
                  <w:tcW w:w="2052" w:type="dxa"/>
                  <w:tcBorders>
                    <w:top w:val="single" w:color="auto" w:sz="4" w:space="0"/>
                    <w:left w:val="single" w:color="auto" w:sz="4" w:space="0"/>
                    <w:bottom w:val="single" w:color="auto" w:sz="4" w:space="0"/>
                    <w:right w:val="single" w:color="auto" w:sz="4" w:space="0"/>
                    <w:tl2br w:val="nil"/>
                    <w:tr2bl w:val="nil"/>
                  </w:tcBorders>
                </w:tcPr>
                <w:p w14:paraId="4E9DC95F">
                  <w:pPr>
                    <w:pStyle w:val="27"/>
                    <w:spacing w:line="360" w:lineRule="exact"/>
                    <w:ind w:left="25"/>
                    <w:jc w:val="center"/>
                    <w:rPr>
                      <w:rFonts w:hAnsi="宋体"/>
                      <w:color w:val="auto"/>
                      <w:sz w:val="21"/>
                      <w:highlight w:val="none"/>
                    </w:rPr>
                  </w:pPr>
                  <w:r>
                    <w:rPr>
                      <w:rFonts w:hint="eastAsia" w:hAnsi="宋体"/>
                      <w:color w:val="auto"/>
                      <w:sz w:val="21"/>
                      <w:highlight w:val="none"/>
                    </w:rPr>
                    <w:t>0.2%</w:t>
                  </w:r>
                </w:p>
              </w:tc>
            </w:tr>
          </w:tbl>
          <w:p w14:paraId="2A711B5B">
            <w:pPr>
              <w:pStyle w:val="27"/>
              <w:spacing w:line="360" w:lineRule="exact"/>
              <w:ind w:left="25"/>
              <w:rPr>
                <w:rFonts w:hAnsi="宋体" w:cs="宋体"/>
                <w:color w:val="auto"/>
                <w:sz w:val="21"/>
                <w:highlight w:val="none"/>
              </w:rPr>
            </w:pPr>
            <w:r>
              <w:rPr>
                <w:rFonts w:hint="eastAsia" w:hAnsi="宋体"/>
                <w:color w:val="auto"/>
                <w:sz w:val="21"/>
                <w:highlight w:val="none"/>
              </w:rPr>
              <w:t>注：采购代理服务收费按差额定率累进法计算。</w:t>
            </w:r>
          </w:p>
          <w:p w14:paraId="503341C8">
            <w:pPr>
              <w:pStyle w:val="27"/>
              <w:spacing w:line="360" w:lineRule="exact"/>
              <w:ind w:left="25"/>
              <w:rPr>
                <w:rFonts w:hAnsi="宋体"/>
                <w:color w:val="auto"/>
                <w:sz w:val="21"/>
                <w:highlight w:val="none"/>
              </w:rPr>
            </w:pPr>
            <w:r>
              <w:rPr>
                <w:rFonts w:hint="eastAsia" w:hAnsi="宋体"/>
                <w:color w:val="auto"/>
                <w:sz w:val="21"/>
                <w:highlight w:val="none"/>
              </w:rPr>
              <w:t>□固定收费：固定采购代理收费</w:t>
            </w:r>
            <w:r>
              <w:rPr>
                <w:rFonts w:hint="eastAsia" w:hAnsi="宋体"/>
                <w:color w:val="auto"/>
                <w:sz w:val="21"/>
                <w:highlight w:val="none"/>
                <w:u w:val="single"/>
              </w:rPr>
              <w:t xml:space="preserve">  \   </w:t>
            </w:r>
            <w:r>
              <w:rPr>
                <w:rFonts w:hint="eastAsia" w:hAnsi="宋体"/>
                <w:color w:val="auto"/>
                <w:sz w:val="21"/>
                <w:highlight w:val="none"/>
              </w:rPr>
              <w:t>元。</w:t>
            </w:r>
          </w:p>
          <w:p w14:paraId="596F79AF">
            <w:pPr>
              <w:pStyle w:val="27"/>
              <w:adjustRightInd w:val="0"/>
              <w:spacing w:line="400" w:lineRule="exact"/>
              <w:rPr>
                <w:rFonts w:hAnsi="宋体" w:cs="宋体"/>
                <w:color w:val="auto"/>
                <w:sz w:val="21"/>
                <w:highlight w:val="none"/>
              </w:rPr>
            </w:pPr>
            <w:r>
              <w:rPr>
                <w:rFonts w:hint="eastAsia" w:hAnsi="宋体" w:cs="宋体"/>
                <w:color w:val="auto"/>
                <w:sz w:val="21"/>
                <w:highlight w:val="none"/>
              </w:rPr>
              <w:t>3.开户名称：云之龙咨询集团有限公司桂林分公司</w:t>
            </w:r>
          </w:p>
          <w:p w14:paraId="249C1B39">
            <w:pPr>
              <w:pStyle w:val="27"/>
              <w:adjustRightInd w:val="0"/>
              <w:spacing w:line="400" w:lineRule="exact"/>
              <w:rPr>
                <w:rFonts w:hAnsi="宋体" w:cs="宋体"/>
                <w:color w:val="auto"/>
                <w:sz w:val="21"/>
                <w:highlight w:val="none"/>
              </w:rPr>
            </w:pPr>
            <w:r>
              <w:rPr>
                <w:rFonts w:hint="eastAsia" w:hAnsi="宋体" w:cs="宋体"/>
                <w:color w:val="auto"/>
                <w:sz w:val="21"/>
                <w:highlight w:val="none"/>
              </w:rPr>
              <w:t>银行账号：8113001014300158041</w:t>
            </w:r>
          </w:p>
          <w:p w14:paraId="13CD1BB9">
            <w:pPr>
              <w:pStyle w:val="27"/>
              <w:adjustRightInd w:val="0"/>
              <w:spacing w:line="400" w:lineRule="exact"/>
              <w:rPr>
                <w:rFonts w:hAnsi="宋体" w:cs="宋体"/>
                <w:color w:val="auto"/>
                <w:sz w:val="21"/>
                <w:highlight w:val="none"/>
              </w:rPr>
            </w:pPr>
            <w:r>
              <w:rPr>
                <w:rFonts w:hint="eastAsia" w:hAnsi="宋体" w:cs="宋体"/>
                <w:color w:val="auto"/>
                <w:sz w:val="21"/>
                <w:szCs w:val="24"/>
                <w:highlight w:val="none"/>
              </w:rPr>
              <w:t>开户银行：中信银行股份有限公司南宁园湖支行</w:t>
            </w:r>
          </w:p>
        </w:tc>
      </w:tr>
      <w:tr w14:paraId="764D3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6FCD891">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7D0CFCDA">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D4A4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A506172">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48B6FFBF">
            <w:pPr>
              <w:pStyle w:val="27"/>
              <w:numPr>
                <w:ilvl w:val="0"/>
                <w:numId w:val="4"/>
              </w:numPr>
              <w:adjustRightInd w:val="0"/>
              <w:spacing w:line="360" w:lineRule="exact"/>
              <w:rPr>
                <w:rFonts w:hAnsi="宋体" w:cs="宋体"/>
                <w:color w:val="auto"/>
                <w:sz w:val="21"/>
                <w:highlight w:val="none"/>
              </w:rPr>
            </w:pPr>
            <w:r>
              <w:rPr>
                <w:rFonts w:hint="eastAsia" w:hAnsi="宋体" w:cs="宋体"/>
                <w:color w:val="auto"/>
                <w:sz w:val="21"/>
                <w:highlight w:val="none"/>
              </w:rPr>
              <w:t>本招标文件中描述投标人的“公章”是指根据我国对公章的管理规定，使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F7E181B">
            <w:pPr>
              <w:pStyle w:val="27"/>
              <w:adjustRightInd w:val="0"/>
              <w:spacing w:line="360" w:lineRule="exact"/>
              <w:rPr>
                <w:rFonts w:hAnsi="宋体" w:cs="宋体"/>
                <w:color w:val="auto"/>
                <w:sz w:val="21"/>
                <w:highlight w:val="none"/>
              </w:rPr>
            </w:pPr>
            <w:r>
              <w:rPr>
                <w:rFonts w:hint="eastAsia" w:hAnsi="宋体" w:cs="宋体"/>
                <w:color w:val="auto"/>
                <w:sz w:val="21"/>
                <w:highlight w:val="none"/>
              </w:rPr>
              <w:t>2.本招标文件所称的“电子签章”、“电子签名”，是指经</w:t>
            </w:r>
            <w:r>
              <w:rPr>
                <w:rFonts w:hint="eastAsia" w:hAnsi="宋体" w:cs="宋体"/>
                <w:color w:val="auto"/>
                <w:highlight w:val="none"/>
              </w:rPr>
              <w:t>“广西政府采购云平台”</w:t>
            </w:r>
            <w:r>
              <w:rPr>
                <w:rFonts w:hint="eastAsia" w:hAnsi="宋体" w:cs="宋体"/>
                <w:color w:val="auto"/>
                <w:sz w:val="21"/>
                <w:highlight w:val="none"/>
              </w:rPr>
              <w:t>认可的CA认证的电子签名数据为表现形式的印章，可用于签署电子投标文件，电子印章与实物印章具有同等法律效力，不因其采用电子化表现形式而否定其法律效力。</w:t>
            </w:r>
          </w:p>
          <w:p w14:paraId="136F95DC">
            <w:pPr>
              <w:pStyle w:val="27"/>
              <w:adjustRightInd w:val="0"/>
              <w:spacing w:line="360" w:lineRule="exact"/>
              <w:rPr>
                <w:rFonts w:hAnsi="宋体" w:cs="宋体"/>
                <w:color w:val="auto"/>
                <w:sz w:val="21"/>
                <w:highlight w:val="none"/>
              </w:rPr>
            </w:pPr>
            <w:r>
              <w:rPr>
                <w:rFonts w:hint="eastAsia" w:hAnsi="宋体" w:cs="宋体"/>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AD4C86D">
            <w:pPr>
              <w:pStyle w:val="27"/>
              <w:adjustRightInd w:val="0"/>
              <w:spacing w:line="360" w:lineRule="exact"/>
              <w:rPr>
                <w:rFonts w:hAnsi="宋体" w:cs="宋体"/>
                <w:color w:val="auto"/>
                <w:sz w:val="21"/>
                <w:highlight w:val="none"/>
              </w:rPr>
            </w:pPr>
            <w:r>
              <w:rPr>
                <w:rFonts w:hint="eastAsia" w:hAnsi="宋体" w:cs="宋体"/>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1019DD96">
            <w:pPr>
              <w:pStyle w:val="27"/>
              <w:adjustRightInd w:val="0"/>
              <w:spacing w:line="360" w:lineRule="exact"/>
              <w:rPr>
                <w:rFonts w:hAnsi="宋体" w:cs="宋体"/>
                <w:color w:val="auto"/>
                <w:sz w:val="21"/>
                <w:highlight w:val="none"/>
              </w:rPr>
            </w:pPr>
            <w:r>
              <w:rPr>
                <w:rFonts w:hint="eastAsia" w:hAnsi="宋体" w:cs="宋体"/>
                <w:color w:val="auto"/>
                <w:sz w:val="21"/>
                <w:highlight w:val="none"/>
              </w:rPr>
              <w:t>5.本招标文件所称的“以上”“以下”“以内”“届满”，包括本数；所称的“不满”“超过”“以外”，不包括本数。</w:t>
            </w:r>
          </w:p>
          <w:p w14:paraId="4B566AC1">
            <w:pPr>
              <w:pStyle w:val="27"/>
              <w:adjustRightInd w:val="0"/>
              <w:spacing w:line="360" w:lineRule="exact"/>
              <w:rPr>
                <w:rFonts w:hAnsi="宋体" w:cs="宋体"/>
                <w:color w:val="auto"/>
                <w:sz w:val="21"/>
                <w:highlight w:val="none"/>
              </w:rPr>
            </w:pPr>
            <w:r>
              <w:rPr>
                <w:rFonts w:hint="eastAsia" w:hAnsi="宋体" w:cs="宋体"/>
                <w:color w:val="auto"/>
                <w:sz w:val="21"/>
                <w:highlight w:val="none"/>
              </w:rPr>
              <w:t>6.如本项目未划分分标的，招标文件中的“分标”是指本项目。</w:t>
            </w:r>
          </w:p>
        </w:tc>
      </w:tr>
    </w:tbl>
    <w:p w14:paraId="36BFA16A">
      <w:pPr>
        <w:pStyle w:val="6"/>
        <w:keepNext w:val="0"/>
        <w:keepLines w:val="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投标人须知正文</w:t>
      </w:r>
    </w:p>
    <w:p w14:paraId="70A03D64">
      <w:pPr>
        <w:pStyle w:val="6"/>
        <w:keepNext w:val="0"/>
        <w:keepLines w:val="0"/>
        <w:jc w:val="center"/>
        <w:rPr>
          <w:rFonts w:ascii="宋体" w:hAnsi="宋体" w:cs="宋体"/>
          <w:color w:val="auto"/>
          <w:highlight w:val="none"/>
        </w:rPr>
      </w:pPr>
      <w:r>
        <w:rPr>
          <w:rFonts w:hint="eastAsia" w:ascii="宋体" w:hAnsi="宋体" w:cs="宋体"/>
          <w:color w:val="auto"/>
          <w:highlight w:val="none"/>
        </w:rPr>
        <w:t>一、总则</w:t>
      </w:r>
    </w:p>
    <w:p w14:paraId="4E601605">
      <w:pPr>
        <w:pStyle w:val="7"/>
        <w:keepNext w:val="0"/>
        <w:keepLines w:val="0"/>
        <w:spacing w:before="0" w:after="0" w:line="360" w:lineRule="auto"/>
        <w:ind w:left="420" w:leftChars="200"/>
        <w:rPr>
          <w:rFonts w:ascii="宋体" w:hAnsi="宋体" w:cs="宋体"/>
          <w:color w:val="auto"/>
          <w:sz w:val="24"/>
          <w:highlight w:val="none"/>
        </w:rPr>
      </w:pPr>
      <w:bookmarkStart w:id="97" w:name="_Toc254970527"/>
      <w:bookmarkStart w:id="98" w:name="_Toc254970668"/>
      <w:r>
        <w:rPr>
          <w:rFonts w:hint="eastAsia" w:ascii="宋体" w:hAnsi="宋体" w:cs="宋体"/>
          <w:color w:val="auto"/>
          <w:sz w:val="24"/>
          <w:highlight w:val="none"/>
        </w:rPr>
        <w:t>1.适用范围</w:t>
      </w:r>
      <w:bookmarkEnd w:id="97"/>
      <w:bookmarkEnd w:id="98"/>
    </w:p>
    <w:p w14:paraId="57399ED9">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88FCD49">
      <w:pPr>
        <w:snapToGrid w:val="0"/>
        <w:spacing w:line="440" w:lineRule="exact"/>
        <w:ind w:firstLine="420" w:firstLineChars="200"/>
        <w:jc w:val="left"/>
        <w:rPr>
          <w:rFonts w:ascii="宋体" w:hAnsi="宋体" w:cs="宋体"/>
          <w:color w:val="auto"/>
          <w:spacing w:val="-6"/>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1FC35D49">
      <w:pPr>
        <w:pStyle w:val="7"/>
        <w:keepNext w:val="0"/>
        <w:keepLines w:val="0"/>
        <w:spacing w:before="0" w:after="0" w:line="440" w:lineRule="exact"/>
        <w:ind w:left="420" w:leftChars="200"/>
        <w:rPr>
          <w:rFonts w:ascii="宋体" w:hAnsi="宋体" w:cs="宋体"/>
          <w:color w:val="auto"/>
          <w:sz w:val="24"/>
          <w:highlight w:val="none"/>
        </w:rPr>
      </w:pPr>
      <w:bookmarkStart w:id="99" w:name="_Toc254970528"/>
      <w:bookmarkStart w:id="100" w:name="_Toc254970669"/>
      <w:r>
        <w:rPr>
          <w:rFonts w:hint="eastAsia" w:ascii="宋体" w:hAnsi="宋体" w:cs="宋体"/>
          <w:color w:val="auto"/>
          <w:sz w:val="24"/>
          <w:highlight w:val="none"/>
        </w:rPr>
        <w:t>2.定义</w:t>
      </w:r>
      <w:bookmarkEnd w:id="99"/>
      <w:bookmarkEnd w:id="100"/>
    </w:p>
    <w:p w14:paraId="24DE8559">
      <w:pPr>
        <w:pStyle w:val="7"/>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07AE7A48">
      <w:pPr>
        <w:pStyle w:val="7"/>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4B95D28E">
      <w:pPr>
        <w:pStyle w:val="7"/>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2.3“供应商”是指向采购人提供货物、工程或者服务的法人、其他组织或者自然人。</w:t>
      </w:r>
    </w:p>
    <w:p w14:paraId="4DBB667B">
      <w:pPr>
        <w:pStyle w:val="8"/>
        <w:spacing w:line="440" w:lineRule="exact"/>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29574ECF">
      <w:pPr>
        <w:pStyle w:val="7"/>
        <w:keepNext w:val="0"/>
        <w:keepLines w:val="0"/>
        <w:spacing w:before="0" w:after="0" w:line="44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2.5“货物”是指各种形态和种类的物品，包括原材料、燃料、设备、产品等。</w:t>
      </w:r>
    </w:p>
    <w:p w14:paraId="157711AD">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2.6“服务”是指除货物和工程以外的其他采购对象。</w:t>
      </w:r>
    </w:p>
    <w:p w14:paraId="13EDCF59">
      <w:pPr>
        <w:pStyle w:val="7"/>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2538575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2.8“实质性要求”是指招标文件中已经指明不满足则投标无效的条款，或者不能负偏离的条款，或者采购需求中带“▲”的条款。投标人不满足实质性要求的，</w:t>
      </w:r>
      <w:r>
        <w:rPr>
          <w:rFonts w:hint="eastAsia" w:ascii="宋体" w:hAnsi="宋体" w:cs="宋体"/>
          <w:b/>
          <w:bCs/>
          <w:color w:val="auto"/>
          <w:szCs w:val="21"/>
          <w:highlight w:val="none"/>
        </w:rPr>
        <w:t>按投标无效处理。</w:t>
      </w:r>
    </w:p>
    <w:p w14:paraId="7D7B3516">
      <w:pPr>
        <w:spacing w:line="360" w:lineRule="exact"/>
        <w:ind w:firstLine="435"/>
        <w:rPr>
          <w:rFonts w:ascii="宋体" w:hAnsi="宋体" w:cs="宋体"/>
          <w:bCs/>
          <w:color w:val="auto"/>
          <w:szCs w:val="21"/>
          <w:highlight w:val="none"/>
        </w:rPr>
      </w:pPr>
      <w:r>
        <w:rPr>
          <w:rFonts w:hint="eastAsia" w:ascii="宋体" w:hAnsi="宋体" w:cs="宋体"/>
          <w:bCs/>
          <w:color w:val="auto"/>
          <w:szCs w:val="21"/>
          <w:highlight w:val="none"/>
        </w:rPr>
        <w:t>2.9“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服务内容优于招标文件基本要求的其它情形。</w:t>
      </w:r>
    </w:p>
    <w:p w14:paraId="7AB08BB1">
      <w:pPr>
        <w:spacing w:line="360" w:lineRule="exact"/>
        <w:ind w:firstLine="435"/>
        <w:rPr>
          <w:rFonts w:ascii="宋体" w:hAnsi="宋体"/>
          <w:bCs/>
          <w:color w:val="auto"/>
          <w:szCs w:val="21"/>
          <w:highlight w:val="none"/>
        </w:rPr>
      </w:pPr>
      <w:r>
        <w:rPr>
          <w:rFonts w:hint="eastAsia" w:ascii="宋体" w:hAnsi="宋体"/>
          <w:bCs/>
          <w:color w:val="auto"/>
          <w:szCs w:val="21"/>
          <w:highlight w:val="none"/>
        </w:rPr>
        <w:t>2.10</w:t>
      </w:r>
      <w:r>
        <w:rPr>
          <w:rFonts w:hint="eastAsia" w:ascii="宋体" w:hAnsi="宋体" w:cs="宋体"/>
          <w:bCs/>
          <w:color w:val="auto"/>
          <w:szCs w:val="21"/>
          <w:highlight w:val="none"/>
        </w:rPr>
        <w:t>“负偏离”是指投标文件对招标文件“采购需求”中有关条款作出的响应不满足条款要求，导致采购人要求不能得到满足的情形。</w:t>
      </w:r>
    </w:p>
    <w:p w14:paraId="61EC0B7F">
      <w:pPr>
        <w:pStyle w:val="7"/>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2.11“允许负偏离的条款”是指采购需求中的不属于“实质性要求”的条款。</w:t>
      </w:r>
      <w:bookmarkStart w:id="101" w:name="_Toc254970529"/>
      <w:bookmarkStart w:id="102" w:name="_Toc254970670"/>
    </w:p>
    <w:p w14:paraId="3781ED44">
      <w:pPr>
        <w:pStyle w:val="7"/>
        <w:keepNext w:val="0"/>
        <w:keepLines w:val="0"/>
        <w:spacing w:before="0" w:after="0" w:line="440" w:lineRule="exact"/>
        <w:rPr>
          <w:rFonts w:ascii="宋体" w:hAnsi="宋体" w:cs="宋体"/>
          <w:color w:val="auto"/>
          <w:szCs w:val="21"/>
          <w:highlight w:val="none"/>
        </w:rPr>
      </w:pPr>
      <w:r>
        <w:rPr>
          <w:rFonts w:hint="eastAsia" w:ascii="宋体" w:hAnsi="宋体" w:cs="宋体"/>
          <w:b w:val="0"/>
          <w:color w:val="auto"/>
          <w:sz w:val="21"/>
          <w:szCs w:val="21"/>
          <w:highlight w:val="none"/>
        </w:rPr>
        <w:t>2.12本项目实行全流程电子化采购，投标人通过“广西政府采购云平台”参与电子投标。“投标文件”是指投标人按本招标文件规定提交的电子投标文件。</w:t>
      </w:r>
    </w:p>
    <w:p w14:paraId="0E781349">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101"/>
      <w:bookmarkEnd w:id="102"/>
      <w:r>
        <w:rPr>
          <w:rFonts w:hint="eastAsia" w:ascii="宋体" w:hAnsi="宋体" w:cs="宋体"/>
          <w:color w:val="auto"/>
          <w:sz w:val="24"/>
          <w:highlight w:val="none"/>
        </w:rPr>
        <w:t>投标人的资格要求</w:t>
      </w:r>
    </w:p>
    <w:p w14:paraId="2F88993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266B51BD">
      <w:pPr>
        <w:pStyle w:val="7"/>
        <w:keepNext w:val="0"/>
        <w:keepLines w:val="0"/>
        <w:spacing w:before="0" w:after="0" w:line="360" w:lineRule="auto"/>
        <w:ind w:left="420" w:leftChars="200"/>
        <w:rPr>
          <w:rFonts w:ascii="宋体" w:hAnsi="宋体" w:cs="宋体"/>
          <w:color w:val="auto"/>
          <w:sz w:val="24"/>
          <w:highlight w:val="none"/>
        </w:rPr>
      </w:pPr>
      <w:bookmarkStart w:id="103" w:name="_Toc254970530"/>
      <w:bookmarkStart w:id="104" w:name="_Toc254970671"/>
      <w:r>
        <w:rPr>
          <w:rFonts w:hint="eastAsia" w:ascii="宋体" w:hAnsi="宋体" w:cs="宋体"/>
          <w:color w:val="auto"/>
          <w:sz w:val="24"/>
          <w:highlight w:val="none"/>
        </w:rPr>
        <w:t>4.投标委托</w:t>
      </w:r>
      <w:bookmarkEnd w:id="103"/>
      <w:bookmarkEnd w:id="104"/>
    </w:p>
    <w:p w14:paraId="7E2B895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673FB11B">
      <w:pPr>
        <w:pStyle w:val="7"/>
        <w:keepNext w:val="0"/>
        <w:keepLines w:val="0"/>
        <w:spacing w:before="0" w:after="0" w:line="360" w:lineRule="auto"/>
        <w:ind w:left="420" w:leftChars="200"/>
        <w:rPr>
          <w:rFonts w:ascii="宋体" w:hAnsi="宋体" w:cs="宋体"/>
          <w:color w:val="auto"/>
          <w:sz w:val="24"/>
          <w:highlight w:val="none"/>
        </w:rPr>
      </w:pPr>
      <w:bookmarkStart w:id="105" w:name="_5.投标费用"/>
      <w:bookmarkEnd w:id="105"/>
      <w:bookmarkStart w:id="106" w:name="_Toc254970672"/>
      <w:bookmarkStart w:id="107" w:name="_Toc254970531"/>
      <w:r>
        <w:rPr>
          <w:rFonts w:hint="eastAsia" w:ascii="宋体" w:hAnsi="宋体" w:cs="宋体"/>
          <w:color w:val="auto"/>
          <w:sz w:val="24"/>
          <w:highlight w:val="none"/>
        </w:rPr>
        <w:t>5.投标费用</w:t>
      </w:r>
      <w:bookmarkEnd w:id="106"/>
      <w:bookmarkEnd w:id="107"/>
    </w:p>
    <w:p w14:paraId="117A3A2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19154F0C">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61863C4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75C33D1E">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5E0C931F">
      <w:pPr>
        <w:pStyle w:val="7"/>
        <w:keepNext w:val="0"/>
        <w:keepLines w:val="0"/>
        <w:spacing w:before="0" w:after="0" w:line="360" w:lineRule="auto"/>
        <w:ind w:firstLine="424" w:firstLineChars="202"/>
        <w:rPr>
          <w:rFonts w:ascii="宋体" w:hAnsi="宋体" w:cs="宋体"/>
          <w:color w:val="auto"/>
          <w:sz w:val="24"/>
          <w:highlight w:val="none"/>
        </w:rPr>
      </w:pPr>
      <w:r>
        <w:rPr>
          <w:rFonts w:hint="eastAsia" w:ascii="宋体" w:hAnsi="宋体" w:cs="宋体"/>
          <w:b w:val="0"/>
          <w:bCs/>
          <w:color w:val="auto"/>
          <w:sz w:val="21"/>
          <w:szCs w:val="21"/>
          <w:highlight w:val="none"/>
        </w:rPr>
        <w:t>6.3</w:t>
      </w:r>
      <w:bookmarkStart w:id="108" w:name="_Hlk65857072"/>
      <w:r>
        <w:rPr>
          <w:rFonts w:hint="eastAsia" w:ascii="宋体" w:hAnsi="宋体" w:cs="宋体"/>
          <w:b w:val="0"/>
          <w:bCs/>
          <w:color w:val="auto"/>
          <w:sz w:val="21"/>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108"/>
    </w:p>
    <w:p w14:paraId="2374E368">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5644C9C6">
      <w:pPr>
        <w:pStyle w:val="7"/>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27FD853A">
      <w:pPr>
        <w:pStyle w:val="7"/>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3ECC2CF">
      <w:pPr>
        <w:pStyle w:val="7"/>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6CFA56A3">
      <w:pPr>
        <w:pStyle w:val="7"/>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8.特别说明</w:t>
      </w:r>
    </w:p>
    <w:p w14:paraId="5ADAAA71">
      <w:pPr>
        <w:pStyle w:val="7"/>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11C99B61">
      <w:pPr>
        <w:pStyle w:val="7"/>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7E5A820B">
      <w:pPr>
        <w:pStyle w:val="7"/>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713BEDD5">
      <w:pPr>
        <w:pStyle w:val="8"/>
        <w:spacing w:line="360" w:lineRule="auto"/>
        <w:rPr>
          <w:rFonts w:ascii="宋体" w:hAnsi="宋体"/>
          <w:color w:val="auto"/>
          <w:highlight w:val="none"/>
        </w:rPr>
      </w:pPr>
      <w:r>
        <w:rPr>
          <w:rFonts w:ascii="宋体" w:hAnsi="宋体"/>
          <w:color w:val="auto"/>
          <w:highlight w:val="none"/>
        </w:rPr>
        <w:t>8.4</w:t>
      </w:r>
      <w:r>
        <w:rPr>
          <w:rFonts w:hint="eastAsia" w:ascii="宋体" w:hAnsi="宋体"/>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1FFEBD">
      <w:pPr>
        <w:pStyle w:val="8"/>
        <w:spacing w:line="360" w:lineRule="auto"/>
        <w:rPr>
          <w:rFonts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1D7C63F7">
      <w:pPr>
        <w:widowControl/>
        <w:shd w:val="clear" w:color="auto" w:fill="FFFFFF"/>
        <w:spacing w:before="30" w:after="30" w:line="360" w:lineRule="auto"/>
        <w:jc w:val="center"/>
        <w:rPr>
          <w:rFonts w:ascii="宋体" w:hAnsi="宋体" w:cs="宋体"/>
          <w:color w:val="auto"/>
          <w:kern w:val="0"/>
          <w:sz w:val="24"/>
          <w:highlight w:val="none"/>
        </w:rPr>
      </w:pPr>
      <w:r>
        <w:rPr>
          <w:rFonts w:ascii="宋体" w:hAnsi="宋体" w:cs="宋体"/>
          <w:color w:val="auto"/>
          <w:kern w:val="0"/>
          <w:sz w:val="24"/>
          <w:highlight w:val="none"/>
        </w:rPr>
        <w:fldChar w:fldCharType="begin"/>
      </w:r>
      <w:r>
        <w:rPr>
          <w:rFonts w:ascii="宋体" w:hAnsi="宋体" w:cs="宋体"/>
          <w:color w:val="auto"/>
          <w:kern w:val="0"/>
          <w:sz w:val="24"/>
          <w:highlight w:val="none"/>
        </w:rPr>
        <w:instrText xml:space="preserve"> INCLUDEPICTURE "https://www.gov.cn/zhengce/content/202509/W020250930645245947614.png" \* MERGEFORMATINET </w:instrText>
      </w:r>
      <w:r>
        <w:rPr>
          <w:rFonts w:ascii="宋体" w:hAnsi="宋体" w:cs="宋体"/>
          <w:color w:val="auto"/>
          <w:kern w:val="0"/>
          <w:sz w:val="24"/>
          <w:highlight w:val="none"/>
        </w:rPr>
        <w:fldChar w:fldCharType="separate"/>
      </w:r>
      <w:r>
        <w:rPr>
          <w:rFonts w:ascii="宋体" w:hAnsi="宋体" w:cs="宋体"/>
          <w:color w:val="auto"/>
          <w:kern w:val="0"/>
          <w:sz w:val="24"/>
          <w:highlight w:val="none"/>
        </w:rPr>
        <w:drawing>
          <wp:inline distT="0" distB="0" distL="114300" distR="114300">
            <wp:extent cx="4827905" cy="762635"/>
            <wp:effectExtent l="0" t="0" r="10795" b="1841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6" r:link="rId17"/>
                    <a:stretch>
                      <a:fillRect/>
                    </a:stretch>
                  </pic:blipFill>
                  <pic:spPr>
                    <a:xfrm>
                      <a:off x="0" y="0"/>
                      <a:ext cx="4827905" cy="762635"/>
                    </a:xfrm>
                    <a:prstGeom prst="rect">
                      <a:avLst/>
                    </a:prstGeom>
                    <a:noFill/>
                    <a:ln>
                      <a:noFill/>
                    </a:ln>
                  </pic:spPr>
                </pic:pic>
              </a:graphicData>
            </a:graphic>
          </wp:inline>
        </w:drawing>
      </w:r>
      <w:r>
        <w:rPr>
          <w:rFonts w:ascii="宋体" w:hAnsi="宋体" w:cs="宋体"/>
          <w:color w:val="auto"/>
          <w:kern w:val="0"/>
          <w:sz w:val="24"/>
          <w:highlight w:val="none"/>
        </w:rPr>
        <w:fldChar w:fldCharType="end"/>
      </w:r>
    </w:p>
    <w:p w14:paraId="4813C343">
      <w:pPr>
        <w:pStyle w:val="8"/>
        <w:spacing w:line="360" w:lineRule="auto"/>
        <w:rPr>
          <w:rFonts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3936B496">
      <w:pPr>
        <w:pStyle w:val="8"/>
        <w:spacing w:line="360" w:lineRule="auto"/>
        <w:rPr>
          <w:rFonts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02BAB0C4">
      <w:pPr>
        <w:pStyle w:val="8"/>
        <w:spacing w:line="360" w:lineRule="auto"/>
        <w:rPr>
          <w:rFonts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F1C139D">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032941A9">
      <w:pPr>
        <w:pStyle w:val="7"/>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9.1在政府采购活动中，采购人员及相关人员与供应商有下列利害关系之一的，应当回避：</w:t>
      </w:r>
    </w:p>
    <w:p w14:paraId="60C8AFC8">
      <w:pPr>
        <w:pStyle w:val="27"/>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（1）参加采购活动前3年内与供应商存在劳动关系；</w:t>
      </w:r>
    </w:p>
    <w:p w14:paraId="0E0C7F20">
      <w:pPr>
        <w:pStyle w:val="27"/>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（2）参加采购活动前3年内担任供应商的董事、监事；</w:t>
      </w:r>
    </w:p>
    <w:p w14:paraId="1075B596">
      <w:pPr>
        <w:pStyle w:val="27"/>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（3）参加采购活动前3年内是供应商的控股股东或者实际控制人；</w:t>
      </w:r>
    </w:p>
    <w:p w14:paraId="0EC3EF7F">
      <w:pPr>
        <w:pStyle w:val="27"/>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（4）与供应商的法定代表人或者负责人有夫妻、直系血亲、三代以内旁系血亲或者近姻亲关系；</w:t>
      </w:r>
    </w:p>
    <w:p w14:paraId="0DC790DD">
      <w:pPr>
        <w:pStyle w:val="27"/>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（5）与供应商有其他可能影响政府采购活动公平、公正进行的关系。</w:t>
      </w:r>
    </w:p>
    <w:p w14:paraId="3C0D2AD4">
      <w:pPr>
        <w:pStyle w:val="27"/>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030D7DD">
      <w:pPr>
        <w:pStyle w:val="7"/>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9.2有下列情形之一的视为投标人相互串通投标，投标文件将被视为无效：</w:t>
      </w:r>
    </w:p>
    <w:p w14:paraId="4CD612C0">
      <w:pPr>
        <w:pStyle w:val="27"/>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 xml:space="preserve">（1）不同投标人的投标文件由同一单位或者个人编制； </w:t>
      </w:r>
    </w:p>
    <w:p w14:paraId="4B9A24F1">
      <w:pPr>
        <w:pStyle w:val="27"/>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73881F8B">
      <w:pPr>
        <w:pStyle w:val="27"/>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482F0A36">
      <w:pPr>
        <w:pStyle w:val="27"/>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4FA7970D">
      <w:pPr>
        <w:pStyle w:val="27"/>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6B5ABAF7">
      <w:pPr>
        <w:pStyle w:val="27"/>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（6）不同投标人的投标保证金从同一单位或者个人账户转出。</w:t>
      </w:r>
    </w:p>
    <w:p w14:paraId="12C38F7E">
      <w:pPr>
        <w:pStyle w:val="7"/>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9.3供应商有下列情形之一的，属于恶意串通行为，将报同级监督管理部门：</w:t>
      </w:r>
    </w:p>
    <w:p w14:paraId="73648EB1">
      <w:pPr>
        <w:pStyle w:val="27"/>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（1）供应商直接或者间接从采购人或者采购代理机构处获得其他供应商的相关信息并修改其投标文件或者响应文件；</w:t>
      </w:r>
    </w:p>
    <w:p w14:paraId="73C305CC">
      <w:pPr>
        <w:pStyle w:val="27"/>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（2）供应商按照采购人或者采购代理机构的授意撤换、修改投标文件或者响应文件；</w:t>
      </w:r>
    </w:p>
    <w:p w14:paraId="1BC259B9">
      <w:pPr>
        <w:pStyle w:val="27"/>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（3）供应商之间协商报价、技术方案等投标文件或者响应文件的实质性内容；</w:t>
      </w:r>
    </w:p>
    <w:p w14:paraId="09F8D65E">
      <w:pPr>
        <w:pStyle w:val="27"/>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（4）属于同一集团、协会、商会等组织成员的供应商按照该组织要求协同参加政府采购活动；</w:t>
      </w:r>
    </w:p>
    <w:p w14:paraId="2A44848E">
      <w:pPr>
        <w:pStyle w:val="27"/>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219DFC1A">
      <w:pPr>
        <w:pStyle w:val="27"/>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（6）供应商之间商定部分供应商放弃参加政府采购活动或者放弃中标；</w:t>
      </w:r>
    </w:p>
    <w:p w14:paraId="44DD33FB">
      <w:pPr>
        <w:pStyle w:val="27"/>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（7）供应商与采购人或者采购代理机构之间、供应商相互之间，为谋求特定供应商中标或者排斥其他供应商的其他串通行为。</w:t>
      </w:r>
    </w:p>
    <w:p w14:paraId="75200969">
      <w:pPr>
        <w:pStyle w:val="27"/>
        <w:snapToGrid w:val="0"/>
        <w:spacing w:line="360" w:lineRule="auto"/>
        <w:ind w:left="2" w:leftChars="1" w:firstLine="422" w:firstLineChars="200"/>
        <w:rPr>
          <w:rFonts w:hAnsi="宋体" w:cs="宋体"/>
          <w:b/>
          <w:color w:val="auto"/>
          <w:kern w:val="2"/>
          <w:sz w:val="21"/>
          <w:highlight w:val="none"/>
        </w:rPr>
      </w:pPr>
    </w:p>
    <w:p w14:paraId="6915EA31">
      <w:pPr>
        <w:pStyle w:val="6"/>
        <w:keepNext w:val="0"/>
        <w:keepLines w:val="0"/>
        <w:jc w:val="center"/>
        <w:rPr>
          <w:rFonts w:ascii="宋体" w:hAnsi="宋体" w:cs="宋体"/>
          <w:color w:val="auto"/>
          <w:highlight w:val="none"/>
        </w:rPr>
      </w:pPr>
      <w:bookmarkStart w:id="109" w:name="_Toc254970675"/>
      <w:bookmarkStart w:id="110" w:name="_Toc254970534"/>
      <w:r>
        <w:rPr>
          <w:rFonts w:hint="eastAsia" w:ascii="宋体" w:hAnsi="宋体" w:cs="宋体"/>
          <w:color w:val="auto"/>
          <w:highlight w:val="none"/>
        </w:rPr>
        <w:t>二、招标文件</w:t>
      </w:r>
      <w:bookmarkEnd w:id="109"/>
      <w:bookmarkEnd w:id="110"/>
    </w:p>
    <w:p w14:paraId="08C64D1E">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3A894048">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3E73CF77">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（2）采购需求； </w:t>
      </w:r>
    </w:p>
    <w:p w14:paraId="7BEAE2B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7D097D0B">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700F1018">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0CE967BA">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713CF98C">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4B3E6BCA">
      <w:pPr>
        <w:pStyle w:val="7"/>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4BA0F02">
      <w:pPr>
        <w:pStyle w:val="27"/>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0DE8568">
      <w:pPr>
        <w:pStyle w:val="27"/>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11.2</w:t>
      </w:r>
      <w:bookmarkStart w:id="111" w:name="_Hlk53134511"/>
      <w:r>
        <w:rPr>
          <w:rFonts w:hint="eastAsia" w:hAnsi="宋体" w:cs="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11"/>
    <w:p w14:paraId="53B0E423">
      <w:pPr>
        <w:pStyle w:val="6"/>
        <w:keepNext w:val="0"/>
        <w:keepLines w:val="0"/>
        <w:jc w:val="center"/>
        <w:rPr>
          <w:rFonts w:ascii="宋体" w:hAnsi="宋体" w:cs="宋体"/>
          <w:color w:val="auto"/>
          <w:highlight w:val="none"/>
        </w:rPr>
      </w:pPr>
      <w:bookmarkStart w:id="112" w:name="_Toc254970676"/>
      <w:bookmarkStart w:id="113" w:name="_Toc254970535"/>
      <w:r>
        <w:rPr>
          <w:rFonts w:hint="eastAsia" w:ascii="宋体" w:hAnsi="宋体" w:cs="宋体"/>
          <w:color w:val="auto"/>
          <w:highlight w:val="none"/>
        </w:rPr>
        <w:t>三、投标文件的编制</w:t>
      </w:r>
      <w:bookmarkEnd w:id="112"/>
      <w:bookmarkEnd w:id="113"/>
    </w:p>
    <w:p w14:paraId="442CE822">
      <w:pPr>
        <w:pStyle w:val="7"/>
        <w:keepNext w:val="0"/>
        <w:keepLines w:val="0"/>
        <w:spacing w:before="0" w:after="0" w:line="360" w:lineRule="auto"/>
        <w:ind w:left="420" w:leftChars="200"/>
        <w:rPr>
          <w:rFonts w:ascii="宋体" w:hAnsi="宋体" w:cs="宋体"/>
          <w:color w:val="auto"/>
          <w:sz w:val="24"/>
          <w:highlight w:val="none"/>
        </w:rPr>
      </w:pPr>
      <w:bookmarkStart w:id="114" w:name="_Toc254970536"/>
      <w:bookmarkStart w:id="115" w:name="_Toc254970677"/>
      <w:r>
        <w:rPr>
          <w:rFonts w:hint="eastAsia" w:ascii="宋体" w:hAnsi="宋体" w:cs="宋体"/>
          <w:color w:val="auto"/>
          <w:sz w:val="24"/>
          <w:highlight w:val="none"/>
        </w:rPr>
        <w:t>12.投标文件的编制原则</w:t>
      </w:r>
    </w:p>
    <w:p w14:paraId="09D23CE4">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6176B6D1">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114"/>
      <w:bookmarkEnd w:id="115"/>
    </w:p>
    <w:p w14:paraId="22504E6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投标文件由报价文件、资格证明文件、商务文件、技术文件四部分组成。</w:t>
      </w:r>
    </w:p>
    <w:p w14:paraId="7DDCEDDA">
      <w:pPr>
        <w:pStyle w:val="7"/>
        <w:keepNext w:val="0"/>
        <w:keepLines w:val="0"/>
        <w:spacing w:before="0" w:after="0" w:line="360" w:lineRule="auto"/>
        <w:ind w:left="420" w:leftChars="200"/>
        <w:rPr>
          <w:rFonts w:ascii="宋体" w:hAnsi="宋体" w:cs="宋体"/>
          <w:b w:val="0"/>
          <w:color w:val="auto"/>
          <w:sz w:val="21"/>
          <w:szCs w:val="21"/>
          <w:highlight w:val="none"/>
        </w:rPr>
      </w:pPr>
      <w:bookmarkStart w:id="116" w:name="_13.1报价文件:_具体材料见“投标人须知前附表”。"/>
      <w:bookmarkEnd w:id="116"/>
      <w:r>
        <w:rPr>
          <w:rFonts w:hint="eastAsia" w:ascii="宋体" w:hAnsi="宋体" w:cs="宋体"/>
          <w:b w:val="0"/>
          <w:color w:val="auto"/>
          <w:sz w:val="21"/>
          <w:szCs w:val="21"/>
          <w:highlight w:val="none"/>
        </w:rPr>
        <w:t>（1）报价文件：具体材料见“投标人须知前附表”。</w:t>
      </w:r>
    </w:p>
    <w:p w14:paraId="1F9DD0FD">
      <w:pPr>
        <w:pStyle w:val="7"/>
        <w:keepNext w:val="0"/>
        <w:keepLines w:val="0"/>
        <w:spacing w:before="0" w:after="0" w:line="360" w:lineRule="auto"/>
        <w:ind w:left="420" w:leftChars="200"/>
        <w:rPr>
          <w:rFonts w:ascii="宋体" w:hAnsi="宋体" w:cs="宋体"/>
          <w:b w:val="0"/>
          <w:color w:val="auto"/>
          <w:sz w:val="21"/>
          <w:szCs w:val="21"/>
          <w:highlight w:val="none"/>
        </w:rPr>
      </w:pPr>
      <w:bookmarkStart w:id="117" w:name="_13.2资格证明文件：具体材料见“投标人须知前附表”。"/>
      <w:bookmarkEnd w:id="117"/>
      <w:r>
        <w:rPr>
          <w:rFonts w:hint="eastAsia" w:ascii="宋体" w:hAnsi="宋体" w:cs="宋体"/>
          <w:b w:val="0"/>
          <w:color w:val="auto"/>
          <w:sz w:val="21"/>
          <w:szCs w:val="21"/>
          <w:highlight w:val="none"/>
        </w:rPr>
        <w:t>（2）资格证明文件：具体材料见“投标人须知前附表”。</w:t>
      </w:r>
    </w:p>
    <w:p w14:paraId="04673914">
      <w:pPr>
        <w:pStyle w:val="7"/>
        <w:keepNext w:val="0"/>
        <w:keepLines w:val="0"/>
        <w:spacing w:before="0" w:after="0" w:line="360" w:lineRule="auto"/>
        <w:ind w:left="420" w:leftChars="200"/>
        <w:rPr>
          <w:rFonts w:ascii="宋体" w:hAnsi="宋体" w:cs="宋体"/>
          <w:b w:val="0"/>
          <w:color w:val="auto"/>
          <w:sz w:val="21"/>
          <w:szCs w:val="21"/>
          <w:highlight w:val="none"/>
        </w:rPr>
      </w:pPr>
      <w:bookmarkStart w:id="118" w:name="_13.3商务文件:_具体材料见“投标人须知前附表”。"/>
      <w:bookmarkEnd w:id="118"/>
      <w:r>
        <w:rPr>
          <w:rFonts w:hint="eastAsia" w:ascii="宋体" w:hAnsi="宋体" w:cs="宋体"/>
          <w:b w:val="0"/>
          <w:color w:val="auto"/>
          <w:sz w:val="21"/>
          <w:szCs w:val="21"/>
          <w:highlight w:val="none"/>
        </w:rPr>
        <w:t>（3）商务文件：具体材料见“投标人须知前附表”。</w:t>
      </w:r>
    </w:p>
    <w:p w14:paraId="07056C77">
      <w:pPr>
        <w:pStyle w:val="7"/>
        <w:keepNext w:val="0"/>
        <w:keepLines w:val="0"/>
        <w:spacing w:before="0" w:after="0" w:line="360" w:lineRule="auto"/>
        <w:ind w:left="420" w:leftChars="200"/>
        <w:rPr>
          <w:rFonts w:ascii="宋体" w:hAnsi="宋体" w:cs="宋体"/>
          <w:b w:val="0"/>
          <w:color w:val="auto"/>
          <w:sz w:val="21"/>
          <w:szCs w:val="21"/>
          <w:highlight w:val="none"/>
        </w:rPr>
      </w:pPr>
      <w:bookmarkStart w:id="119" w:name="_13.4技术文件：具体材料见“投标人须知前附表”。"/>
      <w:bookmarkEnd w:id="119"/>
      <w:r>
        <w:rPr>
          <w:rFonts w:hint="eastAsia" w:ascii="宋体" w:hAnsi="宋体" w:cs="宋体"/>
          <w:b w:val="0"/>
          <w:color w:val="auto"/>
          <w:sz w:val="21"/>
          <w:szCs w:val="21"/>
          <w:highlight w:val="none"/>
        </w:rPr>
        <w:t>（4）技术文件：具体材料见“投标人须知前附表”。</w:t>
      </w:r>
    </w:p>
    <w:p w14:paraId="761ECD8B">
      <w:pPr>
        <w:pStyle w:val="7"/>
        <w:keepNext w:val="0"/>
        <w:keepLines w:val="0"/>
        <w:spacing w:before="0" w:after="0" w:line="360" w:lineRule="auto"/>
        <w:ind w:left="420" w:leftChars="200"/>
        <w:rPr>
          <w:rFonts w:ascii="宋体" w:hAnsi="宋体" w:cs="宋体"/>
          <w:color w:val="auto"/>
          <w:sz w:val="24"/>
          <w:highlight w:val="none"/>
        </w:rPr>
      </w:pPr>
      <w:bookmarkStart w:id="120" w:name="_13.5投标文件电子版：具体材料见“投标人须知前附表”。"/>
      <w:bookmarkEnd w:id="120"/>
      <w:bookmarkStart w:id="121" w:name="_Toc254970678"/>
      <w:bookmarkStart w:id="122" w:name="_Toc254970537"/>
      <w:r>
        <w:rPr>
          <w:rFonts w:hint="eastAsia" w:ascii="宋体" w:hAnsi="宋体" w:cs="宋体"/>
          <w:color w:val="auto"/>
          <w:sz w:val="24"/>
          <w:highlight w:val="none"/>
        </w:rPr>
        <w:t>14.投标文件的语言及计量</w:t>
      </w:r>
      <w:bookmarkEnd w:id="121"/>
      <w:bookmarkEnd w:id="122"/>
    </w:p>
    <w:p w14:paraId="16C0562B">
      <w:pPr>
        <w:pStyle w:val="7"/>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6BB66F15">
      <w:pPr>
        <w:pStyle w:val="7"/>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准。对不同文字文本投标文件的解释发生异议的，以中文文本为准。</w:t>
      </w:r>
    </w:p>
    <w:p w14:paraId="50D07310">
      <w:pPr>
        <w:pStyle w:val="7"/>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67DAFF28">
      <w:pPr>
        <w:pStyle w:val="7"/>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color w:val="auto"/>
          <w:sz w:val="21"/>
          <w:szCs w:val="21"/>
          <w:highlight w:val="none"/>
        </w:rPr>
        <w:t>否则视同未响应。</w:t>
      </w:r>
    </w:p>
    <w:p w14:paraId="577B9345">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3ACDB3EE">
      <w:pPr>
        <w:pStyle w:val="27"/>
        <w:snapToGrid w:val="0"/>
        <w:spacing w:line="360" w:lineRule="auto"/>
        <w:ind w:firstLine="420" w:firstLineChars="200"/>
        <w:jc w:val="left"/>
        <w:rPr>
          <w:rFonts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007C8097">
      <w:pPr>
        <w:pStyle w:val="7"/>
        <w:keepNext w:val="0"/>
        <w:keepLines w:val="0"/>
        <w:spacing w:before="0" w:after="0" w:line="360" w:lineRule="auto"/>
        <w:ind w:left="420" w:leftChars="200"/>
        <w:rPr>
          <w:rFonts w:ascii="宋体" w:hAnsi="宋体" w:cs="宋体"/>
          <w:color w:val="auto"/>
          <w:sz w:val="24"/>
          <w:highlight w:val="none"/>
        </w:rPr>
      </w:pPr>
      <w:bookmarkStart w:id="123" w:name="_Toc254970679"/>
      <w:bookmarkStart w:id="124" w:name="_Toc254970538"/>
      <w:r>
        <w:rPr>
          <w:rFonts w:hint="eastAsia" w:ascii="宋体" w:hAnsi="宋体" w:cs="宋体"/>
          <w:color w:val="auto"/>
          <w:sz w:val="24"/>
          <w:highlight w:val="none"/>
        </w:rPr>
        <w:t>16.投标报价</w:t>
      </w:r>
      <w:bookmarkEnd w:id="123"/>
      <w:bookmarkEnd w:id="124"/>
    </w:p>
    <w:p w14:paraId="435DCD23">
      <w:pPr>
        <w:pStyle w:val="7"/>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投标文件格式”中“开标一览表”格式填写。</w:t>
      </w:r>
    </w:p>
    <w:p w14:paraId="00939EF9">
      <w:pPr>
        <w:pStyle w:val="7"/>
        <w:keepNext w:val="0"/>
        <w:keepLines w:val="0"/>
        <w:spacing w:before="0" w:after="0" w:line="360" w:lineRule="auto"/>
        <w:ind w:left="420" w:leftChars="200"/>
        <w:rPr>
          <w:rFonts w:ascii="宋体" w:hAnsi="宋体" w:cs="宋体"/>
          <w:b w:val="0"/>
          <w:color w:val="auto"/>
          <w:sz w:val="21"/>
          <w:szCs w:val="21"/>
          <w:highlight w:val="none"/>
        </w:rPr>
      </w:pPr>
      <w:bookmarkStart w:id="125" w:name="_16.2投标报价具体定义见投标人须知前附表。"/>
      <w:bookmarkEnd w:id="125"/>
      <w:r>
        <w:rPr>
          <w:rFonts w:hint="eastAsia" w:ascii="宋体" w:hAnsi="宋体" w:cs="宋体"/>
          <w:b w:val="0"/>
          <w:color w:val="auto"/>
          <w:sz w:val="21"/>
          <w:szCs w:val="21"/>
          <w:highlight w:val="none"/>
        </w:rPr>
        <w:t>16.2投标报价具体包括内容详见“投标人须知前附表”。</w:t>
      </w:r>
    </w:p>
    <w:p w14:paraId="3A465A93">
      <w:pPr>
        <w:pStyle w:val="7"/>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16.3投标人必须就所投全部内容分别作完整唯一总价报价，不得存在漏项报价；投标人必须就所投单项内容作唯一报价。</w:t>
      </w:r>
    </w:p>
    <w:p w14:paraId="380D8203">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79416C67">
      <w:pPr>
        <w:pStyle w:val="7"/>
        <w:keepNext w:val="0"/>
        <w:keepLines w:val="0"/>
        <w:spacing w:before="0" w:after="0" w:line="360" w:lineRule="auto"/>
        <w:ind w:firstLine="420" w:firstLineChars="200"/>
        <w:rPr>
          <w:rFonts w:ascii="宋体" w:hAnsi="宋体" w:cs="宋体"/>
          <w:b w:val="0"/>
          <w:color w:val="auto"/>
          <w:sz w:val="21"/>
          <w:szCs w:val="21"/>
          <w:highlight w:val="none"/>
        </w:rPr>
      </w:pPr>
      <w:bookmarkStart w:id="126" w:name="_17.1投标有效期应按“投标人须知中的前附表”规定的期限。"/>
      <w:bookmarkEnd w:id="126"/>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5DE897EA">
      <w:pPr>
        <w:pStyle w:val="7"/>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27" w:name="_Toc254970681"/>
      <w:bookmarkStart w:id="128" w:name="_Toc254970540"/>
      <w:r>
        <w:rPr>
          <w:rFonts w:hint="eastAsia" w:ascii="宋体" w:hAnsi="宋体" w:cs="宋体"/>
          <w:b w:val="0"/>
          <w:color w:val="auto"/>
          <w:sz w:val="21"/>
          <w:szCs w:val="21"/>
          <w:highlight w:val="none"/>
        </w:rPr>
        <w:t xml:space="preserve"> 投标有效期应按招标文件规定的期限作出承诺，具体详见“投标人须知前附表”。</w:t>
      </w:r>
      <w:r>
        <w:rPr>
          <w:rFonts w:hint="eastAsia" w:ascii="宋体" w:hAnsi="宋体" w:cs="宋体"/>
          <w:color w:val="auto"/>
          <w:sz w:val="21"/>
          <w:szCs w:val="21"/>
          <w:highlight w:val="none"/>
        </w:rPr>
        <w:t>承诺的投标有效期低于招标文件规定期限的，按无效投标处理</w:t>
      </w:r>
      <w:r>
        <w:rPr>
          <w:rFonts w:hint="eastAsia" w:ascii="宋体" w:hAnsi="宋体" w:cs="宋体"/>
          <w:b w:val="0"/>
          <w:color w:val="auto"/>
          <w:sz w:val="21"/>
          <w:szCs w:val="21"/>
          <w:highlight w:val="none"/>
        </w:rPr>
        <w:t>。</w:t>
      </w:r>
    </w:p>
    <w:p w14:paraId="3F18C672">
      <w:pPr>
        <w:pStyle w:val="7"/>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27"/>
      <w:bookmarkEnd w:id="128"/>
    </w:p>
    <w:p w14:paraId="3481E678">
      <w:pPr>
        <w:pStyle w:val="7"/>
        <w:keepNext w:val="0"/>
        <w:keepLines w:val="0"/>
        <w:spacing w:before="0" w:after="0" w:line="360" w:lineRule="auto"/>
        <w:ind w:left="420" w:leftChars="200"/>
        <w:rPr>
          <w:rFonts w:ascii="宋体" w:hAnsi="宋体" w:cs="宋体"/>
          <w:color w:val="auto"/>
          <w:sz w:val="24"/>
          <w:highlight w:val="none"/>
        </w:rPr>
      </w:pPr>
      <w:bookmarkStart w:id="129" w:name="_18.投标保证金"/>
      <w:bookmarkEnd w:id="129"/>
      <w:bookmarkStart w:id="130" w:name="_Toc254970541"/>
      <w:bookmarkStart w:id="131" w:name="_Toc254970682"/>
      <w:r>
        <w:rPr>
          <w:rFonts w:hint="eastAsia" w:ascii="宋体" w:hAnsi="宋体" w:cs="宋体"/>
          <w:color w:val="auto"/>
          <w:sz w:val="24"/>
          <w:highlight w:val="none"/>
        </w:rPr>
        <w:t>18.投标保证金</w:t>
      </w:r>
      <w:bookmarkEnd w:id="130"/>
      <w:bookmarkEnd w:id="131"/>
    </w:p>
    <w:p w14:paraId="76736860">
      <w:pPr>
        <w:pStyle w:val="7"/>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18.1投标人须按“投标人须知前附表” 的规定提交投标保证金。</w:t>
      </w:r>
    </w:p>
    <w:p w14:paraId="44782276">
      <w:pPr>
        <w:pStyle w:val="7"/>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4FCEDECF">
      <w:pPr>
        <w:pStyle w:val="7"/>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未中标供应商的投标保证金自中标通知书发出之日起5个工作日内退还；中标供应商的投标保证金自政府采购合同签订之日起5个工作日内退还。 </w:t>
      </w:r>
    </w:p>
    <w:p w14:paraId="4E469226">
      <w:pPr>
        <w:pStyle w:val="7"/>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0461ABAD">
      <w:pPr>
        <w:pStyle w:val="7"/>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18.4投标人有下列情形之一的，投标保证金将不予退还： </w:t>
      </w:r>
    </w:p>
    <w:p w14:paraId="3203C698">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55E67847">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05A12B71">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130C33E5">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（4）中标供应商无正当理由不与采购人签订合同的；</w:t>
      </w:r>
    </w:p>
    <w:p w14:paraId="562F814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777E62C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469FF655">
      <w:pPr>
        <w:pStyle w:val="7"/>
        <w:keepNext w:val="0"/>
        <w:keepLines w:val="0"/>
        <w:spacing w:before="0" w:after="0" w:line="360" w:lineRule="auto"/>
        <w:ind w:left="420" w:leftChars="200"/>
        <w:rPr>
          <w:rFonts w:ascii="宋体" w:hAnsi="宋体" w:cs="宋体"/>
          <w:color w:val="auto"/>
          <w:sz w:val="24"/>
          <w:highlight w:val="none"/>
        </w:rPr>
      </w:pPr>
      <w:bookmarkStart w:id="132" w:name="_Toc254970542"/>
      <w:bookmarkStart w:id="133" w:name="_Toc254970683"/>
      <w:r>
        <w:rPr>
          <w:rFonts w:hint="eastAsia" w:ascii="宋体" w:hAnsi="宋体" w:cs="宋体"/>
          <w:color w:val="auto"/>
          <w:sz w:val="24"/>
          <w:highlight w:val="none"/>
        </w:rPr>
        <w:t>19.投标文件的</w:t>
      </w:r>
      <w:bookmarkEnd w:id="132"/>
      <w:bookmarkEnd w:id="133"/>
      <w:r>
        <w:rPr>
          <w:rFonts w:hint="eastAsia" w:ascii="宋体" w:hAnsi="宋体" w:cs="宋体"/>
          <w:color w:val="auto"/>
          <w:sz w:val="24"/>
          <w:highlight w:val="none"/>
        </w:rPr>
        <w:t>编制</w:t>
      </w:r>
    </w:p>
    <w:p w14:paraId="01BA01E9">
      <w:pPr>
        <w:pStyle w:val="7"/>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57E7F1C1">
      <w:pPr>
        <w:pStyle w:val="7"/>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bookmarkStart w:id="134" w:name="_19.2投标文件应按报价文件、资格证明文件、商务文件、技术文件分别编制"/>
      <w:bookmarkEnd w:id="134"/>
      <w:r>
        <w:rPr>
          <w:rFonts w:hint="eastAsia" w:ascii="宋体" w:hAnsi="宋体" w:cs="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78325619">
      <w:pPr>
        <w:pStyle w:val="7"/>
        <w:keepNext w:val="0"/>
        <w:keepLines w:val="0"/>
        <w:numPr>
          <w:ilvl w:val="4"/>
          <w:numId w:val="5"/>
        </w:numPr>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cs="宋体"/>
          <w:bCs/>
          <w:color w:val="auto"/>
          <w:sz w:val="21"/>
          <w:szCs w:val="21"/>
          <w:highlight w:val="none"/>
        </w:rPr>
        <w:t>否则按无效投标处理</w:t>
      </w:r>
      <w:r>
        <w:rPr>
          <w:rFonts w:hint="eastAsia" w:ascii="宋体" w:hAnsi="宋体" w:cs="宋体"/>
          <w:b w:val="0"/>
          <w:color w:val="auto"/>
          <w:sz w:val="21"/>
          <w:szCs w:val="21"/>
          <w:highlight w:val="none"/>
        </w:rPr>
        <w:t>。</w:t>
      </w:r>
    </w:p>
    <w:p w14:paraId="3E1DFDE2">
      <w:pPr>
        <w:pStyle w:val="7"/>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1FA1AA3C">
      <w:pPr>
        <w:pStyle w:val="7"/>
        <w:keepNext w:val="0"/>
        <w:keepLines w:val="0"/>
        <w:numPr>
          <w:ilvl w:val="4"/>
          <w:numId w:val="5"/>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80C7F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20.电子备份投标文件</w:t>
      </w:r>
    </w:p>
    <w:p w14:paraId="3278218A">
      <w:pPr>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电子备份投标文件是指通过在线编制生成且后缀名为“bfbs”的文件，是否接受电子备份投标文件详见</w:t>
      </w:r>
      <w:r>
        <w:rPr>
          <w:rFonts w:hint="eastAsia" w:ascii="宋体" w:hAnsi="宋体" w:cs="宋体"/>
          <w:bCs/>
          <w:color w:val="auto"/>
          <w:szCs w:val="21"/>
          <w:highlight w:val="none"/>
        </w:rPr>
        <w:t>“投标人须知前附表”。</w:t>
      </w:r>
    </w:p>
    <w:p w14:paraId="45AB8173">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5F91FC35">
      <w:pPr>
        <w:spacing w:line="360" w:lineRule="auto"/>
        <w:ind w:firstLine="420" w:firstLineChars="200"/>
        <w:rPr>
          <w:rFonts w:ascii="宋体" w:hAnsi="宋体" w:cs="宋体"/>
          <w:b/>
          <w:color w:val="auto"/>
          <w:highlight w:val="none"/>
        </w:rPr>
      </w:pPr>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投标文件提交截止时间前将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w:t>
      </w:r>
    </w:p>
    <w:p w14:paraId="7E855883">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5CA1A2EF">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p>
    <w:p w14:paraId="3FF482B7">
      <w:pPr>
        <w:snapToGrid w:val="0"/>
        <w:spacing w:line="360" w:lineRule="auto"/>
        <w:ind w:firstLine="420"/>
        <w:jc w:val="left"/>
        <w:rPr>
          <w:rFonts w:ascii="宋体" w:hAnsi="宋体" w:cs="宋体"/>
          <w:color w:val="auto"/>
          <w:szCs w:val="21"/>
          <w:highlight w:val="none"/>
        </w:rPr>
      </w:pPr>
      <w:bookmarkStart w:id="135" w:name="_Toc254970543"/>
      <w:bookmarkStart w:id="136" w:name="_Toc254970684"/>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r>
        <w:rPr>
          <w:rFonts w:hint="eastAsia" w:ascii="宋体" w:hAnsi="宋体" w:cs="宋体"/>
          <w:color w:val="auto"/>
          <w:szCs w:val="21"/>
          <w:highlight w:val="none"/>
        </w:rPr>
        <w:t>（补充、修改或者撤回方式可登录“广西政府采购云平台”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进入“服务中心”查看 “电子投标文件制作与投送教程”）</w:t>
      </w:r>
    </w:p>
    <w:p w14:paraId="224782CB">
      <w:pPr>
        <w:pStyle w:val="116"/>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22.2“广西政府采购云平台”收到投标文件后向供应商发出确认回执通知。在投标截止时间之前，除供应商补充、修改或者撤回投标文件外，任何单位和个人不得解密或提取投标文件。</w:t>
      </w:r>
    </w:p>
    <w:p w14:paraId="2C717732">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bookmarkEnd w:id="135"/>
    <w:bookmarkEnd w:id="136"/>
    <w:p w14:paraId="17F67DA7">
      <w:pPr>
        <w:spacing w:line="360" w:lineRule="auto"/>
        <w:ind w:firstLine="420" w:firstLineChars="200"/>
        <w:rPr>
          <w:rFonts w:ascii="宋体" w:hAnsi="宋体" w:cs="宋体"/>
          <w:color w:val="auto"/>
          <w:szCs w:val="21"/>
          <w:highlight w:val="none"/>
        </w:rPr>
      </w:pPr>
    </w:p>
    <w:p w14:paraId="663F23E4">
      <w:pPr>
        <w:pStyle w:val="6"/>
        <w:keepNext w:val="0"/>
        <w:keepLines w:val="0"/>
        <w:jc w:val="center"/>
        <w:rPr>
          <w:rFonts w:ascii="宋体" w:hAnsi="宋体" w:cs="宋体"/>
          <w:color w:val="auto"/>
          <w:highlight w:val="none"/>
        </w:rPr>
      </w:pPr>
      <w:bookmarkStart w:id="137" w:name="_Toc254970685"/>
      <w:bookmarkStart w:id="138" w:name="_Toc254970544"/>
      <w:r>
        <w:rPr>
          <w:rFonts w:hint="eastAsia" w:ascii="宋体" w:hAnsi="宋体" w:cs="宋体"/>
          <w:color w:val="auto"/>
          <w:highlight w:val="none"/>
        </w:rPr>
        <w:t>四、开标</w:t>
      </w:r>
      <w:bookmarkEnd w:id="137"/>
      <w:bookmarkEnd w:id="138"/>
    </w:p>
    <w:p w14:paraId="1F50D2D3">
      <w:pPr>
        <w:pStyle w:val="7"/>
        <w:keepNext w:val="0"/>
        <w:keepLines w:val="0"/>
        <w:spacing w:before="0" w:after="0" w:line="360" w:lineRule="auto"/>
        <w:ind w:left="420" w:leftChars="200"/>
        <w:rPr>
          <w:rFonts w:ascii="宋体" w:hAnsi="宋体" w:cs="宋体"/>
          <w:color w:val="auto"/>
          <w:sz w:val="24"/>
          <w:highlight w:val="none"/>
        </w:rPr>
      </w:pPr>
      <w:bookmarkStart w:id="139" w:name="_23.开标时间和地点"/>
      <w:bookmarkEnd w:id="139"/>
      <w:r>
        <w:rPr>
          <w:rFonts w:hint="eastAsia" w:ascii="宋体" w:hAnsi="宋体" w:cs="宋体"/>
          <w:color w:val="auto"/>
          <w:sz w:val="24"/>
          <w:highlight w:val="none"/>
        </w:rPr>
        <w:t>23.开标时间和地点</w:t>
      </w:r>
    </w:p>
    <w:p w14:paraId="7AB498D4">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开标时间及地点详见“投标人须知前附表”</w:t>
      </w:r>
    </w:p>
    <w:p w14:paraId="7D57F559">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326C4CBF">
      <w:pPr>
        <w:pStyle w:val="8"/>
        <w:spacing w:line="360" w:lineRule="auto"/>
        <w:rPr>
          <w:rFonts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7FC90723">
      <w:pPr>
        <w:pStyle w:val="8"/>
        <w:spacing w:line="360" w:lineRule="auto"/>
        <w:rPr>
          <w:rFonts w:ascii="宋体" w:hAnsi="宋体" w:cs="宋体"/>
          <w:color w:val="auto"/>
          <w:highlight w:val="none"/>
        </w:rPr>
      </w:pPr>
      <w:r>
        <w:rPr>
          <w:rFonts w:hint="eastAsia" w:ascii="宋体" w:hAnsi="宋体" w:cs="宋体"/>
          <w:color w:val="auto"/>
          <w:highlight w:val="none"/>
        </w:rPr>
        <w:t>24.2采购代理机构将按照招标文件规定的时间通过</w:t>
      </w:r>
      <w:r>
        <w:rPr>
          <w:rFonts w:hint="eastAsia" w:ascii="宋体" w:hAnsi="宋体" w:cs="宋体"/>
          <w:color w:val="auto"/>
          <w:szCs w:val="21"/>
          <w:highlight w:val="none"/>
        </w:rPr>
        <w:t>“广西政府采购云平台”</w:t>
      </w:r>
      <w:r>
        <w:rPr>
          <w:rFonts w:hint="eastAsia" w:ascii="宋体" w:hAnsi="宋体" w:cs="宋体"/>
          <w:color w:val="auto"/>
          <w:highlight w:val="none"/>
        </w:rPr>
        <w:t>组织线上开标活动，所有供应商均应当准时在线参加，投标人因未在线参加开标而导致投标文件无法按时解密等一切后果由投标人自己承担。</w:t>
      </w:r>
    </w:p>
    <w:p w14:paraId="5E23BC0E">
      <w:pPr>
        <w:pStyle w:val="8"/>
        <w:spacing w:line="360" w:lineRule="auto"/>
        <w:rPr>
          <w:rFonts w:ascii="宋体" w:hAnsi="宋体" w:cs="宋体"/>
          <w:color w:val="auto"/>
          <w:highlight w:val="none"/>
        </w:rPr>
      </w:pPr>
      <w:r>
        <w:rPr>
          <w:rFonts w:hint="eastAsia" w:ascii="宋体" w:hAnsi="宋体" w:cs="宋体"/>
          <w:color w:val="auto"/>
          <w:highlight w:val="none"/>
        </w:rPr>
        <w:t>24.3开标程序</w:t>
      </w:r>
    </w:p>
    <w:p w14:paraId="1BF2461F">
      <w:pPr>
        <w:pStyle w:val="8"/>
        <w:spacing w:line="360" w:lineRule="auto"/>
        <w:rPr>
          <w:rFonts w:ascii="宋体" w:hAnsi="宋体" w:cs="宋体"/>
          <w:color w:val="auto"/>
          <w:highlight w:val="none"/>
        </w:rPr>
      </w:pPr>
      <w:r>
        <w:rPr>
          <w:rFonts w:hint="eastAsia" w:ascii="宋体" w:hAnsi="宋体" w:cs="宋体"/>
          <w:color w:val="auto"/>
          <w:highlight w:val="none"/>
        </w:rPr>
        <w:t>（1）解密电子投标文件。</w:t>
      </w:r>
      <w:r>
        <w:rPr>
          <w:rFonts w:hint="eastAsia" w:ascii="宋体" w:hAnsi="宋体" w:cs="宋体"/>
          <w:color w:val="auto"/>
          <w:szCs w:val="21"/>
          <w:highlight w:val="none"/>
        </w:rPr>
        <w:t>“广西政府采购云平台”</w:t>
      </w:r>
      <w:r>
        <w:rPr>
          <w:rFonts w:hint="eastAsia" w:ascii="宋体" w:hAnsi="宋体" w:cs="宋体"/>
          <w:color w:val="auto"/>
          <w:highlight w:val="none"/>
        </w:rPr>
        <w:t>按开标时间自动提取所有投标文件。采购代理机构依托</w:t>
      </w:r>
      <w:r>
        <w:rPr>
          <w:rFonts w:hint="eastAsia" w:ascii="宋体" w:hAnsi="宋体" w:cs="宋体"/>
          <w:color w:val="auto"/>
          <w:szCs w:val="21"/>
          <w:highlight w:val="none"/>
        </w:rPr>
        <w:t>“广西政府采购云平台”</w:t>
      </w:r>
      <w:r>
        <w:rPr>
          <w:rFonts w:hint="eastAsia" w:ascii="宋体" w:hAnsi="宋体" w:cs="宋体"/>
          <w:color w:val="auto"/>
          <w:highlight w:val="none"/>
        </w:rPr>
        <w:t>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w:t>
      </w:r>
      <w:r>
        <w:rPr>
          <w:rFonts w:hint="eastAsia" w:ascii="宋体" w:hAnsi="宋体" w:cs="宋体"/>
          <w:color w:val="auto"/>
          <w:szCs w:val="21"/>
          <w:highlight w:val="none"/>
        </w:rPr>
        <w:t>“广西政府采购云平台”</w:t>
      </w:r>
      <w:r>
        <w:rPr>
          <w:rFonts w:hint="eastAsia" w:ascii="宋体" w:hAnsi="宋体" w:cs="宋体"/>
          <w:color w:val="auto"/>
          <w:highlight w:val="none"/>
        </w:rPr>
        <w:t>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p>
    <w:p w14:paraId="3878CF5B">
      <w:pPr>
        <w:pStyle w:val="8"/>
        <w:spacing w:line="360" w:lineRule="auto"/>
        <w:rPr>
          <w:rFonts w:ascii="宋体" w:hAnsi="宋体" w:cs="宋体"/>
          <w:color w:val="auto"/>
          <w:highlight w:val="none"/>
        </w:rPr>
      </w:pPr>
      <w:r>
        <w:rPr>
          <w:rFonts w:hint="eastAsia" w:ascii="宋体" w:hAnsi="宋体" w:cs="宋体"/>
          <w:color w:val="auto"/>
          <w:highlight w:val="none"/>
        </w:rPr>
        <w:t>（2）电子唱标。投标文件解密结束，宣布的内容均在</w:t>
      </w:r>
      <w:r>
        <w:rPr>
          <w:rFonts w:hint="eastAsia" w:ascii="宋体" w:hAnsi="宋体" w:cs="宋体"/>
          <w:color w:val="auto"/>
          <w:szCs w:val="21"/>
          <w:highlight w:val="none"/>
        </w:rPr>
        <w:t>“广西政府采购云平台”</w:t>
      </w:r>
      <w:r>
        <w:rPr>
          <w:rFonts w:hint="eastAsia" w:ascii="宋体" w:hAnsi="宋体" w:cs="宋体"/>
          <w:color w:val="auto"/>
          <w:highlight w:val="none"/>
        </w:rPr>
        <w:t>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0DB7A377">
      <w:pPr>
        <w:pStyle w:val="8"/>
        <w:spacing w:line="360" w:lineRule="auto"/>
        <w:rPr>
          <w:rFonts w:ascii="宋体" w:hAnsi="宋体" w:cs="宋体"/>
          <w:color w:val="auto"/>
          <w:szCs w:val="21"/>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w:t>
      </w:r>
      <w:r>
        <w:rPr>
          <w:rFonts w:hint="eastAsia" w:ascii="宋体" w:hAnsi="宋体" w:cs="宋体"/>
          <w:color w:val="auto"/>
          <w:szCs w:val="21"/>
          <w:highlight w:val="none"/>
        </w:rPr>
        <w:t>场校核及勘误，并线上确认是否有异议，未确认的视同认可开标结果。</w:t>
      </w:r>
    </w:p>
    <w:p w14:paraId="5906B1B2">
      <w:pPr>
        <w:pStyle w:val="8"/>
        <w:spacing w:line="360" w:lineRule="auto"/>
        <w:rPr>
          <w:rFonts w:ascii="宋体" w:hAnsi="宋体" w:cs="宋体"/>
          <w:color w:val="auto"/>
          <w:szCs w:val="21"/>
          <w:highlight w:val="none"/>
        </w:rPr>
      </w:pPr>
      <w:r>
        <w:rPr>
          <w:rFonts w:hint="eastAsia" w:ascii="宋体" w:hAnsi="宋体" w:cs="宋体"/>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0DBCC9B">
      <w:pPr>
        <w:pStyle w:val="8"/>
        <w:spacing w:line="360" w:lineRule="auto"/>
        <w:rPr>
          <w:rFonts w:ascii="宋体" w:hAnsi="宋体" w:cs="宋体"/>
          <w:color w:val="auto"/>
          <w:szCs w:val="21"/>
          <w:highlight w:val="none"/>
        </w:rPr>
      </w:pPr>
      <w:r>
        <w:rPr>
          <w:rFonts w:hint="eastAsia" w:ascii="宋体" w:hAnsi="宋体" w:cs="宋体"/>
          <w:color w:val="auto"/>
          <w:szCs w:val="21"/>
          <w:highlight w:val="none"/>
        </w:rPr>
        <w:t>（5）开标结束。</w:t>
      </w:r>
    </w:p>
    <w:p w14:paraId="3B45596F">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1"/>
          <w:highlight w:val="none"/>
        </w:rPr>
        <w:t>特别说明：如遇“广西政府采购云平台”电子化开标或评审程序调整的，按调整后执行。</w:t>
      </w:r>
    </w:p>
    <w:p w14:paraId="6E84CC5E">
      <w:pPr>
        <w:pStyle w:val="8"/>
        <w:spacing w:line="360" w:lineRule="auto"/>
        <w:rPr>
          <w:rFonts w:ascii="宋体" w:hAnsi="宋体" w:cs="宋体"/>
          <w:color w:val="auto"/>
          <w:highlight w:val="none"/>
        </w:rPr>
      </w:pPr>
    </w:p>
    <w:p w14:paraId="77A11234">
      <w:pPr>
        <w:pStyle w:val="27"/>
        <w:snapToGrid w:val="0"/>
        <w:spacing w:line="360" w:lineRule="auto"/>
        <w:ind w:left="689" w:leftChars="228" w:hanging="210" w:hangingChars="100"/>
        <w:rPr>
          <w:rFonts w:hAnsi="宋体" w:cs="宋体"/>
          <w:color w:val="auto"/>
          <w:sz w:val="21"/>
          <w:highlight w:val="none"/>
        </w:rPr>
      </w:pPr>
    </w:p>
    <w:p w14:paraId="79444FFF">
      <w:pPr>
        <w:pStyle w:val="6"/>
        <w:keepNext w:val="0"/>
        <w:keepLines w:val="0"/>
        <w:jc w:val="center"/>
        <w:rPr>
          <w:rFonts w:ascii="宋体" w:hAnsi="宋体" w:cs="宋体"/>
          <w:color w:val="auto"/>
          <w:highlight w:val="none"/>
        </w:rPr>
      </w:pPr>
      <w:r>
        <w:rPr>
          <w:rFonts w:hint="eastAsia" w:ascii="宋体" w:hAnsi="宋体" w:cs="宋体"/>
          <w:color w:val="auto"/>
          <w:highlight w:val="none"/>
        </w:rPr>
        <w:t>五、资格审查</w:t>
      </w:r>
    </w:p>
    <w:p w14:paraId="4CBDD442">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2984D41A">
      <w:pPr>
        <w:pStyle w:val="7"/>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25.1开标结束后，采购人或者采购代理机构通过电子开评标系统依据招标文件对电子投标文件进行线上资格审查。</w:t>
      </w:r>
    </w:p>
    <w:p w14:paraId="67C9A10A">
      <w:pPr>
        <w:pStyle w:val="7"/>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3D33F44B">
      <w:pPr>
        <w:pStyle w:val="7"/>
        <w:keepNext w:val="0"/>
        <w:keepLines w:val="0"/>
        <w:numPr>
          <w:ilvl w:val="0"/>
          <w:numId w:val="0"/>
        </w:numPr>
        <w:spacing w:before="0" w:after="0" w:line="360" w:lineRule="auto"/>
        <w:ind w:firstLine="422" w:firstLineChars="200"/>
        <w:rPr>
          <w:rFonts w:ascii="宋体" w:hAnsi="宋体" w:cs="宋体"/>
          <w:color w:val="auto"/>
          <w:sz w:val="21"/>
          <w:szCs w:val="21"/>
          <w:highlight w:val="none"/>
        </w:rPr>
      </w:pPr>
      <w:bookmarkStart w:id="140" w:name="_25.3_投标人有下列情形之一的，资格审查不通过而导致其投标无效："/>
      <w:bookmarkEnd w:id="140"/>
      <w:r>
        <w:rPr>
          <w:rFonts w:hint="eastAsia" w:ascii="宋体" w:hAnsi="宋体" w:cs="宋体"/>
          <w:color w:val="auto"/>
          <w:sz w:val="21"/>
          <w:szCs w:val="21"/>
          <w:highlight w:val="none"/>
        </w:rPr>
        <w:t>25.3 投标人有下列情形之一的，资格审查不通过，作无效投标处理：</w:t>
      </w:r>
    </w:p>
    <w:p w14:paraId="0D2FBE29">
      <w:pPr>
        <w:pStyle w:val="27"/>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（1）不具备招标文件中规定的资格要求的；</w:t>
      </w:r>
    </w:p>
    <w:p w14:paraId="7B9EE75C">
      <w:pPr>
        <w:pStyle w:val="27"/>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1A1EA4AB">
      <w:pPr>
        <w:pStyle w:val="27"/>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249FEB7F">
      <w:pPr>
        <w:pStyle w:val="27"/>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（4）投标文件中的资格证明文件缺少任一项“投标人须知前附表”资格证明文件规定“必须提供”的文件资料的；</w:t>
      </w:r>
    </w:p>
    <w:p w14:paraId="261A2388">
      <w:pPr>
        <w:pStyle w:val="27"/>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（5）投标文件中的资格证明文件出现任一项不符合“投标人须知前附表”资格证明文件规定“必须提供”的文件资料要求或者无效的。</w:t>
      </w:r>
    </w:p>
    <w:p w14:paraId="53D1DB51">
      <w:pPr>
        <w:pStyle w:val="7"/>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color w:val="auto"/>
          <w:sz w:val="21"/>
          <w:szCs w:val="21"/>
          <w:highlight w:val="none"/>
        </w:rPr>
        <w:t>25.4合格投标人不足3家的，不得评标。</w:t>
      </w:r>
    </w:p>
    <w:p w14:paraId="34D79422">
      <w:pPr>
        <w:pStyle w:val="27"/>
        <w:snapToGrid w:val="0"/>
        <w:spacing w:line="360" w:lineRule="auto"/>
        <w:ind w:left="689" w:leftChars="228" w:hanging="210" w:hangingChars="100"/>
        <w:rPr>
          <w:rFonts w:hAnsi="宋体" w:cs="宋体"/>
          <w:color w:val="auto"/>
          <w:sz w:val="21"/>
          <w:highlight w:val="none"/>
        </w:rPr>
      </w:pPr>
    </w:p>
    <w:p w14:paraId="4D5AB0CC">
      <w:pPr>
        <w:pStyle w:val="6"/>
        <w:keepNext w:val="0"/>
        <w:keepLines w:val="0"/>
        <w:jc w:val="center"/>
        <w:rPr>
          <w:rFonts w:ascii="宋体" w:hAnsi="宋体" w:cs="宋体"/>
          <w:color w:val="auto"/>
          <w:highlight w:val="none"/>
        </w:rPr>
      </w:pPr>
      <w:r>
        <w:rPr>
          <w:rFonts w:hint="eastAsia" w:ascii="宋体" w:hAnsi="宋体" w:cs="宋体"/>
          <w:color w:val="auto"/>
          <w:highlight w:val="none"/>
        </w:rPr>
        <w:t>六、评标</w:t>
      </w:r>
    </w:p>
    <w:p w14:paraId="2B3D50C9">
      <w:pPr>
        <w:pStyle w:val="7"/>
        <w:keepNext w:val="0"/>
        <w:keepLines w:val="0"/>
        <w:spacing w:before="0" w:after="0" w:line="360" w:lineRule="auto"/>
        <w:ind w:left="420" w:leftChars="200"/>
        <w:rPr>
          <w:rFonts w:ascii="宋体" w:hAnsi="宋体" w:cs="宋体"/>
          <w:color w:val="auto"/>
          <w:sz w:val="24"/>
          <w:highlight w:val="none"/>
        </w:rPr>
      </w:pPr>
      <w:bookmarkStart w:id="141" w:name="_26.组建评标委员会"/>
      <w:bookmarkEnd w:id="141"/>
      <w:r>
        <w:rPr>
          <w:rFonts w:hint="eastAsia" w:ascii="宋体" w:hAnsi="宋体" w:cs="宋体"/>
          <w:color w:val="auto"/>
          <w:sz w:val="24"/>
          <w:highlight w:val="none"/>
        </w:rPr>
        <w:t>26.组建评标委员会</w:t>
      </w:r>
    </w:p>
    <w:p w14:paraId="6A50FE37">
      <w:pPr>
        <w:pStyle w:val="27"/>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26.1评标委员会由采购人代表和评审专家组成，具体人数详见“投标人须知前附表”，其中评审专家不得少于成员总数的三分之二。</w:t>
      </w:r>
    </w:p>
    <w:p w14:paraId="403583F5">
      <w:pPr>
        <w:pStyle w:val="27"/>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26.2参加过采购项目前期咨询论证的专家，不得参加该采购项目的评审活动。</w:t>
      </w:r>
    </w:p>
    <w:p w14:paraId="60143122">
      <w:pPr>
        <w:pStyle w:val="27"/>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26.3采购代理机构应当基于</w:t>
      </w:r>
      <w:r>
        <w:rPr>
          <w:rFonts w:hint="eastAsia" w:hAnsi="宋体" w:cs="宋体"/>
          <w:color w:val="auto"/>
          <w:highlight w:val="none"/>
        </w:rPr>
        <w:t>“广西政府采购云平台”</w:t>
      </w:r>
      <w:r>
        <w:rPr>
          <w:rFonts w:hint="eastAsia" w:hAnsi="宋体" w:cs="宋体"/>
          <w:color w:val="auto"/>
          <w:sz w:val="21"/>
          <w:highlight w:val="none"/>
        </w:rPr>
        <w:t>抽（选）取评审专家。</w:t>
      </w:r>
    </w:p>
    <w:p w14:paraId="01ADCB1C">
      <w:pPr>
        <w:pStyle w:val="27"/>
        <w:snapToGrid w:val="0"/>
        <w:spacing w:line="360" w:lineRule="auto"/>
        <w:ind w:left="2" w:leftChars="1" w:firstLine="420" w:firstLineChars="200"/>
        <w:rPr>
          <w:rFonts w:hAnsi="宋体" w:cs="宋体"/>
          <w:color w:val="auto"/>
          <w:sz w:val="21"/>
          <w:highlight w:val="none"/>
        </w:rPr>
      </w:pPr>
    </w:p>
    <w:p w14:paraId="035597EA">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05B19BF8">
      <w:pPr>
        <w:pStyle w:val="27"/>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评标委员会以“第四章 评标方法和评标标准”为依据对投标文件进行评审，没有规定的方法、评审因素和标准，不作为评标依据。</w:t>
      </w:r>
    </w:p>
    <w:p w14:paraId="09B926CD">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1F122AAE">
      <w:pPr>
        <w:pStyle w:val="27"/>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28.1评标原则。评标委员会在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6FC1551">
      <w:pPr>
        <w:pStyle w:val="27"/>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28.2</w:t>
      </w:r>
      <w:bookmarkStart w:id="142" w:name="_28.3评标方法。本项目将按须知前附表规定的评标办法进行评标，具体评标"/>
      <w:bookmarkEnd w:id="142"/>
      <w:r>
        <w:rPr>
          <w:rFonts w:hint="eastAsia" w:hAnsi="宋体" w:cs="宋体"/>
          <w:color w:val="auto"/>
          <w:sz w:val="21"/>
          <w:highlight w:val="none"/>
        </w:rPr>
        <w:t>评委表决。评标委员会成员对需要共同认定的事项存在争议的，应当按照少数服从多数的原则作出结论。</w:t>
      </w:r>
    </w:p>
    <w:p w14:paraId="5FCA73D1">
      <w:pPr>
        <w:pStyle w:val="27"/>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4CA01A3">
      <w:pPr>
        <w:pStyle w:val="27"/>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28.4评标过程的监控。本项目电子评标过程实行网上留痕、全程录音、录像监控，</w:t>
      </w:r>
      <w:r>
        <w:rPr>
          <w:rFonts w:hint="eastAsia" w:hAnsi="宋体" w:cs="宋体"/>
          <w:b/>
          <w:color w:val="auto"/>
          <w:sz w:val="21"/>
          <w:highlight w:val="none"/>
        </w:rPr>
        <w:t>投标人在评标过程中所进行的试图影响评标结果的不公正活动，可能导致其投标按无效处理。</w:t>
      </w:r>
    </w:p>
    <w:p w14:paraId="04ADB12C">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14:paraId="16728847">
      <w:pPr>
        <w:pStyle w:val="27"/>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29.1本项目的评标方法详见“投标人须知前附表”。</w:t>
      </w:r>
    </w:p>
    <w:p w14:paraId="42E2D479">
      <w:pPr>
        <w:pStyle w:val="27"/>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29.2 商务/技术要求允许负偏离的条款数详见“投标人须知前附表”。</w:t>
      </w:r>
    </w:p>
    <w:p w14:paraId="12FE0724">
      <w:pPr>
        <w:pStyle w:val="27"/>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29.3中标候选人推荐数量详见“投标人须知前附表”。</w:t>
      </w:r>
    </w:p>
    <w:p w14:paraId="3664BA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 电子交易活动的中止。采购过程中出现以下情形，导致电子交易平台无法正常运行，或者无法保证电子交易的公平、公正和安全时，采购代理机构可以中止电子交易活动：</w:t>
      </w:r>
    </w:p>
    <w:p w14:paraId="514489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4D554E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5CAFAA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5A2931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796452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18B64F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518BC0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29.5出现下列情形之一的，应予废标：</w:t>
      </w:r>
    </w:p>
    <w:p w14:paraId="40F3619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53F4BFE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6F72715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1472AC1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0E418D1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03CF23F9">
      <w:pPr>
        <w:pStyle w:val="6"/>
        <w:keepNext w:val="0"/>
        <w:keepLines w:val="0"/>
        <w:jc w:val="center"/>
        <w:rPr>
          <w:rFonts w:ascii="宋体" w:hAnsi="宋体" w:cs="宋体"/>
          <w:color w:val="auto"/>
          <w:highlight w:val="none"/>
        </w:rPr>
      </w:pPr>
      <w:bookmarkStart w:id="143" w:name="_Toc254970546"/>
      <w:bookmarkStart w:id="144" w:name="_Toc254970687"/>
      <w:r>
        <w:rPr>
          <w:rFonts w:hint="eastAsia" w:ascii="宋体" w:hAnsi="宋体" w:cs="宋体"/>
          <w:color w:val="auto"/>
          <w:highlight w:val="none"/>
        </w:rPr>
        <w:t>七、</w:t>
      </w:r>
      <w:bookmarkEnd w:id="143"/>
      <w:bookmarkEnd w:id="144"/>
      <w:r>
        <w:rPr>
          <w:rFonts w:hint="eastAsia" w:ascii="宋体" w:hAnsi="宋体" w:cs="宋体"/>
          <w:color w:val="auto"/>
          <w:highlight w:val="none"/>
        </w:rPr>
        <w:t>中标和合同</w:t>
      </w:r>
    </w:p>
    <w:p w14:paraId="3CA3AECB">
      <w:pPr>
        <w:pStyle w:val="7"/>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30.确定中标供应商</w:t>
      </w:r>
    </w:p>
    <w:p w14:paraId="6E758972">
      <w:pPr>
        <w:pStyle w:val="7"/>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供应商。中标候选人并列的，按照“投标人须知前附表”规定的方式确定中标供应商。采购人也可以事先授权评标委员会直接确定中标供应商。</w:t>
      </w:r>
    </w:p>
    <w:p w14:paraId="2E26C33D">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30.2采购人在收到评标报告5个工作日内未按评标报告推荐的中标候选人顺序确定中标供应商，又不能说明合法理由的，视同按评标报告推荐的顺序确定排名第一的中标候选人为中标供应商。</w:t>
      </w:r>
    </w:p>
    <w:p w14:paraId="201CD97F">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0DD0AAEA">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19399B51">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520830C4">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1F43ADD7">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0270D465">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3D90DE83">
      <w:pPr>
        <w:pStyle w:val="7"/>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31.结果公告</w:t>
      </w:r>
    </w:p>
    <w:p w14:paraId="79B52DCB">
      <w:pPr>
        <w:pStyle w:val="7"/>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31.1采购人或者采购代理机构应当自中标供应商确定之日起2个工作日内，在省级以上财政部门指定的媒体上公告中标结果，招标文件应当随中标结果同时公告。采购人或者采购代理发出中标通知书前，应当对中标供应商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供应商。排名第二的中标候选人因前款规定的同样原因被取消中标资格的，采购人可以确定排名第三的中标候选人为中标供应商，以此类推。</w:t>
      </w:r>
    </w:p>
    <w:p w14:paraId="36AAAC4C">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4CA0BAA6">
      <w:pPr>
        <w:pStyle w:val="7"/>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4D254061">
      <w:pPr>
        <w:pStyle w:val="7"/>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2923AD6B">
      <w:pPr>
        <w:pStyle w:val="7"/>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在发布中标公告的同时，采购代理机构向中标供应商通过“广西政府采购云平台”发出电子中标通知书。对未通过资格审查的投标人，应当告知其未通过的原因；采用综合评分办法评审的，还应当告知未中标供应商本人的评审得分与排序。</w:t>
      </w:r>
    </w:p>
    <w:p w14:paraId="58C0B617">
      <w:pPr>
        <w:pStyle w:val="7"/>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7416707C">
      <w:pPr>
        <w:pStyle w:val="7"/>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w:t>
      </w:r>
    </w:p>
    <w:p w14:paraId="1BE646FA">
      <w:pPr>
        <w:pStyle w:val="7"/>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6C3D9718">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合同将授予被确定实质上响应招标文件要求，具备履行合同能力的中标供应商。</w:t>
      </w:r>
    </w:p>
    <w:p w14:paraId="11DA6F5B">
      <w:pPr>
        <w:pStyle w:val="7"/>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03EE9E73">
      <w:pPr>
        <w:pStyle w:val="7"/>
        <w:keepNext w:val="0"/>
        <w:keepLines w:val="0"/>
        <w:spacing w:before="0" w:after="0" w:line="380" w:lineRule="exact"/>
        <w:ind w:firstLine="315" w:firstLineChars="150"/>
        <w:rPr>
          <w:rFonts w:ascii="宋体" w:hAnsi="宋体" w:cs="宋体"/>
          <w:b w:val="0"/>
          <w:color w:val="auto"/>
          <w:sz w:val="21"/>
          <w:szCs w:val="21"/>
          <w:highlight w:val="none"/>
        </w:rPr>
      </w:pPr>
      <w:bookmarkStart w:id="145" w:name="_39.1中标人须于签订合同前按本须知前附表规定的金额转账或电汇到指定账"/>
      <w:bookmarkEnd w:id="145"/>
      <w:r>
        <w:rPr>
          <w:rFonts w:hint="eastAsia" w:ascii="宋体" w:hAnsi="宋体" w:cs="宋体"/>
          <w:b w:val="0"/>
          <w:color w:val="auto"/>
          <w:sz w:val="21"/>
          <w:szCs w:val="21"/>
          <w:highlight w:val="none"/>
        </w:rPr>
        <w:t>35.1 履约保证金的金额、提交方式、退付的时间和条件详见 “投标人须知前附表”。中标供应商未按规定提交履约保证金的，视为拒绝与采购人签订合同。</w:t>
      </w:r>
    </w:p>
    <w:p w14:paraId="74415194">
      <w:pPr>
        <w:pStyle w:val="7"/>
        <w:keepNext w:val="0"/>
        <w:keepLines w:val="0"/>
        <w:spacing w:before="0" w:after="0" w:line="380" w:lineRule="exact"/>
        <w:ind w:firstLine="315" w:firstLineChars="150"/>
        <w:rPr>
          <w:rFonts w:ascii="宋体" w:hAnsi="宋体" w:cs="宋体"/>
          <w:color w:val="auto"/>
          <w:sz w:val="21"/>
          <w:szCs w:val="21"/>
          <w:highlight w:val="none"/>
        </w:rPr>
      </w:pPr>
      <w:r>
        <w:rPr>
          <w:rFonts w:hint="eastAsia" w:ascii="宋体" w:hAnsi="宋体" w:cs="宋体"/>
          <w:b w:val="0"/>
          <w:bCs/>
          <w:color w:val="auto"/>
          <w:sz w:val="21"/>
          <w:szCs w:val="21"/>
          <w:highlight w:val="none"/>
        </w:rPr>
        <w:t>35.2在履约保证金退还日期前，若中标供应商的开户名称、开户银行、账号有变动的，请以书面形式通知履约保证金收取单位，否则由此产生的后果由中标供应商自行承担。</w:t>
      </w:r>
    </w:p>
    <w:p w14:paraId="08E396A0">
      <w:pPr>
        <w:pStyle w:val="7"/>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1E163558">
      <w:pPr>
        <w:pStyle w:val="7"/>
        <w:keepNext w:val="0"/>
        <w:keepLines w:val="0"/>
        <w:spacing w:before="0" w:after="0" w:line="380" w:lineRule="exact"/>
        <w:ind w:firstLine="316" w:firstLineChars="150"/>
        <w:rPr>
          <w:rFonts w:ascii="宋体" w:hAnsi="宋体" w:cs="宋体"/>
          <w:b w:val="0"/>
          <w:color w:val="auto"/>
          <w:sz w:val="21"/>
          <w:szCs w:val="21"/>
          <w:highlight w:val="none"/>
        </w:rPr>
      </w:pPr>
      <w:bookmarkStart w:id="146" w:name="_40.1投标人接到中标通知书后，按须知前附表规定向采购人出示相关资格证"/>
      <w:bookmarkEnd w:id="146"/>
      <w:r>
        <w:rPr>
          <w:rFonts w:hint="eastAsia" w:ascii="宋体" w:hAnsi="宋体" w:cs="宋体"/>
          <w:color w:val="auto"/>
          <w:sz w:val="21"/>
          <w:szCs w:val="21"/>
          <w:highlight w:val="none"/>
        </w:rPr>
        <w:t>36.1签订电子采购合同：中标供应商领取电子中标通知书后，</w:t>
      </w:r>
      <w:r>
        <w:rPr>
          <w:rFonts w:hint="eastAsia" w:ascii="宋体" w:hAnsi="宋体" w:cs="宋体"/>
          <w:color w:val="auto"/>
          <w:kern w:val="0"/>
          <w:sz w:val="21"/>
          <w:szCs w:val="21"/>
          <w:highlight w:val="none"/>
        </w:rPr>
        <w:t>在</w:t>
      </w:r>
      <w:r>
        <w:rPr>
          <w:rFonts w:hint="eastAsia" w:ascii="宋体" w:hAnsi="宋体" w:cs="宋体"/>
          <w:color w:val="auto"/>
          <w:kern w:val="0"/>
          <w:sz w:val="21"/>
          <w:szCs w:val="21"/>
          <w:highlight w:val="none"/>
          <w:lang w:val="zh-CN"/>
        </w:rPr>
        <w:t>规定的日期、时间、地点，由法定代表人或其授权代表与采购人代表签订电子采购合同。如中标供应商为联合体的，由联合体成员各方法定代表人或其授权代表与采购人代表签订合同。</w:t>
      </w:r>
    </w:p>
    <w:p w14:paraId="550933CE">
      <w:pPr>
        <w:pStyle w:val="7"/>
        <w:keepNext w:val="0"/>
        <w:keepLines w:val="0"/>
        <w:spacing w:before="0" w:after="0" w:line="38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线下签订纸质合同：投标人获取中标通知书后，按“投标人须知前附表”规定向采购人出示相关证明材料，经采购人核验合格后方可签订合同。</w:t>
      </w:r>
    </w:p>
    <w:p w14:paraId="5D154093">
      <w:pPr>
        <w:pStyle w:val="7"/>
        <w:keepNext w:val="0"/>
        <w:keepLines w:val="0"/>
        <w:numPr>
          <w:ilvl w:val="0"/>
          <w:numId w:val="0"/>
        </w:numPr>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36.2签订合同时间：按中标通知书规定的时间与采购人签订合同。</w:t>
      </w:r>
    </w:p>
    <w:p w14:paraId="135B1FF8">
      <w:pPr>
        <w:pStyle w:val="7"/>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36.3中标供应商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29E63B6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081646B">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7EF5FE5C">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36.6如签订合同并生效后，供应商无故拒绝或延期，除按照合同条款处理外，将承担相应的法律责任。</w:t>
      </w:r>
    </w:p>
    <w:p w14:paraId="3E2C170B">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36.7政府采购合同履行中，采购人需追加与合同标的相同的货物、工程或者服务的，在不改变合同其他条款的前提下，可以与供应商协商签订补充合同。</w:t>
      </w:r>
    </w:p>
    <w:p w14:paraId="3C7CDD88">
      <w:pPr>
        <w:pStyle w:val="7"/>
        <w:keepNext w:val="0"/>
        <w:keepLines w:val="0"/>
        <w:spacing w:before="0" w:after="0" w:line="380" w:lineRule="exact"/>
        <w:ind w:left="420" w:leftChars="200"/>
        <w:rPr>
          <w:rFonts w:ascii="宋体" w:hAnsi="宋体" w:cs="宋体"/>
          <w:color w:val="auto"/>
          <w:sz w:val="24"/>
          <w:highlight w:val="none"/>
        </w:rPr>
      </w:pPr>
      <w:bookmarkStart w:id="147" w:name="_41.政府采购合同公告"/>
      <w:bookmarkEnd w:id="147"/>
      <w:r>
        <w:rPr>
          <w:rFonts w:hint="eastAsia" w:ascii="宋体" w:hAnsi="宋体" w:cs="宋体"/>
          <w:color w:val="auto"/>
          <w:sz w:val="24"/>
          <w:highlight w:val="none"/>
        </w:rPr>
        <w:t>37.政府采购合同公告</w:t>
      </w:r>
    </w:p>
    <w:p w14:paraId="1D4B90C3">
      <w:pPr>
        <w:pStyle w:val="27"/>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76FD40F5">
      <w:pPr>
        <w:pStyle w:val="7"/>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6CB1F914">
      <w:pPr>
        <w:pStyle w:val="8"/>
        <w:spacing w:line="340" w:lineRule="exact"/>
        <w:rPr>
          <w:rFonts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02AD5AB2">
      <w:pPr>
        <w:pStyle w:val="7"/>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F7D1DD4">
      <w:pPr>
        <w:pStyle w:val="27"/>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0DEE2C95">
      <w:pPr>
        <w:pStyle w:val="27"/>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0530FD17">
      <w:pPr>
        <w:pStyle w:val="27"/>
        <w:snapToGrid w:val="0"/>
        <w:spacing w:line="340" w:lineRule="exact"/>
        <w:ind w:firstLine="420" w:firstLineChars="200"/>
        <w:rPr>
          <w:rFonts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436A0E3B">
      <w:pPr>
        <w:pStyle w:val="7"/>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38.3</w:t>
      </w:r>
      <w:r>
        <w:rPr>
          <w:rFonts w:hint="eastAsia" w:ascii="宋体" w:hAnsi="宋体" w:cs="宋体"/>
          <w:b w:val="0"/>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56B0D416">
      <w:pPr>
        <w:pStyle w:val="27"/>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58C523FC">
      <w:pPr>
        <w:pStyle w:val="27"/>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（2）质疑项目的名称、编号；</w:t>
      </w:r>
    </w:p>
    <w:p w14:paraId="1E026C24">
      <w:pPr>
        <w:pStyle w:val="27"/>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5DFB62A4">
      <w:pPr>
        <w:pStyle w:val="27"/>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（4）事实依据；</w:t>
      </w:r>
    </w:p>
    <w:p w14:paraId="100404F3">
      <w:pPr>
        <w:pStyle w:val="27"/>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（5）必要的法律依据；</w:t>
      </w:r>
    </w:p>
    <w:p w14:paraId="053E89D1">
      <w:pPr>
        <w:pStyle w:val="27"/>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（6）提出质疑的日期。</w:t>
      </w:r>
    </w:p>
    <w:p w14:paraId="4B39B87E">
      <w:pPr>
        <w:pStyle w:val="27"/>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0067A201">
      <w:pPr>
        <w:pStyle w:val="7"/>
        <w:keepNext w:val="0"/>
        <w:keepLines w:val="0"/>
        <w:snapToGrid w:val="0"/>
        <w:spacing w:before="0" w:after="0" w:line="340" w:lineRule="exact"/>
        <w:ind w:firstLine="420" w:firstLineChars="200"/>
        <w:rPr>
          <w:rFonts w:ascii="宋体" w:hAnsi="宋体" w:cs="宋体"/>
          <w:b w:val="0"/>
          <w:bCs/>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22BEA6E1">
      <w:pPr>
        <w:pStyle w:val="27"/>
        <w:snapToGrid w:val="0"/>
        <w:spacing w:line="340" w:lineRule="exact"/>
        <w:rPr>
          <w:rFonts w:hAnsi="宋体" w:cs="宋体"/>
          <w:bCs/>
          <w:color w:val="auto"/>
          <w:sz w:val="21"/>
          <w:highlight w:val="none"/>
        </w:rPr>
      </w:pPr>
      <w:r>
        <w:rPr>
          <w:rFonts w:hint="eastAsia" w:hAnsi="宋体" w:cs="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0714C728">
      <w:pPr>
        <w:pStyle w:val="27"/>
        <w:snapToGrid w:val="0"/>
        <w:spacing w:line="340" w:lineRule="exact"/>
        <w:rPr>
          <w:rFonts w:hAnsi="宋体" w:cs="宋体"/>
          <w:bCs/>
          <w:color w:val="auto"/>
          <w:sz w:val="21"/>
          <w:highlight w:val="none"/>
        </w:rPr>
      </w:pPr>
      <w:r>
        <w:rPr>
          <w:rFonts w:hint="eastAsia" w:hAnsi="宋体" w:cs="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4328FAFC">
      <w:pPr>
        <w:pStyle w:val="27"/>
        <w:snapToGrid w:val="0"/>
        <w:spacing w:line="340" w:lineRule="exact"/>
        <w:ind w:firstLine="420"/>
        <w:rPr>
          <w:rFonts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16316AE5">
      <w:pPr>
        <w:pStyle w:val="27"/>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0DE8267">
      <w:pPr>
        <w:pStyle w:val="6"/>
        <w:keepNext w:val="0"/>
        <w:keepLines w:val="0"/>
        <w:spacing w:line="340" w:lineRule="exact"/>
        <w:jc w:val="center"/>
        <w:rPr>
          <w:rFonts w:ascii="宋体" w:hAnsi="宋体" w:cs="宋体"/>
          <w:color w:val="auto"/>
          <w:highlight w:val="none"/>
        </w:rPr>
      </w:pPr>
      <w:r>
        <w:rPr>
          <w:rFonts w:hint="eastAsia" w:ascii="宋体" w:hAnsi="宋体" w:cs="宋体"/>
          <w:color w:val="auto"/>
          <w:highlight w:val="none"/>
        </w:rPr>
        <w:t>八、其他事项</w:t>
      </w:r>
    </w:p>
    <w:p w14:paraId="733D4729">
      <w:pPr>
        <w:pStyle w:val="7"/>
        <w:keepNext w:val="0"/>
        <w:keepLines w:val="0"/>
        <w:spacing w:before="0" w:after="0" w:line="340" w:lineRule="exact"/>
        <w:ind w:left="420" w:leftChars="200"/>
        <w:rPr>
          <w:rFonts w:ascii="宋体" w:hAnsi="宋体" w:cs="宋体"/>
          <w:color w:val="auto"/>
          <w:sz w:val="24"/>
          <w:highlight w:val="none"/>
        </w:rPr>
      </w:pPr>
      <w:bookmarkStart w:id="148" w:name="_42.代理服务费"/>
      <w:bookmarkEnd w:id="148"/>
      <w:r>
        <w:rPr>
          <w:rFonts w:hint="eastAsia" w:ascii="宋体" w:hAnsi="宋体" w:cs="宋体"/>
          <w:color w:val="auto"/>
          <w:sz w:val="24"/>
          <w:highlight w:val="none"/>
        </w:rPr>
        <w:t>39.代理服务费</w:t>
      </w:r>
    </w:p>
    <w:p w14:paraId="10DFF45F">
      <w:pPr>
        <w:pStyle w:val="7"/>
        <w:keepNext w:val="0"/>
        <w:keepLines w:val="0"/>
        <w:numPr>
          <w:ilvl w:val="4"/>
          <w:numId w:val="0"/>
        </w:numPr>
        <w:spacing w:before="0" w:after="0" w:line="34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代理服务收取标准及缴费账户详见“投标人须知前附表”，投标人为联合体的，可以由联合体中的一方或者多方共同交纳代理服务费。</w:t>
      </w:r>
    </w:p>
    <w:p w14:paraId="7AAEA4EB">
      <w:pPr>
        <w:pStyle w:val="7"/>
        <w:keepNext w:val="0"/>
        <w:keepLines w:val="0"/>
        <w:spacing w:before="0" w:after="0" w:line="340" w:lineRule="exact"/>
        <w:ind w:left="420" w:leftChars="200"/>
        <w:rPr>
          <w:rFonts w:ascii="宋体" w:hAnsi="宋体" w:cs="宋体"/>
          <w:color w:val="auto"/>
          <w:sz w:val="24"/>
          <w:highlight w:val="none"/>
        </w:rPr>
      </w:pPr>
      <w:r>
        <w:rPr>
          <w:rFonts w:hint="eastAsia" w:ascii="宋体" w:hAnsi="宋体" w:cs="宋体"/>
          <w:color w:val="auto"/>
          <w:sz w:val="24"/>
          <w:highlight w:val="none"/>
        </w:rPr>
        <w:t>40. 需要补充的其他内容</w:t>
      </w:r>
    </w:p>
    <w:p w14:paraId="18F9C55B">
      <w:pPr>
        <w:pStyle w:val="27"/>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411502CF">
      <w:pPr>
        <w:pStyle w:val="27"/>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5E19955E">
      <w:pPr>
        <w:pStyle w:val="27"/>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49"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16840CA5">
      <w:pPr>
        <w:pStyle w:val="27"/>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2E5D315">
      <w:pPr>
        <w:pStyle w:val="27"/>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25DFAEDD">
      <w:pPr>
        <w:pStyle w:val="27"/>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1440CC9">
      <w:pPr>
        <w:pStyle w:val="27"/>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AAB2CD8">
      <w:pPr>
        <w:pStyle w:val="27"/>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49"/>
    </w:p>
    <w:p w14:paraId="13E452A8">
      <w:pPr>
        <w:pStyle w:val="7"/>
        <w:keepNext w:val="0"/>
        <w:keepLines w:val="0"/>
        <w:spacing w:before="0" w:after="0" w:line="400" w:lineRule="exact"/>
        <w:ind w:left="420" w:leftChars="200"/>
        <w:rPr>
          <w:rFonts w:ascii="宋体" w:hAnsi="宋体" w:cs="宋体"/>
          <w:color w:val="auto"/>
          <w:sz w:val="24"/>
          <w:highlight w:val="none"/>
        </w:rPr>
      </w:pPr>
      <w:r>
        <w:rPr>
          <w:rFonts w:hint="eastAsia" w:ascii="宋体" w:hAnsi="宋体" w:cs="宋体"/>
          <w:color w:val="auto"/>
          <w:sz w:val="24"/>
          <w:highlight w:val="none"/>
        </w:rPr>
        <w:t>41.广西线上“政采贷”政策详见附表2。</w:t>
      </w:r>
    </w:p>
    <w:p w14:paraId="3943B7FF">
      <w:pPr>
        <w:widowControl/>
        <w:jc w:val="left"/>
        <w:rPr>
          <w:rFonts w:ascii="宋体" w:hAnsi="宋体" w:cs="宋体"/>
          <w:b/>
          <w:bCs/>
          <w:color w:val="auto"/>
          <w:sz w:val="24"/>
          <w:highlight w:val="none"/>
        </w:rPr>
      </w:pPr>
      <w:r>
        <w:rPr>
          <w:rFonts w:hint="eastAsia" w:ascii="宋体" w:hAnsi="宋体" w:cs="宋体"/>
          <w:b/>
          <w:bCs/>
          <w:color w:val="auto"/>
          <w:sz w:val="24"/>
          <w:highlight w:val="none"/>
        </w:rPr>
        <w:br w:type="page"/>
      </w:r>
    </w:p>
    <w:p w14:paraId="75F6779E">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附表1：</w:t>
      </w:r>
    </w:p>
    <w:p w14:paraId="0B57DB44">
      <w:pPr>
        <w:spacing w:line="360" w:lineRule="auto"/>
        <w:ind w:left="25" w:leftChars="12" w:firstLine="472" w:firstLineChars="147"/>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448384B6">
      <w:pPr>
        <w:spacing w:after="120"/>
        <w:rPr>
          <w:rFonts w:ascii="宋体" w:hAnsi="宋体" w:cs="宋体"/>
          <w:color w:val="auto"/>
          <w:highlight w:val="none"/>
        </w:rPr>
      </w:pPr>
    </w:p>
    <w:p w14:paraId="04871F20">
      <w:pPr>
        <w:widowControl/>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49"/>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4EC1B599">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4EC1BC68">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7965BAF1">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1F87D10D">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786086C5">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2A1F2BC1">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08DE4C14">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5319613F">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0FB4A0C1">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6F15520D">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86B9765">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129BD5F6">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F6BF0CA">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6B017EF3">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33701D00">
            <w:pPr>
              <w:widowControl/>
              <w:spacing w:before="100" w:beforeAutospacing="1" w:after="100" w:afterAutospacing="1" w:line="240" w:lineRule="atLeast"/>
              <w:jc w:val="center"/>
              <w:rPr>
                <w:rFonts w:ascii="宋体" w:hAnsi="宋体" w:cs="宋体"/>
                <w:color w:val="auto"/>
                <w:kern w:val="0"/>
                <w:szCs w:val="21"/>
                <w:highlight w:val="none"/>
              </w:rPr>
            </w:pPr>
          </w:p>
        </w:tc>
      </w:tr>
      <w:tr w14:paraId="6E04EB6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FF9C0C0">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4B643B53">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5F44B41F">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69BEE259">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AFE6F69">
            <w:pPr>
              <w:widowControl/>
              <w:spacing w:before="100" w:beforeAutospacing="1" w:after="100" w:afterAutospacing="1" w:line="240" w:lineRule="atLeast"/>
              <w:jc w:val="center"/>
              <w:rPr>
                <w:rFonts w:ascii="宋体" w:hAnsi="宋体" w:cs="宋体"/>
                <w:color w:val="auto"/>
                <w:kern w:val="0"/>
                <w:szCs w:val="21"/>
                <w:highlight w:val="none"/>
              </w:rPr>
            </w:pPr>
          </w:p>
        </w:tc>
      </w:tr>
      <w:tr w14:paraId="5A3BA805">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4DC6D914">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6082C362">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138E6EC1">
            <w:pPr>
              <w:widowControl/>
              <w:spacing w:before="100" w:beforeAutospacing="1" w:after="100" w:afterAutospacing="1" w:line="240" w:lineRule="atLeast"/>
              <w:jc w:val="center"/>
              <w:rPr>
                <w:rFonts w:ascii="宋体" w:hAnsi="宋体" w:cs="宋体"/>
                <w:color w:val="auto"/>
                <w:kern w:val="0"/>
                <w:szCs w:val="21"/>
                <w:highlight w:val="none"/>
              </w:rPr>
            </w:pPr>
          </w:p>
        </w:tc>
      </w:tr>
      <w:tr w14:paraId="32603C89">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3DA9B3B7">
            <w:pPr>
              <w:widowControl/>
              <w:snapToGrid w:val="0"/>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合计大写金额：仟佰拾万仟佰拾元</w:t>
            </w:r>
          </w:p>
        </w:tc>
      </w:tr>
      <w:tr w14:paraId="3F8D36E0">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30FF316E">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491824BF">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3E46A0C8">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3692F9FD">
            <w:pPr>
              <w:widowControl/>
              <w:spacing w:before="100" w:beforeAutospacing="1" w:after="100" w:afterAutospacing="1" w:line="240" w:lineRule="atLeast"/>
              <w:jc w:val="center"/>
              <w:rPr>
                <w:rFonts w:ascii="宋体" w:hAnsi="宋体" w:cs="宋体"/>
                <w:color w:val="auto"/>
                <w:kern w:val="0"/>
                <w:szCs w:val="21"/>
                <w:highlight w:val="none"/>
              </w:rPr>
            </w:pPr>
          </w:p>
        </w:tc>
      </w:tr>
      <w:tr w14:paraId="2949F618">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77F12A8">
            <w:pPr>
              <w:widowControl/>
              <w:spacing w:before="100" w:beforeAutospacing="1" w:after="100" w:afterAutospacing="1" w:line="240" w:lineRule="atLeast"/>
              <w:jc w:val="center"/>
              <w:rPr>
                <w:rFonts w:ascii="宋体" w:hAnsi="宋体"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50FB845B">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5C118248">
            <w:pPr>
              <w:widowControl/>
              <w:spacing w:before="100" w:beforeAutospacing="1" w:after="100" w:afterAutospacing="1" w:line="240" w:lineRule="atLeast"/>
              <w:jc w:val="center"/>
              <w:rPr>
                <w:rFonts w:ascii="宋体" w:hAnsi="宋体"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26BFDB3A">
            <w:pPr>
              <w:widowControl/>
              <w:spacing w:before="100" w:beforeAutospacing="1" w:after="100" w:afterAutospacing="1" w:line="240" w:lineRule="atLeast"/>
              <w:jc w:val="center"/>
              <w:rPr>
                <w:rFonts w:ascii="宋体" w:hAnsi="宋体" w:cs="宋体"/>
                <w:color w:val="auto"/>
                <w:kern w:val="0"/>
                <w:szCs w:val="21"/>
                <w:highlight w:val="none"/>
              </w:rPr>
            </w:pPr>
          </w:p>
        </w:tc>
      </w:tr>
      <w:tr w14:paraId="276B043B">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72CF23">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70813213">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招标文件、投标文件及验收方案等进行验收；并核对中标供应商在安装调试等方面是否违反合同约定或者服务规范要求、提供的质量保证证明材料是否齐全、应有的配件及附件是否达到合同约定等。可附件)</w:t>
            </w:r>
          </w:p>
        </w:tc>
      </w:tr>
      <w:tr w14:paraId="16F7E9F4">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F8E12B1">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186FE02D">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584165C6">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3FD6F3AE">
            <w:pPr>
              <w:widowControl/>
              <w:jc w:val="left"/>
              <w:rPr>
                <w:rFonts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344F4356">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5FD70E03">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3B3AA796">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EA5137">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017D41CA">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3C01F4">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1D23CD07">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26782F93">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3D51975C">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中标供应商负责人签字或者盖章：</w:t>
            </w:r>
          </w:p>
          <w:p w14:paraId="7E286801">
            <w:pPr>
              <w:widowControl/>
              <w:spacing w:before="100" w:beforeAutospacing="1" w:after="100" w:afterAutospacing="1" w:line="320" w:lineRule="atLeast"/>
              <w:jc w:val="left"/>
              <w:rPr>
                <w:rFonts w:ascii="宋体" w:hAnsi="宋体" w:cs="宋体"/>
                <w:color w:val="auto"/>
                <w:kern w:val="0"/>
                <w:szCs w:val="21"/>
                <w:highlight w:val="none"/>
              </w:rPr>
            </w:pPr>
          </w:p>
          <w:p w14:paraId="6F2AF3E2">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5DDB1950">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396707C7">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p>
          <w:p w14:paraId="40A21E7B">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6BC5DA8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br w:type="page"/>
      </w:r>
    </w:p>
    <w:p w14:paraId="205DCC8E">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附表2：</w:t>
      </w:r>
    </w:p>
    <w:p w14:paraId="497D3721">
      <w:pPr>
        <w:rPr>
          <w:rFonts w:ascii="宋体" w:hAnsi="宋体" w:cs="宋体"/>
          <w:b/>
          <w:color w:val="auto"/>
          <w:sz w:val="24"/>
          <w:highlight w:val="none"/>
        </w:rPr>
      </w:pPr>
      <w:r>
        <w:rPr>
          <w:rFonts w:hint="eastAsia" w:ascii="宋体" w:hAnsi="宋体" w:cs="宋体"/>
          <w:b/>
          <w:color w:val="auto"/>
          <w:kern w:val="0"/>
          <w:sz w:val="24"/>
          <w:szCs w:val="21"/>
          <w:highlight w:val="none"/>
        </w:rPr>
        <w:drawing>
          <wp:inline distT="0" distB="0" distL="0" distR="0">
            <wp:extent cx="5287010" cy="5821045"/>
            <wp:effectExtent l="19050" t="0" r="8890" b="0"/>
            <wp:docPr id="2" name="图片 2" descr="C:\Users\Administrator\AppData\Roaming\Tencent\Users\84332323\QQ\WinTemp\RichOle\IBTSMDNQID2EUB%25252525252525252525257b1%25252525252525252525255d6~P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Roaming\Tencent\Users\84332323\QQ\WinTemp\RichOle\IBTSMDNQID2EUB%25252525252525252525257b1%25252525252525252525255d6~PD(5.png"/>
                    <pic:cNvPicPr>
                      <a:picLocks noChangeAspect="1" noChangeArrowheads="1"/>
                    </pic:cNvPicPr>
                  </pic:nvPicPr>
                  <pic:blipFill>
                    <a:blip r:embed="rId18" r:link="rId19" cstate="print"/>
                    <a:srcRect/>
                    <a:stretch>
                      <a:fillRect/>
                    </a:stretch>
                  </pic:blipFill>
                  <pic:spPr>
                    <a:xfrm>
                      <a:off x="0" y="0"/>
                      <a:ext cx="5287010" cy="5821045"/>
                    </a:xfrm>
                    <a:prstGeom prst="rect">
                      <a:avLst/>
                    </a:prstGeom>
                    <a:noFill/>
                    <a:ln w="9525">
                      <a:noFill/>
                      <a:miter lim="800000"/>
                      <a:headEnd/>
                      <a:tailEnd/>
                    </a:ln>
                  </pic:spPr>
                </pic:pic>
              </a:graphicData>
            </a:graphic>
          </wp:inline>
        </w:drawing>
      </w:r>
    </w:p>
    <w:p w14:paraId="63B8DB22">
      <w:pPr>
        <w:rPr>
          <w:rFonts w:ascii="宋体" w:hAnsi="宋体" w:cs="宋体"/>
          <w:b/>
          <w:color w:val="auto"/>
          <w:sz w:val="24"/>
          <w:highlight w:val="none"/>
        </w:rPr>
      </w:pPr>
    </w:p>
    <w:p w14:paraId="45BB81A4">
      <w:pPr>
        <w:pStyle w:val="27"/>
        <w:spacing w:before="120" w:after="120" w:line="400" w:lineRule="exact"/>
        <w:ind w:firstLine="420" w:firstLineChars="200"/>
        <w:contextualSpacing/>
        <w:rPr>
          <w:rFonts w:hAnsi="宋体" w:cs="宋体"/>
          <w:color w:val="auto"/>
          <w:sz w:val="21"/>
          <w:highlight w:val="none"/>
        </w:rPr>
      </w:pPr>
    </w:p>
    <w:p w14:paraId="456945B2">
      <w:pPr>
        <w:widowControl/>
        <w:jc w:val="left"/>
        <w:rPr>
          <w:rFonts w:ascii="宋体" w:hAnsi="宋体" w:cs="宋体"/>
          <w:color w:val="auto"/>
          <w:kern w:val="0"/>
          <w:szCs w:val="21"/>
          <w:highlight w:val="none"/>
        </w:rPr>
      </w:pPr>
      <w:r>
        <w:rPr>
          <w:rFonts w:hint="eastAsia" w:ascii="宋体" w:hAnsi="宋体" w:cs="宋体"/>
          <w:color w:val="auto"/>
          <w:highlight w:val="none"/>
        </w:rPr>
        <w:br w:type="page"/>
      </w:r>
    </w:p>
    <w:p w14:paraId="72A3A4B0">
      <w:pPr>
        <w:pStyle w:val="27"/>
        <w:spacing w:before="120" w:after="120" w:line="400" w:lineRule="exact"/>
        <w:ind w:firstLine="420" w:firstLineChars="200"/>
        <w:contextualSpacing/>
        <w:rPr>
          <w:rFonts w:hAnsi="宋体" w:cs="宋体"/>
          <w:color w:val="auto"/>
          <w:sz w:val="21"/>
          <w:highlight w:val="none"/>
        </w:rPr>
      </w:pPr>
    </w:p>
    <w:p w14:paraId="0AF1EAC7">
      <w:pPr>
        <w:pStyle w:val="20"/>
        <w:ind w:left="479" w:leftChars="114" w:hanging="240" w:hangingChars="100"/>
        <w:rPr>
          <w:rFonts w:ascii="宋体" w:hAnsi="宋体" w:cs="宋体"/>
          <w:color w:val="auto"/>
          <w:highlight w:val="none"/>
        </w:rPr>
      </w:pPr>
    </w:p>
    <w:p w14:paraId="7DC88B10">
      <w:pPr>
        <w:pStyle w:val="27"/>
        <w:snapToGrid w:val="0"/>
        <w:spacing w:before="120" w:after="120"/>
        <w:rPr>
          <w:rFonts w:hAnsi="宋体" w:cs="宋体"/>
          <w:color w:val="auto"/>
          <w:highlight w:val="none"/>
        </w:rPr>
      </w:pPr>
    </w:p>
    <w:p w14:paraId="118BDC8D">
      <w:pPr>
        <w:pStyle w:val="27"/>
        <w:snapToGrid w:val="0"/>
        <w:spacing w:before="120" w:after="120"/>
        <w:rPr>
          <w:rFonts w:hAnsi="宋体" w:cs="宋体"/>
          <w:color w:val="auto"/>
          <w:highlight w:val="none"/>
        </w:rPr>
      </w:pPr>
    </w:p>
    <w:p w14:paraId="3D98CAE4">
      <w:pPr>
        <w:pStyle w:val="27"/>
        <w:snapToGrid w:val="0"/>
        <w:spacing w:before="120" w:after="120"/>
        <w:rPr>
          <w:rFonts w:hAnsi="宋体" w:cs="宋体"/>
          <w:color w:val="auto"/>
          <w:highlight w:val="none"/>
        </w:rPr>
      </w:pPr>
    </w:p>
    <w:p w14:paraId="29AC531D">
      <w:pPr>
        <w:pStyle w:val="27"/>
        <w:snapToGrid w:val="0"/>
        <w:spacing w:before="120" w:after="120"/>
        <w:rPr>
          <w:rFonts w:hAnsi="宋体" w:cs="宋体"/>
          <w:color w:val="auto"/>
          <w:highlight w:val="none"/>
        </w:rPr>
      </w:pPr>
    </w:p>
    <w:p w14:paraId="52FD418C">
      <w:pPr>
        <w:pStyle w:val="27"/>
        <w:snapToGrid w:val="0"/>
        <w:spacing w:before="120" w:after="120"/>
        <w:rPr>
          <w:rFonts w:hAnsi="宋体" w:cs="宋体"/>
          <w:color w:val="auto"/>
          <w:highlight w:val="none"/>
        </w:rPr>
      </w:pPr>
    </w:p>
    <w:p w14:paraId="58C872AC">
      <w:pPr>
        <w:pStyle w:val="27"/>
        <w:snapToGrid w:val="0"/>
        <w:spacing w:before="120" w:after="120"/>
        <w:rPr>
          <w:rFonts w:hAnsi="宋体" w:cs="宋体"/>
          <w:color w:val="auto"/>
          <w:highlight w:val="none"/>
        </w:rPr>
      </w:pPr>
    </w:p>
    <w:p w14:paraId="1CE41005">
      <w:pPr>
        <w:pStyle w:val="27"/>
        <w:snapToGrid w:val="0"/>
        <w:spacing w:before="120" w:after="120"/>
        <w:rPr>
          <w:rFonts w:hAnsi="宋体" w:cs="宋体"/>
          <w:color w:val="auto"/>
          <w:highlight w:val="none"/>
        </w:rPr>
      </w:pPr>
    </w:p>
    <w:p w14:paraId="744759FE">
      <w:pPr>
        <w:pStyle w:val="4"/>
        <w:jc w:val="center"/>
        <w:rPr>
          <w:rFonts w:ascii="宋体" w:hAnsi="宋体" w:cs="宋体"/>
          <w:color w:val="auto"/>
          <w:highlight w:val="none"/>
        </w:rPr>
      </w:pPr>
      <w:bookmarkStart w:id="150" w:name="_Toc254970548"/>
      <w:bookmarkStart w:id="151" w:name="_Toc330456896"/>
      <w:bookmarkStart w:id="152" w:name="_Toc254970689"/>
      <w:bookmarkStart w:id="153" w:name="_Toc74320803"/>
    </w:p>
    <w:p w14:paraId="70545EBB">
      <w:pPr>
        <w:rPr>
          <w:rFonts w:ascii="宋体" w:hAnsi="宋体" w:cs="宋体"/>
          <w:color w:val="auto"/>
          <w:highlight w:val="none"/>
        </w:rPr>
      </w:pPr>
    </w:p>
    <w:p w14:paraId="6FC316B4">
      <w:pPr>
        <w:pStyle w:val="4"/>
        <w:jc w:val="center"/>
        <w:rPr>
          <w:rFonts w:ascii="宋体" w:hAnsi="宋体" w:cs="宋体"/>
          <w:color w:val="auto"/>
          <w:highlight w:val="none"/>
        </w:rPr>
      </w:pPr>
      <w:bookmarkStart w:id="154" w:name="_Toc30756"/>
      <w:r>
        <w:rPr>
          <w:rFonts w:hint="eastAsia" w:ascii="宋体" w:hAnsi="宋体" w:cs="宋体"/>
          <w:color w:val="auto"/>
          <w:highlight w:val="none"/>
        </w:rPr>
        <w:t>第四章 评标方法及评标标准</w:t>
      </w:r>
      <w:bookmarkEnd w:id="150"/>
      <w:bookmarkEnd w:id="151"/>
      <w:bookmarkEnd w:id="152"/>
      <w:bookmarkEnd w:id="153"/>
      <w:bookmarkEnd w:id="154"/>
    </w:p>
    <w:p w14:paraId="2A4AF173">
      <w:pPr>
        <w:pStyle w:val="27"/>
        <w:spacing w:before="120" w:after="120"/>
        <w:outlineLvl w:val="0"/>
        <w:rPr>
          <w:rFonts w:hAnsi="宋体" w:cs="宋体"/>
          <w:b/>
          <w:color w:val="auto"/>
          <w:highlight w:val="none"/>
        </w:rPr>
      </w:pPr>
      <w:bookmarkStart w:id="155" w:name="_Toc254970690"/>
      <w:bookmarkStart w:id="156" w:name="_Toc254970549"/>
    </w:p>
    <w:bookmarkEnd w:id="155"/>
    <w:bookmarkEnd w:id="156"/>
    <w:p w14:paraId="181D9E93">
      <w:pPr>
        <w:pStyle w:val="27"/>
        <w:spacing w:before="120" w:after="120"/>
        <w:outlineLvl w:val="0"/>
        <w:rPr>
          <w:rFonts w:hAnsi="宋体" w:cs="宋体"/>
          <w:bCs/>
          <w:color w:val="auto"/>
          <w:sz w:val="32"/>
          <w:szCs w:val="32"/>
          <w:highlight w:val="none"/>
        </w:rPr>
      </w:pPr>
    </w:p>
    <w:p w14:paraId="4359200E">
      <w:pPr>
        <w:pStyle w:val="27"/>
        <w:spacing w:before="120" w:after="120"/>
        <w:outlineLvl w:val="0"/>
        <w:rPr>
          <w:rFonts w:hAnsi="宋体" w:cs="宋体"/>
          <w:bCs/>
          <w:color w:val="auto"/>
          <w:sz w:val="32"/>
          <w:szCs w:val="32"/>
          <w:highlight w:val="none"/>
        </w:rPr>
      </w:pPr>
    </w:p>
    <w:p w14:paraId="4D2F8AD5">
      <w:pPr>
        <w:pStyle w:val="27"/>
        <w:spacing w:before="120" w:after="120"/>
        <w:outlineLvl w:val="0"/>
        <w:rPr>
          <w:rFonts w:hAnsi="宋体" w:cs="宋体"/>
          <w:bCs/>
          <w:color w:val="auto"/>
          <w:sz w:val="32"/>
          <w:szCs w:val="32"/>
          <w:highlight w:val="none"/>
        </w:rPr>
      </w:pPr>
    </w:p>
    <w:p w14:paraId="33EDEDBD">
      <w:pPr>
        <w:pStyle w:val="27"/>
        <w:spacing w:before="120" w:after="120"/>
        <w:outlineLvl w:val="0"/>
        <w:rPr>
          <w:rFonts w:hAnsi="宋体" w:cs="宋体"/>
          <w:bCs/>
          <w:color w:val="auto"/>
          <w:sz w:val="32"/>
          <w:szCs w:val="32"/>
          <w:highlight w:val="none"/>
        </w:rPr>
      </w:pPr>
    </w:p>
    <w:p w14:paraId="49C635C4">
      <w:pPr>
        <w:pStyle w:val="27"/>
        <w:spacing w:before="120" w:after="120"/>
        <w:outlineLvl w:val="0"/>
        <w:rPr>
          <w:rFonts w:hAnsi="宋体" w:cs="宋体"/>
          <w:bCs/>
          <w:color w:val="auto"/>
          <w:sz w:val="32"/>
          <w:szCs w:val="32"/>
          <w:highlight w:val="none"/>
        </w:rPr>
      </w:pPr>
    </w:p>
    <w:p w14:paraId="54096C54">
      <w:pPr>
        <w:widowControl/>
        <w:jc w:val="left"/>
        <w:rPr>
          <w:rFonts w:ascii="宋体" w:hAnsi="宋体" w:cs="宋体"/>
          <w:b/>
          <w:bCs/>
          <w:color w:val="auto"/>
          <w:kern w:val="0"/>
          <w:sz w:val="30"/>
          <w:szCs w:val="30"/>
          <w:highlight w:val="none"/>
        </w:rPr>
      </w:pPr>
      <w:r>
        <w:rPr>
          <w:rFonts w:hint="eastAsia" w:ascii="宋体" w:hAnsi="宋体" w:cs="宋体"/>
          <w:color w:val="auto"/>
          <w:sz w:val="30"/>
          <w:szCs w:val="30"/>
          <w:highlight w:val="none"/>
        </w:rPr>
        <w:br w:type="page"/>
      </w:r>
    </w:p>
    <w:p w14:paraId="088DC157">
      <w:pPr>
        <w:pStyle w:val="6"/>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一、评标方法</w:t>
      </w:r>
    </w:p>
    <w:p w14:paraId="413ECC85">
      <w:pPr>
        <w:pStyle w:val="27"/>
        <w:spacing w:line="360" w:lineRule="auto"/>
        <w:ind w:firstLine="420"/>
        <w:rPr>
          <w:rFonts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2138E0B6">
      <w:pPr>
        <w:pStyle w:val="27"/>
        <w:spacing w:line="360" w:lineRule="auto"/>
        <w:ind w:firstLine="420"/>
        <w:rPr>
          <w:rFonts w:hAnsi="宋体" w:cs="宋体"/>
          <w:color w:val="auto"/>
          <w:sz w:val="21"/>
          <w:highlight w:val="none"/>
        </w:rPr>
      </w:pPr>
      <w:r>
        <w:rPr>
          <w:rFonts w:hint="eastAsia" w:hAnsi="宋体" w:cs="宋体"/>
          <w:color w:val="auto"/>
          <w:sz w:val="21"/>
          <w:highlight w:val="none"/>
        </w:rPr>
        <w:t>最低评标价法，是指投标文件满足招标文件全部实质性要求，且投标报价最低的投标人为中标候选人的评标方法。</w:t>
      </w:r>
    </w:p>
    <w:p w14:paraId="1E116A28">
      <w:pPr>
        <w:pStyle w:val="6"/>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p>
    <w:p w14:paraId="1D223150">
      <w:pPr>
        <w:pStyle w:val="7"/>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1.符合性审查</w:t>
      </w:r>
    </w:p>
    <w:p w14:paraId="43CA870E">
      <w:pPr>
        <w:pStyle w:val="27"/>
        <w:snapToGrid w:val="0"/>
        <w:spacing w:line="380" w:lineRule="exact"/>
        <w:ind w:left="1" w:firstLine="420"/>
        <w:rPr>
          <w:rFonts w:hAnsi="宋体" w:cs="宋体"/>
          <w:b/>
          <w:color w:val="auto"/>
          <w:kern w:val="2"/>
          <w:sz w:val="21"/>
          <w:highlight w:val="none"/>
        </w:rPr>
      </w:pPr>
      <w:r>
        <w:rPr>
          <w:rFonts w:hint="eastAsia"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4BABF861">
      <w:pPr>
        <w:pStyle w:val="7"/>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2.符合性审查不通过而导致投标无效的情形</w:t>
      </w:r>
    </w:p>
    <w:p w14:paraId="1F648858">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6ECF490B">
      <w:pPr>
        <w:pStyle w:val="7"/>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2.1在报价评审时，如发现下列情形之一的，将被视为投标无效：</w:t>
      </w:r>
    </w:p>
    <w:p w14:paraId="21322A3A">
      <w:pPr>
        <w:pStyle w:val="8"/>
        <w:numPr>
          <w:ilvl w:val="0"/>
          <w:numId w:val="6"/>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未提供“投标人须知前附表”第13条“报价文件”规定中“必须提供”的文件资料的；</w:t>
      </w:r>
    </w:p>
    <w:p w14:paraId="1C8AB708">
      <w:pPr>
        <w:pStyle w:val="8"/>
        <w:numPr>
          <w:ilvl w:val="0"/>
          <w:numId w:val="6"/>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109C7E15">
      <w:pPr>
        <w:pStyle w:val="8"/>
        <w:numPr>
          <w:ilvl w:val="0"/>
          <w:numId w:val="6"/>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投标报价超过最高限价的；</w:t>
      </w:r>
    </w:p>
    <w:p w14:paraId="5E9DACBD">
      <w:pPr>
        <w:pStyle w:val="8"/>
        <w:numPr>
          <w:ilvl w:val="0"/>
          <w:numId w:val="6"/>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未就本项目所有内容进行报价或者存在漏项报价；投标人未就所投单项内容作唯一报价；投标人未就所投全部内容作完整唯一总价报价；存在有选择、有条件报价的（招标文件允许有备选方案或者其他约定的除外）；</w:t>
      </w:r>
    </w:p>
    <w:p w14:paraId="61F8C8F1">
      <w:pPr>
        <w:pStyle w:val="8"/>
        <w:numPr>
          <w:ilvl w:val="0"/>
          <w:numId w:val="6"/>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2041B02D">
      <w:pPr>
        <w:pStyle w:val="8"/>
        <w:numPr>
          <w:ilvl w:val="0"/>
          <w:numId w:val="6"/>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投标人属于本章第5.1条（2）项或者第5.2条（2）项“无效投标”情形的；</w:t>
      </w:r>
    </w:p>
    <w:p w14:paraId="13107409">
      <w:pPr>
        <w:pStyle w:val="8"/>
        <w:numPr>
          <w:ilvl w:val="0"/>
          <w:numId w:val="6"/>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79402DE5">
      <w:pPr>
        <w:pStyle w:val="7"/>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2.2在商务评审时，如发现下列情形之一的，将被视为投标无效：</w:t>
      </w:r>
    </w:p>
    <w:p w14:paraId="2E2DA5F9">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28451DFF">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委托代理人未能出具有效身份证或者出具的身份证与授权委托书中的信息不符的；</w:t>
      </w:r>
    </w:p>
    <w:p w14:paraId="7E9C7F9F">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54D8FB9C">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投标文件未提供“投标人须知前附表”第13条“商务文件”规定中“必须提供”或者“委托时必须提供”的文件资料的；</w:t>
      </w:r>
    </w:p>
    <w:p w14:paraId="23396B76">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6CDC54E6">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5BB1DCE3">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5173C881">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61DFE71C">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65B20CBD">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7A9F9A41">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57EDA985">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投标文件中承诺的投标有效期低于招标文件要求的期限的；</w:t>
      </w:r>
    </w:p>
    <w:p w14:paraId="538D4189">
      <w:pPr>
        <w:numPr>
          <w:ilvl w:val="0"/>
          <w:numId w:val="7"/>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6D180606">
      <w:pPr>
        <w:pStyle w:val="7"/>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2.3在技术评审时，如发现下列情形之一的，将被视为投标无效：</w:t>
      </w:r>
    </w:p>
    <w:p w14:paraId="4DAC0B8A">
      <w:pPr>
        <w:pStyle w:val="21"/>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（1）服务内容及要求评审允许负偏离的条款数超过“投标人须知前附表”规定项数的；</w:t>
      </w:r>
    </w:p>
    <w:p w14:paraId="5C43949B">
      <w:pPr>
        <w:pStyle w:val="21"/>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（2）投标文件未提供“投标人须知前附表”第13条“技术文件”规定中“必须提供”的文件资料的；</w:t>
      </w:r>
    </w:p>
    <w:p w14:paraId="27A8F898">
      <w:pPr>
        <w:pStyle w:val="21"/>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1855A37B">
      <w:pPr>
        <w:pStyle w:val="21"/>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57" w:name="_Hlk71706244"/>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157"/>
    </w:p>
    <w:p w14:paraId="286D6B5E">
      <w:pPr>
        <w:pStyle w:val="21"/>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（5）未响应招标文件实质性要求的。</w:t>
      </w:r>
    </w:p>
    <w:p w14:paraId="08BCCC25">
      <w:pPr>
        <w:pStyle w:val="7"/>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3.澄清补正</w:t>
      </w:r>
    </w:p>
    <w:p w14:paraId="4DF0567F">
      <w:pPr>
        <w:spacing w:line="38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183322AD">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CC606D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54011E3A">
      <w:pPr>
        <w:pStyle w:val="7"/>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4.投标文件修正</w:t>
      </w:r>
    </w:p>
    <w:p w14:paraId="49F172DB">
      <w:pPr>
        <w:pStyle w:val="7"/>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4.1投标文件报价出现前后不一致的，按照下列规定修正： </w:t>
      </w:r>
    </w:p>
    <w:p w14:paraId="4ED028F4">
      <w:pPr>
        <w:pStyle w:val="27"/>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22BFF9F9">
      <w:pPr>
        <w:pStyle w:val="27"/>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（2）大写金额和小写金额不一致的，以大写金额为准；</w:t>
      </w:r>
    </w:p>
    <w:p w14:paraId="39E59D6C">
      <w:pPr>
        <w:pStyle w:val="27"/>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38D51B84">
      <w:pPr>
        <w:pStyle w:val="27"/>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628D6447">
      <w:pPr>
        <w:pStyle w:val="27"/>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同时出现两种以上不一致的，按照以上（1）-（4）规定的顺序修正。修正后的报价经投标人确认后产生约束力，投标人不确认的，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654CE303">
      <w:pPr>
        <w:pStyle w:val="7"/>
        <w:keepNext w:val="0"/>
        <w:keepLines w:val="0"/>
        <w:spacing w:before="0" w:after="0" w:line="36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4.2经投标人确认修正后的报价若超过采购预算金额或者最高限价</w:t>
      </w:r>
      <w:r>
        <w:rPr>
          <w:rFonts w:hint="eastAsia" w:ascii="宋体" w:hAnsi="宋体" w:cs="宋体"/>
          <w:b w:val="0"/>
          <w:bCs/>
          <w:color w:val="auto"/>
          <w:sz w:val="21"/>
          <w:szCs w:val="21"/>
          <w:highlight w:val="none"/>
        </w:rPr>
        <w:t>的，</w:t>
      </w:r>
      <w:r>
        <w:rPr>
          <w:rFonts w:hint="eastAsia" w:ascii="宋体" w:hAnsi="宋体" w:cs="宋体"/>
          <w:color w:val="auto"/>
          <w:sz w:val="21"/>
          <w:szCs w:val="21"/>
          <w:highlight w:val="none"/>
        </w:rPr>
        <w:t>投标人的投标文件作无效投标处理</w:t>
      </w:r>
      <w:r>
        <w:rPr>
          <w:rFonts w:hint="eastAsia" w:ascii="宋体" w:hAnsi="宋体" w:cs="宋体"/>
          <w:b w:val="0"/>
          <w:color w:val="auto"/>
          <w:sz w:val="21"/>
          <w:szCs w:val="21"/>
          <w:highlight w:val="none"/>
        </w:rPr>
        <w:t>。</w:t>
      </w:r>
    </w:p>
    <w:p w14:paraId="51ADE785">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1797B5B5">
      <w:pPr>
        <w:pStyle w:val="7"/>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322292C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5.1采用综合评分法的</w:t>
      </w:r>
    </w:p>
    <w:p w14:paraId="7366CF8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4A35A24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069F450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1）评标委员会在评审中发现下列情形之一的，应当启动异常低价投标审查程序：</w:t>
      </w:r>
    </w:p>
    <w:p w14:paraId="2728D39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①投标报价低于全部通过符合性审查供应商投标报价平均值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的，即投标报价＜全部通过符合性审查供应商投标报价平均值×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w:t>
      </w:r>
    </w:p>
    <w:p w14:paraId="644A602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②投标报价低于通过符合性审查的次低报价供应商投标报价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的，即投标报价＜通过符合性审查的次低报价供应商投标报价×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w:t>
      </w:r>
    </w:p>
    <w:p w14:paraId="1458CF7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③投标报价低于采购项目最高限价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的，即投标报价＜采购项目最高限价×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w:t>
      </w:r>
    </w:p>
    <w:p w14:paraId="2E1C647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12463D30">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评标委员会启动异常低价投标审查后，属于前述第①项至第④项情形的，应当要求相关供应商在评审现场合理的时间内对投标价格作出解释，并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2BA610C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投标供应商不能提供书面说明、证明材料，或者提供的书面说明、证明材料不能证明其报价合理性的，评标委员会应当将其作为无效投标处理。</w:t>
      </w:r>
    </w:p>
    <w:p w14:paraId="1CDDD6C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0584F37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587C38E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309EC8C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56889D1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51FF09F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402E32A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475B10E8">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0BA46A0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（2）异常低价投标审查</w:t>
      </w:r>
    </w:p>
    <w:p w14:paraId="3D83540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1）评标委员会在评审中发现下列情形之一的，应当启动异常低价投标审查程序：</w:t>
      </w:r>
    </w:p>
    <w:p w14:paraId="723C263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①投标报价低于全部通过符合性审查供应商投标报价平均值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的，即投标报价＜全部通过符合性审查供应商投标报价平均值×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w:t>
      </w:r>
    </w:p>
    <w:p w14:paraId="08935F0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②投标报价低于通过符合性审查的次低报价供应商投标报价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的，即投标报价＜通过符合性审查的次低报价供应商投标报价×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w:t>
      </w:r>
    </w:p>
    <w:p w14:paraId="18B269C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③投标报价低于采购项目最高限价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的，即投标报价＜采购项目最高限价×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w:t>
      </w:r>
    </w:p>
    <w:p w14:paraId="0F912BB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4F471AAB">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评标委员会启动异常低价投标审查后，属于前述第①项至第④项情形的，应当要求相关供应商在评审现场合理的时间内对投标价格作出解释，并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75D6F06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投标供应商不能提供书面说明、证明材料，或者提供的书面说明、证明材料不能证明其报价合理性的，评标委员会应当将其作为无效投标处理。</w:t>
      </w:r>
    </w:p>
    <w:p w14:paraId="51D0A66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4C8CD6A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5213633D">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4CD2F932">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54AECB6E">
      <w:pPr>
        <w:snapToGrid w:val="0"/>
        <w:spacing w:line="360" w:lineRule="auto"/>
        <w:ind w:firstLine="424" w:firstLineChars="202"/>
        <w:jc w:val="left"/>
        <w:rPr>
          <w:rFonts w:ascii="宋体" w:hAnsi="宋体"/>
          <w:color w:val="auto"/>
          <w:szCs w:val="21"/>
          <w:highlight w:val="none"/>
        </w:rPr>
      </w:pPr>
    </w:p>
    <w:p w14:paraId="50BF13C0">
      <w:pPr>
        <w:snapToGrid w:val="0"/>
        <w:spacing w:line="400" w:lineRule="exact"/>
        <w:ind w:firstLine="424" w:firstLineChars="202"/>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4D658FF4">
      <w:pPr>
        <w:pStyle w:val="6"/>
        <w:keepNext w:val="0"/>
        <w:keepLines w:val="0"/>
        <w:spacing w:line="400" w:lineRule="exact"/>
        <w:jc w:val="center"/>
        <w:rPr>
          <w:rFonts w:ascii="宋体" w:hAnsi="宋体" w:cs="宋体"/>
          <w:color w:val="auto"/>
          <w:highlight w:val="none"/>
        </w:rPr>
      </w:pPr>
      <w:r>
        <w:rPr>
          <w:rFonts w:hint="eastAsia" w:ascii="宋体" w:hAnsi="宋体" w:cs="宋体"/>
          <w:color w:val="auto"/>
          <w:highlight w:val="none"/>
        </w:rPr>
        <w:t>综合评分法</w:t>
      </w:r>
    </w:p>
    <w:p w14:paraId="4C50705C">
      <w:pPr>
        <w:pStyle w:val="27"/>
        <w:spacing w:line="400" w:lineRule="exact"/>
        <w:ind w:firstLine="630" w:firstLineChars="300"/>
        <w:rPr>
          <w:rFonts w:hAnsi="宋体" w:cs="宋体"/>
          <w:bCs/>
          <w:color w:val="auto"/>
          <w:sz w:val="21"/>
          <w:highlight w:val="none"/>
        </w:rPr>
      </w:pPr>
      <w:r>
        <w:rPr>
          <w:rFonts w:hint="eastAsia" w:hAnsi="宋体" w:cs="宋体"/>
          <w:bCs/>
          <w:color w:val="auto"/>
          <w:sz w:val="21"/>
          <w:highlight w:val="none"/>
        </w:rPr>
        <w:t>注：计分方法按四舍五入取至百分位</w:t>
      </w:r>
    </w:p>
    <w:tbl>
      <w:tblPr>
        <w:tblStyle w:val="49"/>
        <w:tblW w:w="90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03"/>
        <w:gridCol w:w="1217"/>
        <w:gridCol w:w="827"/>
        <w:gridCol w:w="5641"/>
        <w:gridCol w:w="838"/>
      </w:tblGrid>
      <w:tr w14:paraId="3D4F06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44F368C4">
            <w:pPr>
              <w:widowControl/>
              <w:overflowPunct w:val="0"/>
              <w:autoSpaceDE w:val="0"/>
              <w:autoSpaceDN w:val="0"/>
              <w:adjustRightInd w:val="0"/>
              <w:spacing w:line="380" w:lineRule="exact"/>
              <w:jc w:val="center"/>
              <w:textAlignment w:val="baseline"/>
              <w:rPr>
                <w:rFonts w:ascii="宋体" w:hAnsi="宋体"/>
                <w:b/>
                <w:bCs/>
                <w:color w:val="auto"/>
                <w:kern w:val="0"/>
                <w:szCs w:val="21"/>
                <w:highlight w:val="none"/>
              </w:rPr>
            </w:pPr>
            <w:r>
              <w:rPr>
                <w:rFonts w:hint="eastAsia" w:ascii="宋体" w:hAnsi="宋体"/>
                <w:b/>
                <w:bCs/>
                <w:color w:val="auto"/>
                <w:kern w:val="0"/>
                <w:szCs w:val="21"/>
                <w:highlight w:val="none"/>
              </w:rPr>
              <w:t>序号</w:t>
            </w:r>
          </w:p>
        </w:tc>
        <w:tc>
          <w:tcPr>
            <w:tcW w:w="1217" w:type="dxa"/>
            <w:tcBorders>
              <w:top w:val="single" w:color="auto" w:sz="4" w:space="0"/>
              <w:left w:val="single" w:color="auto" w:sz="4" w:space="0"/>
              <w:bottom w:val="single" w:color="auto" w:sz="4" w:space="0"/>
              <w:right w:val="single" w:color="auto" w:sz="4" w:space="0"/>
            </w:tcBorders>
            <w:noWrap/>
            <w:vAlign w:val="center"/>
          </w:tcPr>
          <w:p w14:paraId="4906FDE5">
            <w:pPr>
              <w:widowControl/>
              <w:overflowPunct w:val="0"/>
              <w:autoSpaceDE w:val="0"/>
              <w:autoSpaceDN w:val="0"/>
              <w:adjustRightInd w:val="0"/>
              <w:spacing w:line="380" w:lineRule="exact"/>
              <w:jc w:val="center"/>
              <w:textAlignment w:val="baseline"/>
              <w:rPr>
                <w:rFonts w:ascii="宋体" w:hAnsi="宋体"/>
                <w:b/>
                <w:bCs/>
                <w:color w:val="auto"/>
                <w:kern w:val="0"/>
                <w:szCs w:val="21"/>
                <w:highlight w:val="none"/>
              </w:rPr>
            </w:pPr>
            <w:r>
              <w:rPr>
                <w:rFonts w:hint="eastAsia" w:ascii="宋体" w:hAnsi="宋体"/>
                <w:b/>
                <w:bCs/>
                <w:color w:val="auto"/>
                <w:kern w:val="0"/>
                <w:szCs w:val="21"/>
                <w:highlight w:val="none"/>
              </w:rPr>
              <w:t>评审因素</w:t>
            </w:r>
          </w:p>
        </w:tc>
        <w:tc>
          <w:tcPr>
            <w:tcW w:w="827" w:type="dxa"/>
            <w:tcBorders>
              <w:top w:val="single" w:color="auto" w:sz="4" w:space="0"/>
              <w:left w:val="single" w:color="auto" w:sz="4" w:space="0"/>
              <w:bottom w:val="single" w:color="auto" w:sz="4" w:space="0"/>
              <w:right w:val="single" w:color="auto" w:sz="4" w:space="0"/>
            </w:tcBorders>
            <w:noWrap/>
            <w:vAlign w:val="center"/>
          </w:tcPr>
          <w:p w14:paraId="2C471A1A">
            <w:pPr>
              <w:widowControl/>
              <w:overflowPunct w:val="0"/>
              <w:autoSpaceDE w:val="0"/>
              <w:autoSpaceDN w:val="0"/>
              <w:adjustRightInd w:val="0"/>
              <w:spacing w:line="380" w:lineRule="exact"/>
              <w:jc w:val="center"/>
              <w:textAlignment w:val="baseline"/>
              <w:rPr>
                <w:rFonts w:ascii="宋体" w:hAnsi="宋体"/>
                <w:b/>
                <w:bCs/>
                <w:color w:val="auto"/>
                <w:kern w:val="0"/>
                <w:szCs w:val="21"/>
                <w:highlight w:val="none"/>
              </w:rPr>
            </w:pPr>
            <w:r>
              <w:rPr>
                <w:rFonts w:hint="eastAsia" w:ascii="宋体" w:hAnsi="宋体"/>
                <w:b/>
                <w:bCs/>
                <w:color w:val="auto"/>
                <w:kern w:val="0"/>
                <w:szCs w:val="21"/>
                <w:highlight w:val="none"/>
              </w:rPr>
              <w:t>主要内容</w:t>
            </w:r>
          </w:p>
        </w:tc>
        <w:tc>
          <w:tcPr>
            <w:tcW w:w="5641" w:type="dxa"/>
            <w:tcBorders>
              <w:top w:val="single" w:color="auto" w:sz="4" w:space="0"/>
              <w:left w:val="single" w:color="auto" w:sz="4" w:space="0"/>
              <w:bottom w:val="single" w:color="auto" w:sz="4" w:space="0"/>
              <w:right w:val="single" w:color="auto" w:sz="4" w:space="0"/>
            </w:tcBorders>
            <w:noWrap/>
            <w:vAlign w:val="center"/>
          </w:tcPr>
          <w:p w14:paraId="3EC11E1A">
            <w:pPr>
              <w:widowControl/>
              <w:overflowPunct w:val="0"/>
              <w:autoSpaceDE w:val="0"/>
              <w:autoSpaceDN w:val="0"/>
              <w:adjustRightInd w:val="0"/>
              <w:spacing w:line="380" w:lineRule="exact"/>
              <w:ind w:left="-250" w:leftChars="-119"/>
              <w:jc w:val="center"/>
              <w:textAlignment w:val="baseline"/>
              <w:rPr>
                <w:rFonts w:ascii="宋体" w:hAnsi="宋体"/>
                <w:b/>
                <w:bCs/>
                <w:color w:val="auto"/>
                <w:kern w:val="0"/>
                <w:szCs w:val="21"/>
                <w:highlight w:val="none"/>
              </w:rPr>
            </w:pPr>
            <w:r>
              <w:rPr>
                <w:rFonts w:hint="eastAsia" w:ascii="宋体" w:hAnsi="宋体"/>
                <w:b/>
                <w:bCs/>
                <w:color w:val="auto"/>
                <w:kern w:val="0"/>
                <w:szCs w:val="21"/>
                <w:highlight w:val="none"/>
              </w:rPr>
              <w:t>指标要求</w:t>
            </w:r>
          </w:p>
        </w:tc>
        <w:tc>
          <w:tcPr>
            <w:tcW w:w="838" w:type="dxa"/>
            <w:tcBorders>
              <w:top w:val="single" w:color="auto" w:sz="4" w:space="0"/>
              <w:left w:val="single" w:color="auto" w:sz="4" w:space="0"/>
              <w:bottom w:val="single" w:color="auto" w:sz="4" w:space="0"/>
              <w:right w:val="single" w:color="auto" w:sz="4" w:space="0"/>
            </w:tcBorders>
            <w:noWrap/>
            <w:vAlign w:val="center"/>
          </w:tcPr>
          <w:p w14:paraId="11ACB04D">
            <w:pPr>
              <w:widowControl/>
              <w:overflowPunct w:val="0"/>
              <w:autoSpaceDE w:val="0"/>
              <w:autoSpaceDN w:val="0"/>
              <w:adjustRightInd w:val="0"/>
              <w:spacing w:line="380" w:lineRule="exact"/>
              <w:jc w:val="center"/>
              <w:textAlignment w:val="baseline"/>
              <w:rPr>
                <w:rFonts w:ascii="宋体" w:hAnsi="宋体"/>
                <w:b/>
                <w:bCs/>
                <w:color w:val="auto"/>
                <w:kern w:val="0"/>
                <w:szCs w:val="21"/>
                <w:highlight w:val="none"/>
              </w:rPr>
            </w:pPr>
            <w:r>
              <w:rPr>
                <w:rFonts w:hint="eastAsia" w:ascii="宋体" w:hAnsi="宋体"/>
                <w:b/>
                <w:bCs/>
                <w:color w:val="auto"/>
                <w:kern w:val="0"/>
                <w:szCs w:val="21"/>
                <w:highlight w:val="none"/>
              </w:rPr>
              <w:t>细项</w:t>
            </w:r>
          </w:p>
          <w:p w14:paraId="28F4402F">
            <w:pPr>
              <w:widowControl/>
              <w:overflowPunct w:val="0"/>
              <w:autoSpaceDE w:val="0"/>
              <w:autoSpaceDN w:val="0"/>
              <w:adjustRightInd w:val="0"/>
              <w:spacing w:line="380" w:lineRule="exact"/>
              <w:jc w:val="center"/>
              <w:textAlignment w:val="baseline"/>
              <w:rPr>
                <w:rFonts w:ascii="宋体" w:hAnsi="宋体"/>
                <w:b/>
                <w:bCs/>
                <w:color w:val="auto"/>
                <w:kern w:val="0"/>
                <w:szCs w:val="21"/>
                <w:highlight w:val="none"/>
              </w:rPr>
            </w:pPr>
            <w:r>
              <w:rPr>
                <w:rFonts w:hint="eastAsia" w:ascii="宋体" w:hAnsi="宋体"/>
                <w:b/>
                <w:bCs/>
                <w:color w:val="auto"/>
                <w:kern w:val="0"/>
                <w:szCs w:val="21"/>
                <w:highlight w:val="none"/>
              </w:rPr>
              <w:t>分值</w:t>
            </w:r>
          </w:p>
        </w:tc>
      </w:tr>
      <w:tr w14:paraId="3E4A97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7"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1BAA8BD6">
            <w:pPr>
              <w:widowControl/>
              <w:overflowPunct w:val="0"/>
              <w:autoSpaceDE w:val="0"/>
              <w:autoSpaceDN w:val="0"/>
              <w:adjustRightInd w:val="0"/>
              <w:spacing w:line="380" w:lineRule="exact"/>
              <w:jc w:val="center"/>
              <w:textAlignment w:val="baseline"/>
              <w:rPr>
                <w:rFonts w:ascii="宋体" w:hAnsi="宋体"/>
                <w:color w:val="auto"/>
                <w:kern w:val="0"/>
                <w:szCs w:val="21"/>
                <w:highlight w:val="none"/>
              </w:rPr>
            </w:pPr>
            <w:r>
              <w:rPr>
                <w:rFonts w:hint="eastAsia" w:ascii="宋体" w:hAnsi="宋体"/>
                <w:color w:val="auto"/>
                <w:kern w:val="0"/>
                <w:szCs w:val="21"/>
                <w:highlight w:val="none"/>
              </w:rPr>
              <w:t>1</w:t>
            </w:r>
          </w:p>
        </w:tc>
        <w:tc>
          <w:tcPr>
            <w:tcW w:w="1217" w:type="dxa"/>
            <w:tcBorders>
              <w:top w:val="single" w:color="auto" w:sz="4" w:space="0"/>
              <w:left w:val="single" w:color="auto" w:sz="4" w:space="0"/>
              <w:bottom w:val="single" w:color="auto" w:sz="4" w:space="0"/>
              <w:right w:val="single" w:color="auto" w:sz="4" w:space="0"/>
            </w:tcBorders>
            <w:noWrap/>
            <w:vAlign w:val="center"/>
          </w:tcPr>
          <w:p w14:paraId="78C34989">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hint="eastAsia" w:ascii="宋体" w:hAnsi="宋体"/>
                <w:color w:val="auto"/>
                <w:szCs w:val="21"/>
                <w:highlight w:val="none"/>
                <w:lang w:val="zh-CN"/>
              </w:rPr>
              <w:t>投标报价分</w:t>
            </w:r>
          </w:p>
          <w:p w14:paraId="76E900D5">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hint="eastAsia" w:ascii="宋体" w:hAnsi="宋体"/>
                <w:color w:val="auto"/>
                <w:szCs w:val="21"/>
                <w:highlight w:val="none"/>
                <w:lang w:val="zh-CN"/>
              </w:rPr>
              <w:t>（</w:t>
            </w:r>
            <w:r>
              <w:rPr>
                <w:rFonts w:ascii="宋体" w:hAnsi="宋体"/>
                <w:color w:val="auto"/>
                <w:szCs w:val="21"/>
                <w:highlight w:val="none"/>
              </w:rPr>
              <w:t>2</w:t>
            </w:r>
            <w:r>
              <w:rPr>
                <w:rFonts w:ascii="宋体" w:hAnsi="宋体"/>
                <w:color w:val="auto"/>
                <w:szCs w:val="21"/>
                <w:highlight w:val="none"/>
                <w:lang w:val="zh-CN"/>
              </w:rPr>
              <w:t>0分</w:t>
            </w:r>
            <w:r>
              <w:rPr>
                <w:rFonts w:hint="eastAsia" w:ascii="宋体" w:hAnsi="宋体"/>
                <w:color w:val="auto"/>
                <w:szCs w:val="21"/>
                <w:highlight w:val="none"/>
                <w:lang w:val="zh-CN"/>
              </w:rPr>
              <w:t>）</w:t>
            </w:r>
          </w:p>
        </w:tc>
        <w:tc>
          <w:tcPr>
            <w:tcW w:w="827" w:type="dxa"/>
            <w:tcBorders>
              <w:top w:val="single" w:color="auto" w:sz="4" w:space="0"/>
              <w:left w:val="single" w:color="auto" w:sz="4" w:space="0"/>
              <w:bottom w:val="single" w:color="auto" w:sz="4" w:space="0"/>
              <w:right w:val="single" w:color="auto" w:sz="4" w:space="0"/>
            </w:tcBorders>
            <w:noWrap/>
            <w:vAlign w:val="center"/>
          </w:tcPr>
          <w:p w14:paraId="63D1D327">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hint="eastAsia" w:ascii="宋体" w:hAnsi="宋体"/>
                <w:color w:val="auto"/>
                <w:szCs w:val="21"/>
                <w:highlight w:val="none"/>
                <w:lang w:val="zh-CN"/>
              </w:rPr>
              <w:t>价格分</w:t>
            </w:r>
          </w:p>
          <w:p w14:paraId="039E6F0A">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hint="eastAsia" w:ascii="宋体" w:hAnsi="宋体"/>
                <w:color w:val="auto"/>
                <w:szCs w:val="21"/>
                <w:highlight w:val="none"/>
                <w:lang w:val="zh-CN"/>
              </w:rPr>
              <w:t>（</w:t>
            </w:r>
            <w:r>
              <w:rPr>
                <w:rFonts w:ascii="宋体" w:hAnsi="宋体"/>
                <w:color w:val="auto"/>
                <w:szCs w:val="21"/>
                <w:highlight w:val="none"/>
              </w:rPr>
              <w:t>2</w:t>
            </w:r>
            <w:r>
              <w:rPr>
                <w:rFonts w:ascii="宋体" w:hAnsi="宋体"/>
                <w:color w:val="auto"/>
                <w:szCs w:val="21"/>
                <w:highlight w:val="none"/>
                <w:lang w:val="zh-CN"/>
              </w:rPr>
              <w:t>0分</w:t>
            </w:r>
            <w:r>
              <w:rPr>
                <w:rFonts w:hint="eastAsia" w:ascii="宋体" w:hAnsi="宋体"/>
                <w:color w:val="auto"/>
                <w:szCs w:val="21"/>
                <w:highlight w:val="none"/>
                <w:lang w:val="zh-CN"/>
              </w:rPr>
              <w:t>）</w:t>
            </w:r>
          </w:p>
        </w:tc>
        <w:tc>
          <w:tcPr>
            <w:tcW w:w="5641" w:type="dxa"/>
            <w:tcBorders>
              <w:top w:val="single" w:color="auto" w:sz="4" w:space="0"/>
              <w:left w:val="single" w:color="auto" w:sz="4" w:space="0"/>
              <w:bottom w:val="single" w:color="auto" w:sz="4" w:space="0"/>
              <w:right w:val="single" w:color="auto" w:sz="4" w:space="0"/>
            </w:tcBorders>
            <w:noWrap/>
            <w:vAlign w:val="center"/>
          </w:tcPr>
          <w:p w14:paraId="70168D60">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（1）评标报价为投标人的投标报价进行政策性扣除后的价格，评标报价只作为评标时使用。最终中标供应商的中标金额等于投标报价。</w:t>
            </w:r>
          </w:p>
          <w:p w14:paraId="2C3A854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（2）政策性扣除计算方法。</w:t>
            </w:r>
          </w:p>
          <w:p w14:paraId="5C18A453">
            <w:pPr>
              <w:snapToGrid w:val="0"/>
              <w:spacing w:line="400" w:lineRule="exact"/>
              <w:rPr>
                <w:rFonts w:ascii="宋体" w:hAnsi="宋体" w:cs="宋体"/>
                <w:color w:val="auto"/>
                <w:szCs w:val="21"/>
                <w:highlight w:val="none"/>
              </w:rPr>
            </w:pPr>
            <w:bookmarkStart w:id="158" w:name="_Hlk65858438"/>
            <w:r>
              <w:rPr>
                <w:rFonts w:hint="eastAsia" w:ascii="宋体" w:hAnsi="宋体" w:cs="宋体"/>
                <w:color w:val="auto"/>
                <w:szCs w:val="21"/>
                <w:highlight w:val="none"/>
              </w:rPr>
              <w:t>根据《政府采购促进中小企业发展管理办法》（财库〔2020〕46号）及</w:t>
            </w:r>
            <w:r>
              <w:rPr>
                <w:rFonts w:hint="eastAsia"/>
                <w:color w:val="auto"/>
                <w:szCs w:val="21"/>
                <w:highlight w:val="none"/>
              </w:rPr>
              <w:t>《广西壮族自治区财政厅关于持续优化政府采购营商环境推动高质量发展的通知》（桂财采〔2024〕55号）</w:t>
            </w:r>
            <w:r>
              <w:rPr>
                <w:rFonts w:hint="eastAsia" w:ascii="宋体" w:hAnsi="宋体" w:cs="宋体"/>
                <w:color w:val="auto"/>
                <w:szCs w:val="21"/>
                <w:highlight w:val="none"/>
              </w:rPr>
              <w:t>的规定，投标人在其投标文件中提供《中小企业声明函》，且其投标全部服务由符合政策要求的小微企业提供的，其投标报价给予10%的扣除，扣除后的价格为评标报价，即评标报价=投标报价×（1-10%）。除上述情况外，评标报价=投标报价。</w:t>
            </w:r>
            <w:bookmarkEnd w:id="158"/>
          </w:p>
          <w:p w14:paraId="3864FDB0">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565143E">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1C6570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（5）满足招标文件要求且评标报价最低的评标报价为评标基准价，其价格分为满分。</w:t>
            </w:r>
          </w:p>
          <w:p w14:paraId="11068756">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（6）价格分计算公式：        </w:t>
            </w:r>
          </w:p>
          <w:p w14:paraId="42829A26">
            <w:pPr>
              <w:spacing w:line="380" w:lineRule="exact"/>
              <w:ind w:firstLine="420" w:firstLineChars="200"/>
              <w:rPr>
                <w:rFonts w:ascii="宋体" w:hAnsi="宋体"/>
                <w:b/>
                <w:color w:val="auto"/>
                <w:szCs w:val="21"/>
                <w:highlight w:val="none"/>
                <w:lang w:val="zh-CN"/>
              </w:rPr>
            </w:pPr>
            <w:r>
              <w:rPr>
                <w:rFonts w:hint="eastAsia" w:hAnsi="宋体" w:cs="宋体"/>
                <w:color w:val="auto"/>
                <w:highlight w:val="none"/>
              </w:rPr>
              <w:t>价格分=(评标基准价／评标报价)×20分</w:t>
            </w:r>
          </w:p>
        </w:tc>
        <w:tc>
          <w:tcPr>
            <w:tcW w:w="838" w:type="dxa"/>
            <w:tcBorders>
              <w:top w:val="single" w:color="auto" w:sz="4" w:space="0"/>
              <w:left w:val="single" w:color="auto" w:sz="4" w:space="0"/>
              <w:bottom w:val="single" w:color="auto" w:sz="4" w:space="0"/>
              <w:right w:val="single" w:color="auto" w:sz="4" w:space="0"/>
            </w:tcBorders>
            <w:noWrap/>
            <w:vAlign w:val="center"/>
          </w:tcPr>
          <w:p w14:paraId="27608E94">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ascii="宋体" w:hAnsi="宋体"/>
                <w:color w:val="auto"/>
                <w:szCs w:val="21"/>
                <w:highlight w:val="none"/>
              </w:rPr>
              <w:t>2</w:t>
            </w:r>
            <w:r>
              <w:rPr>
                <w:rFonts w:ascii="宋体" w:hAnsi="宋体"/>
                <w:color w:val="auto"/>
                <w:szCs w:val="21"/>
                <w:highlight w:val="none"/>
                <w:lang w:val="zh-CN"/>
              </w:rPr>
              <w:t>0</w:t>
            </w:r>
            <w:r>
              <w:rPr>
                <w:rFonts w:hint="eastAsia" w:ascii="宋体" w:hAnsi="宋体"/>
                <w:color w:val="auto"/>
                <w:szCs w:val="21"/>
                <w:highlight w:val="none"/>
                <w:lang w:val="zh-CN"/>
              </w:rPr>
              <w:t>分</w:t>
            </w:r>
          </w:p>
        </w:tc>
      </w:tr>
      <w:tr w14:paraId="471CDF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vMerge w:val="restart"/>
            <w:tcBorders>
              <w:top w:val="single" w:color="auto" w:sz="4" w:space="0"/>
              <w:left w:val="single" w:color="auto" w:sz="4" w:space="0"/>
              <w:right w:val="single" w:color="auto" w:sz="4" w:space="0"/>
            </w:tcBorders>
            <w:noWrap/>
            <w:vAlign w:val="center"/>
          </w:tcPr>
          <w:p w14:paraId="4E9E7FB7">
            <w:pPr>
              <w:widowControl/>
              <w:overflowPunct w:val="0"/>
              <w:autoSpaceDE w:val="0"/>
              <w:autoSpaceDN w:val="0"/>
              <w:adjustRightInd w:val="0"/>
              <w:spacing w:line="380" w:lineRule="exact"/>
              <w:jc w:val="center"/>
              <w:textAlignment w:val="baseline"/>
              <w:rPr>
                <w:rFonts w:ascii="宋体" w:hAnsi="宋体"/>
                <w:color w:val="auto"/>
                <w:kern w:val="0"/>
                <w:szCs w:val="21"/>
                <w:highlight w:val="none"/>
              </w:rPr>
            </w:pPr>
            <w:r>
              <w:rPr>
                <w:rFonts w:hint="eastAsia" w:ascii="宋体" w:hAnsi="宋体"/>
                <w:color w:val="auto"/>
                <w:kern w:val="0"/>
                <w:szCs w:val="21"/>
                <w:highlight w:val="none"/>
              </w:rPr>
              <w:t>2</w:t>
            </w:r>
          </w:p>
        </w:tc>
        <w:tc>
          <w:tcPr>
            <w:tcW w:w="1217" w:type="dxa"/>
            <w:vMerge w:val="restart"/>
            <w:tcBorders>
              <w:top w:val="single" w:color="auto" w:sz="4" w:space="0"/>
              <w:left w:val="single" w:color="auto" w:sz="4" w:space="0"/>
              <w:right w:val="single" w:color="auto" w:sz="4" w:space="0"/>
            </w:tcBorders>
            <w:noWrap/>
            <w:vAlign w:val="center"/>
          </w:tcPr>
          <w:p w14:paraId="319665A6">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hint="eastAsia" w:ascii="宋体" w:hAnsi="宋体"/>
                <w:color w:val="auto"/>
                <w:szCs w:val="21"/>
                <w:highlight w:val="none"/>
                <w:lang w:val="zh-CN"/>
              </w:rPr>
              <w:t>履约能力分（</w:t>
            </w:r>
            <w:r>
              <w:rPr>
                <w:rFonts w:ascii="宋体" w:hAnsi="宋体"/>
                <w:color w:val="auto"/>
                <w:szCs w:val="21"/>
                <w:highlight w:val="none"/>
                <w:lang w:val="zh-CN"/>
              </w:rPr>
              <w:t>5</w:t>
            </w:r>
            <w:r>
              <w:rPr>
                <w:rFonts w:hint="eastAsia" w:ascii="宋体" w:hAnsi="宋体"/>
                <w:color w:val="auto"/>
                <w:szCs w:val="21"/>
                <w:highlight w:val="none"/>
                <w:lang w:val="zh-CN"/>
              </w:rPr>
              <w:t>0分）</w:t>
            </w:r>
          </w:p>
        </w:tc>
        <w:tc>
          <w:tcPr>
            <w:tcW w:w="827" w:type="dxa"/>
            <w:tcBorders>
              <w:top w:val="single" w:color="auto" w:sz="4" w:space="0"/>
              <w:left w:val="single" w:color="auto" w:sz="4" w:space="0"/>
              <w:bottom w:val="single" w:color="auto" w:sz="4" w:space="0"/>
              <w:right w:val="single" w:color="auto" w:sz="4" w:space="0"/>
            </w:tcBorders>
            <w:noWrap/>
            <w:vAlign w:val="center"/>
          </w:tcPr>
          <w:p w14:paraId="71C666CC">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hint="eastAsia" w:ascii="宋体" w:hAnsi="宋体"/>
                <w:color w:val="auto"/>
                <w:szCs w:val="21"/>
                <w:highlight w:val="none"/>
                <w:lang w:val="zh-CN"/>
              </w:rPr>
              <w:t>相关证书分（</w:t>
            </w:r>
            <w:r>
              <w:rPr>
                <w:rFonts w:hint="eastAsia" w:ascii="宋体" w:hAnsi="宋体"/>
                <w:color w:val="auto"/>
                <w:szCs w:val="21"/>
                <w:highlight w:val="none"/>
              </w:rPr>
              <w:t>6</w:t>
            </w:r>
            <w:r>
              <w:rPr>
                <w:rFonts w:hint="eastAsia" w:ascii="宋体" w:hAnsi="宋体"/>
                <w:color w:val="auto"/>
                <w:szCs w:val="21"/>
                <w:highlight w:val="none"/>
                <w:lang w:val="zh-CN"/>
              </w:rPr>
              <w:t>分）</w:t>
            </w:r>
          </w:p>
        </w:tc>
        <w:tc>
          <w:tcPr>
            <w:tcW w:w="5641" w:type="dxa"/>
            <w:tcBorders>
              <w:top w:val="single" w:color="auto" w:sz="4" w:space="0"/>
              <w:left w:val="single" w:color="auto" w:sz="4" w:space="0"/>
              <w:bottom w:val="single" w:color="auto" w:sz="4" w:space="0"/>
              <w:right w:val="single" w:color="auto" w:sz="4" w:space="0"/>
            </w:tcBorders>
            <w:noWrap/>
            <w:vAlign w:val="center"/>
          </w:tcPr>
          <w:p w14:paraId="6362839D">
            <w:pPr>
              <w:spacing w:line="380" w:lineRule="exact"/>
              <w:ind w:firstLine="420" w:firstLineChars="200"/>
              <w:rPr>
                <w:color w:val="auto"/>
                <w:highlight w:val="none"/>
                <w:lang w:val="zh-CN"/>
              </w:rPr>
            </w:pPr>
            <w:r>
              <w:rPr>
                <w:rFonts w:hint="eastAsia"/>
                <w:color w:val="auto"/>
                <w:highlight w:val="none"/>
                <w:lang w:val="zh-CN"/>
              </w:rPr>
              <w:t>投标人具有有效的环境管理体系认证（ISO14001或GB/T24001）、质量管理体系认证（ISO9001或GB/T19001）、职业健康安全管理体系认证（ISO45001或GB/T45001）或食品安全管理体系认证（ISO22000或GB/T22000）的，每提供一个得</w:t>
            </w:r>
            <w:r>
              <w:rPr>
                <w:rFonts w:hint="eastAsia"/>
                <w:color w:val="auto"/>
                <w:highlight w:val="none"/>
              </w:rPr>
              <w:t>1.5</w:t>
            </w:r>
            <w:r>
              <w:rPr>
                <w:rFonts w:hint="eastAsia"/>
                <w:color w:val="auto"/>
                <w:highlight w:val="none"/>
                <w:lang w:val="zh-CN"/>
              </w:rPr>
              <w:t>分，满分</w:t>
            </w:r>
            <w:r>
              <w:rPr>
                <w:rFonts w:hint="eastAsia"/>
                <w:color w:val="auto"/>
                <w:highlight w:val="none"/>
              </w:rPr>
              <w:t>6</w:t>
            </w:r>
            <w:r>
              <w:rPr>
                <w:rFonts w:hint="eastAsia"/>
                <w:color w:val="auto"/>
                <w:highlight w:val="none"/>
                <w:lang w:val="zh-CN"/>
              </w:rPr>
              <w:t>分。</w:t>
            </w:r>
          </w:p>
          <w:p w14:paraId="55600044">
            <w:pPr>
              <w:spacing w:line="380" w:lineRule="exact"/>
              <w:ind w:firstLine="420" w:firstLineChars="200"/>
              <w:rPr>
                <w:rFonts w:ascii="宋体" w:hAnsi="宋体"/>
                <w:color w:val="auto"/>
                <w:kern w:val="0"/>
                <w:szCs w:val="21"/>
                <w:highlight w:val="none"/>
              </w:rPr>
            </w:pPr>
            <w:r>
              <w:rPr>
                <w:rFonts w:hint="eastAsia"/>
                <w:color w:val="auto"/>
                <w:highlight w:val="none"/>
                <w:lang w:val="zh-CN"/>
              </w:rPr>
              <w:t>注：投标人需提供有效认证证书复印件及提供上述证书对应的在全国认证认可信息公共服务平台上(http://cx.cnca.cn)查询结果的截图，并加盖供应商</w:t>
            </w:r>
            <w:r>
              <w:rPr>
                <w:rFonts w:hint="eastAsia"/>
                <w:color w:val="auto"/>
                <w:highlight w:val="none"/>
                <w:lang w:val="en-US" w:eastAsia="zh-CN"/>
              </w:rPr>
              <w:t>电子签章</w:t>
            </w:r>
            <w:r>
              <w:rPr>
                <w:rFonts w:hint="eastAsia"/>
                <w:color w:val="auto"/>
                <w:highlight w:val="none"/>
                <w:lang w:val="zh-CN"/>
              </w:rPr>
              <w:t>，不提供或证书状态非“有效”均不得分。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5EF70F90">
            <w:pPr>
              <w:widowControl/>
              <w:overflowPunct w:val="0"/>
              <w:autoSpaceDE w:val="0"/>
              <w:autoSpaceDN w:val="0"/>
              <w:adjustRightInd w:val="0"/>
              <w:spacing w:line="380" w:lineRule="exact"/>
              <w:jc w:val="center"/>
              <w:textAlignment w:val="baseline"/>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zh-CN"/>
              </w:rPr>
              <w:t>分</w:t>
            </w:r>
          </w:p>
        </w:tc>
      </w:tr>
      <w:tr w14:paraId="77F0D2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vMerge w:val="continue"/>
            <w:tcBorders>
              <w:left w:val="single" w:color="auto" w:sz="4" w:space="0"/>
              <w:right w:val="single" w:color="auto" w:sz="4" w:space="0"/>
            </w:tcBorders>
            <w:noWrap/>
            <w:vAlign w:val="center"/>
          </w:tcPr>
          <w:p w14:paraId="39B729B0">
            <w:pPr>
              <w:widowControl/>
              <w:overflowPunct w:val="0"/>
              <w:autoSpaceDE w:val="0"/>
              <w:autoSpaceDN w:val="0"/>
              <w:adjustRightInd w:val="0"/>
              <w:spacing w:line="380" w:lineRule="exact"/>
              <w:jc w:val="center"/>
              <w:textAlignment w:val="baseline"/>
              <w:rPr>
                <w:rFonts w:ascii="宋体" w:hAnsi="宋体"/>
                <w:color w:val="auto"/>
                <w:kern w:val="0"/>
                <w:szCs w:val="21"/>
                <w:highlight w:val="none"/>
              </w:rPr>
            </w:pPr>
          </w:p>
        </w:tc>
        <w:tc>
          <w:tcPr>
            <w:tcW w:w="1217" w:type="dxa"/>
            <w:vMerge w:val="continue"/>
            <w:tcBorders>
              <w:left w:val="single" w:color="auto" w:sz="4" w:space="0"/>
              <w:right w:val="single" w:color="auto" w:sz="4" w:space="0"/>
            </w:tcBorders>
            <w:noWrap/>
            <w:vAlign w:val="center"/>
          </w:tcPr>
          <w:p w14:paraId="42C705E7">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p>
        </w:tc>
        <w:tc>
          <w:tcPr>
            <w:tcW w:w="827" w:type="dxa"/>
            <w:tcBorders>
              <w:top w:val="single" w:color="auto" w:sz="4" w:space="0"/>
              <w:left w:val="single" w:color="auto" w:sz="4" w:space="0"/>
              <w:bottom w:val="single" w:color="auto" w:sz="4" w:space="0"/>
              <w:right w:val="single" w:color="auto" w:sz="4" w:space="0"/>
            </w:tcBorders>
            <w:noWrap/>
            <w:vAlign w:val="center"/>
          </w:tcPr>
          <w:p w14:paraId="683A34E6">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hint="eastAsia" w:ascii="宋体" w:hAnsi="宋体"/>
                <w:color w:val="auto"/>
                <w:szCs w:val="21"/>
                <w:highlight w:val="none"/>
                <w:lang w:val="zh-CN"/>
              </w:rPr>
              <w:t>成功案例分（</w:t>
            </w:r>
            <w:r>
              <w:rPr>
                <w:rFonts w:hint="eastAsia" w:ascii="宋体" w:hAnsi="宋体"/>
                <w:color w:val="auto"/>
                <w:szCs w:val="21"/>
                <w:highlight w:val="none"/>
              </w:rPr>
              <w:t>8</w:t>
            </w:r>
            <w:r>
              <w:rPr>
                <w:rFonts w:hint="eastAsia" w:ascii="宋体" w:hAnsi="宋体"/>
                <w:color w:val="auto"/>
                <w:szCs w:val="21"/>
                <w:highlight w:val="none"/>
                <w:lang w:val="zh-CN"/>
              </w:rPr>
              <w:t>分）</w:t>
            </w:r>
          </w:p>
        </w:tc>
        <w:tc>
          <w:tcPr>
            <w:tcW w:w="5641" w:type="dxa"/>
            <w:tcBorders>
              <w:top w:val="single" w:color="auto" w:sz="4" w:space="0"/>
              <w:left w:val="single" w:color="auto" w:sz="4" w:space="0"/>
              <w:bottom w:val="single" w:color="auto" w:sz="4" w:space="0"/>
              <w:right w:val="single" w:color="auto" w:sz="4" w:space="0"/>
            </w:tcBorders>
            <w:noWrap/>
            <w:vAlign w:val="center"/>
          </w:tcPr>
          <w:p w14:paraId="1C0C4E6C">
            <w:pPr>
              <w:spacing w:line="380" w:lineRule="exact"/>
              <w:ind w:firstLine="420" w:firstLineChars="200"/>
              <w:rPr>
                <w:rFonts w:ascii="宋体" w:hAnsi="宋体"/>
                <w:color w:val="auto"/>
                <w:szCs w:val="21"/>
                <w:highlight w:val="none"/>
              </w:rPr>
            </w:pPr>
            <w:r>
              <w:rPr>
                <w:rFonts w:hint="eastAsia" w:ascii="宋体" w:hAnsi="宋体" w:eastAsia="宋体" w:cs="宋体"/>
                <w:color w:val="auto"/>
                <w:highlight w:val="none"/>
                <w:lang w:val="zh-CN"/>
              </w:rPr>
              <w:t>投标人</w:t>
            </w:r>
            <w:r>
              <w:rPr>
                <w:rFonts w:hint="eastAsia" w:ascii="宋体" w:hAnsi="宋体" w:eastAsia="宋体" w:cs="宋体"/>
                <w:color w:val="auto"/>
                <w:szCs w:val="21"/>
                <w:highlight w:val="none"/>
              </w:rPr>
              <w:t xml:space="preserve"> 2023年7月1日至投标文件提交截止时间止，</w:t>
            </w:r>
            <w:r>
              <w:rPr>
                <w:rFonts w:hint="eastAsia" w:ascii="宋体" w:hAnsi="宋体"/>
                <w:color w:val="auto"/>
                <w:szCs w:val="21"/>
                <w:highlight w:val="none"/>
              </w:rPr>
              <w:t>具有类似项目业绩（投标文件提供合同复印件，复印件内容须体现为类似项目。同一个项目签订多份合同的只能计算一次，不重复计分）。每个有效业绩得2分，本项满分8分。</w:t>
            </w:r>
          </w:p>
          <w:p w14:paraId="1F294A2C">
            <w:pPr>
              <w:spacing w:line="380" w:lineRule="exact"/>
              <w:ind w:firstLine="420" w:firstLineChars="200"/>
              <w:rPr>
                <w:rFonts w:ascii="宋体" w:hAnsi="宋体"/>
                <w:color w:val="auto"/>
                <w:kern w:val="0"/>
                <w:szCs w:val="21"/>
                <w:highlight w:val="none"/>
              </w:rPr>
            </w:pPr>
            <w:r>
              <w:rPr>
                <w:rFonts w:hint="eastAsia" w:ascii="宋体" w:hAnsi="宋体"/>
                <w:color w:val="auto"/>
                <w:szCs w:val="21"/>
                <w:highlight w:val="none"/>
              </w:rPr>
              <w:t>注：类似项目是指食堂管理服务或食堂经营服务项目。</w:t>
            </w:r>
          </w:p>
        </w:tc>
        <w:tc>
          <w:tcPr>
            <w:tcW w:w="838" w:type="dxa"/>
            <w:tcBorders>
              <w:top w:val="single" w:color="auto" w:sz="4" w:space="0"/>
              <w:left w:val="single" w:color="auto" w:sz="4" w:space="0"/>
              <w:bottom w:val="single" w:color="auto" w:sz="4" w:space="0"/>
              <w:right w:val="single" w:color="auto" w:sz="4" w:space="0"/>
            </w:tcBorders>
            <w:noWrap/>
            <w:vAlign w:val="center"/>
          </w:tcPr>
          <w:p w14:paraId="0E0F31A9">
            <w:pPr>
              <w:widowControl/>
              <w:overflowPunct w:val="0"/>
              <w:autoSpaceDE w:val="0"/>
              <w:autoSpaceDN w:val="0"/>
              <w:adjustRightInd w:val="0"/>
              <w:spacing w:line="380" w:lineRule="exact"/>
              <w:jc w:val="center"/>
              <w:textAlignment w:val="baseline"/>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lang w:val="zh-CN"/>
              </w:rPr>
              <w:t>分</w:t>
            </w:r>
          </w:p>
        </w:tc>
      </w:tr>
      <w:tr w14:paraId="159C86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vMerge w:val="continue"/>
            <w:tcBorders>
              <w:left w:val="single" w:color="auto" w:sz="4" w:space="0"/>
              <w:right w:val="single" w:color="auto" w:sz="4" w:space="0"/>
            </w:tcBorders>
            <w:noWrap/>
            <w:vAlign w:val="center"/>
          </w:tcPr>
          <w:p w14:paraId="6CC08666">
            <w:pPr>
              <w:widowControl/>
              <w:overflowPunct w:val="0"/>
              <w:autoSpaceDE w:val="0"/>
              <w:autoSpaceDN w:val="0"/>
              <w:adjustRightInd w:val="0"/>
              <w:spacing w:line="380" w:lineRule="exact"/>
              <w:jc w:val="center"/>
              <w:textAlignment w:val="baseline"/>
              <w:rPr>
                <w:rFonts w:ascii="宋体" w:hAnsi="宋体"/>
                <w:color w:val="auto"/>
                <w:kern w:val="0"/>
                <w:szCs w:val="21"/>
                <w:highlight w:val="none"/>
              </w:rPr>
            </w:pPr>
          </w:p>
        </w:tc>
        <w:tc>
          <w:tcPr>
            <w:tcW w:w="1217" w:type="dxa"/>
            <w:vMerge w:val="continue"/>
            <w:tcBorders>
              <w:left w:val="single" w:color="auto" w:sz="4" w:space="0"/>
              <w:right w:val="single" w:color="auto" w:sz="4" w:space="0"/>
            </w:tcBorders>
            <w:noWrap/>
            <w:vAlign w:val="center"/>
          </w:tcPr>
          <w:p w14:paraId="30F0DA56">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p>
        </w:tc>
        <w:tc>
          <w:tcPr>
            <w:tcW w:w="827" w:type="dxa"/>
            <w:tcBorders>
              <w:top w:val="single" w:color="auto" w:sz="4" w:space="0"/>
              <w:left w:val="single" w:color="auto" w:sz="4" w:space="0"/>
              <w:bottom w:val="single" w:color="auto" w:sz="4" w:space="0"/>
              <w:right w:val="single" w:color="auto" w:sz="4" w:space="0"/>
            </w:tcBorders>
            <w:noWrap/>
            <w:vAlign w:val="center"/>
          </w:tcPr>
          <w:p w14:paraId="22F4E2A5">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hint="eastAsia" w:ascii="宋体" w:hAnsi="宋体"/>
                <w:color w:val="auto"/>
                <w:szCs w:val="21"/>
                <w:highlight w:val="none"/>
                <w:lang w:val="zh-CN"/>
              </w:rPr>
              <w:t>技术力量分（3</w:t>
            </w:r>
            <w:r>
              <w:rPr>
                <w:rFonts w:hint="eastAsia" w:ascii="宋体" w:hAnsi="宋体"/>
                <w:color w:val="auto"/>
                <w:szCs w:val="21"/>
                <w:highlight w:val="none"/>
              </w:rPr>
              <w:t>6</w:t>
            </w:r>
            <w:r>
              <w:rPr>
                <w:rFonts w:hint="eastAsia" w:ascii="宋体" w:hAnsi="宋体"/>
                <w:color w:val="auto"/>
                <w:szCs w:val="21"/>
                <w:highlight w:val="none"/>
                <w:lang w:val="zh-CN"/>
              </w:rPr>
              <w:t>分）</w:t>
            </w:r>
          </w:p>
        </w:tc>
        <w:tc>
          <w:tcPr>
            <w:tcW w:w="5641" w:type="dxa"/>
            <w:tcBorders>
              <w:top w:val="single" w:color="auto" w:sz="4" w:space="0"/>
              <w:left w:val="single" w:color="auto" w:sz="4" w:space="0"/>
              <w:bottom w:val="single" w:color="auto" w:sz="4" w:space="0"/>
              <w:right w:val="single" w:color="auto" w:sz="4" w:space="0"/>
            </w:tcBorders>
            <w:noWrap/>
            <w:vAlign w:val="center"/>
          </w:tcPr>
          <w:p w14:paraId="27A79FC5">
            <w:pPr>
              <w:widowControl/>
              <w:spacing w:line="380" w:lineRule="exact"/>
              <w:ind w:firstLine="420" w:firstLineChars="200"/>
              <w:jc w:val="left"/>
              <w:rPr>
                <w:rFonts w:ascii="宋体" w:hAnsi="宋体"/>
                <w:color w:val="auto"/>
                <w:kern w:val="0"/>
                <w:szCs w:val="21"/>
                <w:highlight w:val="none"/>
              </w:rPr>
            </w:pPr>
            <w:r>
              <w:rPr>
                <w:rFonts w:hint="eastAsia"/>
                <w:color w:val="auto"/>
                <w:highlight w:val="none"/>
              </w:rPr>
              <w:t>本项评审因素重点考核供应商所具备的相应技术履约能力，包括拟投入本项目相关实施人员的数量、资质、工作经验、相关统筹安排能力等，其中涉及人员数量、工作经验的计分均在满足本项目采购需求的基础上设置，具体按以下规则进行计分：</w:t>
            </w:r>
          </w:p>
          <w:p w14:paraId="67A11F3C">
            <w:pPr>
              <w:widowControl/>
              <w:spacing w:line="380" w:lineRule="exact"/>
              <w:ind w:firstLine="420" w:firstLineChars="200"/>
              <w:jc w:val="left"/>
              <w:rPr>
                <w:rFonts w:hint="eastAsia"/>
                <w:color w:val="auto"/>
                <w:highlight w:val="none"/>
              </w:rPr>
            </w:pPr>
            <w:r>
              <w:rPr>
                <w:rFonts w:hint="eastAsia"/>
                <w:color w:val="auto"/>
                <w:highlight w:val="none"/>
              </w:rPr>
              <w:t>（1）厨师（15分）：</w:t>
            </w:r>
          </w:p>
          <w:p w14:paraId="489E9BAC">
            <w:pPr>
              <w:widowControl/>
              <w:spacing w:line="380" w:lineRule="exact"/>
              <w:ind w:firstLine="420" w:firstLineChars="200"/>
              <w:jc w:val="left"/>
              <w:rPr>
                <w:rFonts w:hint="eastAsia"/>
                <w:color w:val="auto"/>
                <w:highlight w:val="none"/>
              </w:rPr>
            </w:pPr>
            <w:r>
              <w:rPr>
                <w:rFonts w:hint="eastAsia"/>
                <w:color w:val="auto"/>
                <w:highlight w:val="none"/>
              </w:rPr>
              <w:t>投标人拟投入的厨师</w:t>
            </w:r>
            <w:bookmarkStart w:id="159" w:name="OLE_LINK29"/>
            <w:bookmarkStart w:id="160" w:name="OLE_LINK26"/>
            <w:bookmarkStart w:id="161" w:name="OLE_LINK27"/>
            <w:bookmarkStart w:id="162" w:name="OLE_LINK28"/>
            <w:r>
              <w:rPr>
                <w:rFonts w:hint="eastAsia"/>
                <w:color w:val="auto"/>
                <w:highlight w:val="none"/>
              </w:rPr>
              <w:t>具备餐饮工作经验，</w:t>
            </w:r>
            <w:bookmarkEnd w:id="159"/>
            <w:bookmarkEnd w:id="160"/>
            <w:bookmarkEnd w:id="161"/>
            <w:bookmarkEnd w:id="162"/>
            <w:r>
              <w:rPr>
                <w:rFonts w:hint="eastAsia"/>
                <w:color w:val="auto"/>
                <w:highlight w:val="none"/>
                <w:lang w:eastAsia="zh-CN"/>
              </w:rPr>
              <w:t>并于投标文件中</w:t>
            </w:r>
            <w:r>
              <w:rPr>
                <w:rFonts w:hint="eastAsia"/>
                <w:color w:val="auto"/>
                <w:highlight w:val="none"/>
              </w:rPr>
              <w:t>提供</w:t>
            </w:r>
            <w:r>
              <w:rPr>
                <w:rFonts w:hint="eastAsia"/>
                <w:color w:val="auto"/>
                <w:highlight w:val="none"/>
                <w:lang w:eastAsia="zh-CN"/>
              </w:rPr>
              <w:t>了</w:t>
            </w:r>
            <w:r>
              <w:rPr>
                <w:rFonts w:hint="eastAsia"/>
                <w:color w:val="auto"/>
                <w:highlight w:val="none"/>
              </w:rPr>
              <w:t>中式烹调师</w:t>
            </w:r>
            <w:r>
              <w:rPr>
                <w:rFonts w:hint="eastAsia"/>
                <w:color w:val="auto"/>
                <w:highlight w:val="none"/>
                <w:lang w:eastAsia="zh-CN"/>
              </w:rPr>
              <w:t>证书的，按以下方式计分：①具备</w:t>
            </w:r>
            <w:r>
              <w:rPr>
                <w:rFonts w:hint="eastAsia"/>
                <w:color w:val="auto"/>
                <w:highlight w:val="none"/>
              </w:rPr>
              <w:t>中式烹调师五级</w:t>
            </w:r>
            <w:r>
              <w:rPr>
                <w:rFonts w:hint="eastAsia"/>
                <w:color w:val="auto"/>
                <w:highlight w:val="none"/>
                <w:lang w:val="en-US" w:eastAsia="zh-CN"/>
              </w:rPr>
              <w:t>/初级工</w:t>
            </w:r>
            <w:r>
              <w:rPr>
                <w:rFonts w:hint="eastAsia"/>
                <w:color w:val="auto"/>
                <w:highlight w:val="none"/>
              </w:rPr>
              <w:t>证书的</w:t>
            </w:r>
            <w:r>
              <w:rPr>
                <w:rFonts w:hint="eastAsia"/>
                <w:color w:val="auto"/>
                <w:highlight w:val="none"/>
                <w:lang w:eastAsia="zh-CN"/>
              </w:rPr>
              <w:t>，</w:t>
            </w:r>
            <w:r>
              <w:rPr>
                <w:rFonts w:hint="eastAsia"/>
                <w:color w:val="auto"/>
                <w:highlight w:val="none"/>
              </w:rPr>
              <w:t>每有1人得1分</w:t>
            </w:r>
            <w:bookmarkStart w:id="163" w:name="OLE_LINK25"/>
            <w:bookmarkStart w:id="164" w:name="OLE_LINK24"/>
            <w:r>
              <w:rPr>
                <w:rFonts w:hint="eastAsia"/>
                <w:color w:val="auto"/>
                <w:highlight w:val="none"/>
              </w:rPr>
              <w:t>；</w:t>
            </w:r>
            <w:r>
              <w:rPr>
                <w:rFonts w:hint="eastAsia"/>
                <w:color w:val="auto"/>
                <w:highlight w:val="none"/>
                <w:lang w:eastAsia="zh-CN"/>
              </w:rPr>
              <w:t>②具备</w:t>
            </w:r>
            <w:r>
              <w:rPr>
                <w:rFonts w:hint="eastAsia"/>
                <w:color w:val="auto"/>
                <w:highlight w:val="none"/>
              </w:rPr>
              <w:t>中式烹调师</w:t>
            </w:r>
            <w:r>
              <w:rPr>
                <w:rFonts w:hint="eastAsia"/>
                <w:color w:val="auto"/>
                <w:highlight w:val="none"/>
                <w:lang w:eastAsia="zh-CN"/>
              </w:rPr>
              <w:t>四</w:t>
            </w:r>
            <w:r>
              <w:rPr>
                <w:rFonts w:hint="eastAsia"/>
                <w:color w:val="auto"/>
                <w:highlight w:val="none"/>
              </w:rPr>
              <w:t>级</w:t>
            </w:r>
            <w:r>
              <w:rPr>
                <w:rFonts w:hint="eastAsia"/>
                <w:color w:val="auto"/>
                <w:highlight w:val="none"/>
                <w:lang w:val="en-US" w:eastAsia="zh-CN"/>
              </w:rPr>
              <w:t>/中级工</w:t>
            </w:r>
            <w:r>
              <w:rPr>
                <w:rFonts w:hint="eastAsia"/>
                <w:color w:val="auto"/>
                <w:highlight w:val="none"/>
              </w:rPr>
              <w:t>证书的</w:t>
            </w:r>
            <w:r>
              <w:rPr>
                <w:rFonts w:hint="eastAsia"/>
                <w:color w:val="auto"/>
                <w:highlight w:val="none"/>
                <w:lang w:eastAsia="zh-CN"/>
              </w:rPr>
              <w:t>，</w:t>
            </w:r>
            <w:r>
              <w:rPr>
                <w:rFonts w:hint="eastAsia"/>
                <w:color w:val="auto"/>
                <w:highlight w:val="none"/>
              </w:rPr>
              <w:t>每有1人得2分；</w:t>
            </w:r>
            <w:r>
              <w:rPr>
                <w:rFonts w:hint="eastAsia"/>
                <w:color w:val="auto"/>
                <w:highlight w:val="none"/>
                <w:lang w:eastAsia="zh-CN"/>
              </w:rPr>
              <w:t>③具备</w:t>
            </w:r>
            <w:r>
              <w:rPr>
                <w:rFonts w:hint="eastAsia"/>
                <w:color w:val="auto"/>
                <w:highlight w:val="none"/>
              </w:rPr>
              <w:t>中式烹调师</w:t>
            </w:r>
            <w:r>
              <w:rPr>
                <w:rFonts w:hint="eastAsia"/>
                <w:color w:val="auto"/>
                <w:highlight w:val="none"/>
                <w:lang w:eastAsia="zh-CN"/>
              </w:rPr>
              <w:t>三级</w:t>
            </w:r>
            <w:r>
              <w:rPr>
                <w:rFonts w:hint="eastAsia"/>
                <w:color w:val="auto"/>
                <w:highlight w:val="none"/>
                <w:lang w:val="en-US" w:eastAsia="zh-CN"/>
              </w:rPr>
              <w:t>/高级工</w:t>
            </w:r>
            <w:r>
              <w:rPr>
                <w:rFonts w:hint="eastAsia"/>
                <w:color w:val="auto"/>
                <w:highlight w:val="none"/>
              </w:rPr>
              <w:t>及以上</w:t>
            </w:r>
            <w:r>
              <w:rPr>
                <w:rFonts w:hint="eastAsia"/>
                <w:color w:val="auto"/>
                <w:highlight w:val="none"/>
                <w:lang w:eastAsia="zh-CN"/>
              </w:rPr>
              <w:t>证书</w:t>
            </w:r>
            <w:r>
              <w:rPr>
                <w:rFonts w:hint="eastAsia"/>
                <w:color w:val="auto"/>
                <w:highlight w:val="none"/>
              </w:rPr>
              <w:t>的</w:t>
            </w:r>
            <w:r>
              <w:rPr>
                <w:rFonts w:hint="eastAsia"/>
                <w:color w:val="auto"/>
                <w:highlight w:val="none"/>
                <w:lang w:eastAsia="zh-CN"/>
              </w:rPr>
              <w:t>，</w:t>
            </w:r>
            <w:r>
              <w:rPr>
                <w:rFonts w:hint="eastAsia"/>
                <w:color w:val="auto"/>
                <w:highlight w:val="none"/>
              </w:rPr>
              <w:t>每有1人得3分，同一人员只取一证为准，</w:t>
            </w:r>
            <w:r>
              <w:rPr>
                <w:rFonts w:hint="eastAsia"/>
                <w:color w:val="auto"/>
                <w:highlight w:val="none"/>
                <w:lang w:eastAsia="zh-CN"/>
              </w:rPr>
              <w:t>本项最多得</w:t>
            </w:r>
            <w:r>
              <w:rPr>
                <w:rFonts w:hint="eastAsia"/>
                <w:color w:val="auto"/>
                <w:highlight w:val="none"/>
                <w:lang w:val="en-US" w:eastAsia="zh-CN"/>
              </w:rPr>
              <w:t>15分</w:t>
            </w:r>
            <w:r>
              <w:rPr>
                <w:rFonts w:hint="eastAsia"/>
                <w:color w:val="auto"/>
                <w:highlight w:val="none"/>
              </w:rPr>
              <w:t>。</w:t>
            </w:r>
          </w:p>
          <w:bookmarkEnd w:id="163"/>
          <w:bookmarkEnd w:id="164"/>
          <w:p w14:paraId="72434815">
            <w:pPr>
              <w:widowControl/>
              <w:spacing w:line="380" w:lineRule="exact"/>
              <w:ind w:firstLine="420" w:firstLineChars="200"/>
              <w:jc w:val="left"/>
              <w:rPr>
                <w:rFonts w:hint="eastAsia"/>
                <w:color w:val="auto"/>
                <w:highlight w:val="none"/>
              </w:rPr>
            </w:pPr>
            <w:r>
              <w:rPr>
                <w:rFonts w:hint="eastAsia"/>
                <w:color w:val="auto"/>
                <w:highlight w:val="none"/>
              </w:rPr>
              <w:t>（2）面点师（6分）：</w:t>
            </w:r>
          </w:p>
          <w:p w14:paraId="3FF1C17F">
            <w:pPr>
              <w:widowControl/>
              <w:spacing w:line="380" w:lineRule="exact"/>
              <w:ind w:firstLine="420" w:firstLineChars="200"/>
              <w:jc w:val="left"/>
              <w:rPr>
                <w:rFonts w:hint="eastAsia"/>
                <w:color w:val="auto"/>
                <w:highlight w:val="none"/>
              </w:rPr>
            </w:pPr>
            <w:r>
              <w:rPr>
                <w:rFonts w:hint="eastAsia"/>
                <w:color w:val="auto"/>
                <w:highlight w:val="none"/>
              </w:rPr>
              <w:t>投标人拟投入的面点师具备餐饮工作经验，</w:t>
            </w:r>
            <w:bookmarkStart w:id="165" w:name="OLE_LINK36"/>
            <w:bookmarkStart w:id="166" w:name="OLE_LINK32"/>
            <w:bookmarkStart w:id="167" w:name="OLE_LINK35"/>
            <w:bookmarkStart w:id="168" w:name="OLE_LINK31"/>
            <w:bookmarkStart w:id="169" w:name="OLE_LINK30"/>
            <w:r>
              <w:rPr>
                <w:rFonts w:hint="eastAsia"/>
                <w:color w:val="auto"/>
                <w:highlight w:val="none"/>
                <w:lang w:eastAsia="zh-CN"/>
              </w:rPr>
              <w:t>于投标文件中</w:t>
            </w:r>
            <w:r>
              <w:rPr>
                <w:rFonts w:hint="eastAsia"/>
                <w:color w:val="auto"/>
                <w:highlight w:val="none"/>
              </w:rPr>
              <w:t>提供</w:t>
            </w:r>
            <w:r>
              <w:rPr>
                <w:rFonts w:hint="eastAsia"/>
                <w:color w:val="auto"/>
                <w:highlight w:val="none"/>
                <w:lang w:eastAsia="zh-CN"/>
              </w:rPr>
              <w:t>了</w:t>
            </w:r>
            <w:r>
              <w:rPr>
                <w:rFonts w:hint="eastAsia"/>
                <w:color w:val="auto"/>
                <w:highlight w:val="none"/>
              </w:rPr>
              <w:t>中式面点师</w:t>
            </w:r>
            <w:r>
              <w:rPr>
                <w:rFonts w:hint="eastAsia"/>
                <w:color w:val="auto"/>
                <w:highlight w:val="none"/>
                <w:lang w:eastAsia="zh-CN"/>
              </w:rPr>
              <w:t>证书的，按以下方式计分：①具备</w:t>
            </w:r>
            <w:r>
              <w:rPr>
                <w:rFonts w:hint="eastAsia"/>
                <w:color w:val="auto"/>
                <w:highlight w:val="none"/>
              </w:rPr>
              <w:t>中式面点师五级</w:t>
            </w:r>
            <w:r>
              <w:rPr>
                <w:rFonts w:hint="eastAsia"/>
                <w:color w:val="auto"/>
                <w:highlight w:val="none"/>
                <w:lang w:val="en-US" w:eastAsia="zh-CN"/>
              </w:rPr>
              <w:t>/初级工</w:t>
            </w:r>
            <w:r>
              <w:rPr>
                <w:rFonts w:hint="eastAsia"/>
                <w:color w:val="auto"/>
                <w:highlight w:val="none"/>
              </w:rPr>
              <w:t>证书的</w:t>
            </w:r>
            <w:r>
              <w:rPr>
                <w:rFonts w:hint="eastAsia"/>
                <w:color w:val="auto"/>
                <w:highlight w:val="none"/>
                <w:lang w:eastAsia="zh-CN"/>
              </w:rPr>
              <w:t>，</w:t>
            </w:r>
            <w:r>
              <w:rPr>
                <w:rFonts w:hint="eastAsia"/>
                <w:color w:val="auto"/>
                <w:highlight w:val="none"/>
              </w:rPr>
              <w:t>每有1人得1分；</w:t>
            </w:r>
            <w:r>
              <w:rPr>
                <w:rFonts w:hint="eastAsia"/>
                <w:color w:val="auto"/>
                <w:highlight w:val="none"/>
                <w:lang w:eastAsia="zh-CN"/>
              </w:rPr>
              <w:t>②具备</w:t>
            </w:r>
            <w:r>
              <w:rPr>
                <w:rFonts w:hint="eastAsia"/>
                <w:color w:val="auto"/>
                <w:highlight w:val="none"/>
              </w:rPr>
              <w:t>中式面点师</w:t>
            </w:r>
            <w:r>
              <w:rPr>
                <w:rFonts w:hint="eastAsia"/>
                <w:color w:val="auto"/>
                <w:highlight w:val="none"/>
                <w:lang w:eastAsia="zh-CN"/>
              </w:rPr>
              <w:t>四</w:t>
            </w:r>
            <w:r>
              <w:rPr>
                <w:rFonts w:hint="eastAsia"/>
                <w:color w:val="auto"/>
                <w:highlight w:val="none"/>
              </w:rPr>
              <w:t>级</w:t>
            </w:r>
            <w:r>
              <w:rPr>
                <w:rFonts w:hint="eastAsia"/>
                <w:color w:val="auto"/>
                <w:highlight w:val="none"/>
                <w:lang w:val="en-US" w:eastAsia="zh-CN"/>
              </w:rPr>
              <w:t>/中级工</w:t>
            </w:r>
            <w:r>
              <w:rPr>
                <w:rFonts w:hint="eastAsia"/>
                <w:color w:val="auto"/>
                <w:highlight w:val="none"/>
              </w:rPr>
              <w:t>证书的</w:t>
            </w:r>
            <w:r>
              <w:rPr>
                <w:rFonts w:hint="eastAsia"/>
                <w:color w:val="auto"/>
                <w:highlight w:val="none"/>
                <w:lang w:eastAsia="zh-CN"/>
              </w:rPr>
              <w:t>，</w:t>
            </w:r>
            <w:r>
              <w:rPr>
                <w:rFonts w:hint="eastAsia"/>
                <w:color w:val="auto"/>
                <w:highlight w:val="none"/>
              </w:rPr>
              <w:t>每有1人得</w:t>
            </w:r>
            <w:r>
              <w:rPr>
                <w:rFonts w:hint="eastAsia"/>
                <w:color w:val="auto"/>
                <w:highlight w:val="none"/>
                <w:lang w:val="en-US" w:eastAsia="zh-CN"/>
              </w:rPr>
              <w:t>1.5</w:t>
            </w:r>
            <w:r>
              <w:rPr>
                <w:rFonts w:hint="eastAsia"/>
                <w:color w:val="auto"/>
                <w:highlight w:val="none"/>
              </w:rPr>
              <w:t>分；</w:t>
            </w:r>
            <w:r>
              <w:rPr>
                <w:rFonts w:hint="eastAsia"/>
                <w:color w:val="auto"/>
                <w:highlight w:val="none"/>
                <w:lang w:eastAsia="zh-CN"/>
              </w:rPr>
              <w:t>③具备</w:t>
            </w:r>
            <w:r>
              <w:rPr>
                <w:rFonts w:hint="eastAsia"/>
                <w:color w:val="auto"/>
                <w:highlight w:val="none"/>
              </w:rPr>
              <w:t>中式面点师</w:t>
            </w:r>
            <w:r>
              <w:rPr>
                <w:rFonts w:hint="eastAsia"/>
                <w:color w:val="auto"/>
                <w:highlight w:val="none"/>
                <w:lang w:eastAsia="zh-CN"/>
              </w:rPr>
              <w:t>三级</w:t>
            </w:r>
            <w:r>
              <w:rPr>
                <w:rFonts w:hint="eastAsia"/>
                <w:color w:val="auto"/>
                <w:highlight w:val="none"/>
                <w:lang w:val="en-US" w:eastAsia="zh-CN"/>
              </w:rPr>
              <w:t>/高级工</w:t>
            </w:r>
            <w:r>
              <w:rPr>
                <w:rFonts w:hint="eastAsia"/>
                <w:color w:val="auto"/>
                <w:highlight w:val="none"/>
              </w:rPr>
              <w:t>及以上</w:t>
            </w:r>
            <w:r>
              <w:rPr>
                <w:rFonts w:hint="eastAsia"/>
                <w:color w:val="auto"/>
                <w:highlight w:val="none"/>
                <w:lang w:eastAsia="zh-CN"/>
              </w:rPr>
              <w:t>证书</w:t>
            </w:r>
            <w:r>
              <w:rPr>
                <w:rFonts w:hint="eastAsia"/>
                <w:color w:val="auto"/>
                <w:highlight w:val="none"/>
              </w:rPr>
              <w:t>的</w:t>
            </w:r>
            <w:r>
              <w:rPr>
                <w:rFonts w:hint="eastAsia"/>
                <w:color w:val="auto"/>
                <w:highlight w:val="none"/>
                <w:lang w:eastAsia="zh-CN"/>
              </w:rPr>
              <w:t>，</w:t>
            </w:r>
            <w:r>
              <w:rPr>
                <w:rFonts w:hint="eastAsia"/>
                <w:color w:val="auto"/>
                <w:highlight w:val="none"/>
              </w:rPr>
              <w:t>每有1人得</w:t>
            </w:r>
            <w:r>
              <w:rPr>
                <w:rFonts w:hint="eastAsia"/>
                <w:color w:val="auto"/>
                <w:highlight w:val="none"/>
                <w:lang w:val="en-US" w:eastAsia="zh-CN"/>
              </w:rPr>
              <w:t>2</w:t>
            </w:r>
            <w:r>
              <w:rPr>
                <w:rFonts w:hint="eastAsia"/>
                <w:color w:val="auto"/>
                <w:highlight w:val="none"/>
              </w:rPr>
              <w:t>分，同一人员只取一证为准，</w:t>
            </w:r>
            <w:r>
              <w:rPr>
                <w:rFonts w:hint="eastAsia"/>
                <w:color w:val="auto"/>
                <w:highlight w:val="none"/>
                <w:lang w:eastAsia="zh-CN"/>
              </w:rPr>
              <w:t>本项最多得</w:t>
            </w:r>
            <w:r>
              <w:rPr>
                <w:rFonts w:hint="eastAsia"/>
                <w:color w:val="auto"/>
                <w:highlight w:val="none"/>
                <w:lang w:val="en-US" w:eastAsia="zh-CN"/>
              </w:rPr>
              <w:t>6分</w:t>
            </w:r>
            <w:r>
              <w:rPr>
                <w:rFonts w:hint="eastAsia"/>
                <w:color w:val="auto"/>
                <w:highlight w:val="none"/>
              </w:rPr>
              <w:t>。</w:t>
            </w:r>
          </w:p>
          <w:bookmarkEnd w:id="165"/>
          <w:bookmarkEnd w:id="166"/>
          <w:bookmarkEnd w:id="167"/>
          <w:bookmarkEnd w:id="168"/>
          <w:bookmarkEnd w:id="169"/>
          <w:p w14:paraId="56D32CF8">
            <w:pPr>
              <w:widowControl/>
              <w:spacing w:line="38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（3）餐厅服务员（4分）：</w:t>
            </w:r>
          </w:p>
          <w:p w14:paraId="55B8FA7D">
            <w:pPr>
              <w:widowControl/>
              <w:spacing w:line="380" w:lineRule="exact"/>
              <w:ind w:firstLine="420" w:firstLineChars="200"/>
              <w:jc w:val="left"/>
              <w:rPr>
                <w:rFonts w:hint="eastAsia" w:ascii="宋体" w:hAnsi="宋体"/>
                <w:color w:val="auto"/>
                <w:kern w:val="0"/>
                <w:szCs w:val="21"/>
                <w:highlight w:val="none"/>
              </w:rPr>
            </w:pPr>
            <w:r>
              <w:rPr>
                <w:rFonts w:hint="eastAsia"/>
                <w:color w:val="auto"/>
                <w:highlight w:val="none"/>
              </w:rPr>
              <w:t>具有同类工作经验≥3年但＜4年的</w:t>
            </w:r>
            <w:r>
              <w:rPr>
                <w:rFonts w:hint="eastAsia" w:ascii="宋体" w:hAnsi="宋体"/>
                <w:color w:val="auto"/>
                <w:kern w:val="0"/>
                <w:szCs w:val="21"/>
                <w:highlight w:val="none"/>
              </w:rPr>
              <w:t>，每有1人得</w:t>
            </w:r>
            <w:r>
              <w:rPr>
                <w:rFonts w:ascii="宋体" w:hAnsi="宋体"/>
                <w:color w:val="auto"/>
                <w:kern w:val="0"/>
                <w:szCs w:val="21"/>
                <w:highlight w:val="none"/>
              </w:rPr>
              <w:t>0.5</w:t>
            </w:r>
            <w:r>
              <w:rPr>
                <w:rFonts w:hint="eastAsia" w:ascii="宋体" w:hAnsi="宋体"/>
                <w:color w:val="auto"/>
                <w:kern w:val="0"/>
                <w:szCs w:val="21"/>
                <w:highlight w:val="none"/>
              </w:rPr>
              <w:t>分；</w:t>
            </w:r>
            <w:r>
              <w:rPr>
                <w:rFonts w:hint="eastAsia"/>
                <w:color w:val="auto"/>
                <w:highlight w:val="none"/>
              </w:rPr>
              <w:t>具有同类工作经验≥4年的</w:t>
            </w:r>
            <w:r>
              <w:rPr>
                <w:rFonts w:hint="eastAsia" w:ascii="宋体" w:hAnsi="宋体"/>
                <w:color w:val="auto"/>
                <w:kern w:val="0"/>
                <w:szCs w:val="21"/>
                <w:highlight w:val="none"/>
              </w:rPr>
              <w:t>，每有1人得1分；餐厅服务员</w:t>
            </w:r>
            <w:r>
              <w:rPr>
                <w:rFonts w:hint="eastAsia"/>
                <w:color w:val="auto"/>
                <w:highlight w:val="none"/>
              </w:rPr>
              <w:t>具有同类工作经验＜3年的本项不得分，</w:t>
            </w:r>
            <w:r>
              <w:rPr>
                <w:rFonts w:hint="eastAsia" w:ascii="宋体" w:hAnsi="宋体"/>
                <w:color w:val="auto"/>
                <w:kern w:val="0"/>
                <w:szCs w:val="21"/>
                <w:highlight w:val="none"/>
              </w:rPr>
              <w:t>满分4分。</w:t>
            </w:r>
          </w:p>
          <w:p w14:paraId="638EBD0F">
            <w:pPr>
              <w:widowControl/>
              <w:spacing w:line="38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（4）切配员（2分）：</w:t>
            </w:r>
          </w:p>
          <w:p w14:paraId="21EC5871">
            <w:pPr>
              <w:widowControl/>
              <w:spacing w:line="380" w:lineRule="exact"/>
              <w:ind w:firstLine="420" w:firstLineChars="200"/>
              <w:jc w:val="left"/>
              <w:rPr>
                <w:rFonts w:hint="eastAsia" w:ascii="宋体" w:hAnsi="宋体"/>
                <w:color w:val="auto"/>
                <w:kern w:val="0"/>
                <w:szCs w:val="21"/>
                <w:highlight w:val="none"/>
              </w:rPr>
            </w:pPr>
            <w:r>
              <w:rPr>
                <w:rFonts w:hint="eastAsia"/>
                <w:color w:val="auto"/>
                <w:highlight w:val="none"/>
              </w:rPr>
              <w:t>具有同类工作经验≥3年但＜4年的</w:t>
            </w:r>
            <w:r>
              <w:rPr>
                <w:rFonts w:hint="eastAsia" w:ascii="宋体" w:hAnsi="宋体"/>
                <w:color w:val="auto"/>
                <w:kern w:val="0"/>
                <w:szCs w:val="21"/>
                <w:highlight w:val="none"/>
              </w:rPr>
              <w:t>，每有1人得0.5分；</w:t>
            </w:r>
            <w:r>
              <w:rPr>
                <w:rFonts w:hint="eastAsia"/>
                <w:color w:val="auto"/>
                <w:highlight w:val="none"/>
              </w:rPr>
              <w:t>具有同类工作经验≥4年的</w:t>
            </w:r>
            <w:r>
              <w:rPr>
                <w:rFonts w:hint="eastAsia" w:ascii="宋体" w:hAnsi="宋体"/>
                <w:color w:val="auto"/>
                <w:kern w:val="0"/>
                <w:szCs w:val="21"/>
                <w:highlight w:val="none"/>
              </w:rPr>
              <w:t>，每有1人得1分；切配员员</w:t>
            </w:r>
            <w:r>
              <w:rPr>
                <w:rFonts w:hint="eastAsia"/>
                <w:color w:val="auto"/>
                <w:highlight w:val="none"/>
              </w:rPr>
              <w:t>具有同类工作经验＜3年的本项不得分，</w:t>
            </w:r>
            <w:r>
              <w:rPr>
                <w:rFonts w:hint="eastAsia" w:ascii="宋体" w:hAnsi="宋体"/>
                <w:color w:val="auto"/>
                <w:kern w:val="0"/>
                <w:szCs w:val="21"/>
                <w:highlight w:val="none"/>
              </w:rPr>
              <w:t>满分</w:t>
            </w:r>
            <w:r>
              <w:rPr>
                <w:rFonts w:ascii="宋体" w:hAnsi="宋体"/>
                <w:color w:val="auto"/>
                <w:kern w:val="0"/>
                <w:szCs w:val="21"/>
                <w:highlight w:val="none"/>
              </w:rPr>
              <w:t>2</w:t>
            </w:r>
            <w:r>
              <w:rPr>
                <w:rFonts w:hint="eastAsia" w:ascii="宋体" w:hAnsi="宋体"/>
                <w:color w:val="auto"/>
                <w:kern w:val="0"/>
                <w:szCs w:val="21"/>
                <w:highlight w:val="none"/>
              </w:rPr>
              <w:t>分。</w:t>
            </w:r>
          </w:p>
          <w:p w14:paraId="3A76965F">
            <w:pPr>
              <w:widowControl/>
              <w:spacing w:line="38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（5）大厅卫生保洁员（2分）：</w:t>
            </w:r>
          </w:p>
          <w:p w14:paraId="4D04302E">
            <w:pPr>
              <w:widowControl/>
              <w:spacing w:line="380" w:lineRule="exact"/>
              <w:ind w:firstLine="420" w:firstLineChars="200"/>
              <w:jc w:val="left"/>
              <w:rPr>
                <w:rFonts w:hint="eastAsia" w:ascii="宋体" w:hAnsi="宋体"/>
                <w:color w:val="auto"/>
                <w:kern w:val="0"/>
                <w:szCs w:val="21"/>
                <w:highlight w:val="none"/>
              </w:rPr>
            </w:pPr>
            <w:r>
              <w:rPr>
                <w:rFonts w:hint="eastAsia"/>
                <w:color w:val="auto"/>
                <w:highlight w:val="none"/>
              </w:rPr>
              <w:t>具有同类工作经验≥3年但＜4年的</w:t>
            </w:r>
            <w:r>
              <w:rPr>
                <w:rFonts w:hint="eastAsia" w:ascii="宋体" w:hAnsi="宋体"/>
                <w:color w:val="auto"/>
                <w:kern w:val="0"/>
                <w:szCs w:val="21"/>
                <w:highlight w:val="none"/>
              </w:rPr>
              <w:t>，每有1人得0.5分；</w:t>
            </w:r>
            <w:r>
              <w:rPr>
                <w:rFonts w:hint="eastAsia"/>
                <w:color w:val="auto"/>
                <w:highlight w:val="none"/>
              </w:rPr>
              <w:t>具有同类工作经验≥4年的</w:t>
            </w:r>
            <w:r>
              <w:rPr>
                <w:rFonts w:hint="eastAsia" w:ascii="宋体" w:hAnsi="宋体"/>
                <w:color w:val="auto"/>
                <w:kern w:val="0"/>
                <w:szCs w:val="21"/>
                <w:highlight w:val="none"/>
              </w:rPr>
              <w:t>，每有1人得1分；保洁员</w:t>
            </w:r>
            <w:r>
              <w:rPr>
                <w:rFonts w:hint="eastAsia"/>
                <w:color w:val="auto"/>
                <w:highlight w:val="none"/>
              </w:rPr>
              <w:t>具有同类工作经验＜3年的本项不得分，</w:t>
            </w:r>
            <w:r>
              <w:rPr>
                <w:rFonts w:hint="eastAsia" w:ascii="宋体" w:hAnsi="宋体"/>
                <w:color w:val="auto"/>
                <w:kern w:val="0"/>
                <w:szCs w:val="21"/>
                <w:highlight w:val="none"/>
              </w:rPr>
              <w:t>满分2分。</w:t>
            </w:r>
          </w:p>
          <w:p w14:paraId="53775B77">
            <w:pPr>
              <w:widowControl/>
              <w:spacing w:line="380" w:lineRule="exact"/>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清洗员（2分）：</w:t>
            </w:r>
          </w:p>
          <w:p w14:paraId="0F6286B0">
            <w:pPr>
              <w:widowControl/>
              <w:spacing w:line="380" w:lineRule="exact"/>
              <w:ind w:firstLine="420" w:firstLineChars="200"/>
              <w:jc w:val="left"/>
              <w:rPr>
                <w:rFonts w:hint="eastAsia" w:ascii="宋体" w:hAnsi="宋体"/>
                <w:color w:val="auto"/>
                <w:kern w:val="0"/>
                <w:szCs w:val="21"/>
                <w:highlight w:val="none"/>
              </w:rPr>
            </w:pPr>
            <w:r>
              <w:rPr>
                <w:rFonts w:hint="eastAsia"/>
                <w:color w:val="auto"/>
                <w:highlight w:val="none"/>
              </w:rPr>
              <w:t>具有同类工作经验≥3年但＜4年的</w:t>
            </w:r>
            <w:r>
              <w:rPr>
                <w:rFonts w:hint="eastAsia" w:ascii="宋体" w:hAnsi="宋体"/>
                <w:color w:val="auto"/>
                <w:kern w:val="0"/>
                <w:szCs w:val="21"/>
                <w:highlight w:val="none"/>
              </w:rPr>
              <w:t>，每有1人得0.5分；</w:t>
            </w:r>
            <w:r>
              <w:rPr>
                <w:rFonts w:hint="eastAsia"/>
                <w:color w:val="auto"/>
                <w:highlight w:val="none"/>
              </w:rPr>
              <w:t>具有同类工作经验≥4年的</w:t>
            </w:r>
            <w:r>
              <w:rPr>
                <w:rFonts w:hint="eastAsia" w:ascii="宋体" w:hAnsi="宋体"/>
                <w:color w:val="auto"/>
                <w:kern w:val="0"/>
                <w:szCs w:val="21"/>
                <w:highlight w:val="none"/>
              </w:rPr>
              <w:t>，每有1人得1分；清洁员</w:t>
            </w:r>
            <w:r>
              <w:rPr>
                <w:rFonts w:hint="eastAsia"/>
                <w:color w:val="auto"/>
                <w:highlight w:val="none"/>
              </w:rPr>
              <w:t>具有同类工作经验＜3年的本项不得分，</w:t>
            </w:r>
            <w:r>
              <w:rPr>
                <w:rFonts w:hint="eastAsia" w:ascii="宋体" w:hAnsi="宋体"/>
                <w:color w:val="auto"/>
                <w:kern w:val="0"/>
                <w:szCs w:val="21"/>
                <w:highlight w:val="none"/>
              </w:rPr>
              <w:t>满分2分。</w:t>
            </w:r>
          </w:p>
          <w:p w14:paraId="57EE4582">
            <w:pPr>
              <w:widowControl/>
              <w:spacing w:line="380" w:lineRule="exact"/>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7</w:t>
            </w:r>
            <w:r>
              <w:rPr>
                <w:rFonts w:ascii="宋体" w:hAnsi="宋体"/>
                <w:color w:val="auto"/>
                <w:kern w:val="0"/>
                <w:szCs w:val="21"/>
                <w:highlight w:val="none"/>
              </w:rPr>
              <w:t>）</w:t>
            </w:r>
            <w:r>
              <w:rPr>
                <w:rFonts w:hint="eastAsia" w:ascii="宋体" w:hAnsi="宋体"/>
                <w:color w:val="auto"/>
                <w:kern w:val="0"/>
                <w:szCs w:val="21"/>
                <w:highlight w:val="none"/>
              </w:rPr>
              <w:t>管理员（5分）：</w:t>
            </w:r>
          </w:p>
          <w:p w14:paraId="6629EF4E">
            <w:pPr>
              <w:spacing w:line="38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对各岗位人员进行统筹和协调食堂工作，做好食品安全卫生培训教育、做好应急处置事故的预案和具体落实。</w:t>
            </w:r>
            <w:bookmarkStart w:id="170" w:name="OLE_LINK33"/>
            <w:bookmarkStart w:id="171" w:name="OLE_LINK34"/>
            <w:r>
              <w:rPr>
                <w:rFonts w:hint="eastAsia"/>
                <w:color w:val="auto"/>
                <w:highlight w:val="none"/>
              </w:rPr>
              <w:t>具有同类工作经验≥3年但＜4年的</w:t>
            </w:r>
            <w:r>
              <w:rPr>
                <w:rFonts w:hint="eastAsia" w:ascii="宋体" w:hAnsi="宋体"/>
                <w:color w:val="auto"/>
                <w:kern w:val="0"/>
                <w:szCs w:val="21"/>
                <w:highlight w:val="none"/>
              </w:rPr>
              <w:t>，每有1人得2分；</w:t>
            </w:r>
            <w:r>
              <w:rPr>
                <w:rFonts w:hint="eastAsia"/>
                <w:color w:val="auto"/>
                <w:highlight w:val="none"/>
              </w:rPr>
              <w:t>具有同类工作经验≥4年的</w:t>
            </w:r>
            <w:r>
              <w:rPr>
                <w:rFonts w:hint="eastAsia" w:ascii="宋体" w:hAnsi="宋体"/>
                <w:color w:val="auto"/>
                <w:kern w:val="0"/>
                <w:szCs w:val="21"/>
                <w:highlight w:val="none"/>
              </w:rPr>
              <w:t>，每有1人得5分；管理员</w:t>
            </w:r>
            <w:r>
              <w:rPr>
                <w:rFonts w:hint="eastAsia"/>
                <w:color w:val="auto"/>
                <w:highlight w:val="none"/>
              </w:rPr>
              <w:t>具有同类工作经验＜3年的本项不得分，</w:t>
            </w:r>
            <w:r>
              <w:rPr>
                <w:rFonts w:hint="eastAsia" w:ascii="宋体" w:hAnsi="宋体"/>
                <w:color w:val="auto"/>
                <w:kern w:val="0"/>
                <w:szCs w:val="21"/>
                <w:highlight w:val="none"/>
              </w:rPr>
              <w:t>满分5分。</w:t>
            </w:r>
          </w:p>
          <w:bookmarkEnd w:id="170"/>
          <w:bookmarkEnd w:id="171"/>
          <w:p w14:paraId="1B507B1C">
            <w:pPr>
              <w:spacing w:line="380" w:lineRule="exact"/>
              <w:ind w:firstLine="422" w:firstLineChars="200"/>
              <w:rPr>
                <w:rFonts w:ascii="宋体" w:hAnsi="宋体"/>
                <w:color w:val="auto"/>
                <w:kern w:val="0"/>
                <w:szCs w:val="21"/>
                <w:highlight w:val="none"/>
              </w:rPr>
            </w:pPr>
            <w:r>
              <w:rPr>
                <w:rFonts w:hint="eastAsia" w:ascii="宋体" w:hAnsi="宋体"/>
                <w:b/>
                <w:color w:val="auto"/>
                <w:kern w:val="0"/>
                <w:szCs w:val="21"/>
                <w:highlight w:val="none"/>
              </w:rPr>
              <w:t>注：投标人须提供：拟投入人员清单、</w:t>
            </w:r>
            <w:r>
              <w:rPr>
                <w:rFonts w:hint="eastAsia" w:ascii="宋体" w:hAnsi="宋体"/>
                <w:b/>
                <w:color w:val="auto"/>
                <w:kern w:val="0"/>
                <w:szCs w:val="21"/>
                <w:highlight w:val="none"/>
                <w:lang w:eastAsia="zh-CN"/>
              </w:rPr>
              <w:t>拟投入厨师及面点师的</w:t>
            </w:r>
            <w:r>
              <w:rPr>
                <w:rFonts w:hint="eastAsia" w:ascii="宋体" w:hAnsi="宋体"/>
                <w:b/>
                <w:color w:val="auto"/>
                <w:kern w:val="0"/>
                <w:szCs w:val="21"/>
                <w:highlight w:val="none"/>
              </w:rPr>
              <w:t>相关证书复印件</w:t>
            </w:r>
            <w:r>
              <w:rPr>
                <w:rFonts w:hint="eastAsia" w:ascii="宋体" w:hAnsi="宋体"/>
                <w:b/>
                <w:color w:val="auto"/>
                <w:kern w:val="0"/>
                <w:szCs w:val="21"/>
                <w:highlight w:val="none"/>
                <w:lang w:eastAsia="zh-CN"/>
              </w:rPr>
              <w:t>（及相关证书在“</w:t>
            </w:r>
            <w:r>
              <w:rPr>
                <w:rFonts w:hint="eastAsia" w:ascii="宋体" w:hAnsi="宋体"/>
                <w:b/>
                <w:color w:val="auto"/>
                <w:kern w:val="0"/>
                <w:szCs w:val="21"/>
                <w:highlight w:val="none"/>
              </w:rPr>
              <w:t>技能人才评价工作网</w:t>
            </w:r>
            <w:r>
              <w:rPr>
                <w:rFonts w:hint="eastAsia" w:ascii="宋体" w:hAnsi="宋体"/>
                <w:b/>
                <w:color w:val="auto"/>
                <w:kern w:val="0"/>
                <w:szCs w:val="21"/>
                <w:highlight w:val="none"/>
                <w:lang w:eastAsia="zh-CN"/>
              </w:rPr>
              <w:t>”的查询截图）</w:t>
            </w:r>
            <w:r>
              <w:rPr>
                <w:rFonts w:hint="eastAsia" w:ascii="宋体" w:hAnsi="宋体"/>
                <w:b/>
                <w:color w:val="auto"/>
                <w:kern w:val="0"/>
                <w:szCs w:val="21"/>
                <w:highlight w:val="none"/>
              </w:rPr>
              <w:t>、</w:t>
            </w:r>
            <w:r>
              <w:rPr>
                <w:rFonts w:hint="eastAsia" w:ascii="宋体" w:hAnsi="宋体"/>
                <w:b/>
                <w:color w:val="auto"/>
                <w:kern w:val="0"/>
                <w:szCs w:val="21"/>
                <w:highlight w:val="none"/>
                <w:lang w:val="en-US" w:eastAsia="zh-CN"/>
              </w:rPr>
              <w:t>拟投入人员</w:t>
            </w:r>
            <w:r>
              <w:rPr>
                <w:rFonts w:hint="eastAsia" w:ascii="宋体" w:hAnsi="宋体"/>
                <w:b/>
                <w:color w:val="auto"/>
                <w:kern w:val="0"/>
                <w:szCs w:val="21"/>
                <w:highlight w:val="none"/>
              </w:rPr>
              <w:t>劳动合同复印件（须覆盖至开标日且在有效期内，或投标人为其缴纳的社保证明或工资流水发放证明等）以及工作经历证明材料（如简历、原单位证明、项目合同等能体现年限的内容）。</w:t>
            </w:r>
          </w:p>
        </w:tc>
        <w:tc>
          <w:tcPr>
            <w:tcW w:w="838" w:type="dxa"/>
            <w:tcBorders>
              <w:top w:val="single" w:color="auto" w:sz="4" w:space="0"/>
              <w:left w:val="single" w:color="auto" w:sz="4" w:space="0"/>
              <w:bottom w:val="single" w:color="auto" w:sz="4" w:space="0"/>
              <w:right w:val="single" w:color="auto" w:sz="4" w:space="0"/>
            </w:tcBorders>
            <w:noWrap/>
            <w:vAlign w:val="center"/>
          </w:tcPr>
          <w:p w14:paraId="798F9D90">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ascii="宋体" w:hAnsi="宋体"/>
                <w:color w:val="auto"/>
                <w:szCs w:val="21"/>
                <w:highlight w:val="none"/>
              </w:rPr>
              <w:t>3</w:t>
            </w:r>
            <w:r>
              <w:rPr>
                <w:rFonts w:hint="eastAsia" w:ascii="宋体" w:hAnsi="宋体"/>
                <w:color w:val="auto"/>
                <w:szCs w:val="21"/>
                <w:highlight w:val="none"/>
              </w:rPr>
              <w:t>6</w:t>
            </w:r>
            <w:r>
              <w:rPr>
                <w:rFonts w:hint="eastAsia" w:ascii="宋体" w:hAnsi="宋体"/>
                <w:color w:val="auto"/>
                <w:szCs w:val="21"/>
                <w:highlight w:val="none"/>
                <w:lang w:val="zh-CN"/>
              </w:rPr>
              <w:t>分</w:t>
            </w:r>
          </w:p>
        </w:tc>
      </w:tr>
      <w:tr w14:paraId="3919C9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vMerge w:val="restart"/>
            <w:tcBorders>
              <w:top w:val="single" w:color="auto" w:sz="4" w:space="0"/>
              <w:left w:val="single" w:color="auto" w:sz="4" w:space="0"/>
              <w:right w:val="single" w:color="auto" w:sz="4" w:space="0"/>
            </w:tcBorders>
            <w:noWrap/>
            <w:vAlign w:val="center"/>
          </w:tcPr>
          <w:p w14:paraId="30E40A46">
            <w:pPr>
              <w:widowControl/>
              <w:overflowPunct w:val="0"/>
              <w:autoSpaceDE w:val="0"/>
              <w:autoSpaceDN w:val="0"/>
              <w:adjustRightInd w:val="0"/>
              <w:spacing w:line="380" w:lineRule="exact"/>
              <w:jc w:val="center"/>
              <w:textAlignment w:val="baseline"/>
              <w:rPr>
                <w:rFonts w:ascii="宋体" w:hAnsi="宋体"/>
                <w:b/>
                <w:bCs/>
                <w:color w:val="auto"/>
                <w:kern w:val="0"/>
                <w:szCs w:val="21"/>
                <w:highlight w:val="none"/>
              </w:rPr>
            </w:pPr>
            <w:r>
              <w:rPr>
                <w:rFonts w:ascii="宋体" w:hAnsi="宋体"/>
                <w:b/>
                <w:bCs/>
                <w:color w:val="auto"/>
                <w:kern w:val="0"/>
                <w:szCs w:val="21"/>
                <w:highlight w:val="none"/>
              </w:rPr>
              <w:t>3</w:t>
            </w:r>
          </w:p>
        </w:tc>
        <w:tc>
          <w:tcPr>
            <w:tcW w:w="1217" w:type="dxa"/>
            <w:vMerge w:val="restart"/>
            <w:tcBorders>
              <w:top w:val="single" w:color="auto" w:sz="4" w:space="0"/>
              <w:left w:val="single" w:color="auto" w:sz="4" w:space="0"/>
              <w:bottom w:val="single" w:color="auto" w:sz="4" w:space="0"/>
              <w:right w:val="single" w:color="auto" w:sz="4" w:space="0"/>
            </w:tcBorders>
            <w:noWrap/>
            <w:vAlign w:val="center"/>
          </w:tcPr>
          <w:p w14:paraId="376AFAD8">
            <w:pPr>
              <w:widowControl/>
              <w:overflowPunct w:val="0"/>
              <w:autoSpaceDE w:val="0"/>
              <w:autoSpaceDN w:val="0"/>
              <w:adjustRightInd w:val="0"/>
              <w:spacing w:line="380" w:lineRule="exact"/>
              <w:jc w:val="center"/>
              <w:textAlignment w:val="baseline"/>
              <w:rPr>
                <w:rFonts w:ascii="宋体" w:hAnsi="宋体"/>
                <w:color w:val="auto"/>
                <w:szCs w:val="21"/>
                <w:highlight w:val="none"/>
              </w:rPr>
            </w:pPr>
            <w:r>
              <w:rPr>
                <w:rFonts w:hint="eastAsia" w:ascii="宋体" w:hAnsi="宋体"/>
                <w:color w:val="auto"/>
                <w:szCs w:val="21"/>
                <w:highlight w:val="none"/>
                <w:lang w:val="zh-CN"/>
              </w:rPr>
              <w:t>技术分</w:t>
            </w:r>
          </w:p>
          <w:p w14:paraId="1E25FB06">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hint="eastAsia" w:ascii="宋体" w:hAnsi="宋体"/>
                <w:color w:val="auto"/>
                <w:szCs w:val="21"/>
                <w:highlight w:val="none"/>
              </w:rPr>
              <w:t>（30分）</w:t>
            </w:r>
          </w:p>
        </w:tc>
        <w:tc>
          <w:tcPr>
            <w:tcW w:w="827" w:type="dxa"/>
            <w:tcBorders>
              <w:top w:val="single" w:color="auto" w:sz="4" w:space="0"/>
              <w:left w:val="single" w:color="auto" w:sz="4" w:space="0"/>
              <w:bottom w:val="single" w:color="auto" w:sz="4" w:space="0"/>
              <w:right w:val="single" w:color="auto" w:sz="4" w:space="0"/>
            </w:tcBorders>
            <w:noWrap/>
            <w:vAlign w:val="center"/>
          </w:tcPr>
          <w:p w14:paraId="321BE4C1">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hint="eastAsia" w:ascii="宋体" w:hAnsi="宋体"/>
                <w:color w:val="auto"/>
                <w:highlight w:val="none"/>
              </w:rPr>
              <w:t>服务方案分（15分）</w:t>
            </w:r>
          </w:p>
        </w:tc>
        <w:tc>
          <w:tcPr>
            <w:tcW w:w="5641" w:type="dxa"/>
            <w:tcBorders>
              <w:top w:val="single" w:color="auto" w:sz="4" w:space="0"/>
              <w:left w:val="single" w:color="auto" w:sz="4" w:space="0"/>
              <w:bottom w:val="single" w:color="auto" w:sz="4" w:space="0"/>
              <w:right w:val="single" w:color="auto" w:sz="4" w:space="0"/>
            </w:tcBorders>
            <w:noWrap/>
          </w:tcPr>
          <w:p w14:paraId="73239634">
            <w:pPr>
              <w:spacing w:line="440" w:lineRule="exact"/>
              <w:ind w:firstLine="422" w:firstLineChars="200"/>
              <w:rPr>
                <w:rFonts w:ascii="宋体" w:hAnsi="宋体"/>
                <w:b/>
                <w:bCs/>
                <w:color w:val="auto"/>
                <w:highlight w:val="none"/>
              </w:rPr>
            </w:pPr>
            <w:r>
              <w:rPr>
                <w:rFonts w:hint="eastAsia"/>
                <w:b/>
                <w:bCs/>
                <w:color w:val="auto"/>
                <w:highlight w:val="none"/>
              </w:rPr>
              <w:t>评委</w:t>
            </w:r>
            <w:r>
              <w:rPr>
                <w:rFonts w:hint="eastAsia" w:ascii="宋体" w:hAnsi="宋体"/>
                <w:b/>
                <w:bCs/>
                <w:color w:val="auto"/>
                <w:highlight w:val="none"/>
              </w:rPr>
              <w:t>依据投标人提供的服务方案（内容包括但不限于：内部管理架构、服务质量管控、服务管理流程及管理方案）进行评价。以下各项不得重复计分。</w:t>
            </w:r>
          </w:p>
          <w:p w14:paraId="37463DC8">
            <w:pPr>
              <w:spacing w:line="440" w:lineRule="exact"/>
              <w:ind w:firstLine="420" w:firstLineChars="200"/>
              <w:rPr>
                <w:rFonts w:ascii="宋体" w:hAnsi="宋体"/>
                <w:color w:val="auto"/>
                <w:highlight w:val="none"/>
              </w:rPr>
            </w:pPr>
            <w:r>
              <w:rPr>
                <w:rFonts w:hint="eastAsia" w:ascii="宋体" w:hAnsi="宋体"/>
                <w:color w:val="auto"/>
                <w:highlight w:val="none"/>
              </w:rPr>
              <w:t>①投标人的服务方案能围绕本项目需求制定，方案基本满足采购人食堂服务需求：方案简单，有简单的实施措施和质量保证措施，可行性差，没有制定针对性的服务方案，本项得5分。</w:t>
            </w:r>
          </w:p>
          <w:p w14:paraId="1CBCE2EC">
            <w:pPr>
              <w:spacing w:line="440" w:lineRule="exact"/>
              <w:ind w:firstLine="420" w:firstLineChars="200"/>
              <w:rPr>
                <w:rFonts w:ascii="宋体" w:hAnsi="宋体"/>
                <w:color w:val="auto"/>
                <w:highlight w:val="none"/>
              </w:rPr>
            </w:pPr>
            <w:r>
              <w:rPr>
                <w:rFonts w:hint="eastAsia" w:ascii="宋体" w:hAnsi="宋体"/>
                <w:color w:val="auto"/>
                <w:highlight w:val="none"/>
              </w:rPr>
              <w:t>②</w:t>
            </w:r>
            <w:r>
              <w:rPr>
                <w:rFonts w:hint="eastAsia" w:ascii="宋体" w:hAnsi="宋体"/>
                <w:color w:val="auto"/>
                <w:spacing w:val="8"/>
                <w:highlight w:val="none"/>
              </w:rPr>
              <w:t>在本项①</w:t>
            </w:r>
            <w:r>
              <w:rPr>
                <w:rFonts w:hint="eastAsia" w:ascii="宋体" w:hAnsi="宋体"/>
                <w:color w:val="auto"/>
                <w:highlight w:val="none"/>
              </w:rPr>
              <w:t>项的基础上，尚能满足采购人食堂正常服务需求：方案较完善、有可行的实施措施和质量保证措施，作业流程较详细，菜品介绍及方案较为简单，能根据本项目服务内容范围制定一套简单的实施方案，本项得10分。</w:t>
            </w:r>
          </w:p>
          <w:p w14:paraId="155A333B">
            <w:pPr>
              <w:spacing w:line="440" w:lineRule="exact"/>
              <w:ind w:firstLine="452" w:firstLineChars="200"/>
              <w:rPr>
                <w:rFonts w:ascii="宋体" w:hAnsi="宋体"/>
                <w:color w:val="auto"/>
                <w:highlight w:val="none"/>
              </w:rPr>
            </w:pPr>
            <w:r>
              <w:rPr>
                <w:rFonts w:hint="eastAsia" w:ascii="宋体" w:hAnsi="宋体"/>
                <w:color w:val="auto"/>
                <w:spacing w:val="8"/>
                <w:highlight w:val="none"/>
              </w:rPr>
              <w:t>③在本项第</w:t>
            </w:r>
            <w:r>
              <w:rPr>
                <w:rFonts w:hint="eastAsia" w:ascii="宋体" w:hAnsi="宋体"/>
                <w:color w:val="auto"/>
                <w:highlight w:val="none"/>
              </w:rPr>
              <w:t>②项的基础上，投标人的项目服务方案能够完全满足采购人食堂正常运营要求；方案完善、计划详细具体、有针对性，有具体的作业流程、图表、菜谱方案，能对采购人现有食堂的工作要求提出可行的合理化建议，对接待任务要求反应迅速，制定有针对性的实施方案，本项得15分。</w:t>
            </w:r>
          </w:p>
          <w:p w14:paraId="406C1A74">
            <w:pPr>
              <w:spacing w:line="380" w:lineRule="exact"/>
              <w:ind w:firstLine="422" w:firstLineChars="200"/>
              <w:rPr>
                <w:color w:val="auto"/>
                <w:highlight w:val="none"/>
                <w:lang w:val="zh-CN"/>
              </w:rPr>
            </w:pPr>
            <w:r>
              <w:rPr>
                <w:rFonts w:hint="eastAsia" w:ascii="宋体" w:hAnsi="宋体"/>
                <w:b/>
                <w:bCs/>
                <w:color w:val="auto"/>
                <w:highlight w:val="none"/>
              </w:rPr>
              <w:t>注：投标人未提供服务方案或服务方案未达到①标准要求的，本项不得分。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0E3F9A94">
            <w:pPr>
              <w:widowControl/>
              <w:overflowPunct w:val="0"/>
              <w:autoSpaceDE w:val="0"/>
              <w:autoSpaceDN w:val="0"/>
              <w:adjustRightInd w:val="0"/>
              <w:spacing w:line="380" w:lineRule="exact"/>
              <w:jc w:val="center"/>
              <w:textAlignment w:val="baseline"/>
              <w:rPr>
                <w:rFonts w:ascii="宋体" w:hAnsi="宋体"/>
                <w:color w:val="auto"/>
                <w:szCs w:val="21"/>
                <w:highlight w:val="none"/>
                <w:lang w:val="zh-CN"/>
              </w:rPr>
            </w:pPr>
            <w:r>
              <w:rPr>
                <w:rFonts w:hint="eastAsia" w:ascii="宋体" w:hAnsi="宋体"/>
                <w:color w:val="auto"/>
                <w:highlight w:val="none"/>
              </w:rPr>
              <w:t>15分</w:t>
            </w:r>
          </w:p>
        </w:tc>
      </w:tr>
      <w:tr w14:paraId="0AC191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vMerge w:val="continue"/>
            <w:tcBorders>
              <w:top w:val="single" w:color="auto" w:sz="4" w:space="0"/>
              <w:left w:val="single" w:color="auto" w:sz="4" w:space="0"/>
              <w:right w:val="single" w:color="auto" w:sz="4" w:space="0"/>
            </w:tcBorders>
            <w:noWrap/>
            <w:vAlign w:val="center"/>
          </w:tcPr>
          <w:p w14:paraId="2D4E5445">
            <w:pPr>
              <w:widowControl/>
              <w:overflowPunct w:val="0"/>
              <w:autoSpaceDE w:val="0"/>
              <w:autoSpaceDN w:val="0"/>
              <w:adjustRightInd w:val="0"/>
              <w:spacing w:line="380" w:lineRule="exact"/>
              <w:jc w:val="center"/>
              <w:textAlignment w:val="baseline"/>
              <w:rPr>
                <w:rFonts w:ascii="宋体" w:hAnsi="宋体"/>
                <w:b/>
                <w:bCs/>
                <w:color w:val="auto"/>
                <w:kern w:val="0"/>
                <w:szCs w:val="21"/>
                <w:highlight w:val="none"/>
              </w:rPr>
            </w:pPr>
          </w:p>
        </w:tc>
        <w:tc>
          <w:tcPr>
            <w:tcW w:w="1217" w:type="dxa"/>
            <w:vMerge w:val="continue"/>
            <w:tcBorders>
              <w:top w:val="single" w:color="auto" w:sz="4" w:space="0"/>
              <w:left w:val="single" w:color="auto" w:sz="4" w:space="0"/>
              <w:bottom w:val="single" w:color="auto" w:sz="4" w:space="0"/>
              <w:right w:val="single" w:color="auto" w:sz="4" w:space="0"/>
            </w:tcBorders>
            <w:noWrap/>
            <w:vAlign w:val="center"/>
          </w:tcPr>
          <w:p w14:paraId="310394FD">
            <w:pPr>
              <w:widowControl/>
              <w:overflowPunct w:val="0"/>
              <w:autoSpaceDE w:val="0"/>
              <w:autoSpaceDN w:val="0"/>
              <w:adjustRightInd w:val="0"/>
              <w:spacing w:line="380" w:lineRule="exact"/>
              <w:jc w:val="left"/>
              <w:textAlignment w:val="baseline"/>
              <w:rPr>
                <w:rFonts w:ascii="宋体" w:hAnsi="宋体"/>
                <w:color w:val="auto"/>
                <w:szCs w:val="21"/>
                <w:highlight w:val="none"/>
                <w:lang w:val="zh-CN"/>
              </w:rPr>
            </w:pPr>
          </w:p>
        </w:tc>
        <w:tc>
          <w:tcPr>
            <w:tcW w:w="827" w:type="dxa"/>
            <w:tcBorders>
              <w:top w:val="single" w:color="auto" w:sz="4" w:space="0"/>
              <w:left w:val="single" w:color="auto" w:sz="4" w:space="0"/>
              <w:bottom w:val="single" w:color="auto" w:sz="4" w:space="0"/>
              <w:right w:val="single" w:color="auto" w:sz="4" w:space="0"/>
            </w:tcBorders>
            <w:noWrap/>
            <w:vAlign w:val="center"/>
          </w:tcPr>
          <w:p w14:paraId="7177710B">
            <w:pPr>
              <w:widowControl/>
              <w:overflowPunct w:val="0"/>
              <w:autoSpaceDE w:val="0"/>
              <w:autoSpaceDN w:val="0"/>
              <w:adjustRightInd w:val="0"/>
              <w:spacing w:line="380" w:lineRule="exact"/>
              <w:jc w:val="center"/>
              <w:textAlignment w:val="baseline"/>
              <w:rPr>
                <w:rFonts w:ascii="宋体" w:hAnsi="宋体" w:cs="仿宋_GB2312"/>
                <w:color w:val="auto"/>
                <w:szCs w:val="21"/>
                <w:highlight w:val="none"/>
              </w:rPr>
            </w:pPr>
            <w:r>
              <w:rPr>
                <w:rFonts w:hint="eastAsia" w:ascii="宋体" w:hAnsi="宋体"/>
                <w:color w:val="auto"/>
                <w:highlight w:val="none"/>
              </w:rPr>
              <w:t>人员管理及培训方案分（6分）</w:t>
            </w:r>
          </w:p>
        </w:tc>
        <w:tc>
          <w:tcPr>
            <w:tcW w:w="5641" w:type="dxa"/>
            <w:tcBorders>
              <w:top w:val="single" w:color="auto" w:sz="4" w:space="0"/>
              <w:left w:val="single" w:color="auto" w:sz="4" w:space="0"/>
              <w:bottom w:val="single" w:color="auto" w:sz="4" w:space="0"/>
              <w:right w:val="single" w:color="auto" w:sz="4" w:space="0"/>
            </w:tcBorders>
            <w:noWrap/>
          </w:tcPr>
          <w:p w14:paraId="0E38A99C">
            <w:pPr>
              <w:spacing w:line="440" w:lineRule="exact"/>
              <w:ind w:firstLine="422" w:firstLineChars="200"/>
              <w:rPr>
                <w:rFonts w:ascii="宋体" w:hAnsi="宋体"/>
                <w:b/>
                <w:color w:val="auto"/>
                <w:highlight w:val="none"/>
              </w:rPr>
            </w:pPr>
            <w:r>
              <w:rPr>
                <w:rFonts w:hint="eastAsia"/>
                <w:b/>
                <w:bCs/>
                <w:color w:val="auto"/>
                <w:highlight w:val="none"/>
              </w:rPr>
              <w:t>评委</w:t>
            </w:r>
            <w:r>
              <w:rPr>
                <w:rFonts w:hint="eastAsia" w:ascii="宋体" w:hAnsi="宋体"/>
                <w:b/>
                <w:color w:val="auto"/>
                <w:highlight w:val="none"/>
              </w:rPr>
              <w:t>依据投标人提供的人员管理及培训方案（内容包括但不限于：人员岗位职责、保障措施、监督反馈等人员管理方案，岗前培训、在岗培训、转岗培训方案）进行评价。以下各项不得重复计分。</w:t>
            </w:r>
          </w:p>
          <w:p w14:paraId="2ECF8DD4">
            <w:pPr>
              <w:spacing w:line="440" w:lineRule="exact"/>
              <w:ind w:firstLine="420" w:firstLineChars="200"/>
              <w:rPr>
                <w:rFonts w:ascii="宋体" w:hAnsi="宋体"/>
                <w:color w:val="auto"/>
                <w:highlight w:val="none"/>
              </w:rPr>
            </w:pPr>
            <w:r>
              <w:rPr>
                <w:rFonts w:hint="eastAsia" w:ascii="宋体" w:hAnsi="宋体"/>
                <w:bCs/>
                <w:color w:val="auto"/>
                <w:highlight w:val="none"/>
              </w:rPr>
              <w:t>①投标人的人员管理及培训方案能完全响应项目采购需求人员管理及培训要求的前提下，制定有详细完整的</w:t>
            </w:r>
            <w:r>
              <w:rPr>
                <w:rFonts w:hint="eastAsia" w:ascii="宋体" w:hAnsi="宋体"/>
                <w:color w:val="auto"/>
                <w:highlight w:val="none"/>
              </w:rPr>
              <w:t>人员岗位职责、人员管理制度，制定完整的</w:t>
            </w:r>
            <w:r>
              <w:rPr>
                <w:rFonts w:hint="eastAsia" w:ascii="宋体" w:hAnsi="宋体"/>
                <w:bCs/>
                <w:color w:val="auto"/>
                <w:highlight w:val="none"/>
              </w:rPr>
              <w:t>岗前及岗位技能培训计划</w:t>
            </w:r>
            <w:r>
              <w:rPr>
                <w:rFonts w:hint="eastAsia" w:ascii="宋体" w:hAnsi="宋体"/>
                <w:color w:val="auto"/>
                <w:spacing w:val="9"/>
                <w:highlight w:val="none"/>
              </w:rPr>
              <w:t>，</w:t>
            </w:r>
            <w:r>
              <w:rPr>
                <w:rFonts w:hint="eastAsia" w:ascii="宋体" w:hAnsi="宋体"/>
                <w:color w:val="auto"/>
                <w:highlight w:val="none"/>
              </w:rPr>
              <w:t>得2分。</w:t>
            </w:r>
          </w:p>
          <w:p w14:paraId="6B80D4C8">
            <w:pPr>
              <w:spacing w:line="440" w:lineRule="exact"/>
              <w:ind w:firstLine="420" w:firstLineChars="200"/>
              <w:rPr>
                <w:rFonts w:ascii="宋体" w:hAnsi="宋体"/>
                <w:color w:val="auto"/>
                <w:szCs w:val="21"/>
                <w:highlight w:val="none"/>
              </w:rPr>
            </w:pPr>
            <w:r>
              <w:rPr>
                <w:rFonts w:hint="eastAsia" w:ascii="宋体" w:hAnsi="宋体"/>
                <w:color w:val="auto"/>
                <w:highlight w:val="none"/>
              </w:rPr>
              <w:t>②在本项①项的基础上，投标人的人员管理方案中有保障人员稳定性、积极性的措施，</w:t>
            </w:r>
            <w:r>
              <w:rPr>
                <w:rFonts w:hint="eastAsia" w:ascii="宋体" w:hAnsi="宋体"/>
                <w:bCs/>
                <w:color w:val="auto"/>
                <w:highlight w:val="none"/>
              </w:rPr>
              <w:t>有服务人员的着装、交接班、食堂卫生巡查、考勤制度、服务人员仪容仪表及个人卫生等制度管</w:t>
            </w:r>
            <w:r>
              <w:rPr>
                <w:rFonts w:hint="eastAsia" w:ascii="宋体" w:hAnsi="宋体"/>
                <w:bCs/>
                <w:color w:val="auto"/>
                <w:szCs w:val="21"/>
                <w:highlight w:val="none"/>
              </w:rPr>
              <w:t>理内容</w:t>
            </w:r>
            <w:r>
              <w:rPr>
                <w:rFonts w:hint="eastAsia" w:ascii="宋体" w:hAnsi="宋体"/>
                <w:color w:val="auto"/>
                <w:szCs w:val="21"/>
                <w:highlight w:val="none"/>
              </w:rPr>
              <w:t>；人员培训方案采取形式多样的培训手段（包括但不限于理论知识、实践操作）等，得4分。</w:t>
            </w:r>
          </w:p>
          <w:p w14:paraId="486FE388">
            <w:pPr>
              <w:pStyle w:val="20"/>
              <w:spacing w:line="440" w:lineRule="exact"/>
              <w:ind w:firstLine="420" w:firstLineChars="200"/>
              <w:rPr>
                <w:rFonts w:ascii="宋体" w:hAnsi="宋体" w:eastAsia="Times New Roman"/>
                <w:color w:val="auto"/>
                <w:spacing w:val="8"/>
                <w:sz w:val="21"/>
                <w:szCs w:val="21"/>
                <w:highlight w:val="none"/>
              </w:rPr>
            </w:pPr>
            <w:r>
              <w:rPr>
                <w:rFonts w:hint="eastAsia" w:ascii="宋体" w:hAnsi="宋体" w:eastAsiaTheme="minorEastAsia" w:cstheme="minorBidi"/>
                <w:color w:val="auto"/>
                <w:sz w:val="21"/>
                <w:szCs w:val="21"/>
                <w:highlight w:val="none"/>
              </w:rPr>
              <w:t>③在本项第②项的基础上，人员管理方案中有人员的监督反馈机制、定期开展满意度调查；人员培训方案针对服务人员</w:t>
            </w:r>
            <w:r>
              <w:rPr>
                <w:color w:val="auto"/>
                <w:spacing w:val="8"/>
                <w:sz w:val="21"/>
                <w:szCs w:val="21"/>
                <w:highlight w:val="none"/>
              </w:rPr>
              <w:t>进行岗前培训、在岗培训、转岗培训有详细的规章制度管理内容，有明确的奖惩措施，整体内容能便于采购人日常管理的，得</w:t>
            </w:r>
            <w:r>
              <w:rPr>
                <w:rFonts w:hint="eastAsia" w:ascii="宋体" w:hAnsi="宋体"/>
                <w:color w:val="auto"/>
                <w:spacing w:val="8"/>
                <w:sz w:val="21"/>
                <w:szCs w:val="21"/>
                <w:highlight w:val="none"/>
              </w:rPr>
              <w:t>6</w:t>
            </w:r>
            <w:r>
              <w:rPr>
                <w:color w:val="auto"/>
                <w:spacing w:val="8"/>
                <w:sz w:val="21"/>
                <w:szCs w:val="21"/>
                <w:highlight w:val="none"/>
              </w:rPr>
              <w:t>分。</w:t>
            </w:r>
          </w:p>
          <w:p w14:paraId="0778C162">
            <w:pPr>
              <w:spacing w:line="380" w:lineRule="exact"/>
              <w:ind w:firstLine="422" w:firstLineChars="200"/>
              <w:rPr>
                <w:rFonts w:ascii="宋体" w:hAnsi="宋体" w:cs="宋体"/>
                <w:bCs/>
                <w:color w:val="auto"/>
                <w:szCs w:val="21"/>
                <w:highlight w:val="none"/>
              </w:rPr>
            </w:pPr>
            <w:r>
              <w:rPr>
                <w:rFonts w:hint="eastAsia" w:ascii="宋体" w:hAnsi="宋体"/>
                <w:b/>
                <w:bCs/>
                <w:color w:val="auto"/>
                <w:highlight w:val="none"/>
              </w:rPr>
              <w:t>注：投标人未提供人员管理及培训方案或人员管理及培训方案未达到①标准要求的，本项不得分。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3E9F926F">
            <w:pPr>
              <w:widowControl/>
              <w:overflowPunct w:val="0"/>
              <w:autoSpaceDE w:val="0"/>
              <w:autoSpaceDN w:val="0"/>
              <w:adjustRightInd w:val="0"/>
              <w:spacing w:line="380" w:lineRule="exact"/>
              <w:jc w:val="center"/>
              <w:textAlignment w:val="baseline"/>
              <w:rPr>
                <w:rFonts w:ascii="宋体" w:hAnsi="宋体" w:cs="宋体"/>
                <w:color w:val="auto"/>
                <w:szCs w:val="21"/>
                <w:highlight w:val="none"/>
              </w:rPr>
            </w:pPr>
            <w:r>
              <w:rPr>
                <w:rFonts w:hint="eastAsia" w:ascii="宋体" w:hAnsi="宋体"/>
                <w:color w:val="auto"/>
                <w:highlight w:val="none"/>
              </w:rPr>
              <w:t>6分</w:t>
            </w:r>
          </w:p>
        </w:tc>
      </w:tr>
      <w:tr w14:paraId="50FCA4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vMerge w:val="continue"/>
            <w:tcBorders>
              <w:left w:val="single" w:color="auto" w:sz="4" w:space="0"/>
              <w:right w:val="single" w:color="auto" w:sz="4" w:space="0"/>
            </w:tcBorders>
            <w:noWrap/>
            <w:vAlign w:val="center"/>
          </w:tcPr>
          <w:p w14:paraId="3EEE37CA">
            <w:pPr>
              <w:widowControl/>
              <w:overflowPunct w:val="0"/>
              <w:autoSpaceDE w:val="0"/>
              <w:autoSpaceDN w:val="0"/>
              <w:adjustRightInd w:val="0"/>
              <w:spacing w:line="380" w:lineRule="exact"/>
              <w:jc w:val="center"/>
              <w:textAlignment w:val="baseline"/>
              <w:rPr>
                <w:rFonts w:ascii="宋体" w:hAnsi="宋体"/>
                <w:color w:val="auto"/>
                <w:kern w:val="0"/>
                <w:szCs w:val="21"/>
                <w:highlight w:val="none"/>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14:paraId="53DF1DAB">
            <w:pPr>
              <w:widowControl/>
              <w:spacing w:line="380" w:lineRule="exact"/>
              <w:jc w:val="left"/>
              <w:rPr>
                <w:rFonts w:ascii="宋体" w:hAnsi="宋体"/>
                <w:color w:val="auto"/>
                <w:szCs w:val="21"/>
                <w:highlight w:val="none"/>
                <w:lang w:val="zh-CN"/>
              </w:rPr>
            </w:pPr>
          </w:p>
        </w:tc>
        <w:tc>
          <w:tcPr>
            <w:tcW w:w="827" w:type="dxa"/>
            <w:tcBorders>
              <w:top w:val="single" w:color="auto" w:sz="4" w:space="0"/>
              <w:left w:val="single" w:color="auto" w:sz="4" w:space="0"/>
              <w:bottom w:val="single" w:color="auto" w:sz="4" w:space="0"/>
              <w:right w:val="single" w:color="auto" w:sz="4" w:space="0"/>
            </w:tcBorders>
            <w:noWrap/>
            <w:vAlign w:val="center"/>
          </w:tcPr>
          <w:p w14:paraId="3182086E">
            <w:pPr>
              <w:spacing w:line="480" w:lineRule="exact"/>
              <w:jc w:val="center"/>
              <w:rPr>
                <w:rFonts w:ascii="宋体" w:hAnsi="宋体" w:cs="仿宋_GB2312"/>
                <w:color w:val="auto"/>
                <w:szCs w:val="21"/>
                <w:highlight w:val="none"/>
              </w:rPr>
            </w:pPr>
            <w:r>
              <w:rPr>
                <w:rFonts w:hint="eastAsia" w:ascii="宋体" w:hAnsi="宋体"/>
                <w:bCs/>
                <w:color w:val="auto"/>
                <w:highlight w:val="none"/>
              </w:rPr>
              <w:t>突发事件处理预案分（9分）</w:t>
            </w:r>
          </w:p>
        </w:tc>
        <w:tc>
          <w:tcPr>
            <w:tcW w:w="5641" w:type="dxa"/>
            <w:tcBorders>
              <w:top w:val="single" w:color="auto" w:sz="4" w:space="0"/>
              <w:left w:val="single" w:color="auto" w:sz="4" w:space="0"/>
              <w:bottom w:val="single" w:color="auto" w:sz="4" w:space="0"/>
              <w:right w:val="single" w:color="auto" w:sz="4" w:space="0"/>
            </w:tcBorders>
            <w:noWrap/>
            <w:vAlign w:val="center"/>
          </w:tcPr>
          <w:p w14:paraId="648A3F99">
            <w:pPr>
              <w:overflowPunct w:val="0"/>
              <w:autoSpaceDE w:val="0"/>
              <w:autoSpaceDN w:val="0"/>
              <w:spacing w:line="440" w:lineRule="exact"/>
              <w:ind w:firstLine="422" w:firstLineChars="200"/>
              <w:textAlignment w:val="baseline"/>
              <w:rPr>
                <w:rFonts w:ascii="宋体" w:hAnsi="宋体"/>
                <w:b/>
                <w:color w:val="auto"/>
                <w:highlight w:val="none"/>
              </w:rPr>
            </w:pPr>
            <w:r>
              <w:rPr>
                <w:rFonts w:hint="eastAsia" w:ascii="宋体" w:hAnsi="宋体"/>
                <w:b/>
                <w:color w:val="auto"/>
                <w:highlight w:val="none"/>
              </w:rPr>
              <w:t>评委</w:t>
            </w:r>
            <w:r>
              <w:rPr>
                <w:rFonts w:hint="eastAsia" w:ascii="宋体" w:hAnsi="宋体"/>
                <w:b/>
                <w:color w:val="auto"/>
                <w:highlight w:val="none"/>
                <w:lang w:val="en-US" w:eastAsia="zh-CN"/>
              </w:rPr>
              <w:t>依据</w:t>
            </w:r>
            <w:r>
              <w:rPr>
                <w:rFonts w:hint="eastAsia" w:ascii="宋体" w:hAnsi="宋体"/>
                <w:b/>
                <w:color w:val="auto"/>
                <w:highlight w:val="none"/>
              </w:rPr>
              <w:t>投标人提供的突发事件处理预案内容进行评价。以下各项不重复计分：</w:t>
            </w:r>
          </w:p>
          <w:p w14:paraId="26B6B00B">
            <w:pPr>
              <w:tabs>
                <w:tab w:val="left" w:pos="1160"/>
              </w:tabs>
              <w:spacing w:line="440" w:lineRule="exact"/>
              <w:ind w:firstLine="420" w:firstLineChars="200"/>
              <w:rPr>
                <w:rFonts w:ascii="宋体" w:hAnsi="宋体"/>
                <w:bCs/>
                <w:color w:val="auto"/>
                <w:highlight w:val="none"/>
              </w:rPr>
            </w:pPr>
            <w:r>
              <w:rPr>
                <w:rFonts w:hint="eastAsia" w:ascii="宋体" w:hAnsi="宋体"/>
                <w:bCs/>
                <w:color w:val="auto"/>
                <w:highlight w:val="none"/>
              </w:rPr>
              <w:t>①</w:t>
            </w:r>
            <w:r>
              <w:rPr>
                <w:rFonts w:hint="eastAsia" w:ascii="宋体" w:hAnsi="宋体"/>
                <w:color w:val="auto"/>
                <w:highlight w:val="none"/>
              </w:rPr>
              <w:t>投标人的突发事件处理预案能在完全响应项目采购需求突发事件处理预案服务内容要求的前提下，</w:t>
            </w:r>
            <w:r>
              <w:rPr>
                <w:rFonts w:hint="eastAsia" w:ascii="宋体" w:hAnsi="宋体"/>
                <w:bCs/>
                <w:color w:val="auto"/>
                <w:highlight w:val="none"/>
              </w:rPr>
              <w:t>根据项目服务要求提出针对本项目突发事件处理的具体措施内容的，得3分。</w:t>
            </w:r>
          </w:p>
          <w:p w14:paraId="498C5935">
            <w:pPr>
              <w:tabs>
                <w:tab w:val="left" w:pos="1160"/>
              </w:tabs>
              <w:spacing w:line="440" w:lineRule="exact"/>
              <w:ind w:firstLine="420" w:firstLineChars="200"/>
              <w:rPr>
                <w:rFonts w:ascii="宋体" w:hAnsi="宋体"/>
                <w:bCs/>
                <w:color w:val="auto"/>
                <w:highlight w:val="none"/>
              </w:rPr>
            </w:pPr>
            <w:r>
              <w:rPr>
                <w:rFonts w:hint="eastAsia" w:ascii="宋体" w:hAnsi="宋体"/>
                <w:color w:val="auto"/>
                <w:highlight w:val="none"/>
              </w:rPr>
              <w:t>②在本项第①项的基础上，</w:t>
            </w:r>
            <w:r>
              <w:rPr>
                <w:rFonts w:hint="eastAsia" w:ascii="宋体" w:hAnsi="宋体"/>
                <w:bCs/>
                <w:color w:val="auto"/>
                <w:highlight w:val="none"/>
              </w:rPr>
              <w:t>提供的突发事件处理预案内容详细，突发事件处理预案内容含采购人日常的临时会议、培训、公务接待等突发事件的服务方案及措施，制定</w:t>
            </w:r>
            <w:r>
              <w:rPr>
                <w:rFonts w:hint="eastAsia" w:ascii="宋体" w:hAnsi="宋体"/>
                <w:color w:val="auto"/>
                <w:highlight w:val="none"/>
              </w:rPr>
              <w:t>有完善的处置流程图</w:t>
            </w:r>
            <w:r>
              <w:rPr>
                <w:rFonts w:hint="eastAsia" w:ascii="宋体" w:hAnsi="宋体"/>
                <w:bCs/>
                <w:color w:val="auto"/>
                <w:highlight w:val="none"/>
              </w:rPr>
              <w:t>，服务措施能确保采购人日常公务用餐保障的</w:t>
            </w:r>
            <w:r>
              <w:rPr>
                <w:rFonts w:hint="eastAsia" w:ascii="宋体" w:hAnsi="宋体"/>
                <w:color w:val="auto"/>
                <w:highlight w:val="none"/>
              </w:rPr>
              <w:t>，</w:t>
            </w:r>
            <w:r>
              <w:rPr>
                <w:rFonts w:hint="eastAsia" w:ascii="宋体" w:hAnsi="宋体"/>
                <w:bCs/>
                <w:color w:val="auto"/>
                <w:highlight w:val="none"/>
              </w:rPr>
              <w:t>得6分。</w:t>
            </w:r>
          </w:p>
          <w:p w14:paraId="28471D79">
            <w:pPr>
              <w:tabs>
                <w:tab w:val="left" w:pos="1160"/>
              </w:tabs>
              <w:spacing w:line="440" w:lineRule="exact"/>
              <w:ind w:firstLine="420" w:firstLineChars="200"/>
              <w:rPr>
                <w:rFonts w:ascii="宋体" w:hAnsi="宋体"/>
                <w:bCs/>
                <w:color w:val="auto"/>
                <w:highlight w:val="none"/>
              </w:rPr>
            </w:pPr>
            <w:r>
              <w:rPr>
                <w:rFonts w:hint="eastAsia" w:ascii="宋体" w:hAnsi="宋体"/>
                <w:bCs/>
                <w:color w:val="auto"/>
                <w:highlight w:val="none"/>
              </w:rPr>
              <w:t>③</w:t>
            </w:r>
            <w:r>
              <w:rPr>
                <w:rFonts w:hint="eastAsia" w:ascii="宋体" w:hAnsi="宋体"/>
                <w:color w:val="auto"/>
                <w:highlight w:val="none"/>
              </w:rPr>
              <w:t>在本项第②项的基础上，突发事件处理预案完整、全面，能考虑到本项目日常食堂服务所涉及的突发、应急事件等（如：食堂停水、停电膳</w:t>
            </w:r>
            <w:r>
              <w:rPr>
                <w:rFonts w:hint="eastAsia" w:ascii="宋体" w:hAnsi="宋体"/>
                <w:bCs/>
                <w:color w:val="auto"/>
                <w:highlight w:val="none"/>
              </w:rPr>
              <w:t>食正常服务问题、食物中毒问题、爆炸、起火等问题），应对处理方案合理，能满足项目执行需要，便于采购人日常管理的，得9分。</w:t>
            </w:r>
          </w:p>
          <w:p w14:paraId="4B426EEB">
            <w:pPr>
              <w:spacing w:line="380" w:lineRule="exact"/>
              <w:ind w:firstLine="422" w:firstLineChars="200"/>
              <w:rPr>
                <w:rFonts w:ascii="宋体" w:hAnsi="宋体"/>
                <w:color w:val="auto"/>
                <w:szCs w:val="21"/>
                <w:highlight w:val="none"/>
              </w:rPr>
            </w:pPr>
            <w:r>
              <w:rPr>
                <w:rFonts w:hint="eastAsia" w:ascii="宋体" w:hAnsi="宋体"/>
                <w:b/>
                <w:color w:val="auto"/>
                <w:highlight w:val="none"/>
              </w:rPr>
              <w:t>注：投标人未提供突发事件处理预案或突发事件处理预案内容未达到①标准要求的，</w:t>
            </w:r>
            <w:r>
              <w:rPr>
                <w:rFonts w:hint="eastAsia" w:ascii="宋体" w:hAnsi="宋体"/>
                <w:b/>
                <w:bCs/>
                <w:color w:val="auto"/>
                <w:highlight w:val="none"/>
              </w:rPr>
              <w:t>本项不得分</w:t>
            </w:r>
            <w:r>
              <w:rPr>
                <w:rFonts w:hint="eastAsia" w:ascii="宋体" w:hAnsi="宋体"/>
                <w:b/>
                <w:color w:val="auto"/>
                <w:highlight w:val="none"/>
              </w:rPr>
              <w:t>。</w:t>
            </w:r>
          </w:p>
        </w:tc>
        <w:tc>
          <w:tcPr>
            <w:tcW w:w="838" w:type="dxa"/>
            <w:tcBorders>
              <w:top w:val="single" w:color="auto" w:sz="4" w:space="0"/>
              <w:left w:val="single" w:color="auto" w:sz="4" w:space="0"/>
              <w:bottom w:val="single" w:color="auto" w:sz="4" w:space="0"/>
              <w:right w:val="single" w:color="auto" w:sz="4" w:space="0"/>
            </w:tcBorders>
            <w:noWrap/>
            <w:vAlign w:val="center"/>
          </w:tcPr>
          <w:p w14:paraId="4EA5FD8B">
            <w:pPr>
              <w:widowControl/>
              <w:overflowPunct w:val="0"/>
              <w:autoSpaceDE w:val="0"/>
              <w:autoSpaceDN w:val="0"/>
              <w:adjustRightInd w:val="0"/>
              <w:spacing w:line="380" w:lineRule="exact"/>
              <w:jc w:val="center"/>
              <w:textAlignment w:val="baseline"/>
              <w:rPr>
                <w:rFonts w:ascii="宋体" w:hAnsi="宋体" w:cs="仿宋_GB2312"/>
                <w:color w:val="auto"/>
                <w:szCs w:val="21"/>
                <w:highlight w:val="none"/>
              </w:rPr>
            </w:pPr>
            <w:r>
              <w:rPr>
                <w:rFonts w:hint="eastAsia" w:ascii="宋体" w:hAnsi="宋体"/>
                <w:color w:val="auto"/>
                <w:highlight w:val="none"/>
              </w:rPr>
              <w:t>9分</w:t>
            </w:r>
          </w:p>
        </w:tc>
      </w:tr>
      <w:tr w14:paraId="5D7A65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188" w:type="dxa"/>
            <w:gridSpan w:val="4"/>
            <w:tcBorders>
              <w:top w:val="single" w:color="auto" w:sz="4" w:space="0"/>
              <w:left w:val="single" w:color="auto" w:sz="4" w:space="0"/>
              <w:bottom w:val="single" w:color="auto" w:sz="4" w:space="0"/>
              <w:right w:val="single" w:color="auto" w:sz="4" w:space="0"/>
            </w:tcBorders>
            <w:noWrap/>
            <w:vAlign w:val="center"/>
          </w:tcPr>
          <w:p w14:paraId="0751B861">
            <w:pPr>
              <w:widowControl/>
              <w:overflowPunct w:val="0"/>
              <w:autoSpaceDE w:val="0"/>
              <w:autoSpaceDN w:val="0"/>
              <w:adjustRightInd w:val="0"/>
              <w:spacing w:line="380" w:lineRule="exact"/>
              <w:jc w:val="center"/>
              <w:textAlignment w:val="baseline"/>
              <w:rPr>
                <w:rFonts w:ascii="宋体" w:hAnsi="宋体"/>
                <w:b/>
                <w:bCs/>
                <w:color w:val="auto"/>
                <w:kern w:val="0"/>
                <w:szCs w:val="21"/>
                <w:highlight w:val="none"/>
              </w:rPr>
            </w:pPr>
            <w:r>
              <w:rPr>
                <w:rFonts w:hint="eastAsia" w:ascii="宋体" w:hAnsi="宋体"/>
                <w:b/>
                <w:bCs/>
                <w:color w:val="auto"/>
                <w:kern w:val="0"/>
                <w:szCs w:val="21"/>
                <w:highlight w:val="none"/>
              </w:rPr>
              <w:t>合计</w:t>
            </w:r>
          </w:p>
        </w:tc>
        <w:tc>
          <w:tcPr>
            <w:tcW w:w="838" w:type="dxa"/>
            <w:tcBorders>
              <w:top w:val="single" w:color="auto" w:sz="4" w:space="0"/>
              <w:left w:val="single" w:color="auto" w:sz="4" w:space="0"/>
              <w:bottom w:val="single" w:color="auto" w:sz="4" w:space="0"/>
              <w:right w:val="single" w:color="auto" w:sz="4" w:space="0"/>
            </w:tcBorders>
            <w:noWrap/>
            <w:vAlign w:val="center"/>
          </w:tcPr>
          <w:p w14:paraId="651B257F">
            <w:pPr>
              <w:widowControl/>
              <w:overflowPunct w:val="0"/>
              <w:autoSpaceDE w:val="0"/>
              <w:autoSpaceDN w:val="0"/>
              <w:adjustRightInd w:val="0"/>
              <w:spacing w:line="380" w:lineRule="exact"/>
              <w:jc w:val="center"/>
              <w:textAlignment w:val="baseline"/>
              <w:rPr>
                <w:rFonts w:ascii="宋体" w:hAnsi="宋体"/>
                <w:b/>
                <w:bCs/>
                <w:color w:val="auto"/>
                <w:kern w:val="0"/>
                <w:szCs w:val="21"/>
                <w:highlight w:val="none"/>
              </w:rPr>
            </w:pPr>
            <w:r>
              <w:rPr>
                <w:rFonts w:ascii="宋体" w:hAnsi="宋体"/>
                <w:b/>
                <w:bCs/>
                <w:color w:val="auto"/>
                <w:kern w:val="0"/>
                <w:szCs w:val="21"/>
                <w:highlight w:val="none"/>
              </w:rPr>
              <w:t>100</w:t>
            </w:r>
            <w:r>
              <w:rPr>
                <w:rFonts w:hint="eastAsia" w:ascii="宋体" w:hAnsi="宋体"/>
                <w:b/>
                <w:bCs/>
                <w:color w:val="auto"/>
                <w:kern w:val="0"/>
                <w:szCs w:val="21"/>
                <w:highlight w:val="none"/>
              </w:rPr>
              <w:t>分</w:t>
            </w:r>
          </w:p>
        </w:tc>
      </w:tr>
    </w:tbl>
    <w:p w14:paraId="3B889311">
      <w:pPr>
        <w:pStyle w:val="6"/>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四、中标候选人推荐</w:t>
      </w:r>
    </w:p>
    <w:p w14:paraId="017EC899">
      <w:pPr>
        <w:pStyle w:val="2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1.评标委员会根据原始评标记录和评标结果编写评标报告，并通过电子交易平台向采购人、采购代理机构提交。</w:t>
      </w:r>
    </w:p>
    <w:p w14:paraId="77E24BC1">
      <w:pPr>
        <w:pStyle w:val="2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3F811178">
      <w:pPr>
        <w:pStyle w:val="5"/>
        <w:keepNext w:val="0"/>
        <w:keepLines w:val="0"/>
        <w:jc w:val="center"/>
        <w:rPr>
          <w:rFonts w:ascii="宋体" w:hAnsi="宋体" w:eastAsia="宋体" w:cs="宋体"/>
          <w:color w:val="auto"/>
          <w:highlight w:val="none"/>
        </w:rPr>
      </w:pPr>
      <w:r>
        <w:rPr>
          <w:rFonts w:hint="eastAsia" w:ascii="宋体" w:hAnsi="宋体" w:eastAsia="宋体" w:cs="宋体"/>
          <w:color w:val="auto"/>
          <w:highlight w:val="none"/>
        </w:rPr>
        <w:br w:type="page"/>
      </w:r>
    </w:p>
    <w:p w14:paraId="5587EC41">
      <w:pPr>
        <w:pStyle w:val="5"/>
        <w:keepNext w:val="0"/>
        <w:keepLines w:val="0"/>
        <w:jc w:val="center"/>
        <w:rPr>
          <w:rFonts w:ascii="宋体" w:hAnsi="宋体" w:eastAsia="宋体" w:cs="宋体"/>
          <w:color w:val="auto"/>
          <w:highlight w:val="none"/>
        </w:rPr>
      </w:pPr>
    </w:p>
    <w:p w14:paraId="5A7F5446">
      <w:pPr>
        <w:rPr>
          <w:rFonts w:ascii="宋体" w:hAnsi="宋体" w:cs="宋体"/>
          <w:color w:val="auto"/>
          <w:highlight w:val="none"/>
        </w:rPr>
      </w:pPr>
    </w:p>
    <w:p w14:paraId="61D0F963">
      <w:pPr>
        <w:pStyle w:val="20"/>
        <w:rPr>
          <w:rFonts w:ascii="宋体" w:hAnsi="宋体" w:cs="宋体"/>
          <w:color w:val="auto"/>
          <w:highlight w:val="none"/>
        </w:rPr>
      </w:pPr>
    </w:p>
    <w:p w14:paraId="28FC43C0">
      <w:pPr>
        <w:pStyle w:val="20"/>
        <w:rPr>
          <w:rFonts w:ascii="宋体" w:hAnsi="宋体" w:cs="宋体"/>
          <w:color w:val="auto"/>
          <w:highlight w:val="none"/>
        </w:rPr>
      </w:pPr>
    </w:p>
    <w:p w14:paraId="70BFEF18">
      <w:pPr>
        <w:pStyle w:val="20"/>
        <w:rPr>
          <w:rFonts w:ascii="宋体" w:hAnsi="宋体" w:cs="宋体"/>
          <w:color w:val="auto"/>
          <w:highlight w:val="none"/>
        </w:rPr>
      </w:pPr>
    </w:p>
    <w:p w14:paraId="0E445D77">
      <w:pPr>
        <w:pStyle w:val="20"/>
        <w:rPr>
          <w:rFonts w:ascii="宋体" w:hAnsi="宋体" w:cs="宋体"/>
          <w:color w:val="auto"/>
          <w:highlight w:val="none"/>
        </w:rPr>
      </w:pPr>
    </w:p>
    <w:p w14:paraId="6FC24783">
      <w:pPr>
        <w:pStyle w:val="5"/>
        <w:keepNext w:val="0"/>
        <w:keepLines w:val="0"/>
        <w:jc w:val="center"/>
        <w:rPr>
          <w:rFonts w:ascii="宋体" w:hAnsi="宋体" w:eastAsia="宋体" w:cs="宋体"/>
          <w:color w:val="auto"/>
          <w:highlight w:val="none"/>
        </w:rPr>
      </w:pPr>
    </w:p>
    <w:p w14:paraId="0B3E7005">
      <w:pPr>
        <w:rPr>
          <w:rFonts w:ascii="宋体" w:hAnsi="宋体" w:cs="宋体"/>
          <w:color w:val="auto"/>
          <w:highlight w:val="none"/>
        </w:rPr>
      </w:pPr>
    </w:p>
    <w:p w14:paraId="755C1401">
      <w:pPr>
        <w:pStyle w:val="5"/>
        <w:keepNext w:val="0"/>
        <w:keepLines w:val="0"/>
        <w:jc w:val="center"/>
        <w:rPr>
          <w:rFonts w:ascii="宋体" w:hAnsi="宋体" w:eastAsia="宋体" w:cs="宋体"/>
          <w:color w:val="auto"/>
          <w:highlight w:val="none"/>
        </w:rPr>
      </w:pPr>
    </w:p>
    <w:p w14:paraId="6878604C">
      <w:pPr>
        <w:pStyle w:val="4"/>
        <w:jc w:val="center"/>
        <w:rPr>
          <w:rFonts w:ascii="宋体" w:hAnsi="宋体" w:cs="宋体"/>
          <w:color w:val="auto"/>
          <w:highlight w:val="none"/>
        </w:rPr>
      </w:pPr>
      <w:bookmarkStart w:id="172" w:name="_Toc74320804"/>
      <w:bookmarkStart w:id="173" w:name="_Toc30209"/>
      <w:r>
        <w:rPr>
          <w:rFonts w:hint="eastAsia" w:ascii="宋体" w:hAnsi="宋体" w:cs="宋体"/>
          <w:color w:val="auto"/>
          <w:highlight w:val="none"/>
        </w:rPr>
        <w:t>第五章 拟签订的合同文本</w:t>
      </w:r>
      <w:bookmarkEnd w:id="172"/>
      <w:bookmarkEnd w:id="173"/>
    </w:p>
    <w:p w14:paraId="6D134036">
      <w:pPr>
        <w:snapToGrid w:val="0"/>
        <w:jc w:val="center"/>
        <w:rPr>
          <w:rFonts w:ascii="宋体" w:hAnsi="宋体" w:cs="宋体"/>
          <w:bCs/>
          <w:color w:val="auto"/>
          <w:sz w:val="32"/>
          <w:szCs w:val="32"/>
          <w:highlight w:val="none"/>
        </w:rPr>
      </w:pPr>
    </w:p>
    <w:p w14:paraId="16935A72">
      <w:pPr>
        <w:snapToGrid w:val="0"/>
        <w:jc w:val="center"/>
        <w:rPr>
          <w:rFonts w:ascii="宋体" w:hAnsi="宋体" w:cs="宋体"/>
          <w:bCs/>
          <w:color w:val="auto"/>
          <w:sz w:val="32"/>
          <w:szCs w:val="32"/>
          <w:highlight w:val="none"/>
        </w:rPr>
      </w:pPr>
    </w:p>
    <w:p w14:paraId="2E018096">
      <w:pPr>
        <w:snapToGrid w:val="0"/>
        <w:jc w:val="center"/>
        <w:rPr>
          <w:rFonts w:ascii="宋体" w:hAnsi="宋体" w:cs="宋体"/>
          <w:bCs/>
          <w:color w:val="auto"/>
          <w:sz w:val="32"/>
          <w:szCs w:val="32"/>
          <w:highlight w:val="none"/>
        </w:rPr>
      </w:pPr>
    </w:p>
    <w:p w14:paraId="0AAEC4AD">
      <w:pPr>
        <w:snapToGrid w:val="0"/>
        <w:jc w:val="center"/>
        <w:rPr>
          <w:rFonts w:ascii="宋体" w:hAnsi="宋体" w:cs="宋体"/>
          <w:bCs/>
          <w:color w:val="auto"/>
          <w:sz w:val="32"/>
          <w:szCs w:val="32"/>
          <w:highlight w:val="none"/>
        </w:rPr>
      </w:pPr>
    </w:p>
    <w:p w14:paraId="6DBBCD94">
      <w:pPr>
        <w:snapToGrid w:val="0"/>
        <w:jc w:val="center"/>
        <w:rPr>
          <w:rFonts w:ascii="宋体" w:hAnsi="宋体" w:cs="宋体"/>
          <w:bCs/>
          <w:color w:val="auto"/>
          <w:sz w:val="32"/>
          <w:szCs w:val="32"/>
          <w:highlight w:val="none"/>
        </w:rPr>
      </w:pPr>
    </w:p>
    <w:p w14:paraId="58CA9176">
      <w:pPr>
        <w:snapToGrid w:val="0"/>
        <w:jc w:val="center"/>
        <w:rPr>
          <w:rFonts w:ascii="宋体" w:hAnsi="宋体" w:cs="宋体"/>
          <w:bCs/>
          <w:color w:val="auto"/>
          <w:sz w:val="32"/>
          <w:szCs w:val="32"/>
          <w:highlight w:val="none"/>
        </w:rPr>
      </w:pPr>
    </w:p>
    <w:p w14:paraId="6E3B4EE1">
      <w:pPr>
        <w:snapToGrid w:val="0"/>
        <w:jc w:val="center"/>
        <w:rPr>
          <w:rFonts w:ascii="宋体" w:hAnsi="宋体" w:cs="宋体"/>
          <w:bCs/>
          <w:color w:val="auto"/>
          <w:sz w:val="32"/>
          <w:szCs w:val="32"/>
          <w:highlight w:val="none"/>
        </w:rPr>
      </w:pPr>
    </w:p>
    <w:p w14:paraId="744E06F8">
      <w:pPr>
        <w:snapToGrid w:val="0"/>
        <w:jc w:val="center"/>
        <w:rPr>
          <w:rFonts w:ascii="宋体" w:hAnsi="宋体" w:cs="宋体"/>
          <w:bCs/>
          <w:color w:val="auto"/>
          <w:sz w:val="32"/>
          <w:szCs w:val="32"/>
          <w:highlight w:val="none"/>
        </w:rPr>
      </w:pPr>
    </w:p>
    <w:p w14:paraId="706E5466">
      <w:pPr>
        <w:snapToGrid w:val="0"/>
        <w:jc w:val="center"/>
        <w:rPr>
          <w:rFonts w:ascii="宋体" w:hAnsi="宋体" w:cs="宋体"/>
          <w:bCs/>
          <w:color w:val="auto"/>
          <w:sz w:val="32"/>
          <w:szCs w:val="32"/>
          <w:highlight w:val="none"/>
        </w:rPr>
      </w:pPr>
    </w:p>
    <w:p w14:paraId="53A8B415">
      <w:pPr>
        <w:snapToGrid w:val="0"/>
        <w:jc w:val="center"/>
        <w:rPr>
          <w:rFonts w:ascii="宋体" w:hAnsi="宋体" w:cs="宋体"/>
          <w:bCs/>
          <w:color w:val="auto"/>
          <w:sz w:val="32"/>
          <w:szCs w:val="32"/>
          <w:highlight w:val="none"/>
        </w:rPr>
      </w:pPr>
    </w:p>
    <w:p w14:paraId="0A115A2E">
      <w:pPr>
        <w:snapToGrid w:val="0"/>
        <w:jc w:val="center"/>
        <w:rPr>
          <w:rFonts w:ascii="宋体" w:hAnsi="宋体" w:cs="宋体"/>
          <w:bCs/>
          <w:color w:val="auto"/>
          <w:sz w:val="32"/>
          <w:szCs w:val="32"/>
          <w:highlight w:val="none"/>
        </w:rPr>
      </w:pPr>
    </w:p>
    <w:p w14:paraId="56BD544D">
      <w:pPr>
        <w:snapToGrid w:val="0"/>
        <w:jc w:val="center"/>
        <w:rPr>
          <w:rFonts w:ascii="宋体" w:hAnsi="宋体" w:cs="宋体"/>
          <w:bCs/>
          <w:color w:val="auto"/>
          <w:sz w:val="32"/>
          <w:szCs w:val="32"/>
          <w:highlight w:val="none"/>
        </w:rPr>
      </w:pPr>
    </w:p>
    <w:p w14:paraId="3857F3A7">
      <w:pPr>
        <w:snapToGrid w:val="0"/>
        <w:jc w:val="center"/>
        <w:rPr>
          <w:rFonts w:ascii="宋体" w:hAnsi="宋体" w:cs="宋体"/>
          <w:bCs/>
          <w:color w:val="auto"/>
          <w:sz w:val="32"/>
          <w:szCs w:val="32"/>
          <w:highlight w:val="none"/>
        </w:rPr>
      </w:pPr>
    </w:p>
    <w:p w14:paraId="212B13CE">
      <w:pPr>
        <w:snapToGrid w:val="0"/>
        <w:spacing w:line="360" w:lineRule="auto"/>
        <w:ind w:firstLine="420" w:firstLineChars="200"/>
        <w:rPr>
          <w:rFonts w:ascii="宋体" w:hAnsi="宋体" w:cs="宋体"/>
          <w:color w:val="auto"/>
          <w:szCs w:val="21"/>
          <w:highlight w:val="none"/>
        </w:rPr>
      </w:pPr>
    </w:p>
    <w:p w14:paraId="0CA379EA">
      <w:pPr>
        <w:rPr>
          <w:rFonts w:ascii="宋体" w:hAnsi="宋体" w:cs="宋体"/>
          <w:color w:val="auto"/>
          <w:szCs w:val="21"/>
          <w:highlight w:val="none"/>
        </w:rPr>
      </w:pPr>
    </w:p>
    <w:p w14:paraId="7688C2B2">
      <w:pPr>
        <w:pStyle w:val="3"/>
        <w:spacing w:before="200" w:after="200"/>
        <w:rPr>
          <w:rFonts w:ascii="仿宋" w:hAnsi="仿宋" w:eastAsia="仿宋" w:cs="仿宋"/>
          <w:color w:val="auto"/>
          <w:sz w:val="44"/>
          <w:szCs w:val="44"/>
          <w:highlight w:val="none"/>
        </w:rPr>
      </w:pPr>
      <w:bookmarkStart w:id="174" w:name="_Hlk55381736"/>
      <w:r>
        <w:rPr>
          <w:rFonts w:hint="eastAsia" w:ascii="仿宋" w:hAnsi="仿宋" w:eastAsia="仿宋" w:cs="仿宋"/>
          <w:color w:val="auto"/>
          <w:sz w:val="44"/>
          <w:szCs w:val="44"/>
          <w:highlight w:val="none"/>
        </w:rPr>
        <w:t>桂林医科大学餐饮运营与管理服务合同</w:t>
      </w:r>
    </w:p>
    <w:p w14:paraId="77A22BCF">
      <w:pPr>
        <w:snapToGrid w:val="0"/>
        <w:spacing w:line="400" w:lineRule="exact"/>
        <w:rPr>
          <w:rFonts w:ascii="宋体" w:hAnsi="宋体" w:cs="宋体"/>
          <w:color w:val="auto"/>
          <w:szCs w:val="21"/>
          <w:highlight w:val="none"/>
          <w:lang w:bidi="ar"/>
        </w:rPr>
      </w:pPr>
    </w:p>
    <w:p w14:paraId="23779BD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甲方（甲方）：</w:t>
      </w:r>
      <w:r>
        <w:rPr>
          <w:rFonts w:hint="eastAsia" w:ascii="宋体" w:hAnsi="宋体" w:cs="宋体"/>
          <w:color w:val="auto"/>
          <w:szCs w:val="21"/>
          <w:highlight w:val="none"/>
          <w:u w:val="single"/>
          <w:lang w:bidi="ar"/>
        </w:rPr>
        <w:t>桂林医科大学</w:t>
      </w:r>
      <w:r>
        <w:rPr>
          <w:rFonts w:hint="eastAsia" w:ascii="宋体" w:hAnsi="宋体" w:cs="宋体"/>
          <w:color w:val="auto"/>
          <w:szCs w:val="21"/>
          <w:highlight w:val="none"/>
          <w:lang w:bidi="ar"/>
        </w:rPr>
        <w:t xml:space="preserve">               </w:t>
      </w:r>
    </w:p>
    <w:p w14:paraId="3EA323E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供应商（乙方）：</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w:t>
      </w:r>
    </w:p>
    <w:p w14:paraId="13A56515">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项目名称：</w:t>
      </w:r>
      <w:r>
        <w:rPr>
          <w:rFonts w:hint="eastAsia" w:ascii="宋体" w:hAnsi="宋体" w:cs="宋体"/>
          <w:color w:val="auto"/>
          <w:szCs w:val="21"/>
          <w:highlight w:val="none"/>
          <w:u w:val="single"/>
          <w:lang w:bidi="ar"/>
        </w:rPr>
        <w:t>桂林医科大学餐饮运营与管理服务项目</w:t>
      </w:r>
    </w:p>
    <w:p w14:paraId="4B239C63">
      <w:pPr>
        <w:snapToGrid w:val="0"/>
        <w:spacing w:line="400" w:lineRule="exact"/>
        <w:rPr>
          <w:rFonts w:ascii="宋体" w:hAnsi="宋体"/>
          <w:color w:val="auto"/>
          <w:szCs w:val="21"/>
          <w:highlight w:val="none"/>
          <w:u w:val="single"/>
        </w:rPr>
      </w:pPr>
      <w:r>
        <w:rPr>
          <w:rFonts w:hint="eastAsia" w:ascii="宋体" w:hAnsi="宋体" w:cs="宋体"/>
          <w:color w:val="auto"/>
          <w:szCs w:val="21"/>
          <w:highlight w:val="none"/>
          <w:lang w:bidi="ar"/>
        </w:rPr>
        <w:t>项目编号：</w:t>
      </w:r>
      <w:r>
        <w:rPr>
          <w:rFonts w:hint="eastAsia" w:ascii="宋体" w:hAnsi="宋体" w:cs="宋体"/>
          <w:color w:val="auto"/>
          <w:szCs w:val="21"/>
          <w:highlight w:val="none"/>
          <w:u w:val="single"/>
          <w:lang w:bidi="ar"/>
        </w:rPr>
        <w:t>GXZC2026-G3-002238-YZLZ</w:t>
      </w:r>
      <w:r>
        <w:rPr>
          <w:rFonts w:hint="eastAsia" w:ascii="宋体" w:hAnsi="宋体" w:cs="宋体"/>
          <w:color w:val="auto"/>
          <w:szCs w:val="21"/>
          <w:highlight w:val="none"/>
          <w:lang w:bidi="ar"/>
        </w:rPr>
        <w:t xml:space="preserve">           </w:t>
      </w:r>
      <w:r>
        <w:rPr>
          <w:rFonts w:hint="eastAsia" w:ascii="宋体" w:hAnsi="宋体" w:cs="宋体"/>
          <w:color w:val="auto"/>
          <w:szCs w:val="21"/>
          <w:highlight w:val="none"/>
          <w:lang w:val="en-US" w:eastAsia="zh-CN" w:bidi="ar"/>
        </w:rPr>
        <w:t xml:space="preserve">  </w:t>
      </w:r>
      <w:r>
        <w:rPr>
          <w:rFonts w:hint="eastAsia" w:ascii="宋体" w:hAnsi="宋体" w:cs="宋体"/>
          <w:color w:val="auto"/>
          <w:szCs w:val="21"/>
          <w:highlight w:val="none"/>
          <w:lang w:bidi="ar"/>
        </w:rPr>
        <w:t>采购计划编号：</w:t>
      </w:r>
      <w:r>
        <w:rPr>
          <w:rFonts w:hint="eastAsia" w:ascii="宋体" w:hAnsi="宋体" w:cs="宋体"/>
          <w:color w:val="auto"/>
          <w:szCs w:val="21"/>
          <w:highlight w:val="none"/>
          <w:u w:val="single"/>
          <w:lang w:bidi="ar"/>
        </w:rPr>
        <w:t xml:space="preserve">                 </w:t>
      </w:r>
    </w:p>
    <w:p w14:paraId="30335FED">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lang w:bidi="ar"/>
        </w:rPr>
        <w:t>签订地点：</w:t>
      </w:r>
      <w:r>
        <w:rPr>
          <w:rFonts w:hint="eastAsia" w:ascii="宋体" w:hAnsi="宋体" w:cs="宋体"/>
          <w:color w:val="auto"/>
          <w:szCs w:val="21"/>
          <w:highlight w:val="none"/>
          <w:u w:val="single"/>
          <w:lang w:bidi="ar"/>
        </w:rPr>
        <w:t xml:space="preserve">广西桂林市              </w:t>
      </w:r>
      <w:r>
        <w:rPr>
          <w:rFonts w:hint="eastAsia" w:ascii="宋体" w:hAnsi="宋体" w:cs="宋体"/>
          <w:color w:val="auto"/>
          <w:szCs w:val="21"/>
          <w:highlight w:val="none"/>
          <w:lang w:bidi="ar"/>
        </w:rPr>
        <w:t xml:space="preserve">            签订时间：</w:t>
      </w:r>
      <w:r>
        <w:rPr>
          <w:rFonts w:hint="eastAsia" w:ascii="宋体" w:hAnsi="宋体" w:cs="宋体"/>
          <w:color w:val="auto"/>
          <w:szCs w:val="21"/>
          <w:highlight w:val="none"/>
          <w:u w:val="single"/>
          <w:lang w:bidi="ar"/>
        </w:rPr>
        <w:t xml:space="preserve">                     </w:t>
      </w:r>
    </w:p>
    <w:p w14:paraId="3DF3D865">
      <w:pPr>
        <w:snapToGrid w:val="0"/>
        <w:spacing w:line="400" w:lineRule="exact"/>
        <w:ind w:firstLine="420" w:firstLineChars="200"/>
        <w:rPr>
          <w:rFonts w:ascii="宋体" w:hAnsi="宋体" w:cs="宋体"/>
          <w:color w:val="auto"/>
          <w:szCs w:val="21"/>
          <w:highlight w:val="none"/>
          <w:lang w:bidi="ar"/>
        </w:rPr>
      </w:pPr>
    </w:p>
    <w:p w14:paraId="4EC1779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根据《中华人民共和国政府采购法》、《中华人民共和国政府采购法实施条例》、《</w:t>
      </w:r>
      <w:r>
        <w:rPr>
          <w:rFonts w:hint="eastAsia" w:ascii="宋体" w:hAnsi="宋体" w:cs="宋体"/>
          <w:color w:val="auto"/>
          <w:szCs w:val="21"/>
          <w:highlight w:val="none"/>
          <w:shd w:val="clear" w:color="auto" w:fill="FFFFFF"/>
          <w:lang w:bidi="ar"/>
        </w:rPr>
        <w:t>中华人民共和国民法典</w:t>
      </w:r>
      <w:r>
        <w:rPr>
          <w:rFonts w:hint="eastAsia" w:ascii="宋体" w:hAnsi="宋体" w:cs="宋体"/>
          <w:color w:val="auto"/>
          <w:szCs w:val="21"/>
          <w:highlight w:val="none"/>
          <w:lang w:bidi="ar"/>
        </w:rPr>
        <w:t>》等法律、法规规定，按照招标文件规定的条款和乙方承诺，甲、乙双方签订本合同。</w:t>
      </w:r>
    </w:p>
    <w:p w14:paraId="6F1631C6">
      <w:pPr>
        <w:numPr>
          <w:ilvl w:val="0"/>
          <w:numId w:val="8"/>
        </w:numPr>
        <w:snapToGrid w:val="0"/>
        <w:spacing w:line="400" w:lineRule="exact"/>
        <w:rPr>
          <w:rFonts w:ascii="宋体" w:hAnsi="宋体" w:cs="宋体"/>
          <w:b/>
          <w:color w:val="auto"/>
          <w:szCs w:val="21"/>
          <w:highlight w:val="none"/>
          <w:lang w:bidi="ar"/>
        </w:rPr>
      </w:pPr>
      <w:r>
        <w:rPr>
          <w:rFonts w:hint="eastAsia" w:ascii="宋体" w:hAnsi="宋体" w:cs="宋体"/>
          <w:b/>
          <w:color w:val="auto"/>
          <w:szCs w:val="21"/>
          <w:highlight w:val="none"/>
          <w:lang w:bidi="ar"/>
        </w:rPr>
        <w:t>合同标的及合同金额</w:t>
      </w:r>
    </w:p>
    <w:p w14:paraId="4180692C">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1.合同标的及金额</w:t>
      </w:r>
    </w:p>
    <w:tbl>
      <w:tblPr>
        <w:tblStyle w:val="49"/>
        <w:tblW w:w="918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609"/>
        <w:gridCol w:w="1243"/>
        <w:gridCol w:w="1200"/>
        <w:gridCol w:w="901"/>
        <w:gridCol w:w="1281"/>
        <w:gridCol w:w="1860"/>
      </w:tblGrid>
      <w:tr w14:paraId="62BD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trPr>
        <w:tc>
          <w:tcPr>
            <w:tcW w:w="1092" w:type="dxa"/>
            <w:tcBorders>
              <w:top w:val="single" w:color="auto" w:sz="4" w:space="0"/>
              <w:left w:val="single" w:color="auto" w:sz="4" w:space="0"/>
              <w:bottom w:val="single" w:color="auto" w:sz="4" w:space="0"/>
              <w:right w:val="single" w:color="auto" w:sz="4" w:space="0"/>
              <w:tl2br w:val="nil"/>
              <w:tr2bl w:val="nil"/>
            </w:tcBorders>
            <w:vAlign w:val="center"/>
          </w:tcPr>
          <w:p w14:paraId="764F9AB7">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项号</w:t>
            </w:r>
          </w:p>
        </w:tc>
        <w:tc>
          <w:tcPr>
            <w:tcW w:w="1609" w:type="dxa"/>
            <w:tcBorders>
              <w:top w:val="single" w:color="auto" w:sz="4" w:space="0"/>
              <w:left w:val="nil"/>
              <w:bottom w:val="single" w:color="auto" w:sz="4" w:space="0"/>
              <w:right w:val="single" w:color="auto" w:sz="4" w:space="0"/>
              <w:tl2br w:val="nil"/>
              <w:tr2bl w:val="nil"/>
            </w:tcBorders>
            <w:vAlign w:val="center"/>
          </w:tcPr>
          <w:p w14:paraId="66EF6799">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标的名称</w:t>
            </w:r>
          </w:p>
        </w:tc>
        <w:tc>
          <w:tcPr>
            <w:tcW w:w="1243" w:type="dxa"/>
            <w:tcBorders>
              <w:top w:val="single" w:color="auto" w:sz="4" w:space="0"/>
              <w:left w:val="nil"/>
              <w:bottom w:val="single" w:color="auto" w:sz="4" w:space="0"/>
              <w:right w:val="single" w:color="auto" w:sz="4" w:space="0"/>
              <w:tl2br w:val="nil"/>
              <w:tr2bl w:val="nil"/>
            </w:tcBorders>
            <w:vAlign w:val="center"/>
          </w:tcPr>
          <w:p w14:paraId="09664203">
            <w:pPr>
              <w:spacing w:line="320" w:lineRule="exact"/>
              <w:jc w:val="center"/>
              <w:rPr>
                <w:rFonts w:ascii="宋体" w:hAnsi="宋体" w:cs="宋体"/>
                <w:color w:val="auto"/>
                <w:szCs w:val="21"/>
                <w:highlight w:val="none"/>
              </w:rPr>
            </w:pPr>
            <w:r>
              <w:rPr>
                <w:rFonts w:hint="eastAsia" w:ascii="宋体" w:hAnsi="宋体" w:cs="宋体"/>
                <w:bCs/>
                <w:color w:val="auto"/>
                <w:szCs w:val="21"/>
                <w:highlight w:val="none"/>
              </w:rPr>
              <w:t>服务内容</w:t>
            </w:r>
          </w:p>
        </w:tc>
        <w:tc>
          <w:tcPr>
            <w:tcW w:w="1200" w:type="dxa"/>
            <w:tcBorders>
              <w:top w:val="single" w:color="auto" w:sz="4" w:space="0"/>
              <w:left w:val="nil"/>
              <w:bottom w:val="single" w:color="auto" w:sz="4" w:space="0"/>
              <w:right w:val="single" w:color="auto" w:sz="4" w:space="0"/>
              <w:tl2br w:val="nil"/>
              <w:tr2bl w:val="nil"/>
            </w:tcBorders>
            <w:vAlign w:val="center"/>
          </w:tcPr>
          <w:p w14:paraId="32FF1002">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数量①</w:t>
            </w:r>
          </w:p>
        </w:tc>
        <w:tc>
          <w:tcPr>
            <w:tcW w:w="901" w:type="dxa"/>
            <w:tcBorders>
              <w:top w:val="single" w:color="auto" w:sz="4" w:space="0"/>
              <w:left w:val="nil"/>
              <w:bottom w:val="single" w:color="auto" w:sz="4" w:space="0"/>
              <w:right w:val="single" w:color="auto" w:sz="4" w:space="0"/>
              <w:tl2br w:val="nil"/>
              <w:tr2bl w:val="nil"/>
            </w:tcBorders>
            <w:vAlign w:val="center"/>
          </w:tcPr>
          <w:p w14:paraId="7E15E8ED">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281" w:type="dxa"/>
            <w:tcBorders>
              <w:top w:val="single" w:color="auto" w:sz="4" w:space="0"/>
              <w:left w:val="nil"/>
              <w:bottom w:val="single" w:color="auto" w:sz="4" w:space="0"/>
              <w:right w:val="single" w:color="auto" w:sz="4" w:space="0"/>
              <w:tl2br w:val="nil"/>
              <w:tr2bl w:val="nil"/>
            </w:tcBorders>
            <w:vAlign w:val="center"/>
          </w:tcPr>
          <w:p w14:paraId="2995C1E3">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单价②</w:t>
            </w:r>
          </w:p>
        </w:tc>
        <w:tc>
          <w:tcPr>
            <w:tcW w:w="1860" w:type="dxa"/>
            <w:tcBorders>
              <w:top w:val="single" w:color="auto" w:sz="4" w:space="0"/>
              <w:left w:val="nil"/>
              <w:bottom w:val="single" w:color="auto" w:sz="4" w:space="0"/>
              <w:right w:val="single" w:color="auto" w:sz="4" w:space="0"/>
              <w:tl2br w:val="nil"/>
              <w:tr2bl w:val="nil"/>
            </w:tcBorders>
            <w:vAlign w:val="center"/>
          </w:tcPr>
          <w:p w14:paraId="713BE99E">
            <w:pPr>
              <w:spacing w:line="340" w:lineRule="exact"/>
              <w:jc w:val="center"/>
              <w:rPr>
                <w:rFonts w:ascii="宋体" w:hAnsi="宋体" w:cs="宋体"/>
                <w:bCs/>
                <w:color w:val="auto"/>
                <w:szCs w:val="21"/>
                <w:highlight w:val="none"/>
              </w:rPr>
            </w:pPr>
            <w:r>
              <w:rPr>
                <w:rFonts w:hint="eastAsia" w:ascii="宋体" w:hAnsi="宋体" w:cs="宋体"/>
                <w:bCs/>
                <w:color w:val="auto"/>
                <w:szCs w:val="21"/>
                <w:highlight w:val="none"/>
              </w:rPr>
              <w:t>合计金额（元）</w:t>
            </w:r>
          </w:p>
          <w:p w14:paraId="227E4F88">
            <w:pPr>
              <w:spacing w:line="340" w:lineRule="exact"/>
              <w:jc w:val="center"/>
              <w:rPr>
                <w:rFonts w:ascii="宋体" w:hAnsi="宋体" w:cs="宋体"/>
                <w:color w:val="auto"/>
                <w:szCs w:val="21"/>
                <w:highlight w:val="none"/>
                <w:lang w:bidi="ar"/>
              </w:rPr>
            </w:pPr>
            <w:r>
              <w:rPr>
                <w:rFonts w:hint="eastAsia" w:ascii="宋体" w:hAnsi="宋体" w:cs="宋体"/>
                <w:bCs/>
                <w:color w:val="auto"/>
                <w:szCs w:val="21"/>
                <w:highlight w:val="none"/>
              </w:rPr>
              <w:t>③=①×②</w:t>
            </w:r>
          </w:p>
        </w:tc>
      </w:tr>
      <w:tr w14:paraId="437C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trPr>
        <w:tc>
          <w:tcPr>
            <w:tcW w:w="1092" w:type="dxa"/>
            <w:tcBorders>
              <w:top w:val="single" w:color="auto" w:sz="4" w:space="0"/>
              <w:left w:val="single" w:color="auto" w:sz="4" w:space="0"/>
              <w:bottom w:val="single" w:color="auto" w:sz="4" w:space="0"/>
              <w:right w:val="single" w:color="auto" w:sz="4" w:space="0"/>
              <w:tl2br w:val="nil"/>
              <w:tr2bl w:val="nil"/>
            </w:tcBorders>
            <w:vAlign w:val="center"/>
          </w:tcPr>
          <w:p w14:paraId="27A3E404">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609" w:type="dxa"/>
            <w:tcBorders>
              <w:top w:val="single" w:color="auto" w:sz="4" w:space="0"/>
              <w:left w:val="nil"/>
              <w:bottom w:val="single" w:color="auto" w:sz="4" w:space="0"/>
              <w:right w:val="single" w:color="auto" w:sz="4" w:space="0"/>
              <w:tl2br w:val="nil"/>
              <w:tr2bl w:val="nil"/>
            </w:tcBorders>
            <w:vAlign w:val="center"/>
          </w:tcPr>
          <w:p w14:paraId="556F2413">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桂林医科大学餐饮运营与管理服务</w:t>
            </w:r>
          </w:p>
        </w:tc>
        <w:tc>
          <w:tcPr>
            <w:tcW w:w="1243" w:type="dxa"/>
            <w:tcBorders>
              <w:top w:val="single" w:color="auto" w:sz="4" w:space="0"/>
              <w:left w:val="nil"/>
              <w:bottom w:val="single" w:color="auto" w:sz="4" w:space="0"/>
              <w:right w:val="single" w:color="auto" w:sz="4" w:space="0"/>
              <w:tl2br w:val="nil"/>
              <w:tr2bl w:val="nil"/>
            </w:tcBorders>
            <w:vAlign w:val="center"/>
          </w:tcPr>
          <w:p w14:paraId="23C7D6B4">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详见“服务内容及商务要求响应表”</w:t>
            </w:r>
          </w:p>
        </w:tc>
        <w:tc>
          <w:tcPr>
            <w:tcW w:w="1200" w:type="dxa"/>
            <w:tcBorders>
              <w:top w:val="single" w:color="auto" w:sz="4" w:space="0"/>
              <w:left w:val="nil"/>
              <w:bottom w:val="single" w:color="auto" w:sz="4" w:space="0"/>
              <w:right w:val="single" w:color="auto" w:sz="4" w:space="0"/>
              <w:tl2br w:val="nil"/>
              <w:tr2bl w:val="nil"/>
            </w:tcBorders>
            <w:vAlign w:val="center"/>
          </w:tcPr>
          <w:p w14:paraId="44847D26">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901" w:type="dxa"/>
            <w:tcBorders>
              <w:top w:val="single" w:color="auto" w:sz="4" w:space="0"/>
              <w:left w:val="nil"/>
              <w:bottom w:val="single" w:color="auto" w:sz="4" w:space="0"/>
              <w:right w:val="single" w:color="auto" w:sz="4" w:space="0"/>
              <w:tl2br w:val="nil"/>
              <w:tr2bl w:val="nil"/>
            </w:tcBorders>
            <w:vAlign w:val="center"/>
          </w:tcPr>
          <w:p w14:paraId="29C1F8C4">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1281" w:type="dxa"/>
            <w:tcBorders>
              <w:top w:val="single" w:color="auto" w:sz="4" w:space="0"/>
              <w:left w:val="nil"/>
              <w:bottom w:val="single" w:color="auto" w:sz="4" w:space="0"/>
              <w:right w:val="single" w:color="auto" w:sz="4" w:space="0"/>
              <w:tl2br w:val="nil"/>
              <w:tr2bl w:val="nil"/>
            </w:tcBorders>
            <w:vAlign w:val="center"/>
          </w:tcPr>
          <w:p w14:paraId="11714881">
            <w:pPr>
              <w:spacing w:line="340" w:lineRule="exact"/>
              <w:ind w:firstLine="420"/>
              <w:jc w:val="center"/>
              <w:rPr>
                <w:rFonts w:ascii="宋体" w:hAnsi="宋体" w:cs="宋体"/>
                <w:color w:val="auto"/>
                <w:szCs w:val="21"/>
                <w:highlight w:val="none"/>
              </w:rPr>
            </w:pPr>
          </w:p>
        </w:tc>
        <w:tc>
          <w:tcPr>
            <w:tcW w:w="1860" w:type="dxa"/>
            <w:tcBorders>
              <w:top w:val="single" w:color="auto" w:sz="4" w:space="0"/>
              <w:left w:val="nil"/>
              <w:bottom w:val="single" w:color="auto" w:sz="4" w:space="0"/>
              <w:right w:val="single" w:color="auto" w:sz="4" w:space="0"/>
              <w:tl2br w:val="nil"/>
              <w:tr2bl w:val="nil"/>
            </w:tcBorders>
            <w:vAlign w:val="center"/>
          </w:tcPr>
          <w:p w14:paraId="41F73369">
            <w:pPr>
              <w:spacing w:line="340" w:lineRule="exact"/>
              <w:ind w:firstLine="420"/>
              <w:jc w:val="center"/>
              <w:rPr>
                <w:rFonts w:ascii="宋体" w:hAnsi="宋体" w:cs="宋体"/>
                <w:color w:val="auto"/>
                <w:szCs w:val="21"/>
                <w:highlight w:val="none"/>
              </w:rPr>
            </w:pPr>
          </w:p>
        </w:tc>
      </w:tr>
    </w:tbl>
    <w:p w14:paraId="0CC9B1B4">
      <w:pPr>
        <w:widowControl/>
        <w:spacing w:line="380" w:lineRule="exact"/>
        <w:ind w:firstLine="420" w:firstLineChars="200"/>
        <w:jc w:val="left"/>
        <w:rPr>
          <w:rFonts w:ascii="Arial" w:hAnsi="Arial" w:cs="Arial"/>
          <w:color w:val="auto"/>
          <w:szCs w:val="21"/>
          <w:highlight w:val="none"/>
        </w:rPr>
      </w:pPr>
      <w:r>
        <w:rPr>
          <w:rFonts w:hint="eastAsia" w:ascii="宋体" w:hAnsi="宋体" w:cs="宋体"/>
          <w:color w:val="auto"/>
          <w:szCs w:val="21"/>
          <w:highlight w:val="none"/>
          <w:lang w:bidi="ar"/>
        </w:rPr>
        <w:t>2.</w:t>
      </w:r>
      <w:r>
        <w:rPr>
          <w:rFonts w:hint="eastAsia" w:ascii="Arial" w:hAnsi="Arial" w:cs="Arial"/>
          <w:color w:val="auto"/>
          <w:szCs w:val="21"/>
          <w:highlight w:val="none"/>
        </w:rPr>
        <w:t>合同金额包含但不限于以下部分：</w:t>
      </w:r>
    </w:p>
    <w:p w14:paraId="30B2FD9D">
      <w:pPr>
        <w:widowControl/>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①服务的价格；</w:t>
      </w:r>
    </w:p>
    <w:p w14:paraId="5DB844DA">
      <w:pPr>
        <w:widowControl/>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②必要的保险费用和各项税金；</w:t>
      </w:r>
    </w:p>
    <w:p w14:paraId="013650B7">
      <w:pPr>
        <w:widowControl/>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③服务团队人员的工资、福利、社会保险、培训费、体检费、服装费、税费、管理费等一切服务成本费用的总和，不含食堂供餐食材费和劳动保护用品费用；</w:t>
      </w:r>
    </w:p>
    <w:p w14:paraId="1BC33714">
      <w:pPr>
        <w:widowControl/>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④提供本项目全程服务过程中所发生的一切费用；</w:t>
      </w:r>
    </w:p>
    <w:p w14:paraId="2B24AF64">
      <w:pPr>
        <w:widowControl/>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⑤乙方合理的利润。</w:t>
      </w:r>
    </w:p>
    <w:p w14:paraId="39696C5A">
      <w:pPr>
        <w:widowControl/>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⑥在本项目服务期内，合同金额不予调整，甲方不再支付合同金额以外的任何费用。</w:t>
      </w:r>
    </w:p>
    <w:p w14:paraId="1C6E92CD">
      <w:pPr>
        <w:snapToGrid w:val="0"/>
        <w:spacing w:line="400" w:lineRule="exact"/>
        <w:rPr>
          <w:rFonts w:ascii="宋体" w:hAnsi="宋体" w:cs="宋体"/>
          <w:b/>
          <w:color w:val="auto"/>
          <w:szCs w:val="21"/>
          <w:highlight w:val="none"/>
          <w:lang w:bidi="ar"/>
        </w:rPr>
      </w:pPr>
      <w:r>
        <w:rPr>
          <w:rFonts w:hint="eastAsia" w:ascii="宋体" w:hAnsi="宋体" w:cs="宋体"/>
          <w:b/>
          <w:color w:val="auto"/>
          <w:szCs w:val="21"/>
          <w:highlight w:val="none"/>
          <w:lang w:bidi="ar"/>
        </w:rPr>
        <w:t>第二条 服务期限及地点</w:t>
      </w:r>
    </w:p>
    <w:p w14:paraId="59027306">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1.服务期限：12个月（自签订合同且正式开展服务之日起12个月）</w:t>
      </w:r>
    </w:p>
    <w:p w14:paraId="4E03A1FE">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2.服务地点：广西桂林市甲方学校内指定地点。</w:t>
      </w:r>
    </w:p>
    <w:p w14:paraId="7C6A6DED">
      <w:pPr>
        <w:snapToGrid w:val="0"/>
        <w:spacing w:line="400" w:lineRule="exact"/>
        <w:rPr>
          <w:rFonts w:ascii="宋体" w:hAnsi="宋体" w:cs="宋体"/>
          <w:color w:val="auto"/>
          <w:szCs w:val="21"/>
          <w:highlight w:val="none"/>
          <w:lang w:bidi="ar"/>
        </w:rPr>
      </w:pPr>
      <w:r>
        <w:rPr>
          <w:rFonts w:hint="eastAsia" w:ascii="宋体" w:hAnsi="宋体" w:cs="宋体"/>
          <w:b/>
          <w:color w:val="auto"/>
          <w:szCs w:val="21"/>
          <w:highlight w:val="none"/>
          <w:lang w:bidi="ar"/>
        </w:rPr>
        <w:t xml:space="preserve">第三条 </w:t>
      </w:r>
      <w:r>
        <w:rPr>
          <w:rFonts w:hint="eastAsia" w:ascii="宋体" w:hAnsi="宋体" w:cs="宋体"/>
          <w:b/>
          <w:color w:val="auto"/>
          <w:szCs w:val="21"/>
          <w:highlight w:val="none"/>
        </w:rPr>
        <w:t>服务内容及要求</w:t>
      </w:r>
    </w:p>
    <w:p w14:paraId="1A08297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一、乙方为甲方临桂校区和东城校区提供餐饮和服务，包括食堂菜品加工及销售、餐厅卫生保洁服务、会议培训接待等公务用餐服务以及其他涉及食堂服务等工作。由甲方负责提供食堂场地、设备，承担水电、燃气费用及劳动保护用品费用。乙方提供专业的服务人员负责出品和服务，自行规范内部服务人员管理、食品安全、环境卫生标准等要求及各项标准规范的操作流程。乙方不得改变场地用途，不得超范围经营或租赁给第三方。</w:t>
      </w:r>
    </w:p>
    <w:p w14:paraId="462A8FC5">
      <w:pPr>
        <w:pStyle w:val="20"/>
        <w:jc w:val="left"/>
        <w:rPr>
          <w:rFonts w:ascii="宋体" w:hAnsi="宋体" w:cs="宋体"/>
          <w:color w:val="auto"/>
          <w:sz w:val="21"/>
          <w:szCs w:val="21"/>
          <w:highlight w:val="none"/>
        </w:rPr>
      </w:pPr>
      <w:r>
        <w:rPr>
          <w:rFonts w:hint="eastAsia" w:ascii="宋体" w:hAnsi="宋体" w:cs="宋体"/>
          <w:color w:val="auto"/>
          <w:sz w:val="21"/>
          <w:szCs w:val="21"/>
          <w:highlight w:val="none"/>
        </w:rPr>
        <w:t>二、项目服务方式</w:t>
      </w:r>
    </w:p>
    <w:p w14:paraId="69DA497D">
      <w:pPr>
        <w:pStyle w:val="20"/>
        <w:jc w:val="left"/>
        <w:rPr>
          <w:rFonts w:ascii="宋体" w:hAnsi="宋体" w:cs="宋体"/>
          <w:bCs/>
          <w:color w:val="auto"/>
          <w:sz w:val="21"/>
          <w:szCs w:val="21"/>
          <w:highlight w:val="none"/>
        </w:rPr>
      </w:pPr>
      <w:r>
        <w:rPr>
          <w:rFonts w:hint="eastAsia" w:ascii="宋体" w:hAnsi="宋体" w:cs="宋体"/>
          <w:bCs/>
          <w:color w:val="auto"/>
          <w:sz w:val="21"/>
          <w:szCs w:val="21"/>
          <w:highlight w:val="none"/>
        </w:rPr>
        <w:t>（一）食堂供餐服务安全要求</w:t>
      </w:r>
    </w:p>
    <w:p w14:paraId="764220D7">
      <w:pPr>
        <w:pStyle w:val="20"/>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乙方严格落实《中华人民共和国食品安全法》和《广西壮族自治区食品安全条例》，保证所提供的食品质量安全无害。</w:t>
      </w:r>
    </w:p>
    <w:p w14:paraId="61F2CF8A">
      <w:pPr>
        <w:pStyle w:val="20"/>
        <w:ind w:firstLine="420" w:firstLineChars="200"/>
        <w:rPr>
          <w:rFonts w:ascii="宋体" w:hAnsi="宋体" w:cs="宋体"/>
          <w:bCs/>
          <w:color w:val="auto"/>
          <w:szCs w:val="21"/>
          <w:highlight w:val="none"/>
        </w:rPr>
      </w:pPr>
      <w:r>
        <w:rPr>
          <w:rFonts w:hint="eastAsia" w:ascii="宋体" w:hAnsi="宋体" w:cs="宋体"/>
          <w:bCs/>
          <w:color w:val="auto"/>
          <w:sz w:val="21"/>
          <w:szCs w:val="21"/>
          <w:highlight w:val="none"/>
        </w:rPr>
        <w:t>乙方必须为拟投入</w:t>
      </w:r>
      <w:r>
        <w:rPr>
          <w:rFonts w:hint="eastAsia" w:ascii="宋体" w:hAnsi="宋体" w:cs="宋体"/>
          <w:bCs/>
          <w:color w:val="auto"/>
          <w:sz w:val="21"/>
          <w:szCs w:val="21"/>
          <w:highlight w:val="none"/>
          <w:lang w:eastAsia="zh-CN"/>
        </w:rPr>
        <w:t>所有工作</w:t>
      </w:r>
      <w:r>
        <w:rPr>
          <w:rFonts w:hint="eastAsia" w:ascii="宋体" w:hAnsi="宋体" w:cs="宋体"/>
          <w:bCs/>
          <w:color w:val="auto"/>
          <w:sz w:val="21"/>
          <w:szCs w:val="21"/>
          <w:highlight w:val="none"/>
        </w:rPr>
        <w:t>人员购买人身意外伤害保险（不低于100万/年）。</w:t>
      </w:r>
    </w:p>
    <w:p w14:paraId="3B10CFA7">
      <w:pPr>
        <w:pStyle w:val="20"/>
        <w:jc w:val="left"/>
        <w:rPr>
          <w:rFonts w:ascii="宋体" w:hAnsi="宋体" w:cs="宋体"/>
          <w:color w:val="auto"/>
          <w:sz w:val="21"/>
          <w:szCs w:val="21"/>
          <w:highlight w:val="none"/>
        </w:rPr>
      </w:pPr>
      <w:r>
        <w:rPr>
          <w:rFonts w:hint="eastAsia" w:ascii="宋体" w:hAnsi="宋体" w:cs="宋体"/>
          <w:color w:val="auto"/>
          <w:sz w:val="21"/>
          <w:szCs w:val="21"/>
          <w:highlight w:val="none"/>
        </w:rPr>
        <w:t>（二）食堂供餐服务总体要求</w:t>
      </w:r>
    </w:p>
    <w:p w14:paraId="0EFB1070">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乙方本着：安全、营养、卫生、味好的工作理念，为采购师生提供餐食出品服务。乙方依据季节供应各式时令菜肴，每季度设计新的菜谱并提交供甲方审核，营养合理搭配，重点推出绿色健康食品，让采购师生吃得放心，舒心。</w:t>
      </w:r>
    </w:p>
    <w:p w14:paraId="50B25933">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如甲方有加班用餐情况，乙方须无条件配合。</w:t>
      </w:r>
    </w:p>
    <w:p w14:paraId="6514E26D">
      <w:pPr>
        <w:pStyle w:val="20"/>
        <w:jc w:val="left"/>
        <w:rPr>
          <w:rFonts w:ascii="宋体" w:hAnsi="宋体" w:cs="宋体"/>
          <w:color w:val="auto"/>
          <w:sz w:val="21"/>
          <w:szCs w:val="21"/>
          <w:highlight w:val="none"/>
        </w:rPr>
      </w:pPr>
      <w:r>
        <w:rPr>
          <w:rFonts w:hint="eastAsia" w:ascii="宋体" w:hAnsi="宋体" w:cs="宋体"/>
          <w:color w:val="auto"/>
          <w:sz w:val="21"/>
          <w:szCs w:val="21"/>
          <w:highlight w:val="none"/>
        </w:rPr>
        <w:t>（三）早、中、晚餐的菜肴制作、销售服务</w:t>
      </w:r>
    </w:p>
    <w:p w14:paraId="6D3F54D3">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1.春华苑一楼供餐分为早餐、午餐、晚餐三个服务时段（每天根据每餐用餐人数视情况而定）。</w:t>
      </w:r>
    </w:p>
    <w:p w14:paraId="31A60BB4">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（1）早餐用餐人数约1300人/次，开餐时间（早餐）为工作日的07：00—10：30，供餐品种主要为米粉类、粥类、杂粮、豆浆、面点等；</w:t>
      </w:r>
    </w:p>
    <w:p w14:paraId="4A1BC557">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（2）中餐用餐人数约2300人/次，开餐时间（午餐）为工作日的11：00—13：00，服务菜品80个品种以上，并提供不收取费用的汤；</w:t>
      </w:r>
    </w:p>
    <w:p w14:paraId="266E895A">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（3）晚餐用餐人数约1000人/次，开餐时间（晚餐）为17：00—19：30，服务菜品要求达到40个品种以上。</w:t>
      </w:r>
    </w:p>
    <w:p w14:paraId="79980700">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2.秋实苑二楼供餐分：午餐、晚餐及接待三个服务时段（每餐实际用餐人数视情况而定）。</w:t>
      </w:r>
    </w:p>
    <w:p w14:paraId="58518BE0">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（2）中餐用餐人数约300人/次，开餐时间（午餐）为工作日的11：00—13：00，服务菜品要求达到12个品种以上，并提供不收取费用的汤；提供公务接待包厢服务。</w:t>
      </w:r>
    </w:p>
    <w:p w14:paraId="4B6FFA66">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（3）晚餐用餐人数约20人/次，开餐时间（晚餐）为18：00—19：00，服务菜品要求8个以上。提供公务接待包厢服务，接待晚餐时间延长至22：00。</w:t>
      </w:r>
    </w:p>
    <w:p w14:paraId="21E5F5B8">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3.东城校区风华苑供餐分为早餐、午餐、晚餐及接待四个服务时段（每餐实际用餐人数视情况而定）。</w:t>
      </w:r>
    </w:p>
    <w:p w14:paraId="0E106572">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（1）早餐用餐人数约150人/次，开餐时间（早餐）为07：00—08：20，供餐品种主要为米粉类、粥类、杂粮、豆浆、面点等；</w:t>
      </w:r>
    </w:p>
    <w:p w14:paraId="26107279">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（2）中餐用餐人数约218人/次，开餐时间（午餐）为工作日的11：00—13：00，要求服务菜品12个以上，提供公务接待包厢服务。</w:t>
      </w:r>
    </w:p>
    <w:p w14:paraId="60045E4D">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（3）晚餐用餐人数约120人/次，开餐时间（晚餐）为17：00—19：00，要求服务菜品8个以上。提供公务接待包厢服务，接待晚餐时间延长至21：00。</w:t>
      </w:r>
    </w:p>
    <w:p w14:paraId="22A2A1B7">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（四）公务用餐保障服务。接待用餐要求如下：</w:t>
      </w:r>
    </w:p>
    <w:p w14:paraId="5422B8FA">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接待用餐服务：乙方能依据甲方提供的就餐人数、菜品、用餐配比、用餐标准制定合理的方案，满足各方来客来访的需求，能准时准点做好用餐保障服务。</w:t>
      </w:r>
    </w:p>
    <w:p w14:paraId="531F444F">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服务人员质量保障：服务人员熟练掌握服务基本流程及礼仪规范，大方、得体，气质佳，反应敏捷；在甲方有公务用餐接待时，乙方应确保拟投入公务用餐接待的服务人员满足甲方公务用餐接待的需要，保证每次接待任务圆满完成。</w:t>
      </w:r>
    </w:p>
    <w:p w14:paraId="718C5D58">
      <w:pPr>
        <w:pStyle w:val="20"/>
        <w:jc w:val="left"/>
        <w:rPr>
          <w:rFonts w:ascii="宋体" w:hAnsi="宋体" w:cs="宋体"/>
          <w:color w:val="auto"/>
          <w:sz w:val="21"/>
          <w:szCs w:val="21"/>
          <w:highlight w:val="none"/>
        </w:rPr>
      </w:pPr>
      <w:r>
        <w:rPr>
          <w:rFonts w:hint="eastAsia" w:ascii="宋体" w:hAnsi="宋体" w:cs="宋体"/>
          <w:color w:val="auto"/>
          <w:sz w:val="21"/>
          <w:szCs w:val="21"/>
          <w:highlight w:val="none"/>
        </w:rPr>
        <w:t>（五）食堂卫生保洁、库存盘点、每日菜样留存及各项目日常管理工作。</w:t>
      </w:r>
    </w:p>
    <w:p w14:paraId="30E5E039">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1.保证食堂区域卫生、整洁，每天要做好厨余垃圾的收集分类，并放置在指定位置。食堂的卫生防疫、就餐环境必须达到国家规定的食堂卫生标准。</w:t>
      </w:r>
    </w:p>
    <w:p w14:paraId="7DD7A9DE">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2.乙方应于每月末对食堂的库存食品、菜蔬、物料等进行盘点，并将盘点结果报甲方确认。</w:t>
      </w:r>
    </w:p>
    <w:p w14:paraId="559CAE92">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3.乙方应做好每餐次的食品成品留样工作，以便于食物中毒调查时检验。留样食品每餐、每个品种留样量不少于 125g，应分别盛放于清洗消毒后的密闭专用容器内，标明留样时间、品名、餐次后，在冷藏条件下存放 48 小时以上，避免样品污染，用于食品中毒等突发事件处理。</w:t>
      </w:r>
    </w:p>
    <w:p w14:paraId="76E1F9DE">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4. 乙方应配合甲方做好食堂的其他日常管理工作。 </w:t>
      </w:r>
    </w:p>
    <w:p w14:paraId="563BA9E4">
      <w:pPr>
        <w:pStyle w:val="20"/>
        <w:jc w:val="left"/>
        <w:rPr>
          <w:rFonts w:ascii="宋体" w:hAnsi="宋体" w:cs="宋体"/>
          <w:color w:val="auto"/>
          <w:sz w:val="21"/>
          <w:szCs w:val="21"/>
          <w:highlight w:val="none"/>
        </w:rPr>
      </w:pPr>
      <w:r>
        <w:rPr>
          <w:rFonts w:hint="eastAsia" w:ascii="宋体" w:hAnsi="宋体" w:cs="宋体"/>
          <w:color w:val="auto"/>
          <w:sz w:val="21"/>
          <w:szCs w:val="21"/>
          <w:highlight w:val="none"/>
        </w:rPr>
        <w:t>（六）食堂内各类设备、设施管理。</w:t>
      </w:r>
    </w:p>
    <w:p w14:paraId="49F16D90">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由甲方提供厨房设备、餐桌椅、餐具、清洁器具、消防和空调等设施设备，乙方进驻使用。乙方使用食堂的设备设施，应按甲方食堂固定资产明细表所列物品逐件核收、确认，并承担设备的维护及保养责任,设备的维护和保养费用由甲方负责承担。如在使用过程中发生自然损坏的，乙方应及时告知甲方；若有人为损坏、缺失由乙方作出相应的赔偿。合同期满，甲方对设备进行清点移交，发现遗失或乙方损坏的，由乙方负责照价赔偿。</w:t>
      </w:r>
    </w:p>
    <w:p w14:paraId="4E051011">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甲方水、电、燃气等配套设施齐全，乙方不得私自对食堂区域进行装修改造。服务期限满后，乙方必须保证房屋及设施完好。</w:t>
      </w:r>
    </w:p>
    <w:p w14:paraId="33464573">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乙方应妥善保管、使用甲方所提供的厨房设备，如乙方在使用过程中因操作不当或者设备保养不当造成的损失由乙方负责。</w:t>
      </w:r>
    </w:p>
    <w:p w14:paraId="29E32E7C">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（七）与本项目有关的其他服务工作。</w:t>
      </w:r>
    </w:p>
    <w:p w14:paraId="0B7B1F7F">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食堂食材另有其他供应商配送，乙方应协助甲方做好食材的清点、验收、保管，食材经专人验收后进行加工。乙方应协助甲方实行有效的成本核算，控制好各环节成本，不得浪费。</w:t>
      </w:r>
    </w:p>
    <w:p w14:paraId="0D73F374">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乙方须实行食品、原料及菜品留样、索证和验收制度。</w:t>
      </w:r>
    </w:p>
    <w:p w14:paraId="344F51FA">
      <w:pPr>
        <w:pStyle w:val="20"/>
        <w:jc w:val="left"/>
        <w:rPr>
          <w:rFonts w:ascii="宋体" w:hAnsi="宋体" w:cs="宋体"/>
          <w:color w:val="auto"/>
          <w:sz w:val="21"/>
          <w:szCs w:val="21"/>
          <w:highlight w:val="none"/>
        </w:rPr>
      </w:pPr>
      <w:r>
        <w:rPr>
          <w:rFonts w:hint="eastAsia" w:ascii="宋体" w:hAnsi="宋体" w:cs="宋体"/>
          <w:color w:val="auto"/>
          <w:sz w:val="21"/>
          <w:szCs w:val="21"/>
          <w:highlight w:val="none"/>
        </w:rPr>
        <w:t>三、服务人员卫生健康要求</w:t>
      </w:r>
    </w:p>
    <w:p w14:paraId="6208BD6F">
      <w:pPr>
        <w:pStyle w:val="20"/>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1.服务人员按《中华人民共和国食品安全法》的规定，每年至少进行一次健康检查，必要时接受临时检查。新参加或临时参加工作的服务人员，应经健康检查，取得健康合格证明后方可参加工作。凡患有痢疾、伤寒、病毒性肝炎等消化道传染病(包括病原携带者)、活动性肺结核、化脓性或者渗出性皮肤病以及其他有碍食品卫生疾病的，不得从事接触直接入口食品的工作。服务人员有发热、腹泻、皮肤伤口或感染、咽部炎症等有碍食品卫生病症的，应立即脱离工作岗位，待查明原因、排除有碍食品卫生的病症或治愈后，方可重新上岗。</w:t>
      </w:r>
    </w:p>
    <w:p w14:paraId="04582E75">
      <w:pPr>
        <w:pStyle w:val="20"/>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2.乙方应对服务人员进行岗前卫生知识培训，培训合格后方能上岗；不定期对在职服务人员应进行卫生考核，考核情况应记录。</w:t>
      </w:r>
    </w:p>
    <w:p w14:paraId="45FAFDE5">
      <w:pPr>
        <w:pStyle w:val="20"/>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3.工作时间，服务人员应统一着装上岗，更换食堂内专用工作衣帽并佩戴口罩，头发不外露，做到衣冠整洁、干净卫生。服务人员应保持手部干净清洁，不得留长指甲、涂指甲油、佩带饰物，操作前双手严格进行清洗消毒，操作中应适时地消毒双手。服务人员有下列情形应洗手：①开始工作前；②处理食物前；③上厕所后；④处理生食物后；⑤处理弄污的设备或饮食用具后；⑥咳嗽、打喷嚏、擤鼻子后；⑦处理动物或废物后；⑧触摸耳朵、鼻子、头发、口腔或身体其他部位后；⑨从事任何可能会污染双手的活动后。接触直接入口食品时，手部应进行消毒。</w:t>
      </w:r>
    </w:p>
    <w:p w14:paraId="48EB074B">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四、人员配备方案</w:t>
      </w:r>
    </w:p>
    <w:p w14:paraId="7B839E8F">
      <w:pPr>
        <w:pStyle w:val="20"/>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1.岗位配置及数量：</w:t>
      </w:r>
    </w:p>
    <w:p w14:paraId="0366DDBF">
      <w:pPr>
        <w:pStyle w:val="20"/>
        <w:ind w:firstLine="420" w:firstLineChars="200"/>
        <w:jc w:val="left"/>
        <w:rPr>
          <w:rFonts w:ascii="宋体" w:hAnsi="宋体" w:cs="宋体"/>
          <w:color w:val="auto"/>
          <w:sz w:val="21"/>
          <w:szCs w:val="21"/>
          <w:highlight w:val="none"/>
        </w:rPr>
      </w:pPr>
      <w:r>
        <w:rPr>
          <w:rFonts w:hint="eastAsia" w:ascii="宋体" w:hAnsi="宋体" w:cs="宋体"/>
          <w:bCs/>
          <w:color w:val="auto"/>
          <w:sz w:val="21"/>
          <w:szCs w:val="21"/>
          <w:highlight w:val="none"/>
        </w:rPr>
        <w:t>乙方拟投入运营服务团队</w:t>
      </w:r>
      <w:r>
        <w:rPr>
          <w:rFonts w:hint="eastAsia" w:ascii="宋体" w:hAnsi="宋体" w:cs="宋体"/>
          <w:bCs/>
          <w:color w:val="auto"/>
          <w:sz w:val="21"/>
          <w:szCs w:val="21"/>
          <w:highlight w:val="none"/>
          <w:lang w:eastAsia="zh-CN"/>
        </w:rPr>
        <w:t>约</w:t>
      </w:r>
      <w:r>
        <w:rPr>
          <w:rFonts w:hint="eastAsia" w:ascii="宋体" w:hAnsi="宋体" w:cs="宋体"/>
          <w:bCs/>
          <w:color w:val="auto"/>
          <w:sz w:val="21"/>
          <w:szCs w:val="21"/>
          <w:highlight w:val="none"/>
        </w:rPr>
        <w:t>109人到甲方指定的工作场所开展餐饮运营与管理工作，根据甲方实际情况，高峰增配，淡季合理精简（服务的时间、时段、具体人数，乙方可以根据甲方实际情况安排），具体的岗位配置及数量如下表：</w:t>
      </w:r>
    </w:p>
    <w:tbl>
      <w:tblPr>
        <w:tblStyle w:val="49"/>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798"/>
        <w:gridCol w:w="2773"/>
        <w:gridCol w:w="3333"/>
      </w:tblGrid>
      <w:tr w14:paraId="1B82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000" w:type="pct"/>
            <w:gridSpan w:val="4"/>
            <w:vAlign w:val="center"/>
          </w:tcPr>
          <w:p w14:paraId="1C559D5D">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服务团队人员岗位配置及数量</w:t>
            </w:r>
          </w:p>
        </w:tc>
      </w:tr>
      <w:tr w14:paraId="33FA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80" w:type="pct"/>
            <w:vAlign w:val="center"/>
          </w:tcPr>
          <w:p w14:paraId="01815C36">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楼栋</w:t>
            </w:r>
          </w:p>
        </w:tc>
        <w:tc>
          <w:tcPr>
            <w:tcW w:w="476" w:type="pct"/>
            <w:vAlign w:val="center"/>
          </w:tcPr>
          <w:p w14:paraId="5ABB32F8">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序号</w:t>
            </w:r>
          </w:p>
        </w:tc>
        <w:tc>
          <w:tcPr>
            <w:tcW w:w="1655" w:type="pct"/>
            <w:vAlign w:val="center"/>
          </w:tcPr>
          <w:p w14:paraId="5A9F4C81">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岗位</w:t>
            </w:r>
          </w:p>
        </w:tc>
        <w:tc>
          <w:tcPr>
            <w:tcW w:w="1987" w:type="pct"/>
            <w:vAlign w:val="center"/>
          </w:tcPr>
          <w:p w14:paraId="2C46D232">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人数（人）</w:t>
            </w:r>
          </w:p>
        </w:tc>
      </w:tr>
      <w:tr w14:paraId="546B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restart"/>
            <w:vAlign w:val="center"/>
          </w:tcPr>
          <w:p w14:paraId="30DDF545">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秋实苑2楼</w:t>
            </w:r>
          </w:p>
          <w:p w14:paraId="4E172564">
            <w:pPr>
              <w:widowControl/>
              <w:spacing w:line="360" w:lineRule="exact"/>
              <w:jc w:val="center"/>
              <w:textAlignment w:val="center"/>
              <w:rPr>
                <w:rFonts w:ascii="宋体" w:hAnsi="宋体" w:cs="宋体"/>
                <w:color w:val="auto"/>
                <w:highlight w:val="none"/>
              </w:rPr>
            </w:pPr>
          </w:p>
        </w:tc>
        <w:tc>
          <w:tcPr>
            <w:tcW w:w="476" w:type="pct"/>
            <w:vAlign w:val="center"/>
          </w:tcPr>
          <w:p w14:paraId="6902588C">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1</w:t>
            </w:r>
          </w:p>
        </w:tc>
        <w:tc>
          <w:tcPr>
            <w:tcW w:w="1655" w:type="pct"/>
            <w:vAlign w:val="center"/>
          </w:tcPr>
          <w:p w14:paraId="1A0BF04B">
            <w:pPr>
              <w:widowControl/>
              <w:jc w:val="center"/>
              <w:rPr>
                <w:color w:val="auto"/>
                <w:kern w:val="0"/>
                <w:sz w:val="22"/>
                <w:highlight w:val="none"/>
              </w:rPr>
            </w:pPr>
            <w:r>
              <w:rPr>
                <w:rFonts w:hint="eastAsia"/>
                <w:color w:val="auto"/>
                <w:sz w:val="22"/>
                <w:highlight w:val="none"/>
              </w:rPr>
              <w:t>厨师长</w:t>
            </w:r>
          </w:p>
        </w:tc>
        <w:tc>
          <w:tcPr>
            <w:tcW w:w="1987" w:type="pct"/>
            <w:vAlign w:val="center"/>
          </w:tcPr>
          <w:p w14:paraId="570E2345">
            <w:pPr>
              <w:widowControl/>
              <w:jc w:val="center"/>
              <w:rPr>
                <w:color w:val="auto"/>
                <w:kern w:val="0"/>
                <w:sz w:val="22"/>
                <w:highlight w:val="none"/>
              </w:rPr>
            </w:pPr>
            <w:r>
              <w:rPr>
                <w:rFonts w:hint="eastAsia"/>
                <w:color w:val="auto"/>
                <w:sz w:val="22"/>
                <w:highlight w:val="none"/>
              </w:rPr>
              <w:t>1</w:t>
            </w:r>
          </w:p>
        </w:tc>
      </w:tr>
      <w:tr w14:paraId="6BA9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80" w:type="pct"/>
            <w:vMerge w:val="continue"/>
            <w:vAlign w:val="center"/>
          </w:tcPr>
          <w:p w14:paraId="4A75E369">
            <w:pPr>
              <w:spacing w:line="360" w:lineRule="exact"/>
              <w:jc w:val="center"/>
              <w:textAlignment w:val="center"/>
              <w:rPr>
                <w:rFonts w:ascii="宋体" w:hAnsi="宋体" w:cs="宋体"/>
                <w:color w:val="auto"/>
                <w:highlight w:val="none"/>
              </w:rPr>
            </w:pPr>
          </w:p>
        </w:tc>
        <w:tc>
          <w:tcPr>
            <w:tcW w:w="476" w:type="pct"/>
            <w:vAlign w:val="center"/>
          </w:tcPr>
          <w:p w14:paraId="27A20E1C">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2</w:t>
            </w:r>
          </w:p>
        </w:tc>
        <w:tc>
          <w:tcPr>
            <w:tcW w:w="1655" w:type="pct"/>
            <w:vAlign w:val="center"/>
          </w:tcPr>
          <w:p w14:paraId="0F040F48">
            <w:pPr>
              <w:jc w:val="center"/>
              <w:rPr>
                <w:color w:val="auto"/>
                <w:sz w:val="22"/>
                <w:highlight w:val="none"/>
              </w:rPr>
            </w:pPr>
            <w:r>
              <w:rPr>
                <w:rFonts w:hint="eastAsia"/>
                <w:color w:val="auto"/>
                <w:sz w:val="22"/>
                <w:highlight w:val="none"/>
              </w:rPr>
              <w:t>厨师</w:t>
            </w:r>
          </w:p>
        </w:tc>
        <w:tc>
          <w:tcPr>
            <w:tcW w:w="1987" w:type="pct"/>
            <w:vAlign w:val="center"/>
          </w:tcPr>
          <w:p w14:paraId="29CAFF18">
            <w:pPr>
              <w:jc w:val="center"/>
              <w:rPr>
                <w:color w:val="auto"/>
                <w:sz w:val="22"/>
                <w:highlight w:val="none"/>
              </w:rPr>
            </w:pPr>
            <w:r>
              <w:rPr>
                <w:rFonts w:hint="eastAsia"/>
                <w:color w:val="auto"/>
                <w:sz w:val="22"/>
                <w:highlight w:val="none"/>
              </w:rPr>
              <w:t>1</w:t>
            </w:r>
          </w:p>
        </w:tc>
      </w:tr>
      <w:tr w14:paraId="118F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80" w:type="pct"/>
            <w:vMerge w:val="continue"/>
            <w:vAlign w:val="center"/>
          </w:tcPr>
          <w:p w14:paraId="4FC6EAF7">
            <w:pPr>
              <w:spacing w:line="360" w:lineRule="exact"/>
              <w:jc w:val="center"/>
              <w:textAlignment w:val="center"/>
              <w:rPr>
                <w:rFonts w:ascii="宋体" w:hAnsi="宋体" w:cs="宋体"/>
                <w:color w:val="auto"/>
                <w:highlight w:val="none"/>
              </w:rPr>
            </w:pPr>
          </w:p>
        </w:tc>
        <w:tc>
          <w:tcPr>
            <w:tcW w:w="476" w:type="pct"/>
            <w:vAlign w:val="center"/>
          </w:tcPr>
          <w:p w14:paraId="1D30F60D">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3</w:t>
            </w:r>
          </w:p>
        </w:tc>
        <w:tc>
          <w:tcPr>
            <w:tcW w:w="1655" w:type="pct"/>
            <w:vAlign w:val="center"/>
          </w:tcPr>
          <w:p w14:paraId="7A5C0EE9">
            <w:pPr>
              <w:jc w:val="center"/>
              <w:rPr>
                <w:color w:val="auto"/>
                <w:sz w:val="22"/>
                <w:highlight w:val="none"/>
              </w:rPr>
            </w:pPr>
            <w:r>
              <w:rPr>
                <w:rFonts w:hint="eastAsia"/>
                <w:color w:val="auto"/>
                <w:sz w:val="22"/>
                <w:highlight w:val="none"/>
              </w:rPr>
              <w:t>蒸饭</w:t>
            </w:r>
          </w:p>
        </w:tc>
        <w:tc>
          <w:tcPr>
            <w:tcW w:w="1987" w:type="pct"/>
            <w:vAlign w:val="center"/>
          </w:tcPr>
          <w:p w14:paraId="38B4F7B5">
            <w:pPr>
              <w:jc w:val="center"/>
              <w:rPr>
                <w:color w:val="auto"/>
                <w:sz w:val="22"/>
                <w:highlight w:val="none"/>
              </w:rPr>
            </w:pPr>
            <w:r>
              <w:rPr>
                <w:rFonts w:hint="eastAsia"/>
                <w:color w:val="auto"/>
                <w:sz w:val="22"/>
                <w:highlight w:val="none"/>
              </w:rPr>
              <w:t>1</w:t>
            </w:r>
          </w:p>
        </w:tc>
      </w:tr>
      <w:tr w14:paraId="4370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vAlign w:val="center"/>
          </w:tcPr>
          <w:p w14:paraId="4EEDD576">
            <w:pPr>
              <w:spacing w:line="360" w:lineRule="exact"/>
              <w:jc w:val="center"/>
              <w:textAlignment w:val="center"/>
              <w:rPr>
                <w:rFonts w:ascii="宋体" w:hAnsi="宋体" w:cs="宋体"/>
                <w:color w:val="auto"/>
                <w:highlight w:val="none"/>
              </w:rPr>
            </w:pPr>
          </w:p>
        </w:tc>
        <w:tc>
          <w:tcPr>
            <w:tcW w:w="476" w:type="pct"/>
            <w:vAlign w:val="center"/>
          </w:tcPr>
          <w:p w14:paraId="1522F8FF">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4</w:t>
            </w:r>
          </w:p>
        </w:tc>
        <w:tc>
          <w:tcPr>
            <w:tcW w:w="1655" w:type="pct"/>
            <w:vAlign w:val="center"/>
          </w:tcPr>
          <w:p w14:paraId="79B6FC0A">
            <w:pPr>
              <w:jc w:val="center"/>
              <w:rPr>
                <w:color w:val="auto"/>
                <w:sz w:val="22"/>
                <w:highlight w:val="none"/>
              </w:rPr>
            </w:pPr>
            <w:r>
              <w:rPr>
                <w:rFonts w:hint="eastAsia"/>
                <w:color w:val="auto"/>
                <w:sz w:val="22"/>
                <w:highlight w:val="none"/>
              </w:rPr>
              <w:t>厨工切配售卖</w:t>
            </w:r>
          </w:p>
        </w:tc>
        <w:tc>
          <w:tcPr>
            <w:tcW w:w="1987" w:type="pct"/>
            <w:vAlign w:val="center"/>
          </w:tcPr>
          <w:p w14:paraId="7BF00EAE">
            <w:pPr>
              <w:jc w:val="center"/>
              <w:rPr>
                <w:color w:val="auto"/>
                <w:sz w:val="22"/>
                <w:highlight w:val="none"/>
              </w:rPr>
            </w:pPr>
            <w:r>
              <w:rPr>
                <w:rFonts w:hint="eastAsia"/>
                <w:color w:val="auto"/>
                <w:sz w:val="22"/>
                <w:highlight w:val="none"/>
              </w:rPr>
              <w:t>4</w:t>
            </w:r>
          </w:p>
        </w:tc>
      </w:tr>
      <w:tr w14:paraId="122B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vAlign w:val="center"/>
          </w:tcPr>
          <w:p w14:paraId="3F2B6DB0">
            <w:pPr>
              <w:spacing w:line="360" w:lineRule="exact"/>
              <w:jc w:val="center"/>
              <w:textAlignment w:val="center"/>
              <w:rPr>
                <w:rFonts w:ascii="宋体" w:hAnsi="宋体" w:cs="宋体"/>
                <w:color w:val="auto"/>
                <w:highlight w:val="none"/>
              </w:rPr>
            </w:pPr>
          </w:p>
        </w:tc>
        <w:tc>
          <w:tcPr>
            <w:tcW w:w="476" w:type="pct"/>
            <w:vAlign w:val="center"/>
          </w:tcPr>
          <w:p w14:paraId="001BD840">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5</w:t>
            </w:r>
          </w:p>
        </w:tc>
        <w:tc>
          <w:tcPr>
            <w:tcW w:w="1655" w:type="pct"/>
            <w:vAlign w:val="center"/>
          </w:tcPr>
          <w:p w14:paraId="4743C486">
            <w:pPr>
              <w:jc w:val="center"/>
              <w:rPr>
                <w:color w:val="auto"/>
                <w:sz w:val="22"/>
                <w:highlight w:val="none"/>
              </w:rPr>
            </w:pPr>
            <w:r>
              <w:rPr>
                <w:rFonts w:hint="eastAsia"/>
                <w:color w:val="auto"/>
                <w:sz w:val="22"/>
                <w:highlight w:val="none"/>
              </w:rPr>
              <w:t>洗消间</w:t>
            </w:r>
          </w:p>
        </w:tc>
        <w:tc>
          <w:tcPr>
            <w:tcW w:w="1987" w:type="pct"/>
            <w:vAlign w:val="center"/>
          </w:tcPr>
          <w:p w14:paraId="0DD72825">
            <w:pPr>
              <w:jc w:val="center"/>
              <w:rPr>
                <w:color w:val="auto"/>
                <w:sz w:val="22"/>
                <w:highlight w:val="none"/>
              </w:rPr>
            </w:pPr>
            <w:r>
              <w:rPr>
                <w:rFonts w:hint="eastAsia"/>
                <w:color w:val="auto"/>
                <w:sz w:val="22"/>
                <w:highlight w:val="none"/>
              </w:rPr>
              <w:t>2</w:t>
            </w:r>
          </w:p>
        </w:tc>
      </w:tr>
      <w:tr w14:paraId="18C0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vAlign w:val="center"/>
          </w:tcPr>
          <w:p w14:paraId="333EC545">
            <w:pPr>
              <w:spacing w:line="360" w:lineRule="exact"/>
              <w:jc w:val="center"/>
              <w:textAlignment w:val="center"/>
              <w:rPr>
                <w:rFonts w:ascii="宋体" w:hAnsi="宋体" w:cs="宋体"/>
                <w:color w:val="auto"/>
                <w:highlight w:val="none"/>
              </w:rPr>
            </w:pPr>
          </w:p>
        </w:tc>
        <w:tc>
          <w:tcPr>
            <w:tcW w:w="476" w:type="pct"/>
            <w:vAlign w:val="center"/>
          </w:tcPr>
          <w:p w14:paraId="0A22BA6B">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6</w:t>
            </w:r>
          </w:p>
        </w:tc>
        <w:tc>
          <w:tcPr>
            <w:tcW w:w="1655" w:type="pct"/>
            <w:vAlign w:val="center"/>
          </w:tcPr>
          <w:p w14:paraId="71563FE2">
            <w:pPr>
              <w:jc w:val="center"/>
              <w:rPr>
                <w:color w:val="auto"/>
                <w:sz w:val="22"/>
                <w:highlight w:val="none"/>
              </w:rPr>
            </w:pPr>
            <w:r>
              <w:rPr>
                <w:rFonts w:hint="eastAsia"/>
                <w:color w:val="auto"/>
                <w:sz w:val="22"/>
                <w:highlight w:val="none"/>
              </w:rPr>
              <w:t>大厅保洁卫生</w:t>
            </w:r>
          </w:p>
        </w:tc>
        <w:tc>
          <w:tcPr>
            <w:tcW w:w="1987" w:type="pct"/>
            <w:vAlign w:val="center"/>
          </w:tcPr>
          <w:p w14:paraId="14DDB6F7">
            <w:pPr>
              <w:jc w:val="center"/>
              <w:rPr>
                <w:color w:val="auto"/>
                <w:sz w:val="22"/>
                <w:highlight w:val="none"/>
              </w:rPr>
            </w:pPr>
            <w:r>
              <w:rPr>
                <w:rFonts w:hint="eastAsia"/>
                <w:color w:val="auto"/>
                <w:sz w:val="22"/>
                <w:highlight w:val="none"/>
              </w:rPr>
              <w:t>7</w:t>
            </w:r>
          </w:p>
        </w:tc>
      </w:tr>
      <w:tr w14:paraId="6746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vAlign w:val="center"/>
          </w:tcPr>
          <w:p w14:paraId="3CE7B413">
            <w:pPr>
              <w:spacing w:line="360" w:lineRule="exact"/>
              <w:jc w:val="center"/>
              <w:textAlignment w:val="center"/>
              <w:rPr>
                <w:rFonts w:ascii="宋体" w:hAnsi="宋体" w:cs="宋体"/>
                <w:color w:val="auto"/>
                <w:highlight w:val="none"/>
              </w:rPr>
            </w:pPr>
          </w:p>
        </w:tc>
        <w:tc>
          <w:tcPr>
            <w:tcW w:w="476" w:type="pct"/>
            <w:vAlign w:val="center"/>
          </w:tcPr>
          <w:p w14:paraId="1FF42009">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7</w:t>
            </w:r>
          </w:p>
        </w:tc>
        <w:tc>
          <w:tcPr>
            <w:tcW w:w="1655" w:type="pct"/>
            <w:vAlign w:val="center"/>
          </w:tcPr>
          <w:p w14:paraId="737DB8A8">
            <w:pPr>
              <w:jc w:val="center"/>
              <w:rPr>
                <w:color w:val="auto"/>
                <w:sz w:val="22"/>
                <w:highlight w:val="none"/>
              </w:rPr>
            </w:pPr>
            <w:r>
              <w:rPr>
                <w:rFonts w:hint="eastAsia"/>
                <w:color w:val="auto"/>
                <w:sz w:val="22"/>
                <w:highlight w:val="none"/>
              </w:rPr>
              <w:t>面点师</w:t>
            </w:r>
          </w:p>
        </w:tc>
        <w:tc>
          <w:tcPr>
            <w:tcW w:w="1987" w:type="pct"/>
            <w:vAlign w:val="center"/>
          </w:tcPr>
          <w:p w14:paraId="3921F87F">
            <w:pPr>
              <w:jc w:val="center"/>
              <w:rPr>
                <w:color w:val="auto"/>
                <w:sz w:val="22"/>
                <w:highlight w:val="none"/>
              </w:rPr>
            </w:pPr>
            <w:r>
              <w:rPr>
                <w:rFonts w:hint="eastAsia"/>
                <w:color w:val="auto"/>
                <w:sz w:val="22"/>
                <w:highlight w:val="none"/>
              </w:rPr>
              <w:t>1</w:t>
            </w:r>
          </w:p>
        </w:tc>
      </w:tr>
      <w:tr w14:paraId="7930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vAlign w:val="center"/>
          </w:tcPr>
          <w:p w14:paraId="286C8371">
            <w:pPr>
              <w:spacing w:line="360" w:lineRule="exact"/>
              <w:jc w:val="center"/>
              <w:textAlignment w:val="center"/>
              <w:rPr>
                <w:rFonts w:ascii="宋体" w:hAnsi="宋体" w:cs="宋体"/>
                <w:color w:val="auto"/>
                <w:highlight w:val="none"/>
              </w:rPr>
            </w:pPr>
          </w:p>
        </w:tc>
        <w:tc>
          <w:tcPr>
            <w:tcW w:w="476" w:type="pct"/>
            <w:vAlign w:val="center"/>
          </w:tcPr>
          <w:p w14:paraId="65FB5D31">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8</w:t>
            </w:r>
          </w:p>
        </w:tc>
        <w:tc>
          <w:tcPr>
            <w:tcW w:w="1655" w:type="pct"/>
            <w:vAlign w:val="center"/>
          </w:tcPr>
          <w:p w14:paraId="77330427">
            <w:pPr>
              <w:jc w:val="center"/>
              <w:rPr>
                <w:color w:val="auto"/>
                <w:sz w:val="22"/>
                <w:highlight w:val="none"/>
              </w:rPr>
            </w:pPr>
            <w:r>
              <w:rPr>
                <w:rFonts w:hint="eastAsia"/>
                <w:color w:val="auto"/>
                <w:sz w:val="22"/>
                <w:highlight w:val="none"/>
              </w:rPr>
              <w:t>包厢</w:t>
            </w:r>
          </w:p>
        </w:tc>
        <w:tc>
          <w:tcPr>
            <w:tcW w:w="1987" w:type="pct"/>
            <w:vAlign w:val="center"/>
          </w:tcPr>
          <w:p w14:paraId="7B3346D3">
            <w:pPr>
              <w:jc w:val="center"/>
              <w:rPr>
                <w:color w:val="auto"/>
                <w:sz w:val="22"/>
                <w:highlight w:val="none"/>
              </w:rPr>
            </w:pPr>
            <w:r>
              <w:rPr>
                <w:rFonts w:hint="eastAsia"/>
                <w:color w:val="auto"/>
                <w:sz w:val="22"/>
                <w:highlight w:val="none"/>
              </w:rPr>
              <w:t>2</w:t>
            </w:r>
          </w:p>
        </w:tc>
      </w:tr>
      <w:tr w14:paraId="47CA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restart"/>
            <w:vAlign w:val="center"/>
          </w:tcPr>
          <w:p w14:paraId="6606EA80">
            <w:pPr>
              <w:widowControl/>
              <w:spacing w:line="360" w:lineRule="exact"/>
              <w:jc w:val="center"/>
              <w:textAlignment w:val="center"/>
              <w:rPr>
                <w:rFonts w:ascii="宋体" w:hAnsi="宋体" w:cs="宋体"/>
                <w:color w:val="auto"/>
                <w:highlight w:val="none"/>
              </w:rPr>
            </w:pPr>
            <w:r>
              <w:rPr>
                <w:rFonts w:hint="eastAsia" w:ascii="宋体" w:hAnsi="宋体"/>
                <w:color w:val="auto"/>
                <w:highlight w:val="none"/>
              </w:rPr>
              <w:t>春华苑1楼</w:t>
            </w:r>
          </w:p>
          <w:p w14:paraId="325F0C4A">
            <w:pPr>
              <w:spacing w:line="360" w:lineRule="exact"/>
              <w:jc w:val="center"/>
              <w:textAlignment w:val="center"/>
              <w:rPr>
                <w:rFonts w:ascii="宋体" w:hAnsi="宋体" w:cs="宋体"/>
                <w:color w:val="auto"/>
                <w:highlight w:val="none"/>
              </w:rPr>
            </w:pPr>
          </w:p>
        </w:tc>
        <w:tc>
          <w:tcPr>
            <w:tcW w:w="476" w:type="pct"/>
            <w:vAlign w:val="center"/>
          </w:tcPr>
          <w:p w14:paraId="036739EB">
            <w:pPr>
              <w:widowControl/>
              <w:spacing w:line="360" w:lineRule="exact"/>
              <w:jc w:val="center"/>
              <w:textAlignment w:val="center"/>
              <w:rPr>
                <w:rFonts w:ascii="宋体" w:hAnsi="宋体" w:cs="宋体"/>
                <w:color w:val="auto"/>
                <w:highlight w:val="none"/>
              </w:rPr>
            </w:pPr>
            <w:r>
              <w:rPr>
                <w:rFonts w:ascii="宋体" w:hAnsi="宋体" w:cs="宋体"/>
                <w:color w:val="auto"/>
                <w:kern w:val="0"/>
                <w:highlight w:val="none"/>
              </w:rPr>
              <w:t>9</w:t>
            </w:r>
          </w:p>
        </w:tc>
        <w:tc>
          <w:tcPr>
            <w:tcW w:w="1655" w:type="pct"/>
            <w:vAlign w:val="center"/>
          </w:tcPr>
          <w:p w14:paraId="2A25A757">
            <w:pPr>
              <w:widowControl/>
              <w:jc w:val="center"/>
              <w:rPr>
                <w:color w:val="auto"/>
                <w:kern w:val="0"/>
                <w:sz w:val="22"/>
                <w:highlight w:val="none"/>
              </w:rPr>
            </w:pPr>
            <w:r>
              <w:rPr>
                <w:rFonts w:hint="eastAsia"/>
                <w:color w:val="auto"/>
                <w:sz w:val="22"/>
                <w:highlight w:val="none"/>
              </w:rPr>
              <w:t>厨师</w:t>
            </w:r>
          </w:p>
        </w:tc>
        <w:tc>
          <w:tcPr>
            <w:tcW w:w="1987" w:type="pct"/>
            <w:vAlign w:val="center"/>
          </w:tcPr>
          <w:p w14:paraId="01918C93">
            <w:pPr>
              <w:widowControl/>
              <w:jc w:val="center"/>
              <w:rPr>
                <w:color w:val="auto"/>
                <w:kern w:val="0"/>
                <w:sz w:val="22"/>
                <w:highlight w:val="none"/>
              </w:rPr>
            </w:pPr>
            <w:r>
              <w:rPr>
                <w:rFonts w:hint="eastAsia"/>
                <w:color w:val="auto"/>
                <w:sz w:val="22"/>
                <w:highlight w:val="none"/>
              </w:rPr>
              <w:t>9</w:t>
            </w:r>
          </w:p>
        </w:tc>
      </w:tr>
      <w:tr w14:paraId="6395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vAlign w:val="center"/>
          </w:tcPr>
          <w:p w14:paraId="4375371E">
            <w:pPr>
              <w:spacing w:line="360" w:lineRule="exact"/>
              <w:jc w:val="center"/>
              <w:textAlignment w:val="center"/>
              <w:rPr>
                <w:rFonts w:ascii="宋体" w:hAnsi="宋体" w:cs="宋体"/>
                <w:color w:val="auto"/>
                <w:highlight w:val="none"/>
              </w:rPr>
            </w:pPr>
          </w:p>
        </w:tc>
        <w:tc>
          <w:tcPr>
            <w:tcW w:w="476" w:type="pct"/>
            <w:vAlign w:val="center"/>
          </w:tcPr>
          <w:p w14:paraId="02D04A3A">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10</w:t>
            </w:r>
          </w:p>
        </w:tc>
        <w:tc>
          <w:tcPr>
            <w:tcW w:w="1655" w:type="pct"/>
            <w:vAlign w:val="center"/>
          </w:tcPr>
          <w:p w14:paraId="0BBC3BC3">
            <w:pPr>
              <w:jc w:val="center"/>
              <w:rPr>
                <w:color w:val="auto"/>
                <w:sz w:val="22"/>
                <w:highlight w:val="none"/>
              </w:rPr>
            </w:pPr>
            <w:r>
              <w:rPr>
                <w:rFonts w:hint="eastAsia"/>
                <w:color w:val="auto"/>
                <w:sz w:val="22"/>
                <w:highlight w:val="none"/>
              </w:rPr>
              <w:t>烧卤</w:t>
            </w:r>
          </w:p>
        </w:tc>
        <w:tc>
          <w:tcPr>
            <w:tcW w:w="1987" w:type="pct"/>
            <w:vAlign w:val="center"/>
          </w:tcPr>
          <w:p w14:paraId="4F4D4D28">
            <w:pPr>
              <w:jc w:val="center"/>
              <w:rPr>
                <w:color w:val="auto"/>
                <w:sz w:val="22"/>
                <w:highlight w:val="none"/>
              </w:rPr>
            </w:pPr>
            <w:r>
              <w:rPr>
                <w:rFonts w:hint="eastAsia"/>
                <w:color w:val="auto"/>
                <w:sz w:val="22"/>
                <w:highlight w:val="none"/>
              </w:rPr>
              <w:t>1</w:t>
            </w:r>
          </w:p>
        </w:tc>
      </w:tr>
      <w:tr w14:paraId="6A6F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vAlign w:val="center"/>
          </w:tcPr>
          <w:p w14:paraId="05E0FB6D">
            <w:pPr>
              <w:spacing w:line="360" w:lineRule="exact"/>
              <w:jc w:val="center"/>
              <w:textAlignment w:val="center"/>
              <w:rPr>
                <w:rFonts w:ascii="宋体" w:hAnsi="宋体" w:cs="宋体"/>
                <w:color w:val="auto"/>
                <w:highlight w:val="none"/>
              </w:rPr>
            </w:pPr>
          </w:p>
        </w:tc>
        <w:tc>
          <w:tcPr>
            <w:tcW w:w="476" w:type="pct"/>
            <w:vAlign w:val="center"/>
          </w:tcPr>
          <w:p w14:paraId="231A311B">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11</w:t>
            </w:r>
          </w:p>
        </w:tc>
        <w:tc>
          <w:tcPr>
            <w:tcW w:w="1655" w:type="pct"/>
            <w:vAlign w:val="center"/>
          </w:tcPr>
          <w:p w14:paraId="3EDAAE9A">
            <w:pPr>
              <w:jc w:val="center"/>
              <w:rPr>
                <w:color w:val="auto"/>
                <w:sz w:val="22"/>
                <w:highlight w:val="none"/>
              </w:rPr>
            </w:pPr>
            <w:r>
              <w:rPr>
                <w:rFonts w:hint="eastAsia"/>
                <w:color w:val="auto"/>
                <w:sz w:val="22"/>
                <w:highlight w:val="none"/>
              </w:rPr>
              <w:t>蒸饭</w:t>
            </w:r>
          </w:p>
        </w:tc>
        <w:tc>
          <w:tcPr>
            <w:tcW w:w="1987" w:type="pct"/>
            <w:vAlign w:val="center"/>
          </w:tcPr>
          <w:p w14:paraId="666922F5">
            <w:pPr>
              <w:jc w:val="center"/>
              <w:rPr>
                <w:color w:val="auto"/>
                <w:sz w:val="22"/>
                <w:highlight w:val="none"/>
              </w:rPr>
            </w:pPr>
            <w:r>
              <w:rPr>
                <w:rFonts w:hint="eastAsia"/>
                <w:color w:val="auto"/>
                <w:sz w:val="22"/>
                <w:highlight w:val="none"/>
              </w:rPr>
              <w:t>2</w:t>
            </w:r>
          </w:p>
        </w:tc>
      </w:tr>
      <w:tr w14:paraId="12B3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vAlign w:val="center"/>
          </w:tcPr>
          <w:p w14:paraId="40BD7DE5">
            <w:pPr>
              <w:widowControl/>
              <w:spacing w:line="360" w:lineRule="exact"/>
              <w:jc w:val="center"/>
              <w:textAlignment w:val="center"/>
              <w:rPr>
                <w:rFonts w:ascii="宋体" w:hAnsi="宋体" w:cs="宋体"/>
                <w:color w:val="auto"/>
                <w:highlight w:val="none"/>
              </w:rPr>
            </w:pPr>
          </w:p>
        </w:tc>
        <w:tc>
          <w:tcPr>
            <w:tcW w:w="476" w:type="pct"/>
            <w:vAlign w:val="center"/>
          </w:tcPr>
          <w:p w14:paraId="4093844C">
            <w:pPr>
              <w:widowControl/>
              <w:spacing w:line="360" w:lineRule="exact"/>
              <w:jc w:val="center"/>
              <w:textAlignment w:val="center"/>
              <w:rPr>
                <w:rFonts w:ascii="宋体" w:hAnsi="宋体" w:cs="宋体"/>
                <w:color w:val="auto"/>
                <w:highlight w:val="none"/>
              </w:rPr>
            </w:pPr>
            <w:r>
              <w:rPr>
                <w:rFonts w:hint="eastAsia" w:ascii="宋体" w:hAnsi="宋体" w:cs="宋体"/>
                <w:color w:val="auto"/>
                <w:kern w:val="0"/>
                <w:highlight w:val="none"/>
              </w:rPr>
              <w:t>12</w:t>
            </w:r>
          </w:p>
        </w:tc>
        <w:tc>
          <w:tcPr>
            <w:tcW w:w="1655" w:type="pct"/>
            <w:vAlign w:val="center"/>
          </w:tcPr>
          <w:p w14:paraId="764723BC">
            <w:pPr>
              <w:jc w:val="center"/>
              <w:rPr>
                <w:color w:val="auto"/>
                <w:sz w:val="22"/>
                <w:highlight w:val="none"/>
              </w:rPr>
            </w:pPr>
            <w:r>
              <w:rPr>
                <w:rFonts w:hint="eastAsia"/>
                <w:color w:val="auto"/>
                <w:sz w:val="22"/>
                <w:highlight w:val="none"/>
              </w:rPr>
              <w:t>厨工切配售卖</w:t>
            </w:r>
          </w:p>
        </w:tc>
        <w:tc>
          <w:tcPr>
            <w:tcW w:w="1987" w:type="pct"/>
            <w:vAlign w:val="center"/>
          </w:tcPr>
          <w:p w14:paraId="2232D21E">
            <w:pPr>
              <w:jc w:val="center"/>
              <w:rPr>
                <w:rFonts w:eastAsiaTheme="minorEastAsia"/>
                <w:color w:val="auto"/>
                <w:sz w:val="22"/>
                <w:highlight w:val="none"/>
              </w:rPr>
            </w:pPr>
            <w:r>
              <w:rPr>
                <w:rFonts w:hint="eastAsia"/>
                <w:color w:val="auto"/>
                <w:sz w:val="22"/>
                <w:highlight w:val="none"/>
              </w:rPr>
              <w:t>22</w:t>
            </w:r>
          </w:p>
        </w:tc>
      </w:tr>
      <w:tr w14:paraId="4ABB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0E71959D">
            <w:pPr>
              <w:widowControl/>
              <w:spacing w:line="360" w:lineRule="exact"/>
              <w:jc w:val="center"/>
              <w:textAlignment w:val="center"/>
              <w:rPr>
                <w:rFonts w:ascii="宋体" w:hAnsi="宋体" w:cs="宋体"/>
                <w:color w:val="auto"/>
                <w:highlight w:val="none"/>
              </w:rPr>
            </w:pPr>
          </w:p>
        </w:tc>
        <w:tc>
          <w:tcPr>
            <w:tcW w:w="476" w:type="pct"/>
            <w:vAlign w:val="center"/>
          </w:tcPr>
          <w:p w14:paraId="368567F3">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13</w:t>
            </w:r>
          </w:p>
        </w:tc>
        <w:tc>
          <w:tcPr>
            <w:tcW w:w="1655" w:type="pct"/>
            <w:vAlign w:val="center"/>
          </w:tcPr>
          <w:p w14:paraId="36F1ACCB">
            <w:pPr>
              <w:jc w:val="center"/>
              <w:rPr>
                <w:color w:val="auto"/>
                <w:sz w:val="22"/>
                <w:highlight w:val="none"/>
              </w:rPr>
            </w:pPr>
            <w:r>
              <w:rPr>
                <w:rFonts w:hint="eastAsia"/>
                <w:color w:val="auto"/>
                <w:sz w:val="22"/>
                <w:highlight w:val="none"/>
              </w:rPr>
              <w:t>仓管、财务</w:t>
            </w:r>
          </w:p>
        </w:tc>
        <w:tc>
          <w:tcPr>
            <w:tcW w:w="1987" w:type="pct"/>
            <w:vAlign w:val="center"/>
          </w:tcPr>
          <w:p w14:paraId="707EC794">
            <w:pPr>
              <w:jc w:val="center"/>
              <w:rPr>
                <w:color w:val="auto"/>
                <w:sz w:val="22"/>
                <w:highlight w:val="none"/>
              </w:rPr>
            </w:pPr>
            <w:r>
              <w:rPr>
                <w:rFonts w:hint="eastAsia"/>
                <w:color w:val="auto"/>
                <w:sz w:val="22"/>
                <w:highlight w:val="none"/>
              </w:rPr>
              <w:t>1</w:t>
            </w:r>
          </w:p>
        </w:tc>
      </w:tr>
      <w:tr w14:paraId="4429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1131610E">
            <w:pPr>
              <w:widowControl/>
              <w:spacing w:line="360" w:lineRule="exact"/>
              <w:jc w:val="center"/>
              <w:textAlignment w:val="center"/>
              <w:rPr>
                <w:rFonts w:ascii="宋体" w:hAnsi="宋体" w:cs="宋体"/>
                <w:color w:val="auto"/>
                <w:highlight w:val="none"/>
              </w:rPr>
            </w:pPr>
          </w:p>
        </w:tc>
        <w:tc>
          <w:tcPr>
            <w:tcW w:w="476" w:type="pct"/>
            <w:vAlign w:val="center"/>
          </w:tcPr>
          <w:p w14:paraId="2E65037E">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14</w:t>
            </w:r>
          </w:p>
        </w:tc>
        <w:tc>
          <w:tcPr>
            <w:tcW w:w="1655" w:type="pct"/>
            <w:vAlign w:val="center"/>
          </w:tcPr>
          <w:p w14:paraId="7443D575">
            <w:pPr>
              <w:jc w:val="center"/>
              <w:rPr>
                <w:color w:val="auto"/>
                <w:sz w:val="22"/>
                <w:highlight w:val="none"/>
              </w:rPr>
            </w:pPr>
            <w:r>
              <w:rPr>
                <w:rFonts w:hint="eastAsia"/>
                <w:color w:val="auto"/>
                <w:sz w:val="22"/>
                <w:highlight w:val="none"/>
              </w:rPr>
              <w:t>洗消间</w:t>
            </w:r>
          </w:p>
        </w:tc>
        <w:tc>
          <w:tcPr>
            <w:tcW w:w="1987" w:type="pct"/>
            <w:vAlign w:val="center"/>
          </w:tcPr>
          <w:p w14:paraId="6960DDCA">
            <w:pPr>
              <w:jc w:val="center"/>
              <w:rPr>
                <w:color w:val="auto"/>
                <w:sz w:val="22"/>
                <w:highlight w:val="none"/>
              </w:rPr>
            </w:pPr>
            <w:r>
              <w:rPr>
                <w:rFonts w:hint="eastAsia"/>
                <w:color w:val="auto"/>
                <w:sz w:val="22"/>
                <w:highlight w:val="none"/>
              </w:rPr>
              <w:t>5</w:t>
            </w:r>
          </w:p>
        </w:tc>
      </w:tr>
      <w:tr w14:paraId="6952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08C5E860">
            <w:pPr>
              <w:widowControl/>
              <w:spacing w:line="360" w:lineRule="exact"/>
              <w:jc w:val="center"/>
              <w:textAlignment w:val="center"/>
              <w:rPr>
                <w:rFonts w:ascii="宋体" w:hAnsi="宋体" w:cs="宋体"/>
                <w:color w:val="auto"/>
                <w:highlight w:val="none"/>
              </w:rPr>
            </w:pPr>
          </w:p>
        </w:tc>
        <w:tc>
          <w:tcPr>
            <w:tcW w:w="476" w:type="pct"/>
            <w:vAlign w:val="center"/>
          </w:tcPr>
          <w:p w14:paraId="2B7063E6">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15</w:t>
            </w:r>
          </w:p>
        </w:tc>
        <w:tc>
          <w:tcPr>
            <w:tcW w:w="1655" w:type="pct"/>
            <w:vAlign w:val="center"/>
          </w:tcPr>
          <w:p w14:paraId="11B52ACD">
            <w:pPr>
              <w:jc w:val="center"/>
              <w:rPr>
                <w:color w:val="auto"/>
                <w:sz w:val="22"/>
                <w:highlight w:val="none"/>
              </w:rPr>
            </w:pPr>
            <w:r>
              <w:rPr>
                <w:rFonts w:hint="eastAsia"/>
                <w:color w:val="auto"/>
                <w:sz w:val="22"/>
                <w:highlight w:val="none"/>
              </w:rPr>
              <w:t>大厅保洁卫生</w:t>
            </w:r>
          </w:p>
        </w:tc>
        <w:tc>
          <w:tcPr>
            <w:tcW w:w="1987" w:type="pct"/>
            <w:vAlign w:val="center"/>
          </w:tcPr>
          <w:p w14:paraId="6E37AF72">
            <w:pPr>
              <w:jc w:val="center"/>
              <w:rPr>
                <w:rFonts w:eastAsiaTheme="minorEastAsia"/>
                <w:color w:val="auto"/>
                <w:sz w:val="22"/>
                <w:highlight w:val="none"/>
              </w:rPr>
            </w:pPr>
            <w:r>
              <w:rPr>
                <w:rFonts w:hint="eastAsia"/>
                <w:color w:val="auto"/>
                <w:sz w:val="22"/>
                <w:highlight w:val="none"/>
              </w:rPr>
              <w:t>12</w:t>
            </w:r>
          </w:p>
        </w:tc>
      </w:tr>
      <w:tr w14:paraId="5AB8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1FC5CDA2">
            <w:pPr>
              <w:widowControl/>
              <w:spacing w:line="360" w:lineRule="exact"/>
              <w:jc w:val="center"/>
              <w:textAlignment w:val="center"/>
              <w:rPr>
                <w:rFonts w:ascii="宋体" w:hAnsi="宋体" w:cs="宋体"/>
                <w:color w:val="auto"/>
                <w:highlight w:val="none"/>
              </w:rPr>
            </w:pPr>
          </w:p>
        </w:tc>
        <w:tc>
          <w:tcPr>
            <w:tcW w:w="476" w:type="pct"/>
            <w:vAlign w:val="center"/>
          </w:tcPr>
          <w:p w14:paraId="026E7D26">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16</w:t>
            </w:r>
          </w:p>
        </w:tc>
        <w:tc>
          <w:tcPr>
            <w:tcW w:w="1655" w:type="pct"/>
            <w:vAlign w:val="center"/>
          </w:tcPr>
          <w:p w14:paraId="63C3BE3E">
            <w:pPr>
              <w:jc w:val="center"/>
              <w:rPr>
                <w:color w:val="auto"/>
                <w:sz w:val="22"/>
                <w:highlight w:val="none"/>
              </w:rPr>
            </w:pPr>
            <w:r>
              <w:rPr>
                <w:rFonts w:hint="eastAsia"/>
                <w:color w:val="auto"/>
                <w:sz w:val="22"/>
                <w:highlight w:val="none"/>
              </w:rPr>
              <w:t>面点师</w:t>
            </w:r>
          </w:p>
        </w:tc>
        <w:tc>
          <w:tcPr>
            <w:tcW w:w="1987" w:type="pct"/>
            <w:vAlign w:val="center"/>
          </w:tcPr>
          <w:p w14:paraId="67664D81">
            <w:pPr>
              <w:jc w:val="center"/>
              <w:rPr>
                <w:color w:val="auto"/>
                <w:sz w:val="22"/>
                <w:highlight w:val="none"/>
              </w:rPr>
            </w:pPr>
            <w:r>
              <w:rPr>
                <w:rFonts w:hint="eastAsia"/>
                <w:color w:val="auto"/>
                <w:sz w:val="22"/>
                <w:highlight w:val="none"/>
              </w:rPr>
              <w:t>1</w:t>
            </w:r>
          </w:p>
        </w:tc>
      </w:tr>
      <w:tr w14:paraId="3530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6927EFE9">
            <w:pPr>
              <w:widowControl/>
              <w:spacing w:line="360" w:lineRule="exact"/>
              <w:jc w:val="center"/>
              <w:textAlignment w:val="center"/>
              <w:rPr>
                <w:rFonts w:ascii="宋体" w:hAnsi="宋体" w:cs="宋体"/>
                <w:color w:val="auto"/>
                <w:highlight w:val="none"/>
              </w:rPr>
            </w:pPr>
          </w:p>
        </w:tc>
        <w:tc>
          <w:tcPr>
            <w:tcW w:w="476" w:type="pct"/>
            <w:vAlign w:val="center"/>
          </w:tcPr>
          <w:p w14:paraId="3C2BA2F3">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17</w:t>
            </w:r>
          </w:p>
        </w:tc>
        <w:tc>
          <w:tcPr>
            <w:tcW w:w="1655" w:type="pct"/>
            <w:vAlign w:val="center"/>
          </w:tcPr>
          <w:p w14:paraId="71170DEE">
            <w:pPr>
              <w:jc w:val="center"/>
              <w:rPr>
                <w:color w:val="auto"/>
                <w:sz w:val="22"/>
                <w:highlight w:val="none"/>
              </w:rPr>
            </w:pPr>
            <w:r>
              <w:rPr>
                <w:rFonts w:hint="eastAsia"/>
                <w:color w:val="auto"/>
                <w:sz w:val="22"/>
                <w:highlight w:val="none"/>
              </w:rPr>
              <w:t>白案师</w:t>
            </w:r>
          </w:p>
        </w:tc>
        <w:tc>
          <w:tcPr>
            <w:tcW w:w="1987" w:type="pct"/>
            <w:vAlign w:val="center"/>
          </w:tcPr>
          <w:p w14:paraId="1C7E5282">
            <w:pPr>
              <w:jc w:val="center"/>
              <w:rPr>
                <w:color w:val="auto"/>
                <w:sz w:val="22"/>
                <w:highlight w:val="none"/>
              </w:rPr>
            </w:pPr>
            <w:r>
              <w:rPr>
                <w:rFonts w:hint="eastAsia"/>
                <w:color w:val="auto"/>
                <w:sz w:val="22"/>
                <w:highlight w:val="none"/>
              </w:rPr>
              <w:t>1</w:t>
            </w:r>
          </w:p>
        </w:tc>
      </w:tr>
      <w:tr w14:paraId="5BB3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0D845622">
            <w:pPr>
              <w:widowControl/>
              <w:spacing w:line="360" w:lineRule="exact"/>
              <w:jc w:val="center"/>
              <w:textAlignment w:val="center"/>
              <w:rPr>
                <w:rFonts w:ascii="宋体" w:hAnsi="宋体" w:cs="宋体"/>
                <w:color w:val="auto"/>
                <w:highlight w:val="none"/>
              </w:rPr>
            </w:pPr>
          </w:p>
        </w:tc>
        <w:tc>
          <w:tcPr>
            <w:tcW w:w="476" w:type="pct"/>
            <w:vAlign w:val="center"/>
          </w:tcPr>
          <w:p w14:paraId="28E91345">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18</w:t>
            </w:r>
          </w:p>
        </w:tc>
        <w:tc>
          <w:tcPr>
            <w:tcW w:w="1655" w:type="pct"/>
            <w:vAlign w:val="center"/>
          </w:tcPr>
          <w:p w14:paraId="10950B65">
            <w:pPr>
              <w:jc w:val="center"/>
              <w:rPr>
                <w:color w:val="auto"/>
                <w:sz w:val="22"/>
                <w:highlight w:val="none"/>
              </w:rPr>
            </w:pPr>
            <w:r>
              <w:rPr>
                <w:rFonts w:hint="eastAsia"/>
                <w:color w:val="auto"/>
                <w:sz w:val="22"/>
                <w:highlight w:val="none"/>
              </w:rPr>
              <w:t>早餐厨工切配售卖</w:t>
            </w:r>
          </w:p>
        </w:tc>
        <w:tc>
          <w:tcPr>
            <w:tcW w:w="1987" w:type="pct"/>
            <w:vAlign w:val="center"/>
          </w:tcPr>
          <w:p w14:paraId="40E2E68D">
            <w:pPr>
              <w:jc w:val="center"/>
              <w:rPr>
                <w:color w:val="auto"/>
                <w:sz w:val="22"/>
                <w:highlight w:val="none"/>
              </w:rPr>
            </w:pPr>
            <w:r>
              <w:rPr>
                <w:rFonts w:hint="eastAsia"/>
                <w:color w:val="auto"/>
                <w:sz w:val="22"/>
                <w:highlight w:val="none"/>
              </w:rPr>
              <w:t>10</w:t>
            </w:r>
          </w:p>
        </w:tc>
      </w:tr>
      <w:tr w14:paraId="1215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restart"/>
          </w:tcPr>
          <w:p w14:paraId="1133A146">
            <w:pPr>
              <w:widowControl/>
              <w:spacing w:line="360" w:lineRule="exact"/>
              <w:jc w:val="center"/>
              <w:textAlignment w:val="center"/>
              <w:rPr>
                <w:rFonts w:ascii="宋体" w:hAnsi="宋体"/>
                <w:color w:val="auto"/>
                <w:highlight w:val="none"/>
              </w:rPr>
            </w:pPr>
          </w:p>
          <w:p w14:paraId="04BEAC7C">
            <w:pPr>
              <w:widowControl/>
              <w:spacing w:line="360" w:lineRule="exact"/>
              <w:jc w:val="center"/>
              <w:textAlignment w:val="center"/>
              <w:rPr>
                <w:rFonts w:ascii="宋体" w:hAnsi="宋体"/>
                <w:color w:val="auto"/>
                <w:highlight w:val="none"/>
              </w:rPr>
            </w:pPr>
          </w:p>
          <w:p w14:paraId="21EBD16A">
            <w:pPr>
              <w:widowControl/>
              <w:spacing w:line="360" w:lineRule="exact"/>
              <w:jc w:val="center"/>
              <w:textAlignment w:val="center"/>
              <w:rPr>
                <w:rFonts w:ascii="宋体" w:hAnsi="宋体"/>
                <w:color w:val="auto"/>
                <w:highlight w:val="none"/>
              </w:rPr>
            </w:pPr>
          </w:p>
          <w:p w14:paraId="6ECD841B">
            <w:pPr>
              <w:widowControl/>
              <w:spacing w:line="360" w:lineRule="exact"/>
              <w:jc w:val="center"/>
              <w:textAlignment w:val="center"/>
              <w:rPr>
                <w:rFonts w:ascii="宋体" w:hAnsi="宋体"/>
                <w:color w:val="auto"/>
                <w:highlight w:val="none"/>
              </w:rPr>
            </w:pPr>
          </w:p>
          <w:p w14:paraId="5D51ED47">
            <w:pPr>
              <w:widowControl/>
              <w:spacing w:line="360" w:lineRule="exact"/>
              <w:jc w:val="center"/>
              <w:textAlignment w:val="center"/>
              <w:rPr>
                <w:rFonts w:ascii="宋体" w:hAnsi="宋体" w:cs="宋体"/>
                <w:color w:val="auto"/>
                <w:highlight w:val="none"/>
              </w:rPr>
            </w:pPr>
            <w:r>
              <w:rPr>
                <w:rFonts w:hint="eastAsia" w:ascii="宋体" w:hAnsi="宋体"/>
                <w:color w:val="auto"/>
                <w:highlight w:val="none"/>
              </w:rPr>
              <w:t>春华苑</w:t>
            </w:r>
            <w:r>
              <w:rPr>
                <w:rFonts w:ascii="宋体" w:hAnsi="宋体"/>
                <w:color w:val="auto"/>
                <w:highlight w:val="none"/>
              </w:rPr>
              <w:t>2</w:t>
            </w:r>
            <w:r>
              <w:rPr>
                <w:rFonts w:hint="eastAsia" w:ascii="宋体" w:hAnsi="宋体"/>
                <w:color w:val="auto"/>
                <w:highlight w:val="none"/>
              </w:rPr>
              <w:t>楼</w:t>
            </w:r>
          </w:p>
          <w:p w14:paraId="2B08A52B">
            <w:pPr>
              <w:widowControl/>
              <w:spacing w:line="360" w:lineRule="exact"/>
              <w:jc w:val="center"/>
              <w:textAlignment w:val="center"/>
              <w:rPr>
                <w:rFonts w:ascii="宋体" w:hAnsi="宋体" w:cs="宋体"/>
                <w:color w:val="auto"/>
                <w:highlight w:val="none"/>
              </w:rPr>
            </w:pPr>
          </w:p>
        </w:tc>
        <w:tc>
          <w:tcPr>
            <w:tcW w:w="476" w:type="pct"/>
            <w:vAlign w:val="center"/>
          </w:tcPr>
          <w:p w14:paraId="05B53D70">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19</w:t>
            </w:r>
          </w:p>
        </w:tc>
        <w:tc>
          <w:tcPr>
            <w:tcW w:w="1655" w:type="pct"/>
            <w:vAlign w:val="center"/>
          </w:tcPr>
          <w:p w14:paraId="1502AADC">
            <w:pPr>
              <w:widowControl/>
              <w:jc w:val="center"/>
              <w:rPr>
                <w:color w:val="auto"/>
                <w:kern w:val="0"/>
                <w:sz w:val="22"/>
                <w:highlight w:val="none"/>
              </w:rPr>
            </w:pPr>
            <w:r>
              <w:rPr>
                <w:rFonts w:hint="eastAsia"/>
                <w:color w:val="auto"/>
                <w:sz w:val="22"/>
                <w:highlight w:val="none"/>
              </w:rPr>
              <w:t>厨师</w:t>
            </w:r>
          </w:p>
        </w:tc>
        <w:tc>
          <w:tcPr>
            <w:tcW w:w="1987" w:type="pct"/>
            <w:vAlign w:val="center"/>
          </w:tcPr>
          <w:p w14:paraId="2261841A">
            <w:pPr>
              <w:widowControl/>
              <w:jc w:val="center"/>
              <w:rPr>
                <w:color w:val="auto"/>
                <w:kern w:val="0"/>
                <w:sz w:val="22"/>
                <w:highlight w:val="none"/>
              </w:rPr>
            </w:pPr>
            <w:r>
              <w:rPr>
                <w:rFonts w:hint="eastAsia"/>
                <w:color w:val="auto"/>
                <w:sz w:val="22"/>
                <w:highlight w:val="none"/>
              </w:rPr>
              <w:t>1</w:t>
            </w:r>
          </w:p>
        </w:tc>
      </w:tr>
      <w:tr w14:paraId="7BCC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648914D4">
            <w:pPr>
              <w:widowControl/>
              <w:spacing w:line="360" w:lineRule="exact"/>
              <w:jc w:val="center"/>
              <w:textAlignment w:val="center"/>
              <w:rPr>
                <w:rFonts w:ascii="宋体" w:hAnsi="宋体" w:cs="宋体"/>
                <w:color w:val="auto"/>
                <w:highlight w:val="none"/>
              </w:rPr>
            </w:pPr>
          </w:p>
        </w:tc>
        <w:tc>
          <w:tcPr>
            <w:tcW w:w="476" w:type="pct"/>
            <w:vAlign w:val="center"/>
          </w:tcPr>
          <w:p w14:paraId="79F0FC07">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20</w:t>
            </w:r>
          </w:p>
        </w:tc>
        <w:tc>
          <w:tcPr>
            <w:tcW w:w="1655" w:type="pct"/>
            <w:vAlign w:val="center"/>
          </w:tcPr>
          <w:p w14:paraId="2D0191C7">
            <w:pPr>
              <w:jc w:val="center"/>
              <w:rPr>
                <w:color w:val="auto"/>
                <w:sz w:val="22"/>
                <w:highlight w:val="none"/>
              </w:rPr>
            </w:pPr>
            <w:r>
              <w:rPr>
                <w:rFonts w:hint="eastAsia"/>
                <w:color w:val="auto"/>
                <w:sz w:val="22"/>
                <w:highlight w:val="none"/>
              </w:rPr>
              <w:t>蒸饭</w:t>
            </w:r>
          </w:p>
        </w:tc>
        <w:tc>
          <w:tcPr>
            <w:tcW w:w="1987" w:type="pct"/>
            <w:vAlign w:val="center"/>
          </w:tcPr>
          <w:p w14:paraId="3042553D">
            <w:pPr>
              <w:jc w:val="center"/>
              <w:rPr>
                <w:color w:val="auto"/>
                <w:sz w:val="22"/>
                <w:highlight w:val="none"/>
              </w:rPr>
            </w:pPr>
            <w:r>
              <w:rPr>
                <w:rFonts w:hint="eastAsia"/>
                <w:color w:val="auto"/>
                <w:sz w:val="22"/>
                <w:highlight w:val="none"/>
              </w:rPr>
              <w:t>1</w:t>
            </w:r>
          </w:p>
        </w:tc>
      </w:tr>
      <w:tr w14:paraId="22BF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79CB2040">
            <w:pPr>
              <w:widowControl/>
              <w:spacing w:line="360" w:lineRule="exact"/>
              <w:jc w:val="center"/>
              <w:textAlignment w:val="center"/>
              <w:rPr>
                <w:rFonts w:ascii="宋体" w:hAnsi="宋体" w:cs="宋体"/>
                <w:color w:val="auto"/>
                <w:highlight w:val="none"/>
              </w:rPr>
            </w:pPr>
          </w:p>
        </w:tc>
        <w:tc>
          <w:tcPr>
            <w:tcW w:w="476" w:type="pct"/>
            <w:vAlign w:val="center"/>
          </w:tcPr>
          <w:p w14:paraId="00A13ECD">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21</w:t>
            </w:r>
          </w:p>
        </w:tc>
        <w:tc>
          <w:tcPr>
            <w:tcW w:w="1655" w:type="pct"/>
            <w:vAlign w:val="center"/>
          </w:tcPr>
          <w:p w14:paraId="44F2E237">
            <w:pPr>
              <w:jc w:val="center"/>
              <w:rPr>
                <w:color w:val="auto"/>
                <w:sz w:val="22"/>
                <w:highlight w:val="none"/>
              </w:rPr>
            </w:pPr>
            <w:r>
              <w:rPr>
                <w:rFonts w:hint="eastAsia"/>
                <w:color w:val="auto"/>
                <w:sz w:val="22"/>
                <w:highlight w:val="none"/>
              </w:rPr>
              <w:t>厨工切配售卖</w:t>
            </w:r>
          </w:p>
        </w:tc>
        <w:tc>
          <w:tcPr>
            <w:tcW w:w="1987" w:type="pct"/>
            <w:vAlign w:val="center"/>
          </w:tcPr>
          <w:p w14:paraId="34DD241C">
            <w:pPr>
              <w:jc w:val="center"/>
              <w:rPr>
                <w:color w:val="auto"/>
                <w:sz w:val="22"/>
                <w:highlight w:val="none"/>
              </w:rPr>
            </w:pPr>
            <w:r>
              <w:rPr>
                <w:rFonts w:hint="eastAsia"/>
                <w:color w:val="auto"/>
                <w:sz w:val="22"/>
                <w:highlight w:val="none"/>
              </w:rPr>
              <w:t>6</w:t>
            </w:r>
          </w:p>
        </w:tc>
      </w:tr>
      <w:tr w14:paraId="114A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1858CEFB">
            <w:pPr>
              <w:widowControl/>
              <w:spacing w:line="360" w:lineRule="exact"/>
              <w:jc w:val="center"/>
              <w:textAlignment w:val="center"/>
              <w:rPr>
                <w:rFonts w:ascii="宋体" w:hAnsi="宋体" w:cs="宋体"/>
                <w:color w:val="auto"/>
                <w:highlight w:val="none"/>
              </w:rPr>
            </w:pPr>
          </w:p>
        </w:tc>
        <w:tc>
          <w:tcPr>
            <w:tcW w:w="476" w:type="pct"/>
            <w:vAlign w:val="center"/>
          </w:tcPr>
          <w:p w14:paraId="220938DE">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22</w:t>
            </w:r>
          </w:p>
        </w:tc>
        <w:tc>
          <w:tcPr>
            <w:tcW w:w="1655" w:type="pct"/>
            <w:vAlign w:val="center"/>
          </w:tcPr>
          <w:p w14:paraId="56D773A4">
            <w:pPr>
              <w:jc w:val="center"/>
              <w:rPr>
                <w:color w:val="auto"/>
                <w:sz w:val="22"/>
                <w:highlight w:val="none"/>
              </w:rPr>
            </w:pPr>
            <w:r>
              <w:rPr>
                <w:rFonts w:hint="eastAsia"/>
                <w:color w:val="auto"/>
                <w:sz w:val="22"/>
                <w:highlight w:val="none"/>
              </w:rPr>
              <w:t>洗消间</w:t>
            </w:r>
          </w:p>
        </w:tc>
        <w:tc>
          <w:tcPr>
            <w:tcW w:w="1987" w:type="pct"/>
            <w:vAlign w:val="center"/>
          </w:tcPr>
          <w:p w14:paraId="227C3000">
            <w:pPr>
              <w:jc w:val="center"/>
              <w:rPr>
                <w:color w:val="auto"/>
                <w:sz w:val="22"/>
                <w:highlight w:val="none"/>
              </w:rPr>
            </w:pPr>
            <w:r>
              <w:rPr>
                <w:rFonts w:hint="eastAsia"/>
                <w:color w:val="auto"/>
                <w:sz w:val="22"/>
                <w:highlight w:val="none"/>
              </w:rPr>
              <w:t>2</w:t>
            </w:r>
          </w:p>
        </w:tc>
      </w:tr>
      <w:tr w14:paraId="1659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64A74C56">
            <w:pPr>
              <w:widowControl/>
              <w:spacing w:line="360" w:lineRule="exact"/>
              <w:jc w:val="center"/>
              <w:textAlignment w:val="center"/>
              <w:rPr>
                <w:rFonts w:ascii="宋体" w:hAnsi="宋体" w:cs="宋体"/>
                <w:color w:val="auto"/>
                <w:highlight w:val="none"/>
              </w:rPr>
            </w:pPr>
          </w:p>
        </w:tc>
        <w:tc>
          <w:tcPr>
            <w:tcW w:w="476" w:type="pct"/>
            <w:vAlign w:val="center"/>
          </w:tcPr>
          <w:p w14:paraId="01285DBB">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23</w:t>
            </w:r>
          </w:p>
        </w:tc>
        <w:tc>
          <w:tcPr>
            <w:tcW w:w="1655" w:type="pct"/>
            <w:vAlign w:val="center"/>
          </w:tcPr>
          <w:p w14:paraId="04A08449">
            <w:pPr>
              <w:jc w:val="center"/>
              <w:rPr>
                <w:color w:val="auto"/>
                <w:sz w:val="22"/>
                <w:highlight w:val="none"/>
              </w:rPr>
            </w:pPr>
            <w:r>
              <w:rPr>
                <w:rFonts w:hint="eastAsia"/>
                <w:color w:val="auto"/>
                <w:sz w:val="22"/>
                <w:highlight w:val="none"/>
              </w:rPr>
              <w:t>大厅保洁卫生</w:t>
            </w:r>
          </w:p>
        </w:tc>
        <w:tc>
          <w:tcPr>
            <w:tcW w:w="1987" w:type="pct"/>
            <w:vAlign w:val="center"/>
          </w:tcPr>
          <w:p w14:paraId="1CFFA496">
            <w:pPr>
              <w:jc w:val="center"/>
              <w:rPr>
                <w:color w:val="auto"/>
                <w:sz w:val="22"/>
                <w:highlight w:val="none"/>
              </w:rPr>
            </w:pPr>
            <w:r>
              <w:rPr>
                <w:rFonts w:hint="eastAsia"/>
                <w:color w:val="auto"/>
                <w:sz w:val="22"/>
                <w:highlight w:val="none"/>
              </w:rPr>
              <w:t>7</w:t>
            </w:r>
          </w:p>
        </w:tc>
      </w:tr>
      <w:tr w14:paraId="7257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restart"/>
          </w:tcPr>
          <w:p w14:paraId="0FE9B2DE">
            <w:pPr>
              <w:widowControl/>
              <w:spacing w:line="360" w:lineRule="exact"/>
              <w:jc w:val="center"/>
              <w:textAlignment w:val="center"/>
              <w:rPr>
                <w:rFonts w:ascii="宋体" w:hAnsi="宋体" w:cs="宋体"/>
                <w:color w:val="auto"/>
                <w:highlight w:val="none"/>
              </w:rPr>
            </w:pPr>
          </w:p>
          <w:p w14:paraId="137F9B45">
            <w:pPr>
              <w:widowControl/>
              <w:spacing w:line="360" w:lineRule="exact"/>
              <w:jc w:val="center"/>
              <w:textAlignment w:val="center"/>
              <w:rPr>
                <w:rFonts w:ascii="宋体" w:hAnsi="宋体" w:cs="宋体"/>
                <w:color w:val="auto"/>
                <w:highlight w:val="none"/>
              </w:rPr>
            </w:pPr>
          </w:p>
          <w:p w14:paraId="21747322">
            <w:pPr>
              <w:widowControl/>
              <w:spacing w:line="360" w:lineRule="exact"/>
              <w:jc w:val="center"/>
              <w:textAlignment w:val="center"/>
              <w:rPr>
                <w:rFonts w:ascii="宋体" w:hAnsi="宋体" w:cs="宋体"/>
                <w:color w:val="auto"/>
                <w:highlight w:val="none"/>
              </w:rPr>
            </w:pPr>
          </w:p>
          <w:p w14:paraId="0B719F02">
            <w:pPr>
              <w:widowControl/>
              <w:spacing w:line="360" w:lineRule="exact"/>
              <w:jc w:val="center"/>
              <w:textAlignment w:val="center"/>
              <w:rPr>
                <w:rFonts w:ascii="宋体" w:hAnsi="宋体" w:cs="宋体"/>
                <w:color w:val="auto"/>
                <w:highlight w:val="none"/>
              </w:rPr>
            </w:pPr>
          </w:p>
          <w:p w14:paraId="20EDBBAD">
            <w:pPr>
              <w:widowControl/>
              <w:spacing w:line="360" w:lineRule="exact"/>
              <w:jc w:val="center"/>
              <w:textAlignment w:val="center"/>
              <w:rPr>
                <w:rFonts w:ascii="宋体" w:hAnsi="宋体" w:cs="宋体"/>
                <w:color w:val="auto"/>
                <w:highlight w:val="none"/>
              </w:rPr>
            </w:pPr>
            <w:r>
              <w:rPr>
                <w:rFonts w:hint="eastAsia" w:ascii="宋体" w:hAnsi="宋体" w:cs="宋体"/>
                <w:color w:val="auto"/>
                <w:highlight w:val="none"/>
              </w:rPr>
              <w:t>风华苑</w:t>
            </w:r>
            <w:r>
              <w:rPr>
                <w:rFonts w:ascii="宋体" w:hAnsi="宋体"/>
                <w:color w:val="auto"/>
                <w:highlight w:val="none"/>
              </w:rPr>
              <w:t>2</w:t>
            </w:r>
            <w:r>
              <w:rPr>
                <w:rFonts w:hint="eastAsia" w:ascii="宋体" w:hAnsi="宋体"/>
                <w:color w:val="auto"/>
                <w:highlight w:val="none"/>
              </w:rPr>
              <w:t>楼</w:t>
            </w:r>
          </w:p>
        </w:tc>
        <w:tc>
          <w:tcPr>
            <w:tcW w:w="476" w:type="pct"/>
            <w:vAlign w:val="center"/>
          </w:tcPr>
          <w:p w14:paraId="5B45908F">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24</w:t>
            </w:r>
          </w:p>
        </w:tc>
        <w:tc>
          <w:tcPr>
            <w:tcW w:w="1655" w:type="pct"/>
            <w:vAlign w:val="center"/>
          </w:tcPr>
          <w:p w14:paraId="16C7A2B1">
            <w:pPr>
              <w:widowControl/>
              <w:jc w:val="center"/>
              <w:rPr>
                <w:color w:val="auto"/>
                <w:kern w:val="0"/>
                <w:sz w:val="22"/>
                <w:highlight w:val="none"/>
              </w:rPr>
            </w:pPr>
            <w:r>
              <w:rPr>
                <w:rFonts w:hint="eastAsia"/>
                <w:color w:val="auto"/>
                <w:sz w:val="22"/>
                <w:highlight w:val="none"/>
              </w:rPr>
              <w:t>厨师</w:t>
            </w:r>
          </w:p>
        </w:tc>
        <w:tc>
          <w:tcPr>
            <w:tcW w:w="1987" w:type="pct"/>
            <w:vAlign w:val="center"/>
          </w:tcPr>
          <w:p w14:paraId="03B92F47">
            <w:pPr>
              <w:widowControl/>
              <w:jc w:val="center"/>
              <w:rPr>
                <w:color w:val="auto"/>
                <w:kern w:val="0"/>
                <w:sz w:val="22"/>
                <w:highlight w:val="none"/>
              </w:rPr>
            </w:pPr>
            <w:r>
              <w:rPr>
                <w:rFonts w:hint="eastAsia"/>
                <w:color w:val="auto"/>
                <w:sz w:val="22"/>
                <w:highlight w:val="none"/>
              </w:rPr>
              <w:t>1</w:t>
            </w:r>
          </w:p>
        </w:tc>
      </w:tr>
      <w:tr w14:paraId="361A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2129CCFF">
            <w:pPr>
              <w:widowControl/>
              <w:spacing w:line="360" w:lineRule="exact"/>
              <w:jc w:val="center"/>
              <w:textAlignment w:val="center"/>
              <w:rPr>
                <w:rFonts w:ascii="宋体" w:hAnsi="宋体" w:cs="宋体"/>
                <w:color w:val="auto"/>
                <w:highlight w:val="none"/>
              </w:rPr>
            </w:pPr>
          </w:p>
        </w:tc>
        <w:tc>
          <w:tcPr>
            <w:tcW w:w="476" w:type="pct"/>
            <w:vAlign w:val="center"/>
          </w:tcPr>
          <w:p w14:paraId="5BAA10E7">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25</w:t>
            </w:r>
          </w:p>
        </w:tc>
        <w:tc>
          <w:tcPr>
            <w:tcW w:w="1655" w:type="pct"/>
            <w:vAlign w:val="center"/>
          </w:tcPr>
          <w:p w14:paraId="26574596">
            <w:pPr>
              <w:jc w:val="center"/>
              <w:rPr>
                <w:color w:val="auto"/>
                <w:sz w:val="22"/>
                <w:highlight w:val="none"/>
              </w:rPr>
            </w:pPr>
            <w:r>
              <w:rPr>
                <w:rFonts w:hint="eastAsia"/>
                <w:color w:val="auto"/>
                <w:sz w:val="22"/>
                <w:highlight w:val="none"/>
              </w:rPr>
              <w:t>蒸饭</w:t>
            </w:r>
          </w:p>
        </w:tc>
        <w:tc>
          <w:tcPr>
            <w:tcW w:w="1987" w:type="pct"/>
            <w:vAlign w:val="center"/>
          </w:tcPr>
          <w:p w14:paraId="7D1552E5">
            <w:pPr>
              <w:jc w:val="center"/>
              <w:rPr>
                <w:color w:val="auto"/>
                <w:sz w:val="22"/>
                <w:highlight w:val="none"/>
              </w:rPr>
            </w:pPr>
            <w:r>
              <w:rPr>
                <w:rFonts w:hint="eastAsia"/>
                <w:color w:val="auto"/>
                <w:sz w:val="22"/>
                <w:highlight w:val="none"/>
              </w:rPr>
              <w:t>1</w:t>
            </w:r>
          </w:p>
        </w:tc>
      </w:tr>
      <w:tr w14:paraId="6077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23321C83">
            <w:pPr>
              <w:widowControl/>
              <w:spacing w:line="360" w:lineRule="exact"/>
              <w:jc w:val="center"/>
              <w:textAlignment w:val="center"/>
              <w:rPr>
                <w:rFonts w:ascii="宋体" w:hAnsi="宋体" w:cs="宋体"/>
                <w:color w:val="auto"/>
                <w:highlight w:val="none"/>
              </w:rPr>
            </w:pPr>
          </w:p>
        </w:tc>
        <w:tc>
          <w:tcPr>
            <w:tcW w:w="476" w:type="pct"/>
            <w:vAlign w:val="center"/>
          </w:tcPr>
          <w:p w14:paraId="547C8C61">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26</w:t>
            </w:r>
          </w:p>
        </w:tc>
        <w:tc>
          <w:tcPr>
            <w:tcW w:w="1655" w:type="pct"/>
            <w:vAlign w:val="center"/>
          </w:tcPr>
          <w:p w14:paraId="49224752">
            <w:pPr>
              <w:jc w:val="center"/>
              <w:rPr>
                <w:color w:val="auto"/>
                <w:sz w:val="22"/>
                <w:highlight w:val="none"/>
              </w:rPr>
            </w:pPr>
            <w:r>
              <w:rPr>
                <w:rFonts w:hint="eastAsia"/>
                <w:color w:val="auto"/>
                <w:sz w:val="22"/>
                <w:highlight w:val="none"/>
              </w:rPr>
              <w:t>厨工切配售卖</w:t>
            </w:r>
          </w:p>
        </w:tc>
        <w:tc>
          <w:tcPr>
            <w:tcW w:w="1987" w:type="pct"/>
            <w:vAlign w:val="center"/>
          </w:tcPr>
          <w:p w14:paraId="4316E5B6">
            <w:pPr>
              <w:jc w:val="center"/>
              <w:rPr>
                <w:color w:val="auto"/>
                <w:sz w:val="22"/>
                <w:highlight w:val="none"/>
              </w:rPr>
            </w:pPr>
            <w:r>
              <w:rPr>
                <w:rFonts w:hint="eastAsia"/>
                <w:color w:val="auto"/>
                <w:sz w:val="22"/>
                <w:highlight w:val="none"/>
              </w:rPr>
              <w:t>3</w:t>
            </w:r>
          </w:p>
        </w:tc>
      </w:tr>
      <w:tr w14:paraId="69F2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5D668D4B">
            <w:pPr>
              <w:widowControl/>
              <w:spacing w:line="360" w:lineRule="exact"/>
              <w:jc w:val="center"/>
              <w:textAlignment w:val="center"/>
              <w:rPr>
                <w:rFonts w:ascii="宋体" w:hAnsi="宋体" w:cs="宋体"/>
                <w:color w:val="auto"/>
                <w:highlight w:val="none"/>
              </w:rPr>
            </w:pPr>
          </w:p>
        </w:tc>
        <w:tc>
          <w:tcPr>
            <w:tcW w:w="476" w:type="pct"/>
            <w:vAlign w:val="center"/>
          </w:tcPr>
          <w:p w14:paraId="4247649E">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27</w:t>
            </w:r>
          </w:p>
        </w:tc>
        <w:tc>
          <w:tcPr>
            <w:tcW w:w="1655" w:type="pct"/>
            <w:vAlign w:val="center"/>
          </w:tcPr>
          <w:p w14:paraId="47EBCA3B">
            <w:pPr>
              <w:jc w:val="center"/>
              <w:rPr>
                <w:color w:val="auto"/>
                <w:sz w:val="22"/>
                <w:highlight w:val="none"/>
              </w:rPr>
            </w:pPr>
            <w:r>
              <w:rPr>
                <w:rFonts w:hint="eastAsia"/>
                <w:color w:val="auto"/>
                <w:sz w:val="22"/>
                <w:highlight w:val="none"/>
              </w:rPr>
              <w:t>洗消间</w:t>
            </w:r>
          </w:p>
        </w:tc>
        <w:tc>
          <w:tcPr>
            <w:tcW w:w="1987" w:type="pct"/>
            <w:vAlign w:val="center"/>
          </w:tcPr>
          <w:p w14:paraId="3BBA0231">
            <w:pPr>
              <w:jc w:val="center"/>
              <w:rPr>
                <w:color w:val="auto"/>
                <w:sz w:val="22"/>
                <w:highlight w:val="none"/>
              </w:rPr>
            </w:pPr>
            <w:r>
              <w:rPr>
                <w:rFonts w:hint="eastAsia"/>
                <w:color w:val="auto"/>
                <w:sz w:val="22"/>
                <w:highlight w:val="none"/>
              </w:rPr>
              <w:t>1</w:t>
            </w:r>
          </w:p>
        </w:tc>
      </w:tr>
      <w:tr w14:paraId="5D8A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0" w:type="pct"/>
            <w:vMerge w:val="continue"/>
          </w:tcPr>
          <w:p w14:paraId="23AC0DC4">
            <w:pPr>
              <w:widowControl/>
              <w:spacing w:line="360" w:lineRule="exact"/>
              <w:jc w:val="center"/>
              <w:textAlignment w:val="center"/>
              <w:rPr>
                <w:rFonts w:ascii="宋体" w:hAnsi="宋体" w:cs="宋体"/>
                <w:color w:val="auto"/>
                <w:highlight w:val="none"/>
              </w:rPr>
            </w:pPr>
          </w:p>
        </w:tc>
        <w:tc>
          <w:tcPr>
            <w:tcW w:w="476" w:type="pct"/>
            <w:vAlign w:val="center"/>
          </w:tcPr>
          <w:p w14:paraId="1A98DDBD">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28</w:t>
            </w:r>
          </w:p>
        </w:tc>
        <w:tc>
          <w:tcPr>
            <w:tcW w:w="1655" w:type="pct"/>
            <w:vAlign w:val="center"/>
          </w:tcPr>
          <w:p w14:paraId="757F64B6">
            <w:pPr>
              <w:jc w:val="center"/>
              <w:rPr>
                <w:color w:val="auto"/>
                <w:sz w:val="22"/>
                <w:highlight w:val="none"/>
              </w:rPr>
            </w:pPr>
            <w:r>
              <w:rPr>
                <w:rFonts w:hint="eastAsia"/>
                <w:color w:val="auto"/>
                <w:sz w:val="22"/>
                <w:highlight w:val="none"/>
              </w:rPr>
              <w:t>大厅保洁卫生</w:t>
            </w:r>
          </w:p>
        </w:tc>
        <w:tc>
          <w:tcPr>
            <w:tcW w:w="1987" w:type="pct"/>
            <w:vAlign w:val="center"/>
          </w:tcPr>
          <w:p w14:paraId="33479E24">
            <w:pPr>
              <w:jc w:val="center"/>
              <w:rPr>
                <w:color w:val="auto"/>
                <w:sz w:val="22"/>
                <w:highlight w:val="none"/>
              </w:rPr>
            </w:pPr>
            <w:r>
              <w:rPr>
                <w:rFonts w:hint="eastAsia"/>
                <w:color w:val="auto"/>
                <w:sz w:val="22"/>
                <w:highlight w:val="none"/>
              </w:rPr>
              <w:t>2</w:t>
            </w:r>
          </w:p>
        </w:tc>
      </w:tr>
      <w:tr w14:paraId="75BC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80" w:type="pct"/>
            <w:vMerge w:val="continue"/>
          </w:tcPr>
          <w:p w14:paraId="2B36196C">
            <w:pPr>
              <w:widowControl/>
              <w:spacing w:line="360" w:lineRule="exact"/>
              <w:jc w:val="center"/>
              <w:textAlignment w:val="center"/>
              <w:rPr>
                <w:rFonts w:ascii="宋体" w:hAnsi="宋体" w:cs="宋体"/>
                <w:color w:val="auto"/>
                <w:highlight w:val="none"/>
              </w:rPr>
            </w:pPr>
          </w:p>
        </w:tc>
        <w:tc>
          <w:tcPr>
            <w:tcW w:w="476" w:type="pct"/>
            <w:vAlign w:val="center"/>
          </w:tcPr>
          <w:p w14:paraId="557A1D53">
            <w:pPr>
              <w:widowControl/>
              <w:spacing w:line="360" w:lineRule="exact"/>
              <w:jc w:val="center"/>
              <w:textAlignment w:val="center"/>
              <w:rPr>
                <w:rFonts w:ascii="宋体" w:hAnsi="宋体" w:cs="宋体"/>
                <w:color w:val="auto"/>
                <w:kern w:val="0"/>
                <w:highlight w:val="none"/>
              </w:rPr>
            </w:pPr>
            <w:r>
              <w:rPr>
                <w:rFonts w:hint="eastAsia" w:ascii="宋体" w:hAnsi="宋体" w:cs="宋体"/>
                <w:color w:val="auto"/>
                <w:kern w:val="0"/>
                <w:highlight w:val="none"/>
              </w:rPr>
              <w:t>29</w:t>
            </w:r>
          </w:p>
        </w:tc>
        <w:tc>
          <w:tcPr>
            <w:tcW w:w="1655" w:type="pct"/>
            <w:vAlign w:val="center"/>
          </w:tcPr>
          <w:p w14:paraId="48C3D1DE">
            <w:pPr>
              <w:jc w:val="center"/>
              <w:rPr>
                <w:color w:val="auto"/>
                <w:sz w:val="22"/>
                <w:highlight w:val="none"/>
              </w:rPr>
            </w:pPr>
            <w:r>
              <w:rPr>
                <w:rFonts w:hint="eastAsia"/>
                <w:color w:val="auto"/>
                <w:sz w:val="22"/>
                <w:highlight w:val="none"/>
              </w:rPr>
              <w:t>面点师</w:t>
            </w:r>
          </w:p>
        </w:tc>
        <w:tc>
          <w:tcPr>
            <w:tcW w:w="1987" w:type="pct"/>
            <w:vAlign w:val="center"/>
          </w:tcPr>
          <w:p w14:paraId="1B570DE3">
            <w:pPr>
              <w:jc w:val="center"/>
              <w:rPr>
                <w:color w:val="auto"/>
                <w:sz w:val="22"/>
                <w:highlight w:val="none"/>
              </w:rPr>
            </w:pPr>
            <w:r>
              <w:rPr>
                <w:rFonts w:hint="eastAsia"/>
                <w:color w:val="auto"/>
                <w:sz w:val="22"/>
                <w:highlight w:val="none"/>
              </w:rPr>
              <w:t>1</w:t>
            </w:r>
          </w:p>
        </w:tc>
      </w:tr>
    </w:tbl>
    <w:p w14:paraId="5CB81785">
      <w:pPr>
        <w:rPr>
          <w:color w:val="auto"/>
          <w:highlight w:val="none"/>
        </w:rPr>
      </w:pPr>
    </w:p>
    <w:p w14:paraId="1D6B239C">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2.团队人员要求：</w:t>
      </w:r>
    </w:p>
    <w:p w14:paraId="3241C66E">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拟投入服务人员具备符合本岗位工作能力、年龄适宜；提供全职服务。</w:t>
      </w:r>
      <w:r>
        <w:rPr>
          <w:rFonts w:hint="eastAsia" w:asciiTheme="majorEastAsia" w:hAnsiTheme="majorEastAsia" w:eastAsiaTheme="majorEastAsia" w:cstheme="majorEastAsia"/>
          <w:b/>
          <w:color w:val="auto"/>
          <w:sz w:val="21"/>
          <w:szCs w:val="21"/>
          <w:highlight w:val="none"/>
          <w:lang w:eastAsia="zh-CN"/>
        </w:rPr>
        <w:t>拟投入的厨师、面点师、切配员、大厅卫生保洁员、清洗员、管理员年龄不得超过</w:t>
      </w:r>
      <w:r>
        <w:rPr>
          <w:rFonts w:hint="eastAsia" w:asciiTheme="majorEastAsia" w:hAnsiTheme="majorEastAsia" w:eastAsiaTheme="majorEastAsia" w:cstheme="majorEastAsia"/>
          <w:b/>
          <w:color w:val="auto"/>
          <w:sz w:val="21"/>
          <w:szCs w:val="21"/>
          <w:highlight w:val="none"/>
          <w:lang w:val="en-US" w:eastAsia="zh-CN"/>
        </w:rPr>
        <w:t>60周岁且身体健康；餐厅服务员年龄不得超过45周岁且身体健康。</w:t>
      </w:r>
    </w:p>
    <w:p w14:paraId="3D04B5A3">
      <w:pPr>
        <w:pStyle w:val="20"/>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（1）厨师：</w:t>
      </w:r>
      <w:r>
        <w:rPr>
          <w:rFonts w:hint="eastAsia" w:ascii="宋体" w:hAnsi="宋体" w:cs="宋体"/>
          <w:color w:val="auto"/>
          <w:sz w:val="21"/>
          <w:szCs w:val="21"/>
          <w:highlight w:val="none"/>
          <w:lang w:eastAsia="zh-CN"/>
        </w:rPr>
        <w:t>乙方</w:t>
      </w:r>
      <w:r>
        <w:rPr>
          <w:rFonts w:hint="eastAsia" w:ascii="宋体" w:hAnsi="宋体" w:cs="宋体"/>
          <w:color w:val="auto"/>
          <w:sz w:val="21"/>
          <w:szCs w:val="21"/>
          <w:highlight w:val="none"/>
        </w:rPr>
        <w:t>投入的厨师具备餐饮工作经验，</w:t>
      </w:r>
      <w:r>
        <w:rPr>
          <w:rFonts w:hint="eastAsia" w:ascii="宋体" w:hAnsi="宋体" w:cs="宋体"/>
          <w:color w:val="auto"/>
          <w:sz w:val="21"/>
          <w:szCs w:val="21"/>
          <w:highlight w:val="none"/>
          <w:lang w:eastAsia="zh-CN"/>
        </w:rPr>
        <w:t>并具备</w:t>
      </w:r>
      <w:r>
        <w:rPr>
          <w:rFonts w:hint="eastAsia" w:ascii="宋体" w:hAnsi="宋体" w:cs="宋体"/>
          <w:color w:val="auto"/>
          <w:sz w:val="21"/>
          <w:szCs w:val="21"/>
          <w:highlight w:val="none"/>
        </w:rPr>
        <w:t>中式烹调师证书。其中厨师长熟练</w:t>
      </w:r>
      <w:r>
        <w:rPr>
          <w:rFonts w:hint="eastAsia" w:ascii="宋体" w:hAnsi="宋体" w:cs="宋体"/>
          <w:color w:val="auto"/>
          <w:sz w:val="21"/>
          <w:szCs w:val="21"/>
          <w:highlight w:val="none"/>
          <w:lang w:val="en-US" w:eastAsia="zh-CN"/>
        </w:rPr>
        <w:t>要求</w:t>
      </w:r>
      <w:r>
        <w:rPr>
          <w:rFonts w:hint="eastAsia" w:ascii="宋体" w:hAnsi="宋体" w:cs="宋体"/>
          <w:color w:val="auto"/>
          <w:sz w:val="21"/>
          <w:szCs w:val="21"/>
          <w:highlight w:val="none"/>
        </w:rPr>
        <w:t>制作各式菜肴、菜品设计、质量把控、出餐调度、标准制定、制定采购计划，做好食堂成本控制，避免铺张浪费。</w:t>
      </w:r>
    </w:p>
    <w:p w14:paraId="2A16AB6A">
      <w:pPr>
        <w:pStyle w:val="20"/>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（2）面点师：</w:t>
      </w:r>
      <w:r>
        <w:rPr>
          <w:rFonts w:hint="eastAsia" w:ascii="宋体" w:hAnsi="宋体" w:cs="宋体"/>
          <w:color w:val="auto"/>
          <w:sz w:val="21"/>
          <w:szCs w:val="21"/>
          <w:highlight w:val="none"/>
          <w:lang w:eastAsia="zh-CN"/>
        </w:rPr>
        <w:t>乙方</w:t>
      </w:r>
      <w:r>
        <w:rPr>
          <w:rFonts w:hint="eastAsia" w:ascii="宋体" w:hAnsi="宋体" w:cs="宋体"/>
          <w:color w:val="auto"/>
          <w:sz w:val="21"/>
          <w:szCs w:val="21"/>
          <w:highlight w:val="none"/>
        </w:rPr>
        <w:t>投入的面点师应具备餐饮工作经验，</w:t>
      </w:r>
      <w:r>
        <w:rPr>
          <w:rFonts w:hint="eastAsia" w:ascii="宋体" w:hAnsi="宋体" w:cs="宋体"/>
          <w:color w:val="auto"/>
          <w:sz w:val="21"/>
          <w:szCs w:val="21"/>
          <w:highlight w:val="none"/>
          <w:lang w:eastAsia="zh-CN"/>
        </w:rPr>
        <w:t>并具备</w:t>
      </w:r>
      <w:r>
        <w:rPr>
          <w:rFonts w:hint="eastAsia" w:ascii="宋体" w:hAnsi="宋体" w:cs="宋体"/>
          <w:color w:val="auto"/>
          <w:sz w:val="21"/>
          <w:szCs w:val="21"/>
          <w:highlight w:val="none"/>
        </w:rPr>
        <w:t>中式面点师证书。熟悉食品安全相关工作，熟练制作各种中、西式面点。</w:t>
      </w:r>
    </w:p>
    <w:p w14:paraId="4C5E1525">
      <w:pPr>
        <w:pStyle w:val="20"/>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（3）餐厅服务员：投入的服务员应具备不少于2年的同类工作经验，接受过餐饮服务的专业培训，能按工作流程完成公共场所的保洁、餐厅分餐服务、收集整理餐厅相关数据。</w:t>
      </w:r>
    </w:p>
    <w:p w14:paraId="01F575ED">
      <w:pPr>
        <w:pStyle w:val="20"/>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（4）切配员：投入的切配员应具备不少于2年的同类工作经验，熟悉配合厨师完成菜品的切配等工作，在厨房或相关餐饮行业经验。</w:t>
      </w:r>
    </w:p>
    <w:p w14:paraId="44520771">
      <w:pPr>
        <w:pStyle w:val="20"/>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（5）大厅卫生保洁员：投入的杂工应具备不少于2年的同类工作经验，熟悉食堂卫生等工作。</w:t>
      </w:r>
    </w:p>
    <w:p w14:paraId="6D120524">
      <w:pPr>
        <w:pStyle w:val="20"/>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（6）清洗员：投入的清洗员应具备不少于2年的同类工作经验，知晓各种餐具的洗涤和消毒方法、蔬菜的初加工。</w:t>
      </w:r>
    </w:p>
    <w:p w14:paraId="06A2DB3B">
      <w:pPr>
        <w:pStyle w:val="20"/>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管理员：投入的管理员应具备不少于2年的同类工作经验，同时具备相应学习及管理能力，对各岗位人员进行统筹和管理，做好食品安全卫生把控、现场处置师生投诉情况、应急处置事故，熟悉经营管理制度，熟悉电脑操作。</w:t>
      </w:r>
    </w:p>
    <w:p w14:paraId="482D0A0F">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五、考核方式</w:t>
      </w:r>
    </w:p>
    <w:p w14:paraId="02E7C449">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甲方于每月的最后一个工作日，根据《桂林医科大学食堂管理考核评分表》（详见附件 1）对本月食堂餐饮服务进行定期考核。考核结果经甲方、乙方双方签署并加盖公章确认。</w:t>
      </w:r>
    </w:p>
    <w:p w14:paraId="1061C80A">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六、本项目职责划分要求详见附件2《职责划分》。</w:t>
      </w:r>
    </w:p>
    <w:p w14:paraId="1243DEDC">
      <w:pPr>
        <w:pStyle w:val="20"/>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七、本项目退出机制要求详见附件3《退出机制》。</w:t>
      </w:r>
    </w:p>
    <w:p w14:paraId="50C96361">
      <w:pPr>
        <w:snapToGrid w:val="0"/>
        <w:spacing w:line="400" w:lineRule="exact"/>
        <w:rPr>
          <w:rFonts w:ascii="宋体" w:hAnsi="宋体" w:cs="宋体"/>
          <w:b/>
          <w:bCs/>
          <w:color w:val="auto"/>
          <w:szCs w:val="21"/>
          <w:highlight w:val="none"/>
          <w:lang w:bidi="ar"/>
        </w:rPr>
      </w:pPr>
      <w:r>
        <w:rPr>
          <w:rFonts w:hint="eastAsia" w:ascii="宋体" w:hAnsi="宋体" w:cs="宋体"/>
          <w:b/>
          <w:bCs/>
          <w:color w:val="auto"/>
          <w:szCs w:val="21"/>
          <w:highlight w:val="none"/>
          <w:lang w:bidi="ar"/>
        </w:rPr>
        <w:t xml:space="preserve">第四条 </w:t>
      </w:r>
      <w:r>
        <w:rPr>
          <w:rFonts w:hint="eastAsia" w:ascii="Arial" w:hAnsi="Arial" w:cs="Arial"/>
          <w:b/>
          <w:bCs/>
          <w:color w:val="auto"/>
          <w:szCs w:val="21"/>
          <w:highlight w:val="none"/>
        </w:rPr>
        <w:t>服务要求</w:t>
      </w:r>
    </w:p>
    <w:p w14:paraId="58F668B0">
      <w:pPr>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1.乙方履行合同期间因作业不当或管理不善，发生事件、事故的，导致服务人员人身财产和甲方职工人身财产及公有财产损失等情况的，一律由乙方承担全部责任，甲方不负任何责任。</w:t>
      </w:r>
    </w:p>
    <w:p w14:paraId="001B09B9">
      <w:pPr>
        <w:pStyle w:val="139"/>
        <w:widowControl/>
        <w:spacing w:before="111" w:line="260" w:lineRule="atLeast"/>
        <w:ind w:left="-5" w:right="-15" w:firstLine="420"/>
        <w:rPr>
          <w:color w:val="auto"/>
          <w:highlight w:val="none"/>
          <w:lang w:eastAsia="zh-CN"/>
        </w:rPr>
      </w:pPr>
      <w:r>
        <w:rPr>
          <w:rFonts w:hint="eastAsia" w:ascii="Arial" w:hAnsi="Arial" w:cs="Arial"/>
          <w:color w:val="auto"/>
          <w:kern w:val="2"/>
          <w:sz w:val="21"/>
          <w:szCs w:val="21"/>
          <w:highlight w:val="none"/>
          <w:lang w:eastAsia="zh-CN"/>
        </w:rPr>
        <w:t>2.乙方自行承担人员的工资、福利、体检、培训等管理费用，以及工作服、工作帽、工作鞋、袖套等劳保用品费用以及与其国家或地方法规所要求征收的税金、保险等其它费用，承诺与食堂员工签订《劳动用工合同》，交纳相关保险。</w:t>
      </w:r>
    </w:p>
    <w:p w14:paraId="2850B342">
      <w:pPr>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3.乙方在合同期间应遵守甲方相关管理制度、规定，并遵守国家相关法律法规，如有员工违法行为按相关规定处理，甲方不负任何责任。</w:t>
      </w:r>
    </w:p>
    <w:p w14:paraId="3AF9B588">
      <w:pPr>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4.为加强甲方食堂经营的监督管理工作，甲方设置专职食品安全管理员进行每日的监督检查管理，乙方要认真配合检查，确保检查考核工作的到位和食堂供餐工作的稳定。</w:t>
      </w:r>
    </w:p>
    <w:p w14:paraId="18B6005E">
      <w:pPr>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5.乙方必须自行提供团队服务，必须承诺自行提供本项目所有服务内容，不得将承接的服务进行任何方式的分包、转包。</w:t>
      </w:r>
    </w:p>
    <w:p w14:paraId="1938E773">
      <w:pPr>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6.乙方需承担全部的安全、卫生、质量、效益、风险等责任。</w:t>
      </w:r>
    </w:p>
    <w:p w14:paraId="3713DD53">
      <w:pPr>
        <w:spacing w:line="38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7.乙方在服务合同期内与第三方发生的一切债权、债务等纠纷均与甲方无关。除不可抗力因素外，乙方不得以任何理由不按时或不充足提供甲方采购的餐饮服务，否则视为违反合同。</w:t>
      </w:r>
    </w:p>
    <w:p w14:paraId="101E9BFC">
      <w:pPr>
        <w:snapToGrid w:val="0"/>
        <w:spacing w:line="400" w:lineRule="exact"/>
        <w:ind w:firstLine="420" w:firstLineChars="200"/>
        <w:rPr>
          <w:rFonts w:ascii="宋体" w:hAnsi="宋体" w:cs="宋体"/>
          <w:color w:val="auto"/>
          <w:szCs w:val="21"/>
          <w:highlight w:val="none"/>
          <w:lang w:bidi="ar"/>
        </w:rPr>
      </w:pPr>
      <w:r>
        <w:rPr>
          <w:rFonts w:hint="eastAsia" w:ascii="Arial" w:hAnsi="Arial" w:cs="Arial"/>
          <w:color w:val="auto"/>
          <w:szCs w:val="21"/>
          <w:highlight w:val="none"/>
        </w:rPr>
        <w:t>8.乙方根据食材不断的创新推出新菜品，提供合理的菜谱出品方案。甲方可根据实际情况增加或减少餐费标准，乙方在甲方指定时间内做出相应价格、菜品的调整方案，经甲方确认后方可实施。乙方为满足师生需要出售的所有商品品种、价格份量须征得甲方同意。</w:t>
      </w:r>
    </w:p>
    <w:p w14:paraId="0152DC6E">
      <w:pPr>
        <w:snapToGrid w:val="0"/>
        <w:spacing w:line="400" w:lineRule="exact"/>
        <w:rPr>
          <w:rFonts w:ascii="宋体" w:hAnsi="宋体" w:cs="宋体"/>
          <w:b/>
          <w:bCs/>
          <w:color w:val="auto"/>
          <w:szCs w:val="21"/>
          <w:highlight w:val="none"/>
          <w:lang w:bidi="ar"/>
        </w:rPr>
      </w:pPr>
      <w:r>
        <w:rPr>
          <w:rFonts w:hint="eastAsia" w:ascii="宋体" w:hAnsi="宋体" w:cs="宋体"/>
          <w:b/>
          <w:bCs/>
          <w:color w:val="auto"/>
          <w:szCs w:val="21"/>
          <w:highlight w:val="none"/>
          <w:lang w:bidi="ar"/>
        </w:rPr>
        <w:t xml:space="preserve">第五条 </w:t>
      </w:r>
      <w:r>
        <w:rPr>
          <w:rFonts w:hint="eastAsia" w:ascii="Arial" w:hAnsi="Arial" w:cs="Arial"/>
          <w:b/>
          <w:bCs/>
          <w:color w:val="auto"/>
          <w:szCs w:val="21"/>
          <w:highlight w:val="none"/>
        </w:rPr>
        <w:t>售后服务措施</w:t>
      </w:r>
    </w:p>
    <w:p w14:paraId="62DF1F2E">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（1）合同履行过程中应积极无条件配合学校做好食品的相关检验检测工作。</w:t>
      </w:r>
    </w:p>
    <w:p w14:paraId="24BC22E5">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（2）“服务内容及要求”中未明确的技术指标，均按国家及行业相关规定执行。</w:t>
      </w:r>
    </w:p>
    <w:p w14:paraId="609381CF">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（3）处理问题响应时间：接到甲方处理问题通知后 6 小时内到达甲方指定现场，24 小时内提出解决方案，3 个工作日内完成问题处理。如发生紧急问题（如食物安全问题）乙方应在接到甲方通知后的 30 分钟内到达甲方指定现场，2 小时内提出解决方案，12 小时内完成问题处理。</w:t>
      </w:r>
    </w:p>
    <w:p w14:paraId="15E7BB24">
      <w:pPr>
        <w:snapToGrid w:val="0"/>
        <w:spacing w:line="400" w:lineRule="exact"/>
        <w:rPr>
          <w:rFonts w:ascii="Arial" w:hAnsi="Arial" w:cs="Arial"/>
          <w:b/>
          <w:bCs/>
          <w:color w:val="auto"/>
          <w:szCs w:val="21"/>
          <w:highlight w:val="none"/>
        </w:rPr>
      </w:pPr>
      <w:r>
        <w:rPr>
          <w:rFonts w:hint="eastAsia" w:ascii="Arial" w:hAnsi="Arial" w:cs="Arial"/>
          <w:b/>
          <w:bCs/>
          <w:color w:val="auto"/>
          <w:szCs w:val="21"/>
          <w:highlight w:val="none"/>
        </w:rPr>
        <w:t>第六条 甲方权利与义务</w:t>
      </w:r>
    </w:p>
    <w:p w14:paraId="76031EDB">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1.甲方提供食堂经营场地、厨具设备、消毒设施、水电及作业必备物资。</w:t>
      </w:r>
    </w:p>
    <w:p w14:paraId="70C39C09">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2.甲方负责制定食堂管理制度、操作标准、服务规范，对乙方人员进行日常考勤、卫生检查、服务进行监督及月度考核。</w:t>
      </w:r>
    </w:p>
    <w:p w14:paraId="1B45F57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3.甲方有权责令乙方整改违规行为、清退不合格人员，对存在食品安全隐患的岗位可立即停止人员上岗。</w:t>
      </w:r>
    </w:p>
    <w:p w14:paraId="65E5A06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4.甲方按照合同约定按时足额支付服务费用，不直接与乙方拟投入人员建立劳动关系、不直接发放工资社保、不处理劳资纠纷。</w:t>
      </w:r>
    </w:p>
    <w:p w14:paraId="35468926">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5.甲方协助乙方处理工作期间事故核查、取证等协助工作，不承担用人单位主体责任。</w:t>
      </w:r>
    </w:p>
    <w:p w14:paraId="6E083D76">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6.甲方有权对乙方的经营管理活动过程进行检查监督，督促乙方从业人员严格按饮食工作流程制作、加工、售卖饭菜，开展优质服务活动，切实做好食品卫生安全工作，确保饭菜质量。甲方有权对乙方食堂经营中出现的违反食堂管理规定的行为提出整改建议，乙方违反食堂管理规定的行为视为违约，每查处一次，乙方须向甲方支付违约金500元/次。</w:t>
      </w:r>
    </w:p>
    <w:p w14:paraId="4D2ABCB8">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7.甲方有权在乙方运营管理中出现失控或重大事故时(如：食物中毒、劳动用工合同纠纷累计超过2次的等情形的),甲方有权解除本合同，由此导致的一切不良后果由乙方自行承担一切损失，并全额扣除乙方履约保证金。</w:t>
      </w:r>
    </w:p>
    <w:p w14:paraId="7B96CB9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8.乙方在运营过程中发生违法行为或向甲方提供虚假的证明材料等，甲方有权单方解除合同，并没收乙方的履约保证金，由乙方自行承担一切损失。</w:t>
      </w:r>
    </w:p>
    <w:p w14:paraId="630C42A7">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9.甲方不得无故终止、解除协议。乙方运营期间如违反食品安全法及相关规定造成责任事故，甲方有权责令乙方立即停业整顿，并赔偿甲方全部损失，情节严重者甲方有权立即终止协议，并全额扣除乙方履约保证金。</w:t>
      </w:r>
    </w:p>
    <w:p w14:paraId="6865FDDF">
      <w:pPr>
        <w:snapToGrid w:val="0"/>
        <w:spacing w:line="400" w:lineRule="exact"/>
        <w:rPr>
          <w:rFonts w:ascii="Arial" w:hAnsi="Arial" w:cs="Arial"/>
          <w:b/>
          <w:bCs/>
          <w:color w:val="auto"/>
          <w:szCs w:val="21"/>
          <w:highlight w:val="none"/>
        </w:rPr>
      </w:pPr>
      <w:r>
        <w:rPr>
          <w:rFonts w:hint="eastAsia" w:ascii="Arial" w:hAnsi="Arial" w:cs="Arial"/>
          <w:b/>
          <w:bCs/>
          <w:color w:val="auto"/>
          <w:szCs w:val="21"/>
          <w:highlight w:val="none"/>
        </w:rPr>
        <w:t>第七条 乙方权利与义务</w:t>
      </w:r>
    </w:p>
    <w:p w14:paraId="2BC941DC">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1.乙方依法与所有拟投入人员签订劳动合同，建立合法劳动关系，劳动合同资料报甲方备案。</w:t>
      </w:r>
    </w:p>
    <w:p w14:paraId="62F05356">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2.乙方全权负责拟投入人员的工资发放、加班费核算、社会保险、意外伤害保险、年度体检、工装耗材、福利待遇及劳动关系管理，承担全部用人单位主体责任。</w:t>
      </w:r>
    </w:p>
    <w:p w14:paraId="38B9EFD9">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3.乙方保证按月足额发放员工工资、足额缴纳社保，不得拖欠、克扣，每月向甲方提交工资发放凭证、社保缴纳记录备查。</w:t>
      </w:r>
    </w:p>
    <w:p w14:paraId="503316FF">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4.乙方负责人员招聘、培训、考勤管理、离职办理、劳动纠纷处理、工伤申报及全部赔偿责任。</w:t>
      </w:r>
    </w:p>
    <w:p w14:paraId="53061332">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5.乙方不得将本项目转包、分包，未经甲方书面同意不得委托第三方开展服务。</w:t>
      </w:r>
    </w:p>
    <w:p w14:paraId="2B1B47D9">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6.因乙方人员操作不当、卫生不达标、服务违规、管理疏漏造成食品安全事故、师生人身损害、监管部门处罚、舆情负面影响及甲方经济损失的，全部责任及损失由乙方承担并全额赔偿。</w:t>
      </w:r>
    </w:p>
    <w:p w14:paraId="50A00BC6">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7.乙方从业人员加工食品的过程必须严格按照食品材料加工操作流程进行操作，保证饭菜质量，如发现饭菜不熟或有异物，或者其他不符合食品安全标准和要求的情况。甲方视情况对乙方从业人员处以每次50元以上，500元以下罚款。</w:t>
      </w:r>
    </w:p>
    <w:p w14:paraId="26F090C2">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第八条 履约保证金</w:t>
      </w:r>
    </w:p>
    <w:p w14:paraId="75EE368B">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履约保证金金额：</w:t>
      </w:r>
      <w:r>
        <w:rPr>
          <w:rFonts w:hint="eastAsia" w:ascii="宋体" w:hAnsi="宋体" w:cs="宋体"/>
          <w:color w:val="auto"/>
          <w:szCs w:val="21"/>
          <w:highlight w:val="none"/>
        </w:rPr>
        <w:t>按合同金额的2 %。</w:t>
      </w:r>
      <w:r>
        <w:rPr>
          <w:rFonts w:hint="eastAsia" w:ascii="宋体" w:hAnsi="宋体" w:cs="宋体"/>
          <w:color w:val="auto"/>
          <w:szCs w:val="21"/>
          <w:highlight w:val="none"/>
          <w:lang w:bidi="ar"/>
        </w:rPr>
        <w:t>乙方必须在合同签订前向甲方足额缴纳履约保证金。</w:t>
      </w:r>
    </w:p>
    <w:p w14:paraId="4EAF6B0E">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履约保证金递交方式：银行转账、支票、汇票、本票或者金融、担保机构出具的保函（包含电子保函）等非现金方式。</w:t>
      </w:r>
    </w:p>
    <w:p w14:paraId="3AAADBF7">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履约保证金退付方式、时间及条件：</w:t>
      </w:r>
    </w:p>
    <w:p w14:paraId="47C5717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乙方若不能完全履行合同，履约保证金不返还；乙方若完全履行合同，服务期满后且不存在违约情形的，在与甲方债权、债务、与员工及与此项目相关第三方的债权、债务等款项结清后，并在乙方撤离之日起30个工作日内，甲方退还乙方履约保证金(不计利息),否则，甲方有权从保证金中扣除或支付。</w:t>
      </w:r>
    </w:p>
    <w:p w14:paraId="7C9DC64D">
      <w:pPr>
        <w:snapToGrid w:val="0"/>
        <w:spacing w:line="40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（2）在履约保证金退还日期前，若乙方的开户名称、开户银行、账号有变动的，请以书面形式通知履约保证金收取单位，否则由此产生的后果由乙方自负。</w:t>
      </w:r>
    </w:p>
    <w:p w14:paraId="4BCD7866">
      <w:pPr>
        <w:snapToGrid w:val="0"/>
        <w:spacing w:line="40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（3）乙方在签订合同后存在违约情形的，履约保证金不予退还。履约保证金不足以赔偿损失的，按实际损失赔偿。</w:t>
      </w:r>
    </w:p>
    <w:p w14:paraId="2490C7C9">
      <w:pPr>
        <w:snapToGrid w:val="0"/>
        <w:spacing w:line="40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履约保证金指定账户：</w:t>
      </w:r>
    </w:p>
    <w:p w14:paraId="614D1E9E">
      <w:pPr>
        <w:snapToGrid w:val="0"/>
        <w:spacing w:line="40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开户名称：桂林医科大学</w:t>
      </w:r>
    </w:p>
    <w:p w14:paraId="669C80DE">
      <w:pPr>
        <w:snapToGrid w:val="0"/>
        <w:spacing w:line="40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开户银行：中国建设银行股份有限公司桂林致和路支行</w:t>
      </w:r>
    </w:p>
    <w:p w14:paraId="1D08ACF3">
      <w:pPr>
        <w:snapToGrid w:val="0"/>
        <w:spacing w:line="40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账号：4500 1635 4130 5050 0589</w:t>
      </w:r>
    </w:p>
    <w:p w14:paraId="70DFBA1F">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 xml:space="preserve">第九条  </w:t>
      </w:r>
      <w:r>
        <w:rPr>
          <w:rFonts w:hint="eastAsia" w:ascii="宋体" w:hAnsi="宋体" w:cs="宋体"/>
          <w:b/>
          <w:color w:val="auto"/>
          <w:szCs w:val="21"/>
          <w:highlight w:val="none"/>
        </w:rPr>
        <w:t>付款方式</w:t>
      </w:r>
    </w:p>
    <w:p w14:paraId="51F41AEA">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甲方按月支付服务费。甲方于每月的最后一个工作日，根据《桂林医科大学食堂管理考核评分表》对本月食堂餐饮服务进行定期考核。考核结果经甲方、乙方双方确认后，甲方按考核结果对餐饮服务费进行汇总扣款后支付剩余款项，实际支付餐饮服务费=应付餐饮服务费-定期考核扣款/违约金。</w:t>
      </w:r>
    </w:p>
    <w:p w14:paraId="1CB97354">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2.甲方付款前，乙方应向甲方开具等额有效的发票，甲方收到合规发票后10 个工作日内将合同款项支付到合同约定的乙方账户；甲方未收到合规发票的，有权不予支付相应款项，并不承担延迟付款责任。</w:t>
      </w:r>
    </w:p>
    <w:p w14:paraId="118A1BB6">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 xml:space="preserve">第十条  </w:t>
      </w:r>
      <w:r>
        <w:rPr>
          <w:rFonts w:hint="eastAsia" w:ascii="宋体" w:hAnsi="宋体" w:cs="宋体"/>
          <w:b/>
          <w:color w:val="auto"/>
          <w:szCs w:val="21"/>
          <w:highlight w:val="none"/>
        </w:rPr>
        <w:t>保险</w:t>
      </w:r>
    </w:p>
    <w:p w14:paraId="7A55BF73">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若乙方为本项目标的及标的涉及的相关材料、设备、人员、运输等购买保险的，相关费用由乙方自行承担。</w:t>
      </w:r>
    </w:p>
    <w:p w14:paraId="469E90AB">
      <w:pPr>
        <w:snapToGrid w:val="0"/>
        <w:spacing w:line="400" w:lineRule="exact"/>
        <w:rPr>
          <w:rFonts w:ascii="宋体" w:hAnsi="宋体" w:cs="宋体"/>
          <w:b/>
          <w:bCs/>
          <w:color w:val="auto"/>
          <w:szCs w:val="21"/>
          <w:highlight w:val="none"/>
          <w:lang w:bidi="ar"/>
        </w:rPr>
      </w:pPr>
      <w:r>
        <w:rPr>
          <w:rFonts w:hint="eastAsia" w:ascii="宋体" w:hAnsi="宋体" w:cs="宋体"/>
          <w:b/>
          <w:bCs/>
          <w:color w:val="auto"/>
          <w:szCs w:val="21"/>
          <w:highlight w:val="none"/>
          <w:lang w:bidi="ar"/>
        </w:rPr>
        <w:t>第十一条 食品安全与卫生责任</w:t>
      </w:r>
    </w:p>
    <w:p w14:paraId="4C20CD8E">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1.乙方须严格遵守《食品安全法》相关规定，严格落实食品留样、生熟分开、餐具消毒、环境卫生消杀等制度。</w:t>
      </w:r>
    </w:p>
    <w:p w14:paraId="217AADD5">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2.严禁员工徒手接触熟食、在岗吸烟、佩戴饰品作业、私拿食材物资、违规操作设备等行为。</w:t>
      </w:r>
    </w:p>
    <w:p w14:paraId="7A6B97C5">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3.凡因乙方人员管理、操作、卫生问题引发食物中毒、食源性疾病、行政处罚、舆情事故的，所有赔偿、罚款、处置费用由乙方承担，甲方有权终止合同并追责损失。</w:t>
      </w:r>
    </w:p>
    <w:p w14:paraId="0CAA6724">
      <w:pPr>
        <w:snapToGrid w:val="0"/>
        <w:spacing w:line="400" w:lineRule="exact"/>
        <w:rPr>
          <w:rFonts w:ascii="宋体" w:hAnsi="宋体" w:cs="宋体"/>
          <w:color w:val="auto"/>
          <w:szCs w:val="21"/>
          <w:highlight w:val="none"/>
          <w:lang w:bidi="ar"/>
        </w:rPr>
      </w:pPr>
      <w:r>
        <w:rPr>
          <w:rFonts w:hint="eastAsia" w:ascii="宋体" w:hAnsi="宋体" w:cs="宋体"/>
          <w:color w:val="auto"/>
          <w:szCs w:val="21"/>
          <w:highlight w:val="none"/>
          <w:lang w:bidi="ar"/>
        </w:rPr>
        <w:t>第十二条 安全生产与工伤责任</w:t>
      </w:r>
    </w:p>
    <w:p w14:paraId="00438C4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1.乙方全面负责拟投入人员作业安全管理，开展用火、用电、刀具、蒸汽设备安全培训，落实安全防护措施。</w:t>
      </w:r>
    </w:p>
    <w:p w14:paraId="3A682142">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2.拟投入人员在工作期间发生工伤、意外损伤、劳动安全事故，由乙方全权负责申报、救治、理赔并承担全部法律与经济责任，甲方仅予以协助取证，不承担任何赔偿责任。</w:t>
      </w:r>
    </w:p>
    <w:p w14:paraId="47D0A8AF">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3.因乙方人员违规操作造成设备损坏、财产损失、第三方伤害的，全部费用由乙方承担。</w:t>
      </w:r>
    </w:p>
    <w:p w14:paraId="2AE42348">
      <w:pPr>
        <w:snapToGrid w:val="0"/>
        <w:spacing w:line="400" w:lineRule="exact"/>
        <w:rPr>
          <w:rFonts w:ascii="宋体" w:hAnsi="宋体" w:cs="宋体"/>
          <w:color w:val="auto"/>
          <w:szCs w:val="21"/>
          <w:highlight w:val="none"/>
          <w:lang w:bidi="ar"/>
        </w:rPr>
      </w:pPr>
      <w:r>
        <w:rPr>
          <w:rFonts w:hint="eastAsia" w:ascii="宋体" w:hAnsi="宋体" w:cs="宋体"/>
          <w:color w:val="auto"/>
          <w:szCs w:val="21"/>
          <w:highlight w:val="none"/>
          <w:lang w:bidi="ar"/>
        </w:rPr>
        <w:t>第十三条  合同解除与终止</w:t>
      </w:r>
    </w:p>
    <w:p w14:paraId="0D2A559B">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1甲乙双方协商一致，可书面解除本合同。</w:t>
      </w:r>
    </w:p>
    <w:p w14:paraId="2C22C39F">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2.甲方有权单方无条件解除合同、没收履约保证金的情形：</w:t>
      </w:r>
    </w:p>
    <w:p w14:paraId="4CB779F6">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（1）拖欠员工工资、欠缴社保引发投诉、仲裁、信访；</w:t>
      </w:r>
    </w:p>
    <w:p w14:paraId="35CEABFB">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（2）存在转包、分包行为；</w:t>
      </w:r>
    </w:p>
    <w:p w14:paraId="54A89F5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（3）发生食品安全责任事故；</w:t>
      </w:r>
    </w:p>
    <w:p w14:paraId="63F4A5D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（4）多次整改不到位、人员缺岗影响正常供餐；</w:t>
      </w:r>
    </w:p>
    <w:p w14:paraId="3B8A1007">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（5）拟投入人员出现违纪、偷盗、斗殴、辱骂师生等严重行为。</w:t>
      </w:r>
    </w:p>
    <w:p w14:paraId="3A95B2DC">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3.合同终止或解除后，乙方须在3日内完成人员撤离、薪酬结清、工作交接，不得滞留人员，不得影响甲方食堂正常运行。</w:t>
      </w:r>
    </w:p>
    <w:p w14:paraId="1BFB855B">
      <w:pPr>
        <w:snapToGrid w:val="0"/>
        <w:spacing w:line="400" w:lineRule="exact"/>
        <w:rPr>
          <w:rFonts w:ascii="宋体" w:hAnsi="宋体" w:cs="宋体"/>
          <w:color w:val="auto"/>
          <w:szCs w:val="21"/>
          <w:highlight w:val="none"/>
          <w:lang w:bidi="ar"/>
        </w:rPr>
      </w:pPr>
      <w:r>
        <w:rPr>
          <w:rFonts w:hint="eastAsia" w:ascii="宋体" w:hAnsi="宋体" w:cs="宋体"/>
          <w:color w:val="auto"/>
          <w:szCs w:val="21"/>
          <w:highlight w:val="none"/>
          <w:lang w:bidi="ar"/>
        </w:rPr>
        <w:t>第十四条 违约责任</w:t>
      </w:r>
    </w:p>
    <w:p w14:paraId="1B37A8F6">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1.甲方逾期付款的，按应付未付款项每日万分之三承担违约金，违约金不超过当期欠付总额10%。</w:t>
      </w:r>
    </w:p>
    <w:p w14:paraId="4159A1FC">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2.乙方逾期更换不合格人员的，乙方承担200元/人/日，累计5人次的，甲方有权解除合同，没收履约保证金。</w:t>
      </w:r>
    </w:p>
    <w:p w14:paraId="26A8185D">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3.因乙方用工不规范引发劳动仲裁、诉讼、信访事件的，乙方每次向甲方支付违约金5000元，并承担全部裁决款项。</w:t>
      </w:r>
    </w:p>
    <w:p w14:paraId="19BB7D22">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4.因乙方原因造成甲方经济损失及声誉损失的，乙方应与赔偿，该损失难以计量时，以履约保证金等额计。。</w:t>
      </w:r>
    </w:p>
    <w:p w14:paraId="48BC308E">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第十五条  不可抗力事件处理</w:t>
      </w:r>
    </w:p>
    <w:p w14:paraId="769FA20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1.在合同有效期内，任何一方因不可抗力事件导致不能履行合同，则合同履行期可延长，其延长期与不可抗力影响期相同。</w:t>
      </w:r>
    </w:p>
    <w:p w14:paraId="6518F78F">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2.不可抗力事件发生后，应立即通知对方，并寄送有关权威机构出具的证明。</w:t>
      </w:r>
    </w:p>
    <w:p w14:paraId="09DE0830">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3.不可抗力事件延续120天以上，双方应通过友好协商，确定是否继续履行合同。</w:t>
      </w:r>
    </w:p>
    <w:p w14:paraId="25ECC7BF">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第十六条  合同争议解决</w:t>
      </w:r>
    </w:p>
    <w:p w14:paraId="07B7A79B">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1.因服务质量问题发生争议的，应邀请国家认可的质量检测机构对服务质量进行鉴定。鉴定费由乙方承担。</w:t>
      </w:r>
    </w:p>
    <w:p w14:paraId="2BA5A825">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2.因履行本合同引起的或与本合同有关的争议，甲乙双方应首先通过友好协商解决，如果协商不能解决，可向甲方所在地具有管辖权的人民法院提起诉讼。</w:t>
      </w:r>
    </w:p>
    <w:p w14:paraId="0D306E2F">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第十七条  合同生效及其他</w:t>
      </w:r>
    </w:p>
    <w:p w14:paraId="15FFB347">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1.合同经双方法定代表人或委托代理人签字并加盖单位公章后生效（委托代理人签字的需后附法定代表人授权委托书，格式自拟）。</w:t>
      </w:r>
    </w:p>
    <w:p w14:paraId="0D8D7919">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2.合同执行中涉及采购资金和采购内容修改或补充的，双方签订书面补充协议报财政部门备案，方可作为主合同不可分割的一部分。</w:t>
      </w:r>
    </w:p>
    <w:p w14:paraId="076B6072">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3.本合同未尽事宜，遵照《</w:t>
      </w:r>
      <w:r>
        <w:rPr>
          <w:rFonts w:hint="eastAsia" w:ascii="宋体" w:hAnsi="宋体" w:cs="宋体"/>
          <w:color w:val="auto"/>
          <w:szCs w:val="21"/>
          <w:highlight w:val="none"/>
          <w:shd w:val="clear" w:color="auto" w:fill="FFFFFF"/>
          <w:lang w:bidi="ar"/>
        </w:rPr>
        <w:t>中华人民共和国民法典</w:t>
      </w:r>
      <w:r>
        <w:rPr>
          <w:rFonts w:hint="eastAsia" w:ascii="宋体" w:hAnsi="宋体" w:cs="宋体"/>
          <w:color w:val="auto"/>
          <w:szCs w:val="21"/>
          <w:highlight w:val="none"/>
          <w:lang w:bidi="ar"/>
        </w:rPr>
        <w:t>》有关条文执行。</w:t>
      </w:r>
    </w:p>
    <w:p w14:paraId="3D5F96E8">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第十八条  合同的变更、终止与转让</w:t>
      </w:r>
    </w:p>
    <w:p w14:paraId="172D238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1.除《中华人民共和国政府采购法》第五十条规定的情形外，本合同一经签订，甲乙双方不得擅自变更、中止或终止合同。</w:t>
      </w:r>
    </w:p>
    <w:p w14:paraId="39B93622">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2.乙方不得擅自转让其应履行的合同义务。</w:t>
      </w:r>
    </w:p>
    <w:p w14:paraId="115E7764">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第十九条  签订本合同依据</w:t>
      </w:r>
    </w:p>
    <w:p w14:paraId="70170447">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 xml:space="preserve">1.合同主要条款； </w:t>
      </w:r>
    </w:p>
    <w:p w14:paraId="3E0C068A">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2.投标函、开标一览表；</w:t>
      </w:r>
    </w:p>
    <w:p w14:paraId="6E63A197">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 xml:space="preserve">3.商务要求承诺响应表、服务内容及要求响应表； </w:t>
      </w:r>
    </w:p>
    <w:p w14:paraId="7F3B064D">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4.中标通知书。</w:t>
      </w:r>
    </w:p>
    <w:p w14:paraId="166DC045">
      <w:pPr>
        <w:snapToGrid w:val="0"/>
        <w:spacing w:line="400" w:lineRule="exact"/>
        <w:rPr>
          <w:rFonts w:ascii="宋体" w:hAnsi="宋体" w:cs="宋体"/>
          <w:color w:val="auto"/>
          <w:szCs w:val="21"/>
          <w:highlight w:val="none"/>
          <w:lang w:bidi="ar"/>
        </w:rPr>
      </w:pPr>
      <w:r>
        <w:rPr>
          <w:rFonts w:hint="eastAsia" w:ascii="宋体" w:hAnsi="宋体" w:cs="宋体"/>
          <w:b/>
          <w:color w:val="auto"/>
          <w:szCs w:val="21"/>
          <w:highlight w:val="none"/>
          <w:lang w:bidi="ar"/>
        </w:rPr>
        <w:t xml:space="preserve">第二十条  </w:t>
      </w:r>
      <w:r>
        <w:rPr>
          <w:rFonts w:hint="eastAsia" w:ascii="宋体" w:hAnsi="宋体" w:cs="宋体"/>
          <w:color w:val="auto"/>
          <w:szCs w:val="21"/>
          <w:highlight w:val="none"/>
          <w:lang w:bidi="ar"/>
        </w:rPr>
        <w:t>本合同一式四份，甲方执三份，乙方执一份。本合同经甲乙双方签字盖章后生效，补充协议含售后服务承诺书等，与本合同具有同等法律效力。如甲乙双方合同条款内容不一致，以甲方存档的文本为正本。</w:t>
      </w:r>
    </w:p>
    <w:p w14:paraId="0B75DA21">
      <w:pPr>
        <w:snapToGrid w:val="0"/>
        <w:spacing w:line="400" w:lineRule="exact"/>
        <w:rPr>
          <w:rFonts w:ascii="宋体" w:hAnsi="宋体" w:cs="宋体"/>
          <w:color w:val="auto"/>
          <w:szCs w:val="21"/>
          <w:highlight w:val="none"/>
          <w:lang w:bidi="ar"/>
        </w:rPr>
      </w:pPr>
      <w:r>
        <w:rPr>
          <w:rFonts w:hint="eastAsia" w:ascii="宋体" w:hAnsi="宋体" w:cs="宋体"/>
          <w:b/>
          <w:color w:val="auto"/>
          <w:szCs w:val="21"/>
          <w:highlight w:val="none"/>
          <w:lang w:bidi="ar"/>
        </w:rPr>
        <w:t xml:space="preserve">第二十一条  </w:t>
      </w:r>
      <w:r>
        <w:rPr>
          <w:rFonts w:hint="eastAsia" w:ascii="宋体" w:hAnsi="宋体" w:cs="宋体"/>
          <w:color w:val="auto"/>
          <w:szCs w:val="21"/>
          <w:highlight w:val="none"/>
          <w:lang w:bidi="ar"/>
        </w:rPr>
        <w:t>本合同尾部及《廉洁合同》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发送的文件及信息，无论是否实际收到，均视为有效送达。</w:t>
      </w:r>
    </w:p>
    <w:p w14:paraId="433DED45">
      <w:pPr>
        <w:snapToGrid w:val="0"/>
        <w:spacing w:line="400" w:lineRule="exact"/>
        <w:rPr>
          <w:rFonts w:ascii="宋体" w:hAnsi="宋体" w:cs="宋体"/>
          <w:color w:val="auto"/>
          <w:szCs w:val="21"/>
          <w:highlight w:val="none"/>
          <w:lang w:bidi="ar"/>
        </w:rPr>
      </w:pPr>
    </w:p>
    <w:p w14:paraId="39C43C45">
      <w:pPr>
        <w:snapToGrid w:val="0"/>
        <w:spacing w:line="400" w:lineRule="exact"/>
        <w:rPr>
          <w:rFonts w:ascii="宋体" w:hAnsi="宋体" w:cs="宋体"/>
          <w:color w:val="auto"/>
          <w:szCs w:val="21"/>
          <w:highlight w:val="none"/>
        </w:rPr>
      </w:pPr>
      <w:r>
        <w:rPr>
          <w:rFonts w:hint="eastAsia" w:ascii="宋体" w:hAnsi="宋体" w:cs="宋体"/>
          <w:b/>
          <w:color w:val="auto"/>
          <w:szCs w:val="21"/>
          <w:highlight w:val="none"/>
          <w:lang w:bidi="ar"/>
        </w:rPr>
        <w:t>第二十二条</w:t>
      </w:r>
      <w:r>
        <w:rPr>
          <w:rFonts w:hint="eastAsia" w:ascii="宋体" w:hAnsi="宋体" w:cs="宋体"/>
          <w:color w:val="auto"/>
          <w:szCs w:val="21"/>
          <w:highlight w:val="none"/>
          <w:lang w:bidi="ar"/>
        </w:rPr>
        <w:t xml:space="preserve"> 本合同如有未尽事宜，甲乙双方另行协商。</w:t>
      </w:r>
    </w:p>
    <w:p w14:paraId="3848F27E">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lang w:bidi="ar"/>
        </w:rPr>
        <w:t xml:space="preserve"> </w:t>
      </w:r>
    </w:p>
    <w:tbl>
      <w:tblPr>
        <w:tblStyle w:val="49"/>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5875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618B93E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 xml:space="preserve">甲方（章）           </w:t>
            </w:r>
          </w:p>
          <w:p w14:paraId="42B6E83A">
            <w:pPr>
              <w:snapToGrid w:val="0"/>
              <w:spacing w:line="360" w:lineRule="exact"/>
              <w:rPr>
                <w:rFonts w:ascii="宋体" w:hAnsi="宋体" w:cs="宋体"/>
                <w:color w:val="auto"/>
                <w:szCs w:val="21"/>
                <w:highlight w:val="none"/>
              </w:rPr>
            </w:pPr>
          </w:p>
          <w:p w14:paraId="7DF7DFF2">
            <w:pPr>
              <w:snapToGrid w:val="0"/>
              <w:spacing w:line="360" w:lineRule="exact"/>
              <w:ind w:firstLine="630" w:firstLineChars="300"/>
              <w:jc w:val="right"/>
              <w:rPr>
                <w:rFonts w:ascii="宋体" w:hAnsi="宋体" w:cs="宋体"/>
                <w:color w:val="auto"/>
                <w:szCs w:val="21"/>
                <w:highlight w:val="none"/>
              </w:rPr>
            </w:pPr>
            <w:r>
              <w:rPr>
                <w:rFonts w:hint="eastAsia" w:ascii="宋体" w:hAnsi="宋体" w:cs="宋体"/>
                <w:color w:val="auto"/>
                <w:szCs w:val="21"/>
                <w:highlight w:val="none"/>
                <w:lang w:bidi="ar"/>
              </w:rPr>
              <w:t>年   月   日</w:t>
            </w:r>
          </w:p>
        </w:tc>
        <w:tc>
          <w:tcPr>
            <w:tcW w:w="4517" w:type="dxa"/>
            <w:tcBorders>
              <w:top w:val="single" w:color="auto" w:sz="4" w:space="0"/>
              <w:left w:val="nil"/>
              <w:bottom w:val="single" w:color="auto" w:sz="4" w:space="0"/>
              <w:right w:val="single" w:color="auto" w:sz="4" w:space="0"/>
              <w:tl2br w:val="nil"/>
              <w:tr2bl w:val="nil"/>
            </w:tcBorders>
            <w:vAlign w:val="center"/>
          </w:tcPr>
          <w:p w14:paraId="29572FD1">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 xml:space="preserve">乙方（章）              </w:t>
            </w:r>
          </w:p>
          <w:p w14:paraId="10D223CB">
            <w:pPr>
              <w:snapToGrid w:val="0"/>
              <w:spacing w:line="360" w:lineRule="exact"/>
              <w:rPr>
                <w:rFonts w:ascii="宋体" w:hAnsi="宋体" w:cs="宋体"/>
                <w:color w:val="auto"/>
                <w:szCs w:val="21"/>
                <w:highlight w:val="none"/>
              </w:rPr>
            </w:pPr>
          </w:p>
          <w:p w14:paraId="68B3E56E">
            <w:pPr>
              <w:snapToGrid w:val="0"/>
              <w:spacing w:line="360" w:lineRule="exact"/>
              <w:jc w:val="right"/>
              <w:rPr>
                <w:rFonts w:ascii="宋体" w:hAnsi="宋体" w:cs="宋体"/>
                <w:color w:val="auto"/>
                <w:szCs w:val="21"/>
                <w:highlight w:val="none"/>
              </w:rPr>
            </w:pPr>
            <w:r>
              <w:rPr>
                <w:rFonts w:hint="eastAsia" w:ascii="宋体" w:hAnsi="宋体" w:cs="宋体"/>
                <w:color w:val="auto"/>
                <w:szCs w:val="21"/>
                <w:highlight w:val="none"/>
                <w:lang w:bidi="ar"/>
              </w:rPr>
              <w:t xml:space="preserve">       年   月   日</w:t>
            </w:r>
          </w:p>
        </w:tc>
      </w:tr>
      <w:tr w14:paraId="7381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338CCC6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单位地址：</w:t>
            </w:r>
          </w:p>
        </w:tc>
        <w:tc>
          <w:tcPr>
            <w:tcW w:w="4517" w:type="dxa"/>
            <w:tcBorders>
              <w:top w:val="single" w:color="auto" w:sz="4" w:space="0"/>
              <w:left w:val="nil"/>
              <w:bottom w:val="single" w:color="auto" w:sz="4" w:space="0"/>
              <w:right w:val="single" w:color="auto" w:sz="4" w:space="0"/>
              <w:tl2br w:val="nil"/>
              <w:tr2bl w:val="nil"/>
            </w:tcBorders>
            <w:vAlign w:val="center"/>
          </w:tcPr>
          <w:p w14:paraId="3B8B8BE0">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单位地址：</w:t>
            </w:r>
          </w:p>
        </w:tc>
      </w:tr>
      <w:tr w14:paraId="32BD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5A0031C8">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法定代表人：</w:t>
            </w:r>
          </w:p>
        </w:tc>
        <w:tc>
          <w:tcPr>
            <w:tcW w:w="4517" w:type="dxa"/>
            <w:tcBorders>
              <w:top w:val="single" w:color="auto" w:sz="4" w:space="0"/>
              <w:left w:val="nil"/>
              <w:bottom w:val="single" w:color="auto" w:sz="4" w:space="0"/>
              <w:right w:val="single" w:color="auto" w:sz="4" w:space="0"/>
              <w:tl2br w:val="nil"/>
              <w:tr2bl w:val="nil"/>
            </w:tcBorders>
            <w:vAlign w:val="center"/>
          </w:tcPr>
          <w:p w14:paraId="5482A33E">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法定代表人：</w:t>
            </w:r>
          </w:p>
        </w:tc>
      </w:tr>
      <w:tr w14:paraId="0FEE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24A63920">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委托代理人：</w:t>
            </w:r>
          </w:p>
        </w:tc>
        <w:tc>
          <w:tcPr>
            <w:tcW w:w="4517" w:type="dxa"/>
            <w:tcBorders>
              <w:top w:val="single" w:color="auto" w:sz="4" w:space="0"/>
              <w:left w:val="nil"/>
              <w:bottom w:val="single" w:color="auto" w:sz="4" w:space="0"/>
              <w:right w:val="single" w:color="auto" w:sz="4" w:space="0"/>
              <w:tl2br w:val="nil"/>
              <w:tr2bl w:val="nil"/>
            </w:tcBorders>
            <w:vAlign w:val="center"/>
          </w:tcPr>
          <w:p w14:paraId="17EA3B39">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委托代理人：</w:t>
            </w:r>
          </w:p>
        </w:tc>
      </w:tr>
      <w:tr w14:paraId="576F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52B5F2E6">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电话：</w:t>
            </w:r>
          </w:p>
        </w:tc>
        <w:tc>
          <w:tcPr>
            <w:tcW w:w="4517" w:type="dxa"/>
            <w:tcBorders>
              <w:top w:val="single" w:color="auto" w:sz="4" w:space="0"/>
              <w:left w:val="nil"/>
              <w:bottom w:val="single" w:color="auto" w:sz="4" w:space="0"/>
              <w:right w:val="single" w:color="auto" w:sz="4" w:space="0"/>
              <w:tl2br w:val="nil"/>
              <w:tr2bl w:val="nil"/>
            </w:tcBorders>
            <w:vAlign w:val="center"/>
          </w:tcPr>
          <w:p w14:paraId="2934535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电话：</w:t>
            </w:r>
          </w:p>
        </w:tc>
      </w:tr>
      <w:tr w14:paraId="280B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61101D2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电子邮箱：</w:t>
            </w:r>
          </w:p>
        </w:tc>
        <w:tc>
          <w:tcPr>
            <w:tcW w:w="4517" w:type="dxa"/>
            <w:tcBorders>
              <w:top w:val="single" w:color="auto" w:sz="4" w:space="0"/>
              <w:left w:val="nil"/>
              <w:bottom w:val="single" w:color="auto" w:sz="4" w:space="0"/>
              <w:right w:val="single" w:color="auto" w:sz="4" w:space="0"/>
              <w:tl2br w:val="nil"/>
              <w:tr2bl w:val="nil"/>
            </w:tcBorders>
            <w:vAlign w:val="center"/>
          </w:tcPr>
          <w:p w14:paraId="423C8D75">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电子邮箱：</w:t>
            </w:r>
          </w:p>
        </w:tc>
      </w:tr>
      <w:tr w14:paraId="0CA5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61CEBF91">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开户银行：</w:t>
            </w:r>
          </w:p>
        </w:tc>
        <w:tc>
          <w:tcPr>
            <w:tcW w:w="4517" w:type="dxa"/>
            <w:tcBorders>
              <w:top w:val="single" w:color="auto" w:sz="4" w:space="0"/>
              <w:left w:val="nil"/>
              <w:bottom w:val="single" w:color="auto" w:sz="4" w:space="0"/>
              <w:right w:val="single" w:color="auto" w:sz="4" w:space="0"/>
              <w:tl2br w:val="nil"/>
              <w:tr2bl w:val="nil"/>
            </w:tcBorders>
            <w:vAlign w:val="center"/>
          </w:tcPr>
          <w:p w14:paraId="53981689">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开户银行：</w:t>
            </w:r>
          </w:p>
        </w:tc>
      </w:tr>
      <w:tr w14:paraId="4E97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3F3D9640">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账号：</w:t>
            </w:r>
          </w:p>
        </w:tc>
        <w:tc>
          <w:tcPr>
            <w:tcW w:w="4517" w:type="dxa"/>
            <w:tcBorders>
              <w:top w:val="single" w:color="auto" w:sz="4" w:space="0"/>
              <w:left w:val="nil"/>
              <w:bottom w:val="single" w:color="auto" w:sz="4" w:space="0"/>
              <w:right w:val="single" w:color="auto" w:sz="4" w:space="0"/>
              <w:tl2br w:val="nil"/>
              <w:tr2bl w:val="nil"/>
            </w:tcBorders>
            <w:vAlign w:val="center"/>
          </w:tcPr>
          <w:p w14:paraId="38B9E520">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账号：</w:t>
            </w:r>
          </w:p>
        </w:tc>
      </w:tr>
      <w:tr w14:paraId="6422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2FE93D7A">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邮政编码：</w:t>
            </w:r>
          </w:p>
        </w:tc>
        <w:tc>
          <w:tcPr>
            <w:tcW w:w="4517" w:type="dxa"/>
            <w:tcBorders>
              <w:top w:val="single" w:color="auto" w:sz="4" w:space="0"/>
              <w:left w:val="nil"/>
              <w:bottom w:val="single" w:color="auto" w:sz="4" w:space="0"/>
              <w:right w:val="single" w:color="auto" w:sz="4" w:space="0"/>
              <w:tl2br w:val="nil"/>
              <w:tr2bl w:val="nil"/>
            </w:tcBorders>
            <w:vAlign w:val="center"/>
          </w:tcPr>
          <w:p w14:paraId="21E83415">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邮政编码：</w:t>
            </w:r>
          </w:p>
        </w:tc>
      </w:tr>
    </w:tbl>
    <w:p w14:paraId="28946EBE">
      <w:pPr>
        <w:rPr>
          <w:rFonts w:ascii="宋体" w:hAnsi="宋体" w:cs="宋体"/>
          <w:bCs/>
          <w:color w:val="auto"/>
          <w:sz w:val="24"/>
          <w:highlight w:val="none"/>
        </w:rPr>
      </w:pPr>
    </w:p>
    <w:p w14:paraId="61693CF2">
      <w:pPr>
        <w:rPr>
          <w:color w:val="auto"/>
          <w:highlight w:val="none"/>
        </w:rPr>
      </w:pPr>
    </w:p>
    <w:p w14:paraId="1D540C86">
      <w:pPr>
        <w:pStyle w:val="5"/>
        <w:rPr>
          <w:rFonts w:asciiTheme="majorEastAsia" w:hAnsiTheme="majorEastAsia" w:eastAsiaTheme="majorEastAsia" w:cstheme="majorEastAsia"/>
          <w:color w:val="auto"/>
          <w:sz w:val="21"/>
          <w:szCs w:val="21"/>
          <w:highlight w:val="none"/>
        </w:rPr>
      </w:pPr>
    </w:p>
    <w:p w14:paraId="3C7126C7">
      <w:pPr>
        <w:snapToGrid w:val="0"/>
        <w:spacing w:line="400" w:lineRule="exact"/>
        <w:rPr>
          <w:rFonts w:ascii="宋体" w:hAnsi="宋体" w:cs="宋体"/>
          <w:color w:val="auto"/>
          <w:szCs w:val="21"/>
          <w:highlight w:val="none"/>
          <w:lang w:bidi="ar"/>
        </w:rPr>
      </w:pPr>
    </w:p>
    <w:p w14:paraId="5BE97FAD">
      <w:pPr>
        <w:snapToGrid w:val="0"/>
        <w:spacing w:line="400" w:lineRule="exact"/>
        <w:rPr>
          <w:rFonts w:ascii="宋体" w:hAnsi="宋体" w:cs="宋体"/>
          <w:color w:val="auto"/>
          <w:szCs w:val="21"/>
          <w:highlight w:val="none"/>
          <w:lang w:bidi="ar"/>
        </w:rPr>
      </w:pPr>
    </w:p>
    <w:p w14:paraId="27D3F275">
      <w:pPr>
        <w:snapToGrid w:val="0"/>
        <w:spacing w:line="400" w:lineRule="exact"/>
        <w:rPr>
          <w:rFonts w:ascii="宋体" w:hAnsi="宋体" w:cs="宋体"/>
          <w:color w:val="auto"/>
          <w:szCs w:val="21"/>
          <w:highlight w:val="none"/>
          <w:lang w:bidi="ar"/>
        </w:rPr>
      </w:pPr>
    </w:p>
    <w:p w14:paraId="0909277B">
      <w:pPr>
        <w:snapToGrid w:val="0"/>
        <w:spacing w:line="400" w:lineRule="exact"/>
        <w:rPr>
          <w:rFonts w:ascii="宋体" w:hAnsi="宋体" w:cs="宋体"/>
          <w:color w:val="auto"/>
          <w:szCs w:val="21"/>
          <w:highlight w:val="none"/>
          <w:lang w:bidi="ar"/>
        </w:rPr>
      </w:pPr>
    </w:p>
    <w:p w14:paraId="3F3C5D45">
      <w:pPr>
        <w:snapToGrid w:val="0"/>
        <w:spacing w:line="400" w:lineRule="exact"/>
        <w:rPr>
          <w:rFonts w:ascii="宋体" w:hAnsi="宋体" w:cs="宋体"/>
          <w:color w:val="auto"/>
          <w:szCs w:val="21"/>
          <w:highlight w:val="none"/>
          <w:lang w:bidi="ar"/>
        </w:rPr>
      </w:pPr>
    </w:p>
    <w:p w14:paraId="09D2F3C4">
      <w:pPr>
        <w:snapToGrid w:val="0"/>
        <w:spacing w:line="400" w:lineRule="exact"/>
        <w:rPr>
          <w:rFonts w:ascii="宋体" w:hAnsi="宋体" w:cs="宋体"/>
          <w:color w:val="auto"/>
          <w:szCs w:val="21"/>
          <w:highlight w:val="none"/>
          <w:lang w:bidi="ar"/>
        </w:rPr>
      </w:pPr>
    </w:p>
    <w:p w14:paraId="7CDE558E">
      <w:pPr>
        <w:snapToGrid w:val="0"/>
        <w:spacing w:line="400" w:lineRule="exact"/>
        <w:rPr>
          <w:rFonts w:ascii="宋体" w:hAnsi="宋体" w:cs="宋体"/>
          <w:color w:val="auto"/>
          <w:szCs w:val="21"/>
          <w:highlight w:val="none"/>
          <w:lang w:bidi="ar"/>
        </w:rPr>
      </w:pPr>
    </w:p>
    <w:p w14:paraId="788520FE">
      <w:pPr>
        <w:snapToGrid w:val="0"/>
        <w:spacing w:line="400" w:lineRule="exact"/>
        <w:rPr>
          <w:rFonts w:ascii="宋体" w:hAnsi="宋体" w:cs="宋体"/>
          <w:color w:val="auto"/>
          <w:szCs w:val="21"/>
          <w:highlight w:val="none"/>
          <w:lang w:bidi="ar"/>
        </w:rPr>
      </w:pPr>
    </w:p>
    <w:p w14:paraId="264FAC95">
      <w:pPr>
        <w:snapToGrid w:val="0"/>
        <w:spacing w:line="400" w:lineRule="exact"/>
        <w:rPr>
          <w:rFonts w:ascii="宋体" w:hAnsi="宋体" w:cs="宋体"/>
          <w:color w:val="auto"/>
          <w:szCs w:val="21"/>
          <w:highlight w:val="none"/>
          <w:lang w:bidi="ar"/>
        </w:rPr>
      </w:pPr>
    </w:p>
    <w:p w14:paraId="599C90CA">
      <w:pPr>
        <w:snapToGrid w:val="0"/>
        <w:spacing w:line="400" w:lineRule="exact"/>
        <w:rPr>
          <w:rFonts w:ascii="宋体" w:hAnsi="宋体" w:cs="宋体"/>
          <w:color w:val="auto"/>
          <w:szCs w:val="21"/>
          <w:highlight w:val="none"/>
          <w:lang w:bidi="ar"/>
        </w:rPr>
      </w:pPr>
    </w:p>
    <w:bookmarkEnd w:id="174"/>
    <w:p w14:paraId="666B8C38">
      <w:pPr>
        <w:pStyle w:val="60"/>
        <w:rPr>
          <w:rFonts w:ascii="宋体" w:hAnsi="宋体" w:cs="宋体"/>
          <w:color w:val="auto"/>
          <w:highlight w:val="none"/>
        </w:rPr>
      </w:pPr>
      <w:bookmarkStart w:id="175" w:name="_Toc74320805"/>
    </w:p>
    <w:p w14:paraId="46EF1D54">
      <w:pPr>
        <w:pStyle w:val="60"/>
        <w:rPr>
          <w:rFonts w:ascii="宋体" w:hAnsi="宋体" w:cs="宋体"/>
          <w:color w:val="auto"/>
          <w:highlight w:val="none"/>
        </w:rPr>
      </w:pPr>
    </w:p>
    <w:p w14:paraId="5E450950">
      <w:pPr>
        <w:pStyle w:val="60"/>
        <w:rPr>
          <w:rFonts w:ascii="宋体" w:hAnsi="宋体" w:cs="宋体"/>
          <w:color w:val="auto"/>
          <w:highlight w:val="none"/>
        </w:rPr>
      </w:pPr>
    </w:p>
    <w:p w14:paraId="19832E30">
      <w:pPr>
        <w:pStyle w:val="60"/>
        <w:rPr>
          <w:rFonts w:ascii="宋体" w:hAnsi="宋体" w:cs="宋体"/>
          <w:color w:val="auto"/>
          <w:highlight w:val="none"/>
        </w:rPr>
      </w:pPr>
    </w:p>
    <w:p w14:paraId="588F9F08">
      <w:pPr>
        <w:pStyle w:val="60"/>
        <w:rPr>
          <w:rFonts w:ascii="宋体" w:hAnsi="宋体" w:cs="宋体"/>
          <w:color w:val="auto"/>
          <w:highlight w:val="none"/>
        </w:rPr>
      </w:pPr>
    </w:p>
    <w:p w14:paraId="18D4ED92">
      <w:pPr>
        <w:pStyle w:val="60"/>
        <w:rPr>
          <w:rFonts w:ascii="宋体" w:hAnsi="宋体" w:cs="宋体"/>
          <w:color w:val="auto"/>
          <w:highlight w:val="none"/>
        </w:rPr>
      </w:pPr>
    </w:p>
    <w:p w14:paraId="3BAAB096">
      <w:pPr>
        <w:pStyle w:val="60"/>
        <w:rPr>
          <w:rFonts w:ascii="宋体" w:hAnsi="宋体" w:cs="宋体"/>
          <w:color w:val="auto"/>
          <w:highlight w:val="none"/>
        </w:rPr>
      </w:pPr>
    </w:p>
    <w:p w14:paraId="1E454D53">
      <w:pPr>
        <w:pStyle w:val="60"/>
        <w:rPr>
          <w:rFonts w:ascii="宋体" w:hAnsi="宋体" w:cs="宋体"/>
          <w:color w:val="auto"/>
          <w:highlight w:val="none"/>
        </w:rPr>
      </w:pPr>
    </w:p>
    <w:p w14:paraId="63B43308">
      <w:pPr>
        <w:pStyle w:val="60"/>
        <w:rPr>
          <w:rFonts w:ascii="宋体" w:hAnsi="宋体" w:cs="宋体"/>
          <w:color w:val="auto"/>
          <w:highlight w:val="none"/>
        </w:rPr>
      </w:pPr>
    </w:p>
    <w:p w14:paraId="1316977F">
      <w:pPr>
        <w:pStyle w:val="60"/>
        <w:rPr>
          <w:rFonts w:ascii="宋体" w:hAnsi="宋体" w:cs="宋体"/>
          <w:color w:val="auto"/>
          <w:highlight w:val="none"/>
        </w:rPr>
      </w:pPr>
    </w:p>
    <w:p w14:paraId="64BE9197">
      <w:pPr>
        <w:pStyle w:val="4"/>
        <w:jc w:val="center"/>
        <w:rPr>
          <w:rFonts w:ascii="宋体" w:hAnsi="宋体" w:cs="宋体"/>
          <w:color w:val="auto"/>
          <w:highlight w:val="none"/>
        </w:rPr>
      </w:pPr>
      <w:bookmarkStart w:id="176" w:name="_Toc18832"/>
      <w:r>
        <w:rPr>
          <w:rFonts w:hint="eastAsia" w:ascii="宋体" w:hAnsi="宋体" w:cs="宋体"/>
          <w:color w:val="auto"/>
          <w:highlight w:val="none"/>
        </w:rPr>
        <w:t>第六章  投标文件格式</w:t>
      </w:r>
      <w:bookmarkEnd w:id="175"/>
      <w:bookmarkEnd w:id="176"/>
    </w:p>
    <w:p w14:paraId="7DE43F5E">
      <w:pPr>
        <w:snapToGrid w:val="0"/>
        <w:spacing w:before="50" w:after="50"/>
        <w:outlineLvl w:val="1"/>
        <w:rPr>
          <w:rFonts w:ascii="宋体" w:hAnsi="宋体" w:cs="宋体"/>
          <w:color w:val="auto"/>
          <w:sz w:val="32"/>
          <w:szCs w:val="20"/>
          <w:highlight w:val="none"/>
        </w:rPr>
      </w:pPr>
    </w:p>
    <w:p w14:paraId="38600078">
      <w:pPr>
        <w:snapToGrid w:val="0"/>
        <w:spacing w:before="50" w:after="50"/>
        <w:outlineLvl w:val="1"/>
        <w:rPr>
          <w:rFonts w:ascii="宋体" w:hAnsi="宋体" w:cs="宋体"/>
          <w:color w:val="auto"/>
          <w:sz w:val="32"/>
          <w:szCs w:val="20"/>
          <w:highlight w:val="none"/>
        </w:rPr>
      </w:pPr>
    </w:p>
    <w:p w14:paraId="55FED73B">
      <w:pPr>
        <w:pStyle w:val="24"/>
        <w:rPr>
          <w:color w:val="auto"/>
          <w:highlight w:val="none"/>
        </w:rPr>
      </w:pPr>
    </w:p>
    <w:p w14:paraId="2C93D1E5">
      <w:pPr>
        <w:snapToGrid w:val="0"/>
        <w:spacing w:before="50" w:after="50"/>
        <w:outlineLvl w:val="1"/>
        <w:rPr>
          <w:rFonts w:ascii="宋体" w:hAnsi="宋体" w:cs="宋体"/>
          <w:color w:val="auto"/>
          <w:sz w:val="32"/>
          <w:szCs w:val="20"/>
          <w:highlight w:val="none"/>
        </w:rPr>
      </w:pPr>
    </w:p>
    <w:p w14:paraId="3DE80167">
      <w:pPr>
        <w:snapToGrid w:val="0"/>
        <w:spacing w:before="50" w:after="50"/>
        <w:outlineLvl w:val="1"/>
        <w:rPr>
          <w:rFonts w:ascii="宋体" w:hAnsi="宋体" w:cs="宋体"/>
          <w:color w:val="auto"/>
          <w:sz w:val="32"/>
          <w:szCs w:val="20"/>
          <w:highlight w:val="none"/>
        </w:rPr>
      </w:pPr>
    </w:p>
    <w:p w14:paraId="088AA3A3">
      <w:pPr>
        <w:snapToGrid w:val="0"/>
        <w:spacing w:before="50" w:after="50"/>
        <w:outlineLvl w:val="1"/>
        <w:rPr>
          <w:rFonts w:ascii="宋体" w:hAnsi="宋体" w:cs="宋体"/>
          <w:color w:val="auto"/>
          <w:sz w:val="32"/>
          <w:szCs w:val="20"/>
          <w:highlight w:val="none"/>
        </w:rPr>
      </w:pPr>
    </w:p>
    <w:p w14:paraId="49B4682D">
      <w:pPr>
        <w:pStyle w:val="2"/>
        <w:rPr>
          <w:rFonts w:hAnsi="宋体"/>
          <w:color w:val="auto"/>
          <w:sz w:val="32"/>
          <w:szCs w:val="20"/>
          <w:highlight w:val="none"/>
        </w:rPr>
      </w:pPr>
    </w:p>
    <w:p w14:paraId="290D5686">
      <w:pPr>
        <w:pStyle w:val="2"/>
        <w:rPr>
          <w:rFonts w:hAnsi="宋体"/>
          <w:color w:val="auto"/>
          <w:sz w:val="32"/>
          <w:szCs w:val="20"/>
          <w:highlight w:val="none"/>
        </w:rPr>
      </w:pPr>
    </w:p>
    <w:p w14:paraId="7FBD13CA">
      <w:pPr>
        <w:pStyle w:val="2"/>
        <w:rPr>
          <w:rFonts w:hAnsi="宋体"/>
          <w:color w:val="auto"/>
          <w:sz w:val="32"/>
          <w:szCs w:val="20"/>
          <w:highlight w:val="none"/>
        </w:rPr>
      </w:pPr>
    </w:p>
    <w:p w14:paraId="13AD26AB">
      <w:pPr>
        <w:pStyle w:val="2"/>
        <w:rPr>
          <w:rFonts w:hAnsi="宋体"/>
          <w:color w:val="auto"/>
          <w:sz w:val="32"/>
          <w:szCs w:val="20"/>
          <w:highlight w:val="none"/>
        </w:rPr>
      </w:pPr>
    </w:p>
    <w:p w14:paraId="74B13261">
      <w:pPr>
        <w:pStyle w:val="2"/>
        <w:rPr>
          <w:rFonts w:hAnsi="宋体"/>
          <w:color w:val="auto"/>
          <w:sz w:val="32"/>
          <w:szCs w:val="20"/>
          <w:highlight w:val="none"/>
        </w:rPr>
      </w:pPr>
    </w:p>
    <w:p w14:paraId="4CE69F49">
      <w:pPr>
        <w:pStyle w:val="2"/>
        <w:rPr>
          <w:rFonts w:hAnsi="宋体"/>
          <w:color w:val="auto"/>
          <w:sz w:val="32"/>
          <w:szCs w:val="20"/>
          <w:highlight w:val="none"/>
        </w:rPr>
      </w:pPr>
    </w:p>
    <w:p w14:paraId="46798AA9">
      <w:pPr>
        <w:snapToGrid w:val="0"/>
        <w:spacing w:before="50" w:after="50"/>
        <w:outlineLvl w:val="1"/>
        <w:rPr>
          <w:rFonts w:ascii="宋体" w:hAnsi="宋体" w:cs="宋体"/>
          <w:color w:val="auto"/>
          <w:sz w:val="32"/>
          <w:szCs w:val="20"/>
          <w:highlight w:val="none"/>
        </w:rPr>
      </w:pPr>
    </w:p>
    <w:p w14:paraId="3FC958C0">
      <w:pPr>
        <w:snapToGrid w:val="0"/>
        <w:spacing w:before="50" w:after="50"/>
        <w:outlineLvl w:val="1"/>
        <w:rPr>
          <w:rFonts w:ascii="宋体" w:hAnsi="宋体" w:cs="宋体"/>
          <w:color w:val="auto"/>
          <w:sz w:val="32"/>
          <w:szCs w:val="20"/>
          <w:highlight w:val="none"/>
        </w:rPr>
      </w:pPr>
    </w:p>
    <w:p w14:paraId="2A5E920C">
      <w:pPr>
        <w:snapToGrid w:val="0"/>
        <w:spacing w:before="50" w:after="50"/>
        <w:outlineLvl w:val="1"/>
        <w:rPr>
          <w:rFonts w:ascii="宋体" w:hAnsi="宋体" w:cs="宋体"/>
          <w:color w:val="auto"/>
          <w:highlight w:val="none"/>
        </w:rPr>
      </w:pPr>
    </w:p>
    <w:p w14:paraId="0915971A">
      <w:pPr>
        <w:rPr>
          <w:rFonts w:ascii="宋体" w:hAnsi="宋体" w:cs="宋体"/>
          <w:b/>
          <w:color w:val="auto"/>
          <w:sz w:val="28"/>
          <w:szCs w:val="28"/>
          <w:highlight w:val="none"/>
        </w:rPr>
      </w:pPr>
      <w:bookmarkStart w:id="177" w:name="_Toc19686836"/>
      <w:bookmarkStart w:id="178" w:name="_Toc254970557"/>
      <w:bookmarkStart w:id="179" w:name="_Toc254970698"/>
      <w:r>
        <w:rPr>
          <w:rFonts w:hint="eastAsia" w:ascii="宋体" w:hAnsi="宋体" w:cs="宋体"/>
          <w:b/>
          <w:color w:val="auto"/>
          <w:sz w:val="28"/>
          <w:szCs w:val="28"/>
          <w:highlight w:val="none"/>
        </w:rPr>
        <w:t>一、报价文件格式</w:t>
      </w:r>
      <w:bookmarkEnd w:id="177"/>
    </w:p>
    <w:p w14:paraId="1C527187">
      <w:pPr>
        <w:snapToGrid w:val="0"/>
        <w:spacing w:before="120" w:beforeLines="50" w:after="50" w:line="360" w:lineRule="auto"/>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报价文件封面格式： </w:t>
      </w:r>
    </w:p>
    <w:p w14:paraId="21D9FA8C">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26D90AB">
      <w:pPr>
        <w:snapToGrid w:val="0"/>
        <w:spacing w:before="120" w:beforeLines="50" w:after="50" w:line="400" w:lineRule="exact"/>
        <w:jc w:val="left"/>
        <w:rPr>
          <w:rFonts w:ascii="宋体" w:hAnsi="宋体" w:cs="宋体"/>
          <w:bCs/>
          <w:color w:val="auto"/>
          <w:sz w:val="48"/>
          <w:szCs w:val="48"/>
          <w:highlight w:val="none"/>
        </w:rPr>
      </w:pPr>
    </w:p>
    <w:p w14:paraId="0053D8BA">
      <w:pPr>
        <w:snapToGrid w:val="0"/>
        <w:spacing w:before="120" w:beforeLines="50" w:after="50" w:line="4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报  价  文  件</w:t>
      </w:r>
    </w:p>
    <w:p w14:paraId="2BADFA90">
      <w:pPr>
        <w:snapToGrid w:val="0"/>
        <w:spacing w:before="120" w:beforeLines="50" w:after="50" w:line="400" w:lineRule="exact"/>
        <w:rPr>
          <w:rFonts w:ascii="宋体" w:hAnsi="宋体" w:cs="宋体"/>
          <w:bCs/>
          <w:color w:val="auto"/>
          <w:sz w:val="24"/>
          <w:szCs w:val="20"/>
          <w:highlight w:val="none"/>
        </w:rPr>
      </w:pPr>
    </w:p>
    <w:p w14:paraId="4C72397C">
      <w:pPr>
        <w:snapToGrid w:val="0"/>
        <w:spacing w:before="120" w:beforeLines="50" w:after="50" w:line="400" w:lineRule="exact"/>
        <w:rPr>
          <w:rFonts w:ascii="宋体" w:hAnsi="宋体" w:cs="宋体"/>
          <w:bCs/>
          <w:color w:val="auto"/>
          <w:sz w:val="24"/>
          <w:szCs w:val="20"/>
          <w:highlight w:val="none"/>
        </w:rPr>
      </w:pPr>
    </w:p>
    <w:p w14:paraId="551423BC">
      <w:pPr>
        <w:snapToGrid w:val="0"/>
        <w:spacing w:before="120" w:beforeLines="50" w:after="50" w:line="400" w:lineRule="exact"/>
        <w:rPr>
          <w:rFonts w:ascii="宋体" w:hAnsi="宋体" w:cs="宋体"/>
          <w:bCs/>
          <w:color w:val="auto"/>
          <w:sz w:val="24"/>
          <w:szCs w:val="20"/>
          <w:highlight w:val="none"/>
        </w:rPr>
      </w:pPr>
    </w:p>
    <w:p w14:paraId="00ABCD66">
      <w:pPr>
        <w:snapToGrid w:val="0"/>
        <w:spacing w:before="120" w:beforeLines="50" w:after="50" w:line="400" w:lineRule="exact"/>
        <w:rPr>
          <w:rFonts w:ascii="宋体" w:hAnsi="宋体" w:cs="宋体"/>
          <w:bCs/>
          <w:color w:val="auto"/>
          <w:sz w:val="24"/>
          <w:szCs w:val="20"/>
          <w:highlight w:val="none"/>
        </w:rPr>
      </w:pPr>
    </w:p>
    <w:p w14:paraId="59F37D52">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6D1BA6A0">
      <w:pPr>
        <w:snapToGrid w:val="0"/>
        <w:spacing w:before="120" w:beforeLines="50" w:after="50" w:line="400" w:lineRule="exact"/>
        <w:ind w:firstLine="360" w:firstLineChars="150"/>
        <w:rPr>
          <w:rFonts w:ascii="宋体" w:hAnsi="宋体" w:cs="宋体"/>
          <w:bCs/>
          <w:color w:val="auto"/>
          <w:sz w:val="24"/>
          <w:highlight w:val="none"/>
        </w:rPr>
      </w:pPr>
    </w:p>
    <w:p w14:paraId="58D44CBF">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639128B5">
      <w:pPr>
        <w:snapToGrid w:val="0"/>
        <w:spacing w:before="120" w:beforeLines="50" w:after="50" w:line="400" w:lineRule="exact"/>
        <w:ind w:firstLine="360" w:firstLineChars="150"/>
        <w:rPr>
          <w:rFonts w:ascii="宋体" w:hAnsi="宋体" w:cs="宋体"/>
          <w:bCs/>
          <w:color w:val="auto"/>
          <w:sz w:val="24"/>
          <w:highlight w:val="none"/>
        </w:rPr>
      </w:pPr>
    </w:p>
    <w:p w14:paraId="52D3821E">
      <w:pPr>
        <w:snapToGrid w:val="0"/>
        <w:spacing w:before="120" w:beforeLines="50" w:after="50" w:line="400" w:lineRule="exact"/>
        <w:ind w:firstLine="360" w:firstLineChars="150"/>
        <w:rPr>
          <w:rFonts w:ascii="宋体" w:hAnsi="宋体" w:cs="宋体"/>
          <w:bCs/>
          <w:color w:val="auto"/>
          <w:sz w:val="24"/>
          <w:highlight w:val="none"/>
        </w:rPr>
      </w:pPr>
    </w:p>
    <w:p w14:paraId="173394FD">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30E76A74">
      <w:pPr>
        <w:snapToGrid w:val="0"/>
        <w:spacing w:before="120" w:beforeLines="50" w:after="50" w:line="400" w:lineRule="exact"/>
        <w:ind w:firstLine="360" w:firstLineChars="150"/>
        <w:rPr>
          <w:rFonts w:ascii="宋体" w:hAnsi="宋体" w:cs="宋体"/>
          <w:bCs/>
          <w:color w:val="auto"/>
          <w:sz w:val="24"/>
          <w:highlight w:val="none"/>
        </w:rPr>
      </w:pPr>
    </w:p>
    <w:p w14:paraId="38EBB4FD">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458B2760">
      <w:pPr>
        <w:pStyle w:val="8"/>
        <w:snapToGrid w:val="0"/>
        <w:spacing w:before="50" w:after="50" w:line="400" w:lineRule="exact"/>
        <w:ind w:firstLine="960" w:firstLineChars="400"/>
        <w:rPr>
          <w:rFonts w:ascii="宋体" w:hAnsi="宋体" w:cs="宋体"/>
          <w:bCs/>
          <w:color w:val="auto"/>
          <w:sz w:val="24"/>
          <w:szCs w:val="24"/>
          <w:highlight w:val="none"/>
        </w:rPr>
      </w:pPr>
    </w:p>
    <w:p w14:paraId="06726313">
      <w:pPr>
        <w:snapToGrid w:val="0"/>
        <w:spacing w:before="120" w:beforeLines="50" w:after="50" w:line="400" w:lineRule="exact"/>
        <w:rPr>
          <w:rFonts w:ascii="宋体" w:hAnsi="宋体" w:cs="宋体"/>
          <w:color w:val="auto"/>
          <w:sz w:val="30"/>
          <w:szCs w:val="20"/>
          <w:highlight w:val="none"/>
        </w:rPr>
      </w:pPr>
      <w:r>
        <w:rPr>
          <w:rFonts w:hint="eastAsia" w:ascii="宋体" w:hAnsi="宋体" w:cs="宋体"/>
          <w:color w:val="auto"/>
          <w:sz w:val="24"/>
          <w:highlight w:val="none"/>
        </w:rPr>
        <w:t xml:space="preserve">                                   年  月  日</w:t>
      </w:r>
    </w:p>
    <w:p w14:paraId="6D4F712B">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1BB57157">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1AC9CDAE">
      <w:pPr>
        <w:snapToGrid w:val="0"/>
        <w:spacing w:before="120" w:beforeLines="50" w:after="50"/>
        <w:rPr>
          <w:rFonts w:ascii="宋体" w:hAnsi="宋体" w:cs="宋体"/>
          <w:b/>
          <w:color w:val="auto"/>
          <w:sz w:val="24"/>
          <w:highlight w:val="none"/>
        </w:rPr>
      </w:pPr>
    </w:p>
    <w:p w14:paraId="4AE45318">
      <w:pPr>
        <w:snapToGrid w:val="0"/>
        <w:spacing w:before="120" w:beforeLines="50" w:after="50"/>
        <w:rPr>
          <w:rFonts w:ascii="宋体" w:hAnsi="宋体" w:cs="宋体"/>
          <w:b/>
          <w:color w:val="auto"/>
          <w:sz w:val="24"/>
          <w:highlight w:val="none"/>
        </w:rPr>
      </w:pPr>
    </w:p>
    <w:p w14:paraId="3454931D">
      <w:pPr>
        <w:snapToGrid w:val="0"/>
        <w:spacing w:before="120" w:beforeLines="50" w:after="50"/>
        <w:rPr>
          <w:rFonts w:ascii="宋体" w:hAnsi="宋体" w:cs="宋体"/>
          <w:b/>
          <w:color w:val="auto"/>
          <w:sz w:val="24"/>
          <w:highlight w:val="none"/>
        </w:rPr>
      </w:pPr>
    </w:p>
    <w:p w14:paraId="2B9C9FBF">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w:t>
      </w:r>
      <w:r>
        <w:rPr>
          <w:rFonts w:hint="eastAsia" w:ascii="宋体" w:hAnsi="宋体" w:cs="宋体"/>
          <w:b/>
          <w:bCs/>
          <w:color w:val="auto"/>
          <w:sz w:val="24"/>
          <w:highlight w:val="none"/>
        </w:rPr>
        <w:t>报价</w:t>
      </w:r>
      <w:r>
        <w:rPr>
          <w:rFonts w:hint="eastAsia" w:ascii="宋体" w:hAnsi="宋体" w:cs="宋体"/>
          <w:b/>
          <w:color w:val="auto"/>
          <w:sz w:val="24"/>
          <w:highlight w:val="none"/>
        </w:rPr>
        <w:t>文件格式</w:t>
      </w:r>
    </w:p>
    <w:p w14:paraId="32A91E8E">
      <w:pPr>
        <w:snapToGrid w:val="0"/>
        <w:spacing w:before="120" w:beforeLines="50" w:after="50"/>
        <w:ind w:left="142"/>
        <w:jc w:val="left"/>
        <w:rPr>
          <w:rFonts w:ascii="宋体" w:hAnsi="宋体" w:cs="宋体"/>
          <w:b/>
          <w:color w:val="auto"/>
          <w:sz w:val="24"/>
          <w:highlight w:val="none"/>
        </w:rPr>
      </w:pPr>
    </w:p>
    <w:p w14:paraId="1D0601F5">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投标函：</w:t>
      </w:r>
    </w:p>
    <w:p w14:paraId="0A85DBB7">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4C4AA870">
      <w:pPr>
        <w:snapToGrid w:val="0"/>
        <w:spacing w:before="120" w:beforeLines="50" w:after="50" w:line="320" w:lineRule="exact"/>
        <w:jc w:val="center"/>
        <w:rPr>
          <w:rFonts w:ascii="宋体" w:hAnsi="宋体" w:cs="宋体"/>
          <w:b/>
          <w:color w:val="auto"/>
          <w:sz w:val="32"/>
          <w:szCs w:val="32"/>
          <w:highlight w:val="none"/>
        </w:rPr>
      </w:pPr>
    </w:p>
    <w:p w14:paraId="672CA9ED">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77FCFC0">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）的招标公告，签字代表______（姓名）经正式授权并代表投标人（投标人名称）提交投标文件。</w:t>
      </w:r>
    </w:p>
    <w:p w14:paraId="3D51CCB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0628869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5BC11CF6">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1A80E0BC">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3.本投标有效期自投标截止之日起180日。</w:t>
      </w:r>
    </w:p>
    <w:p w14:paraId="5D3A5E31">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233C6C19">
      <w:pPr>
        <w:spacing w:line="400" w:lineRule="exact"/>
        <w:ind w:firstLine="420"/>
        <w:rPr>
          <w:rFonts w:ascii="宋体" w:hAnsi="宋体" w:cs="宋体"/>
          <w:color w:val="auto"/>
          <w:kern w:val="0"/>
          <w:sz w:val="24"/>
          <w:highlight w:val="none"/>
        </w:rPr>
      </w:pPr>
      <w:r>
        <w:rPr>
          <w:rFonts w:hint="eastAsia" w:ascii="宋体" w:hAnsi="宋体" w:cs="宋体"/>
          <w:color w:val="auto"/>
          <w:sz w:val="24"/>
          <w:highlight w:val="none"/>
        </w:rPr>
        <w:t>5.我方承诺，</w:t>
      </w:r>
      <w:r>
        <w:rPr>
          <w:rFonts w:hint="eastAsia" w:ascii="宋体" w:hAnsi="宋体" w:cs="宋体"/>
          <w:color w:val="auto"/>
          <w:kern w:val="0"/>
          <w:sz w:val="24"/>
          <w:highlight w:val="none"/>
        </w:rPr>
        <w:t>如我方中标，我方保证按本项目招标文件的规定及标准向贵单位一次性足额支付代理服务费。代理服务费发票我方选择开具：□</w:t>
      </w:r>
      <w:r>
        <w:rPr>
          <w:rFonts w:hint="eastAsia" w:ascii="宋体" w:hAnsi="宋体" w:cs="宋体"/>
          <w:color w:val="auto"/>
          <w:kern w:val="0"/>
          <w:sz w:val="24"/>
          <w:highlight w:val="none"/>
          <w:u w:val="single"/>
        </w:rPr>
        <w:t>增值税普通发票</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增值税专用发票</w:t>
      </w:r>
      <w:r>
        <w:rPr>
          <w:rFonts w:hint="eastAsia" w:ascii="宋体" w:hAnsi="宋体" w:cs="宋体"/>
          <w:color w:val="auto"/>
          <w:kern w:val="0"/>
          <w:sz w:val="24"/>
          <w:highlight w:val="none"/>
        </w:rPr>
        <w:t>，开票信息如下：</w:t>
      </w:r>
    </w:p>
    <w:p w14:paraId="600BBCF1">
      <w:pPr>
        <w:spacing w:line="40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①公司名称：</w:t>
      </w:r>
      <w:r>
        <w:rPr>
          <w:rFonts w:hint="eastAsia" w:ascii="宋体" w:hAnsi="宋体" w:cs="宋体"/>
          <w:color w:val="auto"/>
          <w:kern w:val="0"/>
          <w:sz w:val="24"/>
          <w:highlight w:val="none"/>
          <w:u w:val="single"/>
        </w:rPr>
        <w:t xml:space="preserve">       </w:t>
      </w:r>
    </w:p>
    <w:p w14:paraId="3D5C5CCA">
      <w:pPr>
        <w:spacing w:line="40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②纳税人识别号：</w:t>
      </w:r>
      <w:r>
        <w:rPr>
          <w:rFonts w:hint="eastAsia" w:ascii="宋体" w:hAnsi="宋体" w:cs="宋体"/>
          <w:color w:val="auto"/>
          <w:kern w:val="0"/>
          <w:sz w:val="24"/>
          <w:highlight w:val="none"/>
          <w:u w:val="single"/>
        </w:rPr>
        <w:t xml:space="preserve">       </w:t>
      </w:r>
    </w:p>
    <w:p w14:paraId="1B609929">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6.我方同意按照贵方要求提供与投标有关的一切数据或者资料。</w:t>
      </w:r>
    </w:p>
    <w:p w14:paraId="63E08353">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7.我方向贵方提交的所有投标文件、资料都是准确的和真实的。</w:t>
      </w:r>
    </w:p>
    <w:p w14:paraId="371AE14B">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1D41C16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9.根据《中华人民共和国政府采购法实施条例》第五十条要求对政府采购合同进行公告，但政府采购合同中涉及国家秘密、商业秘密的内容除外。我方就对本次投标文件进行注明如下：（两项内容中必须选择一项）</w:t>
      </w:r>
    </w:p>
    <w:p w14:paraId="7EA661D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005515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sz w:val="24"/>
          <w:highlight w:val="none"/>
          <w:u w:val="single"/>
        </w:rPr>
        <w:t>；</w:t>
      </w:r>
    </w:p>
    <w:p w14:paraId="770F8D8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10.与本投标有关的一切正式往来信函请寄：</w:t>
      </w:r>
    </w:p>
    <w:p w14:paraId="2AB5D3C8">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_               </w:t>
      </w:r>
    </w:p>
    <w:p w14:paraId="1C8A61D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rPr>
        <w:t xml:space="preserve">_               </w:t>
      </w:r>
    </w:p>
    <w:p w14:paraId="03D777AE">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_               </w:t>
      </w:r>
    </w:p>
    <w:p w14:paraId="7C16FF2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银行账号：</w:t>
      </w:r>
      <w:r>
        <w:rPr>
          <w:rFonts w:hint="eastAsia" w:ascii="宋体" w:hAnsi="宋体" w:cs="宋体"/>
          <w:color w:val="auto"/>
          <w:sz w:val="24"/>
          <w:highlight w:val="none"/>
          <w:u w:val="single"/>
        </w:rPr>
        <w:t xml:space="preserve">_               </w:t>
      </w:r>
    </w:p>
    <w:p w14:paraId="1946D302">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法定代表人或者委托代理人（签字或者电子签名）:___________ </w:t>
      </w:r>
    </w:p>
    <w:p w14:paraId="4D19BFC7">
      <w:pPr>
        <w:pStyle w:val="27"/>
        <w:spacing w:line="360" w:lineRule="auto"/>
        <w:contextualSpacing/>
        <w:jc w:val="center"/>
        <w:rPr>
          <w:rFonts w:hAnsi="宋体" w:cs="宋体"/>
          <w:color w:val="auto"/>
          <w:sz w:val="24"/>
          <w:highlight w:val="none"/>
        </w:rPr>
      </w:pPr>
    </w:p>
    <w:p w14:paraId="6FDF1D24">
      <w:pPr>
        <w:pStyle w:val="27"/>
        <w:spacing w:line="360" w:lineRule="auto"/>
        <w:contextualSpacing/>
        <w:jc w:val="center"/>
        <w:rPr>
          <w:rFonts w:hAnsi="宋体" w:cs="宋体"/>
          <w:color w:val="auto"/>
          <w:sz w:val="24"/>
          <w:highlight w:val="none"/>
        </w:rPr>
      </w:pPr>
    </w:p>
    <w:p w14:paraId="5D6DE4D7">
      <w:pPr>
        <w:pStyle w:val="27"/>
        <w:spacing w:line="360" w:lineRule="auto"/>
        <w:contextualSpacing/>
        <w:jc w:val="center"/>
        <w:rPr>
          <w:rFonts w:hAnsi="宋体" w:cs="宋体"/>
          <w:color w:val="auto"/>
          <w:sz w:val="24"/>
          <w:szCs w:val="24"/>
          <w:highlight w:val="none"/>
          <w:u w:val="single"/>
        </w:rPr>
      </w:pPr>
      <w:r>
        <w:rPr>
          <w:rFonts w:hint="eastAsia" w:hAnsi="宋体" w:cs="宋体"/>
          <w:color w:val="auto"/>
          <w:sz w:val="24"/>
          <w:highlight w:val="none"/>
        </w:rPr>
        <w:t>投标人名称（电子签章）：</w:t>
      </w:r>
    </w:p>
    <w:p w14:paraId="5BF0E232">
      <w:pPr>
        <w:pStyle w:val="27"/>
        <w:spacing w:line="360" w:lineRule="auto"/>
        <w:ind w:firstLine="3360" w:firstLineChars="1400"/>
        <w:contextualSpacing/>
        <w:rPr>
          <w:rFonts w:hAnsi="宋体" w:cs="宋体"/>
          <w:color w:val="auto"/>
          <w:sz w:val="24"/>
          <w:highlight w:val="none"/>
        </w:rPr>
      </w:pPr>
      <w:r>
        <w:rPr>
          <w:rFonts w:hint="eastAsia" w:hAnsi="宋体" w:cs="宋体"/>
          <w:color w:val="auto"/>
          <w:sz w:val="24"/>
          <w:szCs w:val="24"/>
          <w:highlight w:val="none"/>
        </w:rPr>
        <w:t>年  月  日</w:t>
      </w:r>
    </w:p>
    <w:p w14:paraId="43228D0D">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开标一览表</w:t>
      </w:r>
    </w:p>
    <w:p w14:paraId="1F8A135A">
      <w:pPr>
        <w:snapToGrid w:val="0"/>
        <w:spacing w:before="50" w:after="50" w:line="340" w:lineRule="exact"/>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0F151F31">
      <w:pPr>
        <w:snapToGrid w:val="0"/>
        <w:spacing w:before="50" w:after="50" w:line="340" w:lineRule="exact"/>
        <w:jc w:val="center"/>
        <w:rPr>
          <w:rFonts w:ascii="宋体" w:hAnsi="宋体" w:cs="宋体"/>
          <w:b/>
          <w:color w:val="auto"/>
          <w:sz w:val="30"/>
          <w:szCs w:val="20"/>
          <w:highlight w:val="none"/>
        </w:rPr>
      </w:pPr>
    </w:p>
    <w:p w14:paraId="385A56D2">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7CC17CB8">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投标人名称：                       单位：元</w:t>
      </w:r>
    </w:p>
    <w:tbl>
      <w:tblPr>
        <w:tblStyle w:val="49"/>
        <w:tblW w:w="89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16"/>
        <w:gridCol w:w="1110"/>
        <w:gridCol w:w="1230"/>
        <w:gridCol w:w="979"/>
        <w:gridCol w:w="1917"/>
        <w:gridCol w:w="1905"/>
      </w:tblGrid>
      <w:tr w14:paraId="283FD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5" w:hRule="atLeast"/>
        </w:trPr>
        <w:tc>
          <w:tcPr>
            <w:tcW w:w="1816" w:type="dxa"/>
            <w:tcBorders>
              <w:top w:val="single" w:color="auto" w:sz="4" w:space="0"/>
              <w:left w:val="single" w:color="auto" w:sz="4" w:space="0"/>
              <w:bottom w:val="single" w:color="auto" w:sz="4" w:space="0"/>
              <w:right w:val="single" w:color="auto" w:sz="4" w:space="0"/>
            </w:tcBorders>
            <w:vAlign w:val="center"/>
          </w:tcPr>
          <w:p w14:paraId="25DA9528">
            <w:pPr>
              <w:spacing w:line="320" w:lineRule="exact"/>
              <w:ind w:firstLine="420"/>
              <w:rPr>
                <w:rFonts w:ascii="宋体" w:hAnsi="宋体" w:cs="宋体"/>
                <w:color w:val="auto"/>
                <w:szCs w:val="21"/>
                <w:highlight w:val="none"/>
              </w:rPr>
            </w:pPr>
            <w:r>
              <w:rPr>
                <w:rFonts w:hint="eastAsia" w:ascii="宋体" w:hAnsi="宋体" w:cs="宋体"/>
                <w:color w:val="auto"/>
                <w:szCs w:val="21"/>
                <w:highlight w:val="none"/>
              </w:rPr>
              <w:t>标的名称</w:t>
            </w:r>
          </w:p>
        </w:tc>
        <w:tc>
          <w:tcPr>
            <w:tcW w:w="1110" w:type="dxa"/>
            <w:tcBorders>
              <w:top w:val="single" w:color="auto" w:sz="4" w:space="0"/>
              <w:left w:val="single" w:color="auto" w:sz="4" w:space="0"/>
              <w:bottom w:val="single" w:color="auto" w:sz="4" w:space="0"/>
              <w:right w:val="single" w:color="auto" w:sz="4" w:space="0"/>
            </w:tcBorders>
            <w:vAlign w:val="center"/>
          </w:tcPr>
          <w:p w14:paraId="4D98F22D">
            <w:pPr>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数量①</w:t>
            </w:r>
          </w:p>
        </w:tc>
        <w:tc>
          <w:tcPr>
            <w:tcW w:w="1230" w:type="dxa"/>
            <w:tcBorders>
              <w:top w:val="single" w:color="auto" w:sz="4" w:space="0"/>
              <w:left w:val="single" w:color="auto" w:sz="4" w:space="0"/>
              <w:bottom w:val="single" w:color="auto" w:sz="4" w:space="0"/>
              <w:right w:val="single" w:color="auto" w:sz="4" w:space="0"/>
            </w:tcBorders>
            <w:vAlign w:val="center"/>
          </w:tcPr>
          <w:p w14:paraId="7F8F8F98">
            <w:pPr>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单位</w:t>
            </w:r>
          </w:p>
        </w:tc>
        <w:tc>
          <w:tcPr>
            <w:tcW w:w="979" w:type="dxa"/>
            <w:tcBorders>
              <w:top w:val="single" w:color="auto" w:sz="4" w:space="0"/>
              <w:left w:val="nil"/>
              <w:bottom w:val="single" w:color="auto" w:sz="4" w:space="0"/>
              <w:right w:val="single" w:color="auto" w:sz="4" w:space="0"/>
            </w:tcBorders>
            <w:vAlign w:val="center"/>
          </w:tcPr>
          <w:p w14:paraId="4184C5F6">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单价②</w:t>
            </w:r>
          </w:p>
        </w:tc>
        <w:tc>
          <w:tcPr>
            <w:tcW w:w="1917" w:type="dxa"/>
            <w:tcBorders>
              <w:top w:val="single" w:color="auto" w:sz="4" w:space="0"/>
              <w:left w:val="nil"/>
              <w:bottom w:val="single" w:color="auto" w:sz="4" w:space="0"/>
              <w:right w:val="single" w:color="auto" w:sz="4" w:space="0"/>
            </w:tcBorders>
            <w:vAlign w:val="center"/>
          </w:tcPr>
          <w:p w14:paraId="1DAB3F11">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合计金额（元）</w:t>
            </w:r>
          </w:p>
          <w:p w14:paraId="4D9F3AB4">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③=①×②</w:t>
            </w:r>
          </w:p>
        </w:tc>
        <w:tc>
          <w:tcPr>
            <w:tcW w:w="1905" w:type="dxa"/>
            <w:tcBorders>
              <w:top w:val="single" w:color="auto" w:sz="4" w:space="0"/>
              <w:left w:val="single" w:color="auto" w:sz="4" w:space="0"/>
              <w:bottom w:val="single" w:color="auto" w:sz="4" w:space="0"/>
              <w:right w:val="single" w:color="auto" w:sz="4" w:space="0"/>
            </w:tcBorders>
            <w:vAlign w:val="center"/>
          </w:tcPr>
          <w:p w14:paraId="709BE8D3">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服务内容</w:t>
            </w:r>
          </w:p>
        </w:tc>
      </w:tr>
      <w:tr w14:paraId="279A2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87" w:hRule="atLeast"/>
        </w:trPr>
        <w:tc>
          <w:tcPr>
            <w:tcW w:w="1816" w:type="dxa"/>
            <w:tcBorders>
              <w:top w:val="single" w:color="auto" w:sz="4" w:space="0"/>
              <w:left w:val="single" w:color="auto" w:sz="4" w:space="0"/>
              <w:right w:val="single" w:color="auto" w:sz="4" w:space="0"/>
            </w:tcBorders>
            <w:vAlign w:val="center"/>
          </w:tcPr>
          <w:p w14:paraId="33B0F21A">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桂林医科大学餐饮运营与管理服务</w:t>
            </w:r>
          </w:p>
        </w:tc>
        <w:tc>
          <w:tcPr>
            <w:tcW w:w="1110" w:type="dxa"/>
            <w:tcBorders>
              <w:top w:val="single" w:color="auto" w:sz="4" w:space="0"/>
              <w:left w:val="single" w:color="auto" w:sz="4" w:space="0"/>
              <w:bottom w:val="single" w:color="auto" w:sz="4" w:space="0"/>
              <w:right w:val="single" w:color="auto" w:sz="4" w:space="0"/>
            </w:tcBorders>
            <w:vAlign w:val="center"/>
          </w:tcPr>
          <w:p w14:paraId="2644973A">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30" w:type="dxa"/>
            <w:tcBorders>
              <w:top w:val="single" w:color="auto" w:sz="4" w:space="0"/>
              <w:left w:val="single" w:color="auto" w:sz="4" w:space="0"/>
              <w:bottom w:val="single" w:color="auto" w:sz="4" w:space="0"/>
              <w:right w:val="single" w:color="auto" w:sz="4" w:space="0"/>
            </w:tcBorders>
            <w:vAlign w:val="center"/>
          </w:tcPr>
          <w:p w14:paraId="306A665C">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979" w:type="dxa"/>
            <w:tcBorders>
              <w:top w:val="nil"/>
              <w:left w:val="nil"/>
              <w:bottom w:val="single" w:color="auto" w:sz="4" w:space="0"/>
              <w:right w:val="single" w:color="auto" w:sz="4" w:space="0"/>
            </w:tcBorders>
            <w:vAlign w:val="center"/>
          </w:tcPr>
          <w:p w14:paraId="7CE5AC89">
            <w:pPr>
              <w:spacing w:line="320" w:lineRule="exact"/>
              <w:ind w:firstLine="420"/>
              <w:jc w:val="center"/>
              <w:rPr>
                <w:rFonts w:ascii="宋体" w:hAnsi="宋体" w:cs="宋体"/>
                <w:color w:val="auto"/>
                <w:szCs w:val="21"/>
                <w:highlight w:val="none"/>
              </w:rPr>
            </w:pPr>
          </w:p>
        </w:tc>
        <w:tc>
          <w:tcPr>
            <w:tcW w:w="1917" w:type="dxa"/>
            <w:tcBorders>
              <w:top w:val="nil"/>
              <w:left w:val="nil"/>
              <w:bottom w:val="single" w:color="auto" w:sz="4" w:space="0"/>
              <w:right w:val="single" w:color="auto" w:sz="4" w:space="0"/>
            </w:tcBorders>
            <w:vAlign w:val="center"/>
          </w:tcPr>
          <w:p w14:paraId="1219112A">
            <w:pPr>
              <w:spacing w:line="320" w:lineRule="exact"/>
              <w:ind w:firstLine="420"/>
              <w:jc w:val="center"/>
              <w:rPr>
                <w:rFonts w:ascii="宋体" w:hAnsi="宋体" w:cs="宋体"/>
                <w:color w:val="auto"/>
                <w:szCs w:val="21"/>
                <w:highlight w:val="none"/>
              </w:rPr>
            </w:pPr>
          </w:p>
        </w:tc>
        <w:tc>
          <w:tcPr>
            <w:tcW w:w="1905" w:type="dxa"/>
            <w:tcBorders>
              <w:top w:val="nil"/>
              <w:left w:val="single" w:color="auto" w:sz="4" w:space="0"/>
              <w:bottom w:val="single" w:color="auto" w:sz="4" w:space="0"/>
              <w:right w:val="single" w:color="auto" w:sz="4" w:space="0"/>
            </w:tcBorders>
            <w:vAlign w:val="center"/>
          </w:tcPr>
          <w:p w14:paraId="66B42271">
            <w:pPr>
              <w:snapToGrid w:val="0"/>
              <w:spacing w:before="120" w:beforeLines="50" w:after="50"/>
              <w:ind w:left="142"/>
              <w:jc w:val="center"/>
              <w:rPr>
                <w:rFonts w:ascii="宋体" w:hAnsi="宋体" w:cs="宋体"/>
                <w:color w:val="auto"/>
                <w:szCs w:val="21"/>
                <w:highlight w:val="none"/>
              </w:rPr>
            </w:pPr>
            <w:r>
              <w:rPr>
                <w:rFonts w:hint="eastAsia" w:ascii="宋体" w:hAnsi="宋体" w:cs="宋体"/>
                <w:color w:val="auto"/>
                <w:szCs w:val="21"/>
                <w:highlight w:val="none"/>
              </w:rPr>
              <w:t>详见“服务内容及要求响应表”</w:t>
            </w:r>
          </w:p>
        </w:tc>
      </w:tr>
      <w:tr w14:paraId="5CDA1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2" w:hRule="atLeast"/>
        </w:trPr>
        <w:tc>
          <w:tcPr>
            <w:tcW w:w="8957" w:type="dxa"/>
            <w:gridSpan w:val="6"/>
            <w:tcBorders>
              <w:top w:val="single" w:color="auto" w:sz="4" w:space="0"/>
              <w:left w:val="single" w:color="auto" w:sz="4" w:space="0"/>
              <w:bottom w:val="single" w:color="auto" w:sz="4" w:space="0"/>
              <w:right w:val="single" w:color="auto" w:sz="4" w:space="0"/>
            </w:tcBorders>
            <w:vAlign w:val="center"/>
          </w:tcPr>
          <w:p w14:paraId="60BD650A">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投标报价（大写）：人民币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7E9F0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66" w:hRule="atLeast"/>
        </w:trPr>
        <w:tc>
          <w:tcPr>
            <w:tcW w:w="8957" w:type="dxa"/>
            <w:gridSpan w:val="6"/>
            <w:tcBorders>
              <w:top w:val="single" w:color="auto" w:sz="4" w:space="0"/>
              <w:left w:val="single" w:color="auto" w:sz="4" w:space="0"/>
              <w:bottom w:val="single" w:color="auto" w:sz="4" w:space="0"/>
              <w:right w:val="single" w:color="auto" w:sz="4" w:space="0"/>
            </w:tcBorders>
            <w:vAlign w:val="center"/>
          </w:tcPr>
          <w:p w14:paraId="369C556D">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服务期限及服务地点：</w:t>
            </w:r>
          </w:p>
          <w:p w14:paraId="268619A8">
            <w:pPr>
              <w:spacing w:line="360" w:lineRule="exact"/>
              <w:rPr>
                <w:rFonts w:ascii="宋体" w:hAnsi="宋体" w:cs="宋体"/>
                <w:color w:val="auto"/>
                <w:szCs w:val="21"/>
                <w:highlight w:val="none"/>
              </w:rPr>
            </w:pPr>
            <w:r>
              <w:rPr>
                <w:rFonts w:hint="eastAsia" w:ascii="宋体" w:hAnsi="宋体" w:cs="宋体"/>
                <w:color w:val="auto"/>
                <w:szCs w:val="21"/>
                <w:highlight w:val="none"/>
              </w:rPr>
              <w:t>1.服务期限：12个月（自签订合同且正式开展服务之日起12个月）。</w:t>
            </w:r>
          </w:p>
          <w:p w14:paraId="0192FA75">
            <w:pPr>
              <w:spacing w:line="360" w:lineRule="exact"/>
              <w:rPr>
                <w:rFonts w:ascii="宋体" w:hAnsi="宋体" w:cs="宋体"/>
                <w:color w:val="auto"/>
                <w:kern w:val="0"/>
                <w:szCs w:val="21"/>
                <w:highlight w:val="none"/>
              </w:rPr>
            </w:pPr>
            <w:r>
              <w:rPr>
                <w:rFonts w:hint="eastAsia" w:ascii="宋体" w:hAnsi="宋体" w:cs="宋体"/>
                <w:color w:val="auto"/>
                <w:szCs w:val="21"/>
                <w:highlight w:val="none"/>
              </w:rPr>
              <w:t>2.服务地点：广西桂林市采购人学校内指定地点。</w:t>
            </w:r>
          </w:p>
        </w:tc>
      </w:tr>
      <w:tr w14:paraId="79AC5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9" w:hRule="atLeast"/>
        </w:trPr>
        <w:tc>
          <w:tcPr>
            <w:tcW w:w="8957" w:type="dxa"/>
            <w:gridSpan w:val="6"/>
            <w:tcBorders>
              <w:top w:val="single" w:color="auto" w:sz="4" w:space="0"/>
              <w:left w:val="single" w:color="auto" w:sz="4" w:space="0"/>
              <w:bottom w:val="single" w:color="auto" w:sz="4" w:space="0"/>
              <w:right w:val="single" w:color="auto" w:sz="4" w:space="0"/>
            </w:tcBorders>
            <w:vAlign w:val="center"/>
          </w:tcPr>
          <w:p w14:paraId="359D96BB">
            <w:pPr>
              <w:widowControl/>
              <w:spacing w:line="380" w:lineRule="exact"/>
              <w:jc w:val="left"/>
              <w:rPr>
                <w:rFonts w:ascii="宋体" w:hAnsi="宋体" w:cs="宋体"/>
                <w:color w:val="auto"/>
                <w:szCs w:val="21"/>
                <w:highlight w:val="none"/>
              </w:rPr>
            </w:pPr>
            <w:r>
              <w:rPr>
                <w:rFonts w:hint="eastAsia" w:ascii="宋体" w:hAnsi="宋体" w:cs="宋体"/>
                <w:color w:val="auto"/>
                <w:szCs w:val="21"/>
                <w:highlight w:val="none"/>
              </w:rPr>
              <w:t>说明：</w:t>
            </w:r>
            <w:r>
              <w:rPr>
                <w:rFonts w:hint="eastAsia" w:ascii="Arial" w:hAnsi="Arial" w:cs="Arial"/>
                <w:color w:val="auto"/>
                <w:szCs w:val="21"/>
                <w:highlight w:val="none"/>
              </w:rPr>
              <w:t>投标报价包含但不限于以下部分：①服务的价格；②必要的保险费用和各项税金；③服务团队人员的工资、福利、各项保险、培训费、体检费、服装费、税费、管理费等一切服务成本费用的总和，不含食堂供餐食材费和劳动保护用品费用；④提供本项目全程服务过程中所发生的一切费用；⑤中标供应商合理的利润。⑥在本项目服务期内，投标总价不予调整，采购人不再支付中标价格以外的任何费用。</w:t>
            </w:r>
          </w:p>
        </w:tc>
      </w:tr>
    </w:tbl>
    <w:p w14:paraId="628B1E23">
      <w:pPr>
        <w:snapToGrid w:val="0"/>
        <w:spacing w:line="280" w:lineRule="exact"/>
        <w:jc w:val="left"/>
        <w:rPr>
          <w:rFonts w:ascii="宋体" w:hAnsi="宋体" w:cs="宋体"/>
          <w:color w:val="auto"/>
          <w:sz w:val="24"/>
          <w:highlight w:val="none"/>
        </w:rPr>
      </w:pPr>
    </w:p>
    <w:p w14:paraId="0E10133D">
      <w:pPr>
        <w:snapToGrid w:val="0"/>
        <w:spacing w:line="300" w:lineRule="exact"/>
        <w:ind w:left="-2" w:leftChars="-1" w:right="-817" w:rightChars="-389"/>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法定代表人或者委托代理人（签字或者电子签名）：</w:t>
      </w:r>
    </w:p>
    <w:p w14:paraId="19BEBB91">
      <w:pPr>
        <w:snapToGrid w:val="0"/>
        <w:spacing w:line="300" w:lineRule="exact"/>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452E6A30">
      <w:pPr>
        <w:snapToGrid w:val="0"/>
        <w:spacing w:line="300" w:lineRule="exact"/>
        <w:ind w:left="-3" w:leftChars="-15" w:right="-817" w:rightChars="-389" w:hanging="28" w:hangingChars="12"/>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20AC9C57">
      <w:pPr>
        <w:snapToGrid w:val="0"/>
        <w:spacing w:line="280" w:lineRule="exact"/>
        <w:jc w:val="left"/>
        <w:rPr>
          <w:rFonts w:ascii="宋体" w:hAnsi="宋体" w:cs="宋体"/>
          <w:color w:val="auto"/>
          <w:sz w:val="24"/>
          <w:highlight w:val="none"/>
        </w:rPr>
      </w:pPr>
    </w:p>
    <w:p w14:paraId="18F67479">
      <w:pPr>
        <w:snapToGrid w:val="0"/>
        <w:spacing w:line="280" w:lineRule="exact"/>
        <w:jc w:val="left"/>
        <w:rPr>
          <w:rFonts w:ascii="宋体" w:hAnsi="宋体" w:cs="宋体"/>
          <w:color w:val="auto"/>
          <w:sz w:val="24"/>
          <w:highlight w:val="none"/>
        </w:rPr>
      </w:pPr>
    </w:p>
    <w:p w14:paraId="41DF08A5">
      <w:pPr>
        <w:snapToGrid w:val="0"/>
        <w:spacing w:line="360" w:lineRule="exact"/>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245B6EBF">
      <w:pPr>
        <w:snapToGrid w:val="0"/>
        <w:spacing w:line="3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1.投标人的开标一览表必须加盖供应商CA电子签章并由法定代表人或者委托代理人签字或者电子签名，</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14:paraId="62B44FD4">
      <w:pPr>
        <w:snapToGrid w:val="0"/>
        <w:spacing w:line="360" w:lineRule="exact"/>
        <w:ind w:firstLine="480" w:firstLineChars="200"/>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报价一经涂改，应在涂改处加盖投标人公章或者加盖电子签章或者由法定代表人或者委托代理人签字（或者电子签名）</w:t>
      </w:r>
      <w:r>
        <w:rPr>
          <w:rFonts w:hint="eastAsia" w:ascii="宋体" w:hAnsi="宋体" w:cs="宋体"/>
          <w:b/>
          <w:color w:val="auto"/>
          <w:sz w:val="24"/>
          <w:highlight w:val="none"/>
        </w:rPr>
        <w:t>，否则其投标作无效标处理。</w:t>
      </w:r>
    </w:p>
    <w:p w14:paraId="3A676BEE">
      <w:pPr>
        <w:snapToGrid w:val="0"/>
        <w:spacing w:line="360" w:lineRule="exact"/>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3.“开标一览表”中各项内容必须如实填写完整，</w:t>
      </w:r>
      <w:r>
        <w:rPr>
          <w:rFonts w:hint="eastAsia" w:ascii="宋体" w:hAnsi="宋体" w:cs="宋体"/>
          <w:b/>
          <w:color w:val="auto"/>
          <w:sz w:val="24"/>
          <w:highlight w:val="none"/>
        </w:rPr>
        <w:t>填写有缺漏的，投标作无效标处理。</w:t>
      </w:r>
    </w:p>
    <w:p w14:paraId="2CA4633A">
      <w:pPr>
        <w:snapToGrid w:val="0"/>
        <w:spacing w:line="360" w:lineRule="exact"/>
        <w:ind w:firstLine="456" w:firstLineChars="200"/>
        <w:jc w:val="left"/>
        <w:rPr>
          <w:rFonts w:ascii="宋体" w:hAnsi="宋体" w:cs="宋体"/>
          <w:color w:val="auto"/>
          <w:spacing w:val="-6"/>
          <w:sz w:val="24"/>
          <w:highlight w:val="none"/>
        </w:rPr>
      </w:pPr>
      <w:r>
        <w:rPr>
          <w:rFonts w:hint="eastAsia" w:ascii="宋体" w:hAnsi="宋体" w:cs="宋体"/>
          <w:color w:val="auto"/>
          <w:spacing w:val="-6"/>
          <w:sz w:val="24"/>
          <w:highlight w:val="none"/>
        </w:rPr>
        <w:t>4.如为联合体投标，盖章处须加盖联合体牵头人电子签章，</w:t>
      </w:r>
      <w:r>
        <w:rPr>
          <w:rFonts w:hint="eastAsia" w:ascii="宋体" w:hAnsi="宋体" w:cs="宋体"/>
          <w:b/>
          <w:color w:val="auto"/>
          <w:spacing w:val="-6"/>
          <w:sz w:val="24"/>
          <w:highlight w:val="none"/>
        </w:rPr>
        <w:t>否则其投标作无效标处理。</w:t>
      </w:r>
    </w:p>
    <w:p w14:paraId="397F72C6">
      <w:pPr>
        <w:rPr>
          <w:rFonts w:ascii="宋体" w:hAnsi="宋体" w:cs="宋体"/>
          <w:b/>
          <w:color w:val="auto"/>
          <w:sz w:val="28"/>
          <w:szCs w:val="28"/>
          <w:highlight w:val="none"/>
        </w:rPr>
      </w:pPr>
      <w:r>
        <w:rPr>
          <w:rFonts w:hint="eastAsia" w:ascii="宋体" w:hAnsi="宋体" w:cs="宋体"/>
          <w:b/>
          <w:bCs/>
          <w:color w:val="auto"/>
          <w:sz w:val="24"/>
          <w:highlight w:val="none"/>
        </w:rPr>
        <w:br w:type="page"/>
      </w:r>
      <w:bookmarkStart w:id="180" w:name="_Toc19686837"/>
      <w:r>
        <w:rPr>
          <w:rFonts w:hint="eastAsia" w:ascii="宋体" w:hAnsi="宋体" w:cs="宋体"/>
          <w:b/>
          <w:color w:val="auto"/>
          <w:sz w:val="28"/>
          <w:szCs w:val="28"/>
          <w:highlight w:val="none"/>
        </w:rPr>
        <w:t>二、资格证明文件格式</w:t>
      </w:r>
      <w:bookmarkEnd w:id="178"/>
      <w:bookmarkEnd w:id="179"/>
      <w:bookmarkEnd w:id="180"/>
    </w:p>
    <w:p w14:paraId="6962F370">
      <w:pPr>
        <w:numPr>
          <w:ilvl w:val="2"/>
          <w:numId w:val="9"/>
        </w:numPr>
        <w:snapToGrid w:val="0"/>
        <w:spacing w:before="120" w:beforeLines="50" w:after="50" w:line="360" w:lineRule="auto"/>
        <w:ind w:left="0" w:firstLine="0"/>
        <w:jc w:val="left"/>
        <w:rPr>
          <w:rFonts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142203E7">
      <w:pPr>
        <w:snapToGrid w:val="0"/>
        <w:spacing w:before="120" w:beforeLines="50" w:after="50"/>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77FC8430">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2D682C63">
      <w:pPr>
        <w:snapToGrid w:val="0"/>
        <w:spacing w:before="120" w:beforeLines="50" w:after="50"/>
        <w:rPr>
          <w:rFonts w:ascii="宋体" w:hAnsi="宋体" w:cs="宋体"/>
          <w:bCs/>
          <w:color w:val="auto"/>
          <w:sz w:val="24"/>
          <w:szCs w:val="20"/>
          <w:highlight w:val="none"/>
        </w:rPr>
      </w:pPr>
    </w:p>
    <w:p w14:paraId="107B8AB0">
      <w:pPr>
        <w:snapToGrid w:val="0"/>
        <w:spacing w:before="120" w:beforeLines="50" w:after="50"/>
        <w:rPr>
          <w:rFonts w:ascii="宋体" w:hAnsi="宋体" w:cs="宋体"/>
          <w:bCs/>
          <w:color w:val="auto"/>
          <w:sz w:val="24"/>
          <w:szCs w:val="20"/>
          <w:highlight w:val="none"/>
        </w:rPr>
      </w:pPr>
    </w:p>
    <w:p w14:paraId="6E8448AB">
      <w:pPr>
        <w:snapToGrid w:val="0"/>
        <w:spacing w:before="120" w:beforeLines="50" w:after="50"/>
        <w:rPr>
          <w:rFonts w:ascii="宋体" w:hAnsi="宋体" w:cs="宋体"/>
          <w:bCs/>
          <w:color w:val="auto"/>
          <w:sz w:val="24"/>
          <w:szCs w:val="20"/>
          <w:highlight w:val="none"/>
        </w:rPr>
      </w:pPr>
    </w:p>
    <w:p w14:paraId="63E4B3F1">
      <w:pPr>
        <w:snapToGrid w:val="0"/>
        <w:spacing w:before="120" w:beforeLines="50" w:after="50"/>
        <w:rPr>
          <w:rFonts w:ascii="宋体" w:hAnsi="宋体" w:cs="宋体"/>
          <w:bCs/>
          <w:color w:val="auto"/>
          <w:sz w:val="24"/>
          <w:szCs w:val="20"/>
          <w:highlight w:val="none"/>
        </w:rPr>
      </w:pPr>
    </w:p>
    <w:p w14:paraId="57D80D13">
      <w:pPr>
        <w:snapToGrid w:val="0"/>
        <w:spacing w:before="120" w:beforeLines="50" w:after="50"/>
        <w:rPr>
          <w:rFonts w:ascii="宋体" w:hAnsi="宋体" w:cs="宋体"/>
          <w:bCs/>
          <w:color w:val="auto"/>
          <w:sz w:val="24"/>
          <w:szCs w:val="20"/>
          <w:highlight w:val="none"/>
        </w:rPr>
      </w:pPr>
    </w:p>
    <w:p w14:paraId="167A7AA8">
      <w:pPr>
        <w:snapToGrid w:val="0"/>
        <w:spacing w:before="120" w:beforeLines="50" w:after="50"/>
        <w:rPr>
          <w:rFonts w:ascii="宋体" w:hAnsi="宋体" w:cs="宋体"/>
          <w:bCs/>
          <w:color w:val="auto"/>
          <w:sz w:val="24"/>
          <w:szCs w:val="20"/>
          <w:highlight w:val="none"/>
        </w:rPr>
      </w:pPr>
    </w:p>
    <w:p w14:paraId="73C02FF5">
      <w:pPr>
        <w:snapToGrid w:val="0"/>
        <w:spacing w:before="120" w:beforeLines="50" w:after="50"/>
        <w:rPr>
          <w:rFonts w:ascii="宋体" w:hAnsi="宋体" w:cs="宋体"/>
          <w:bCs/>
          <w:color w:val="auto"/>
          <w:sz w:val="24"/>
          <w:szCs w:val="20"/>
          <w:highlight w:val="none"/>
        </w:rPr>
      </w:pPr>
    </w:p>
    <w:p w14:paraId="2EFCBB4C">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30AA1EAA">
      <w:pPr>
        <w:snapToGrid w:val="0"/>
        <w:spacing w:before="120" w:beforeLines="50" w:after="50"/>
        <w:ind w:firstLine="540" w:firstLineChars="225"/>
        <w:rPr>
          <w:rFonts w:ascii="宋体" w:hAnsi="宋体" w:cs="宋体"/>
          <w:bCs/>
          <w:color w:val="auto"/>
          <w:sz w:val="24"/>
          <w:szCs w:val="20"/>
          <w:highlight w:val="none"/>
        </w:rPr>
      </w:pPr>
    </w:p>
    <w:p w14:paraId="09672140">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54733E49">
      <w:pPr>
        <w:snapToGrid w:val="0"/>
        <w:spacing w:before="120" w:beforeLines="50" w:after="50"/>
        <w:ind w:firstLine="540" w:firstLineChars="225"/>
        <w:rPr>
          <w:rFonts w:ascii="宋体" w:hAnsi="宋体" w:cs="宋体"/>
          <w:bCs/>
          <w:color w:val="auto"/>
          <w:sz w:val="24"/>
          <w:szCs w:val="20"/>
          <w:highlight w:val="none"/>
        </w:rPr>
      </w:pPr>
    </w:p>
    <w:p w14:paraId="64294C89">
      <w:pPr>
        <w:pStyle w:val="8"/>
        <w:snapToGrid w:val="0"/>
        <w:spacing w:before="50" w:after="50"/>
        <w:ind w:firstLine="540" w:firstLineChars="225"/>
        <w:rPr>
          <w:rFonts w:ascii="宋体" w:hAnsi="宋体" w:cs="宋体"/>
          <w:bCs/>
          <w:color w:val="auto"/>
          <w:sz w:val="24"/>
          <w:szCs w:val="24"/>
          <w:highlight w:val="none"/>
        </w:rPr>
      </w:pPr>
    </w:p>
    <w:p w14:paraId="1F6A11B1">
      <w:pPr>
        <w:pStyle w:val="8"/>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433578AF">
      <w:pPr>
        <w:pStyle w:val="8"/>
        <w:snapToGrid w:val="0"/>
        <w:spacing w:before="50" w:after="50"/>
        <w:ind w:firstLine="540" w:firstLineChars="225"/>
        <w:rPr>
          <w:rFonts w:ascii="宋体" w:hAnsi="宋体" w:cs="宋体"/>
          <w:bCs/>
          <w:color w:val="auto"/>
          <w:sz w:val="24"/>
          <w:szCs w:val="24"/>
          <w:highlight w:val="none"/>
        </w:rPr>
      </w:pPr>
    </w:p>
    <w:p w14:paraId="7563B30E">
      <w:pPr>
        <w:pStyle w:val="8"/>
        <w:snapToGrid w:val="0"/>
        <w:spacing w:before="50" w:after="50"/>
        <w:ind w:firstLine="960" w:firstLineChars="400"/>
        <w:rPr>
          <w:rFonts w:ascii="宋体" w:hAnsi="宋体" w:cs="宋体"/>
          <w:bCs/>
          <w:color w:val="auto"/>
          <w:sz w:val="24"/>
          <w:szCs w:val="24"/>
          <w:highlight w:val="none"/>
        </w:rPr>
      </w:pPr>
    </w:p>
    <w:p w14:paraId="0CD905FE">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7CC795F2">
      <w:pPr>
        <w:snapToGrid w:val="0"/>
        <w:spacing w:before="120" w:beforeLines="50" w:after="50"/>
        <w:rPr>
          <w:rFonts w:ascii="宋体" w:hAnsi="宋体" w:cs="宋体"/>
          <w:color w:val="auto"/>
          <w:sz w:val="24"/>
          <w:szCs w:val="20"/>
          <w:highlight w:val="none"/>
        </w:rPr>
      </w:pPr>
    </w:p>
    <w:p w14:paraId="0FD0595B">
      <w:pPr>
        <w:snapToGrid w:val="0"/>
        <w:spacing w:before="120" w:beforeLines="50" w:after="50"/>
        <w:rPr>
          <w:rFonts w:ascii="宋体" w:hAnsi="宋体" w:cs="宋体"/>
          <w:color w:val="auto"/>
          <w:sz w:val="24"/>
          <w:szCs w:val="20"/>
          <w:highlight w:val="none"/>
        </w:rPr>
      </w:pPr>
    </w:p>
    <w:p w14:paraId="4700B606">
      <w:pPr>
        <w:numPr>
          <w:ilvl w:val="2"/>
          <w:numId w:val="9"/>
        </w:numPr>
        <w:snapToGrid w:val="0"/>
        <w:spacing w:before="120" w:beforeLines="50" w:after="50" w:line="360" w:lineRule="auto"/>
        <w:ind w:left="0" w:firstLine="0"/>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0153E65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0AB84923">
      <w:pPr>
        <w:snapToGrid w:val="0"/>
        <w:spacing w:before="50" w:after="120" w:afterLines="50"/>
        <w:jc w:val="left"/>
        <w:rPr>
          <w:rFonts w:ascii="宋体" w:hAnsi="宋体" w:cs="宋体"/>
          <w:color w:val="auto"/>
          <w:sz w:val="24"/>
          <w:highlight w:val="none"/>
        </w:rPr>
      </w:pPr>
    </w:p>
    <w:p w14:paraId="5ADA79AA">
      <w:pPr>
        <w:snapToGrid w:val="0"/>
        <w:spacing w:before="50" w:after="120" w:afterLines="50"/>
        <w:jc w:val="left"/>
        <w:rPr>
          <w:rFonts w:ascii="宋体" w:hAnsi="宋体" w:cs="宋体"/>
          <w:color w:val="auto"/>
          <w:sz w:val="24"/>
          <w:highlight w:val="none"/>
        </w:rPr>
      </w:pPr>
    </w:p>
    <w:p w14:paraId="0A7A4BB6">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投标人直接控股股东信息表</w:t>
      </w:r>
    </w:p>
    <w:p w14:paraId="10B731ED">
      <w:pPr>
        <w:snapToGrid w:val="0"/>
        <w:spacing w:before="50" w:after="120" w:afterLines="50"/>
        <w:jc w:val="center"/>
        <w:rPr>
          <w:rFonts w:ascii="宋体" w:hAnsi="宋体" w:cs="宋体"/>
          <w:b/>
          <w:color w:val="auto"/>
          <w:sz w:val="28"/>
          <w:szCs w:val="28"/>
          <w:highlight w:val="none"/>
        </w:rPr>
      </w:pPr>
    </w:p>
    <w:p w14:paraId="5F031C66">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4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B886F80">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56563F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DB8348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EC3CAF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84DB73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87A011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CC10AF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C2A586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8ECF5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4B45D72">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671C48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58DD213">
            <w:pPr>
              <w:spacing w:line="360" w:lineRule="auto"/>
              <w:jc w:val="center"/>
              <w:rPr>
                <w:rFonts w:ascii="宋体" w:hAnsi="宋体" w:cs="宋体"/>
                <w:color w:val="auto"/>
                <w:kern w:val="0"/>
                <w:sz w:val="24"/>
                <w:highlight w:val="none"/>
              </w:rPr>
            </w:pPr>
          </w:p>
        </w:tc>
      </w:tr>
      <w:tr w14:paraId="6088F70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4CEFE3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3FABB26">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4EA8BB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4FF402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F4BF87F">
            <w:pPr>
              <w:spacing w:line="360" w:lineRule="auto"/>
              <w:jc w:val="center"/>
              <w:rPr>
                <w:rFonts w:ascii="宋体" w:hAnsi="宋体" w:cs="宋体"/>
                <w:color w:val="auto"/>
                <w:kern w:val="0"/>
                <w:sz w:val="24"/>
                <w:highlight w:val="none"/>
              </w:rPr>
            </w:pPr>
          </w:p>
        </w:tc>
      </w:tr>
      <w:tr w14:paraId="231F74C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17AA28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8BA426D">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C933593">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67B35E0">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FCE9463">
            <w:pPr>
              <w:spacing w:line="360" w:lineRule="auto"/>
              <w:jc w:val="center"/>
              <w:rPr>
                <w:rFonts w:ascii="宋体" w:hAnsi="宋体" w:cs="宋体"/>
                <w:color w:val="auto"/>
                <w:kern w:val="0"/>
                <w:sz w:val="24"/>
                <w:highlight w:val="none"/>
              </w:rPr>
            </w:pPr>
          </w:p>
        </w:tc>
      </w:tr>
      <w:tr w14:paraId="3A10797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8CFD5D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84AF03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DED8142">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B84ABAC">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BBAD880">
            <w:pPr>
              <w:spacing w:line="360" w:lineRule="auto"/>
              <w:jc w:val="center"/>
              <w:rPr>
                <w:rFonts w:ascii="宋体" w:hAnsi="宋体" w:cs="宋体"/>
                <w:color w:val="auto"/>
                <w:kern w:val="0"/>
                <w:sz w:val="24"/>
                <w:highlight w:val="none"/>
              </w:rPr>
            </w:pPr>
          </w:p>
        </w:tc>
      </w:tr>
    </w:tbl>
    <w:p w14:paraId="250FE72D">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6E247E3D">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90BE2A6">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802B0C8">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s="宋体"/>
          <w:color w:val="auto"/>
          <w:sz w:val="24"/>
          <w:highlight w:val="none"/>
        </w:rPr>
        <w:t>”中填“无”。</w:t>
      </w:r>
    </w:p>
    <w:p w14:paraId="0A449E29">
      <w:pPr>
        <w:snapToGrid w:val="0"/>
        <w:spacing w:line="360" w:lineRule="auto"/>
        <w:jc w:val="left"/>
        <w:rPr>
          <w:rFonts w:ascii="宋体" w:hAnsi="宋体" w:cs="宋体"/>
          <w:color w:val="auto"/>
          <w:sz w:val="24"/>
          <w:highlight w:val="none"/>
        </w:rPr>
      </w:pPr>
    </w:p>
    <w:p w14:paraId="05743289">
      <w:pPr>
        <w:snapToGrid w:val="0"/>
        <w:spacing w:line="360" w:lineRule="auto"/>
        <w:jc w:val="left"/>
        <w:rPr>
          <w:rFonts w:ascii="宋体" w:hAnsi="宋体" w:cs="宋体"/>
          <w:color w:val="auto"/>
          <w:sz w:val="24"/>
          <w:highlight w:val="none"/>
        </w:rPr>
      </w:pPr>
    </w:p>
    <w:p w14:paraId="55C3689E">
      <w:pPr>
        <w:snapToGrid w:val="0"/>
        <w:spacing w:line="360" w:lineRule="auto"/>
        <w:jc w:val="left"/>
        <w:rPr>
          <w:rFonts w:ascii="宋体" w:hAnsi="宋体" w:cs="宋体"/>
          <w:color w:val="auto"/>
          <w:sz w:val="24"/>
          <w:highlight w:val="none"/>
        </w:rPr>
      </w:pPr>
    </w:p>
    <w:p w14:paraId="44914DBD">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15602B6C">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256E86F5">
      <w:pPr>
        <w:snapToGrid w:val="0"/>
        <w:spacing w:line="360" w:lineRule="auto"/>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1C3C2BBD">
      <w:pPr>
        <w:snapToGrid w:val="0"/>
        <w:jc w:val="center"/>
        <w:rPr>
          <w:rFonts w:ascii="宋体" w:hAnsi="宋体" w:cs="宋体"/>
          <w:b/>
          <w:color w:val="auto"/>
          <w:sz w:val="28"/>
          <w:szCs w:val="28"/>
          <w:highlight w:val="none"/>
        </w:rPr>
      </w:pPr>
    </w:p>
    <w:p w14:paraId="4B66B71E">
      <w:pPr>
        <w:snapToGrid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24"/>
          <w:highlight w:val="none"/>
        </w:rPr>
        <w:t>4.</w:t>
      </w:r>
      <w:r>
        <w:rPr>
          <w:rFonts w:hint="eastAsia" w:ascii="宋体" w:hAnsi="宋体" w:cs="宋体"/>
          <w:b/>
          <w:color w:val="auto"/>
          <w:sz w:val="28"/>
          <w:szCs w:val="28"/>
          <w:highlight w:val="none"/>
        </w:rPr>
        <w:t>投标人直接管理关系信息表</w:t>
      </w:r>
    </w:p>
    <w:p w14:paraId="3E8BE259">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49"/>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1A8BDBD">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777521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795FDF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03C1DD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D5143F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5667FB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183A3D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23096E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D1A7C54">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C207CF5">
            <w:pPr>
              <w:spacing w:line="360" w:lineRule="auto"/>
              <w:jc w:val="center"/>
              <w:rPr>
                <w:rFonts w:ascii="宋体" w:hAnsi="宋体" w:cs="宋体"/>
                <w:color w:val="auto"/>
                <w:kern w:val="0"/>
                <w:sz w:val="24"/>
                <w:highlight w:val="none"/>
              </w:rPr>
            </w:pPr>
          </w:p>
        </w:tc>
      </w:tr>
      <w:tr w14:paraId="37F61E5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83DAE7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15A4300">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EC92CF2">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6CE0080">
            <w:pPr>
              <w:spacing w:line="360" w:lineRule="auto"/>
              <w:jc w:val="center"/>
              <w:rPr>
                <w:rFonts w:ascii="宋体" w:hAnsi="宋体" w:cs="宋体"/>
                <w:color w:val="auto"/>
                <w:kern w:val="0"/>
                <w:sz w:val="24"/>
                <w:highlight w:val="none"/>
              </w:rPr>
            </w:pPr>
          </w:p>
        </w:tc>
      </w:tr>
      <w:tr w14:paraId="301DB1C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7F7DD4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AEFF00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1D878FC">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8A65528">
            <w:pPr>
              <w:spacing w:line="360" w:lineRule="auto"/>
              <w:jc w:val="center"/>
              <w:rPr>
                <w:rFonts w:ascii="宋体" w:hAnsi="宋体" w:cs="宋体"/>
                <w:color w:val="auto"/>
                <w:kern w:val="0"/>
                <w:sz w:val="24"/>
                <w:highlight w:val="none"/>
              </w:rPr>
            </w:pPr>
          </w:p>
        </w:tc>
      </w:tr>
      <w:tr w14:paraId="4A3BF08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E3AF03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61F7482">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C56DF9">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418E5FE">
            <w:pPr>
              <w:spacing w:line="360" w:lineRule="auto"/>
              <w:jc w:val="center"/>
              <w:rPr>
                <w:rFonts w:ascii="宋体" w:hAnsi="宋体" w:cs="宋体"/>
                <w:color w:val="auto"/>
                <w:kern w:val="0"/>
                <w:sz w:val="24"/>
                <w:highlight w:val="none"/>
              </w:rPr>
            </w:pPr>
          </w:p>
        </w:tc>
      </w:tr>
    </w:tbl>
    <w:p w14:paraId="788842A9">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1E724DC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221D781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5F9422A7">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s="宋体"/>
          <w:color w:val="auto"/>
          <w:sz w:val="24"/>
          <w:highlight w:val="none"/>
        </w:rPr>
        <w:t>”中填“无”。</w:t>
      </w:r>
    </w:p>
    <w:p w14:paraId="510251E2">
      <w:pPr>
        <w:snapToGrid w:val="0"/>
        <w:spacing w:line="360" w:lineRule="auto"/>
        <w:jc w:val="left"/>
        <w:rPr>
          <w:rFonts w:ascii="宋体" w:hAnsi="宋体" w:cs="宋体"/>
          <w:color w:val="auto"/>
          <w:sz w:val="24"/>
          <w:highlight w:val="none"/>
        </w:rPr>
      </w:pPr>
    </w:p>
    <w:p w14:paraId="610C368C">
      <w:pPr>
        <w:snapToGrid w:val="0"/>
        <w:spacing w:line="360" w:lineRule="auto"/>
        <w:jc w:val="left"/>
        <w:rPr>
          <w:rFonts w:ascii="宋体" w:hAnsi="宋体" w:cs="宋体"/>
          <w:color w:val="auto"/>
          <w:sz w:val="24"/>
          <w:highlight w:val="none"/>
        </w:rPr>
      </w:pPr>
    </w:p>
    <w:p w14:paraId="2C9584D5">
      <w:pPr>
        <w:snapToGrid w:val="0"/>
        <w:spacing w:line="360" w:lineRule="auto"/>
        <w:jc w:val="left"/>
        <w:rPr>
          <w:rFonts w:ascii="宋体" w:hAnsi="宋体" w:cs="宋体"/>
          <w:color w:val="auto"/>
          <w:sz w:val="24"/>
          <w:highlight w:val="none"/>
        </w:rPr>
      </w:pPr>
    </w:p>
    <w:p w14:paraId="7F15AF66">
      <w:pPr>
        <w:snapToGrid w:val="0"/>
        <w:spacing w:line="360" w:lineRule="auto"/>
        <w:jc w:val="left"/>
        <w:rPr>
          <w:rFonts w:ascii="宋体" w:hAnsi="宋体" w:cs="宋体"/>
          <w:color w:val="auto"/>
          <w:sz w:val="24"/>
          <w:highlight w:val="none"/>
        </w:rPr>
      </w:pPr>
    </w:p>
    <w:p w14:paraId="7DF6DBF4">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0261223F">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636B6F13">
      <w:pPr>
        <w:snapToGrid w:val="0"/>
        <w:spacing w:line="360" w:lineRule="auto"/>
        <w:ind w:right="480" w:firstLine="240" w:firstLineChars="100"/>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2B9121D8">
      <w:pPr>
        <w:snapToGrid w:val="0"/>
        <w:spacing w:before="120" w:beforeLines="50" w:after="50"/>
        <w:jc w:val="left"/>
        <w:rPr>
          <w:rFonts w:ascii="宋体" w:hAnsi="宋体" w:cs="宋体"/>
          <w:b/>
          <w:color w:val="auto"/>
          <w:sz w:val="24"/>
          <w:szCs w:val="20"/>
          <w:highlight w:val="none"/>
        </w:rPr>
      </w:pPr>
    </w:p>
    <w:p w14:paraId="79CC2233">
      <w:pPr>
        <w:snapToGrid w:val="0"/>
        <w:spacing w:line="360" w:lineRule="auto"/>
        <w:ind w:right="480" w:firstLine="210" w:firstLineChars="100"/>
        <w:jc w:val="left"/>
        <w:rPr>
          <w:rFonts w:ascii="宋体" w:hAnsi="宋体" w:cs="宋体"/>
          <w:color w:val="auto"/>
          <w:szCs w:val="21"/>
          <w:highlight w:val="none"/>
        </w:rPr>
      </w:pPr>
    </w:p>
    <w:p w14:paraId="2748EA5A">
      <w:pPr>
        <w:snapToGrid w:val="0"/>
        <w:spacing w:before="120" w:beforeLines="50" w:after="50"/>
        <w:jc w:val="left"/>
        <w:rPr>
          <w:rFonts w:ascii="宋体" w:hAnsi="宋体" w:cs="宋体"/>
          <w:b/>
          <w:color w:val="auto"/>
          <w:sz w:val="24"/>
          <w:szCs w:val="20"/>
          <w:highlight w:val="none"/>
        </w:rPr>
      </w:pPr>
    </w:p>
    <w:p w14:paraId="335340DC">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5.投标声明</w:t>
      </w:r>
    </w:p>
    <w:p w14:paraId="1BEBFA50">
      <w:pPr>
        <w:snapToGrid w:val="0"/>
        <w:spacing w:before="50" w:after="120" w:afterLines="50"/>
        <w:jc w:val="left"/>
        <w:rPr>
          <w:rFonts w:ascii="宋体" w:hAnsi="宋体" w:cs="宋体"/>
          <w:color w:val="auto"/>
          <w:highlight w:val="none"/>
        </w:rPr>
      </w:pPr>
    </w:p>
    <w:p w14:paraId="46EE7FFE">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46B0FE34">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0F14DCF2">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我方参加贵单位组织项目</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）的政府采购活动。我方在此郑重声明：</w:t>
      </w:r>
    </w:p>
    <w:p w14:paraId="2E6CF167">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475CCD1">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563F43F1">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 我方承诺符合《中华人民共和国政府采购法》第二十二条规定：</w:t>
      </w:r>
    </w:p>
    <w:p w14:paraId="541E627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2CB4815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23D2C817">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6852D9E4">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4D7E013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76020282">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4627196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65067F13">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4545E301">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w:t>
      </w:r>
      <w:r>
        <w:rPr>
          <w:rFonts w:hint="eastAsia" w:ascii="宋体" w:hAnsi="宋体" w:cs="宋体"/>
          <w:color w:val="auto"/>
          <w:spacing w:val="20"/>
          <w:sz w:val="24"/>
          <w:highlight w:val="none"/>
        </w:rPr>
        <w:t>（签字或者电子签名）：</w:t>
      </w:r>
    </w:p>
    <w:p w14:paraId="252274CE">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35E7DBB4">
      <w:pPr>
        <w:spacing w:line="400" w:lineRule="exact"/>
        <w:contextualSpacing/>
        <w:jc w:val="left"/>
        <w:rPr>
          <w:rFonts w:ascii="宋体" w:hAnsi="宋体" w:cs="宋体"/>
          <w:color w:val="auto"/>
          <w:highlight w:val="none"/>
        </w:rPr>
      </w:pPr>
      <w:r>
        <w:rPr>
          <w:rFonts w:hint="eastAsia" w:ascii="宋体" w:hAnsi="宋体" w:cs="宋体"/>
          <w:color w:val="auto"/>
          <w:sz w:val="24"/>
          <w:highlight w:val="none"/>
        </w:rPr>
        <w:t xml:space="preserve">                                                  年    月    日</w:t>
      </w:r>
    </w:p>
    <w:p w14:paraId="1AE44C34">
      <w:pPr>
        <w:spacing w:line="440" w:lineRule="exact"/>
        <w:contextualSpacing/>
        <w:rPr>
          <w:rFonts w:ascii="宋体" w:hAnsi="宋体" w:cs="宋体"/>
          <w:b/>
          <w:color w:val="auto"/>
          <w:sz w:val="24"/>
          <w:highlight w:val="none"/>
        </w:rPr>
      </w:pPr>
      <w:bookmarkStart w:id="181" w:name="_Toc19686838"/>
      <w:r>
        <w:rPr>
          <w:rFonts w:hint="eastAsia" w:ascii="宋体" w:hAnsi="宋体" w:cs="宋体"/>
          <w:b/>
          <w:color w:val="auto"/>
          <w:sz w:val="24"/>
          <w:highlight w:val="none"/>
        </w:rPr>
        <w:t>注：如为联合体投标，盖章处须加盖联合体牵头人电子签章并由联合体各方法定代表人分别签字或者盖章或者电子签名，否则投标无效。</w:t>
      </w:r>
    </w:p>
    <w:p w14:paraId="434C2921">
      <w:pPr>
        <w:spacing w:line="360" w:lineRule="auto"/>
        <w:contextualSpacing/>
        <w:rPr>
          <w:rFonts w:ascii="宋体" w:hAnsi="宋体" w:cs="宋体"/>
          <w:color w:val="auto"/>
          <w:sz w:val="24"/>
          <w:highlight w:val="none"/>
        </w:rPr>
      </w:pPr>
      <w:r>
        <w:rPr>
          <w:rFonts w:hint="eastAsia" w:ascii="宋体" w:hAnsi="宋体" w:cs="宋体"/>
          <w:b/>
          <w:color w:val="auto"/>
          <w:sz w:val="28"/>
          <w:szCs w:val="28"/>
          <w:highlight w:val="none"/>
        </w:rPr>
        <w:br w:type="page"/>
      </w:r>
    </w:p>
    <w:p w14:paraId="5BD2A057">
      <w:pPr>
        <w:rPr>
          <w:rFonts w:ascii="宋体" w:hAnsi="宋体" w:cs="宋体"/>
          <w:b/>
          <w:color w:val="auto"/>
          <w:sz w:val="28"/>
          <w:szCs w:val="28"/>
          <w:highlight w:val="none"/>
        </w:rPr>
      </w:pPr>
      <w:r>
        <w:rPr>
          <w:rFonts w:hint="eastAsia" w:ascii="宋体" w:hAnsi="宋体" w:cs="宋体"/>
          <w:b/>
          <w:color w:val="auto"/>
          <w:sz w:val="28"/>
          <w:szCs w:val="28"/>
          <w:highlight w:val="none"/>
        </w:rPr>
        <w:t>三、商务文件格式</w:t>
      </w:r>
      <w:bookmarkEnd w:id="181"/>
    </w:p>
    <w:p w14:paraId="3A5E2324">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4876E762">
      <w:pPr>
        <w:snapToGrid w:val="0"/>
        <w:spacing w:before="120" w:beforeLines="50" w:after="50"/>
        <w:jc w:val="center"/>
        <w:rPr>
          <w:rFonts w:ascii="宋体" w:hAnsi="宋体" w:cs="宋体"/>
          <w:color w:val="auto"/>
          <w:sz w:val="24"/>
          <w:highlight w:val="none"/>
        </w:rPr>
      </w:pPr>
      <w:r>
        <w:rPr>
          <w:rFonts w:hint="eastAsia" w:ascii="宋体" w:hAnsi="宋体" w:cs="宋体"/>
          <w:bCs/>
          <w:color w:val="auto"/>
          <w:sz w:val="48"/>
          <w:szCs w:val="48"/>
          <w:highlight w:val="none"/>
        </w:rPr>
        <w:t>电子投标文件</w:t>
      </w:r>
    </w:p>
    <w:p w14:paraId="14976323">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文  件</w:t>
      </w:r>
    </w:p>
    <w:p w14:paraId="0EC2E29A">
      <w:pPr>
        <w:snapToGrid w:val="0"/>
        <w:spacing w:before="120" w:beforeLines="50" w:after="50"/>
        <w:rPr>
          <w:rFonts w:ascii="宋体" w:hAnsi="宋体" w:cs="宋体"/>
          <w:bCs/>
          <w:color w:val="auto"/>
          <w:sz w:val="24"/>
          <w:szCs w:val="20"/>
          <w:highlight w:val="none"/>
        </w:rPr>
      </w:pPr>
    </w:p>
    <w:p w14:paraId="657BD9DA">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5B616AF7">
      <w:pPr>
        <w:snapToGrid w:val="0"/>
        <w:spacing w:before="120" w:beforeLines="50" w:after="50"/>
        <w:ind w:firstLine="540" w:firstLineChars="225"/>
        <w:rPr>
          <w:rFonts w:ascii="宋体" w:hAnsi="宋体" w:cs="宋体"/>
          <w:bCs/>
          <w:color w:val="auto"/>
          <w:sz w:val="24"/>
          <w:szCs w:val="20"/>
          <w:highlight w:val="none"/>
        </w:rPr>
      </w:pPr>
    </w:p>
    <w:p w14:paraId="43517FB7">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289D5E3B">
      <w:pPr>
        <w:snapToGrid w:val="0"/>
        <w:spacing w:before="120" w:beforeLines="50" w:after="50"/>
        <w:ind w:firstLine="540" w:firstLineChars="225"/>
        <w:rPr>
          <w:rFonts w:ascii="宋体" w:hAnsi="宋体" w:cs="宋体"/>
          <w:bCs/>
          <w:color w:val="auto"/>
          <w:sz w:val="24"/>
          <w:szCs w:val="20"/>
          <w:highlight w:val="none"/>
        </w:rPr>
      </w:pPr>
    </w:p>
    <w:p w14:paraId="3834D39A">
      <w:pPr>
        <w:snapToGrid w:val="0"/>
        <w:spacing w:before="120" w:beforeLines="50" w:after="50"/>
        <w:ind w:firstLine="540" w:firstLineChars="225"/>
        <w:rPr>
          <w:rFonts w:ascii="宋体" w:hAnsi="宋体" w:cs="宋体"/>
          <w:bCs/>
          <w:color w:val="auto"/>
          <w:sz w:val="24"/>
          <w:szCs w:val="20"/>
          <w:highlight w:val="none"/>
        </w:rPr>
      </w:pPr>
    </w:p>
    <w:p w14:paraId="5DA69070">
      <w:pPr>
        <w:pStyle w:val="8"/>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9FFFC31">
      <w:pPr>
        <w:pStyle w:val="8"/>
        <w:snapToGrid w:val="0"/>
        <w:spacing w:before="50" w:after="50"/>
        <w:ind w:firstLine="540" w:firstLineChars="225"/>
        <w:rPr>
          <w:rFonts w:ascii="宋体" w:hAnsi="宋体" w:cs="宋体"/>
          <w:bCs/>
          <w:color w:val="auto"/>
          <w:sz w:val="24"/>
          <w:szCs w:val="24"/>
          <w:highlight w:val="none"/>
        </w:rPr>
      </w:pPr>
    </w:p>
    <w:p w14:paraId="4C7AC608">
      <w:pPr>
        <w:pStyle w:val="8"/>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1D0BFFC5">
      <w:pPr>
        <w:pStyle w:val="8"/>
        <w:snapToGrid w:val="0"/>
        <w:spacing w:before="50" w:after="50"/>
        <w:ind w:firstLine="960" w:firstLineChars="400"/>
        <w:rPr>
          <w:rFonts w:ascii="宋体" w:hAnsi="宋体" w:cs="宋体"/>
          <w:bCs/>
          <w:color w:val="auto"/>
          <w:sz w:val="24"/>
          <w:szCs w:val="24"/>
          <w:highlight w:val="none"/>
        </w:rPr>
      </w:pPr>
    </w:p>
    <w:p w14:paraId="705FDA64">
      <w:pPr>
        <w:snapToGrid w:val="0"/>
        <w:spacing w:before="120"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284A2684">
      <w:pPr>
        <w:snapToGrid w:val="0"/>
        <w:spacing w:before="120" w:beforeLines="50" w:after="50"/>
        <w:rPr>
          <w:rFonts w:ascii="宋体" w:hAnsi="宋体" w:cs="宋体"/>
          <w:color w:val="auto"/>
          <w:sz w:val="24"/>
          <w:szCs w:val="20"/>
          <w:highlight w:val="none"/>
        </w:rPr>
      </w:pPr>
    </w:p>
    <w:p w14:paraId="3FB456EB">
      <w:pPr>
        <w:snapToGrid w:val="0"/>
        <w:spacing w:line="360" w:lineRule="auto"/>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2.商务文件目录</w:t>
      </w:r>
    </w:p>
    <w:p w14:paraId="04773B5C">
      <w:pPr>
        <w:snapToGrid w:val="0"/>
        <w:spacing w:before="50" w:after="120" w:afterLines="50" w:line="360" w:lineRule="auto"/>
        <w:ind w:firstLine="560" w:firstLineChars="200"/>
        <w:jc w:val="left"/>
        <w:rPr>
          <w:rFonts w:ascii="宋体" w:hAnsi="宋体" w:cs="宋体"/>
          <w:b/>
          <w:bCs/>
          <w:color w:val="auto"/>
          <w:sz w:val="32"/>
          <w:szCs w:val="32"/>
          <w:highlight w:val="none"/>
        </w:rPr>
      </w:pPr>
      <w:r>
        <w:rPr>
          <w:rFonts w:hint="eastAsia" w:ascii="宋体" w:hAnsi="宋体" w:cs="宋体"/>
          <w:color w:val="auto"/>
          <w:sz w:val="28"/>
          <w:szCs w:val="28"/>
          <w:highlight w:val="none"/>
        </w:rPr>
        <w:t>根据招标文件规定及投标人提供的材料自行编写目录。</w:t>
      </w:r>
    </w:p>
    <w:p w14:paraId="6D2CDE8F">
      <w:pPr>
        <w:snapToGrid w:val="0"/>
        <w:spacing w:before="50" w:after="120" w:afterLines="50"/>
        <w:jc w:val="left"/>
        <w:rPr>
          <w:rFonts w:ascii="宋体" w:hAnsi="宋体" w:cs="宋体"/>
          <w:color w:val="auto"/>
          <w:highlight w:val="none"/>
        </w:rPr>
      </w:pPr>
    </w:p>
    <w:p w14:paraId="6D62FF3E">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3.部分商务文件格式</w:t>
      </w:r>
    </w:p>
    <w:p w14:paraId="09E6F1ED">
      <w:pPr>
        <w:snapToGrid w:val="0"/>
        <w:spacing w:before="120" w:beforeLines="50" w:after="50"/>
        <w:jc w:val="left"/>
        <w:rPr>
          <w:rFonts w:ascii="宋体" w:hAnsi="宋体" w:cs="宋体"/>
          <w:b/>
          <w:color w:val="auto"/>
          <w:sz w:val="24"/>
          <w:highlight w:val="none"/>
        </w:rPr>
      </w:pPr>
    </w:p>
    <w:p w14:paraId="7BDBC312">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投标人参加本项目无围标串标行为的承诺</w:t>
      </w:r>
    </w:p>
    <w:p w14:paraId="38D78FA9">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40AF25A1">
      <w:pPr>
        <w:spacing w:line="40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1A436629">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26B2F01D">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39B24B5F">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08025641">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5CB3ADD0">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741FF939">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09A8F8CB">
      <w:pPr>
        <w:spacing w:line="40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325D4B9A">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402A343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2E217FE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56340EDD">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262B279A">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609B0753">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3674E6D3">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3DC8072B">
      <w:pPr>
        <w:spacing w:line="40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3DC7C048">
      <w:pPr>
        <w:pStyle w:val="27"/>
        <w:spacing w:line="440" w:lineRule="exact"/>
        <w:ind w:firstLine="6840" w:firstLineChars="2850"/>
        <w:contextualSpacing/>
        <w:rPr>
          <w:rFonts w:hAnsi="宋体" w:cs="宋体"/>
          <w:color w:val="auto"/>
          <w:sz w:val="24"/>
          <w:szCs w:val="24"/>
          <w:highlight w:val="none"/>
        </w:rPr>
      </w:pPr>
    </w:p>
    <w:p w14:paraId="332864D2">
      <w:pPr>
        <w:pStyle w:val="27"/>
        <w:spacing w:line="440" w:lineRule="exact"/>
        <w:contextualSpacing/>
        <w:jc w:val="center"/>
        <w:rPr>
          <w:rFonts w:hAnsi="宋体" w:cs="宋体"/>
          <w:color w:val="auto"/>
          <w:sz w:val="24"/>
          <w:szCs w:val="24"/>
          <w:highlight w:val="none"/>
        </w:rPr>
      </w:pPr>
      <w:r>
        <w:rPr>
          <w:rFonts w:hint="eastAsia" w:hAnsi="宋体" w:cs="宋体"/>
          <w:color w:val="auto"/>
          <w:sz w:val="24"/>
          <w:szCs w:val="24"/>
          <w:highlight w:val="none"/>
        </w:rPr>
        <w:t>投标人名称（电子签章）</w:t>
      </w:r>
    </w:p>
    <w:p w14:paraId="2FB09DE3">
      <w:pPr>
        <w:pStyle w:val="27"/>
        <w:spacing w:line="440" w:lineRule="exact"/>
        <w:ind w:firstLine="4200" w:firstLineChars="1750"/>
        <w:contextualSpacing/>
        <w:rPr>
          <w:rFonts w:hAnsi="宋体" w:cs="宋体"/>
          <w:color w:val="auto"/>
          <w:sz w:val="24"/>
          <w:highlight w:val="none"/>
        </w:rPr>
      </w:pPr>
      <w:r>
        <w:rPr>
          <w:rFonts w:hint="eastAsia" w:hAnsi="宋体" w:cs="宋体"/>
          <w:color w:val="auto"/>
          <w:sz w:val="24"/>
          <w:highlight w:val="none"/>
        </w:rPr>
        <w:t>年   月   日</w:t>
      </w:r>
    </w:p>
    <w:p w14:paraId="25A5DFE3">
      <w:pPr>
        <w:snapToGrid w:val="0"/>
        <w:spacing w:before="120" w:beforeLines="50" w:after="50"/>
        <w:jc w:val="left"/>
        <w:rPr>
          <w:rFonts w:ascii="宋体" w:hAnsi="宋体" w:cs="宋体"/>
          <w:b/>
          <w:color w:val="auto"/>
          <w:sz w:val="24"/>
          <w:highlight w:val="none"/>
        </w:rPr>
      </w:pPr>
    </w:p>
    <w:p w14:paraId="678AD9CF">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t>法定代表人身份证明</w:t>
      </w:r>
    </w:p>
    <w:p w14:paraId="54D2CBF0">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35E6AC0D">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_               </w:t>
      </w:r>
    </w:p>
    <w:p w14:paraId="6D633DD8">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_               </w:t>
      </w:r>
    </w:p>
    <w:p w14:paraId="1348807B">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_               </w:t>
      </w:r>
    </w:p>
    <w:p w14:paraId="5F75AFA5">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_               </w:t>
      </w:r>
    </w:p>
    <w:p w14:paraId="40E0394A">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_               </w:t>
      </w:r>
    </w:p>
    <w:p w14:paraId="75029862">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7F9CD2E5">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3E539F97">
      <w:pPr>
        <w:spacing w:line="500" w:lineRule="exact"/>
        <w:ind w:left="540"/>
        <w:rPr>
          <w:rFonts w:ascii="宋体" w:hAnsi="宋体" w:cs="宋体"/>
          <w:color w:val="auto"/>
          <w:sz w:val="24"/>
          <w:highlight w:val="none"/>
        </w:rPr>
      </w:pPr>
    </w:p>
    <w:p w14:paraId="291E3C33">
      <w:pPr>
        <w:spacing w:line="500" w:lineRule="exact"/>
        <w:ind w:left="540"/>
        <w:rPr>
          <w:rFonts w:ascii="宋体" w:hAnsi="宋体" w:cs="宋体"/>
          <w:color w:val="auto"/>
          <w:sz w:val="24"/>
          <w:highlight w:val="none"/>
        </w:rPr>
      </w:pPr>
    </w:p>
    <w:p w14:paraId="07F829ED">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66D21D1">
      <w:pPr>
        <w:spacing w:line="500" w:lineRule="exact"/>
        <w:ind w:left="540"/>
        <w:rPr>
          <w:rFonts w:ascii="宋体" w:hAnsi="宋体" w:cs="宋体"/>
          <w:color w:val="auto"/>
          <w:sz w:val="24"/>
          <w:highlight w:val="none"/>
        </w:rPr>
      </w:pPr>
    </w:p>
    <w:p w14:paraId="33B73C06">
      <w:pPr>
        <w:spacing w:line="500" w:lineRule="exact"/>
        <w:ind w:left="540"/>
        <w:jc w:val="right"/>
        <w:rPr>
          <w:rFonts w:ascii="宋体" w:hAnsi="宋体" w:cs="宋体"/>
          <w:color w:val="auto"/>
          <w:sz w:val="24"/>
          <w:highlight w:val="none"/>
        </w:rPr>
      </w:pPr>
      <w:r>
        <w:rPr>
          <w:rFonts w:hint="eastAsia" w:ascii="宋体" w:hAnsi="宋体" w:cs="宋体"/>
          <w:color w:val="auto"/>
          <w:sz w:val="24"/>
          <w:highlight w:val="none"/>
        </w:rPr>
        <w:t>投标人名称（电子签章）</w:t>
      </w:r>
    </w:p>
    <w:p w14:paraId="178677A4">
      <w:pPr>
        <w:spacing w:line="500" w:lineRule="exact"/>
        <w:ind w:left="540"/>
        <w:jc w:val="right"/>
        <w:rPr>
          <w:rFonts w:ascii="宋体" w:hAnsi="宋体" w:cs="宋体"/>
          <w:color w:val="auto"/>
          <w:sz w:val="24"/>
          <w:highlight w:val="none"/>
        </w:rPr>
      </w:pPr>
    </w:p>
    <w:p w14:paraId="1CA890AB">
      <w:pPr>
        <w:wordWrap w:val="0"/>
        <w:snapToGrid w:val="0"/>
        <w:spacing w:before="120" w:beforeLines="50" w:after="50"/>
        <w:ind w:left="540"/>
        <w:jc w:val="right"/>
        <w:rPr>
          <w:rFonts w:ascii="宋体" w:hAnsi="宋体" w:cs="宋体"/>
          <w:color w:val="auto"/>
          <w:sz w:val="24"/>
          <w:highlight w:val="none"/>
        </w:rPr>
      </w:pPr>
      <w:r>
        <w:rPr>
          <w:rFonts w:hint="eastAsia" w:ascii="宋体" w:hAnsi="宋体" w:cs="宋体"/>
          <w:color w:val="auto"/>
          <w:sz w:val="24"/>
          <w:highlight w:val="none"/>
        </w:rPr>
        <w:t>年  月  日</w:t>
      </w:r>
    </w:p>
    <w:p w14:paraId="09C2AB8B">
      <w:pPr>
        <w:snapToGrid w:val="0"/>
        <w:spacing w:before="120" w:beforeLines="50" w:after="50"/>
        <w:jc w:val="center"/>
        <w:rPr>
          <w:rFonts w:ascii="宋体" w:hAnsi="宋体" w:cs="宋体"/>
          <w:b/>
          <w:color w:val="auto"/>
          <w:sz w:val="24"/>
          <w:highlight w:val="none"/>
        </w:rPr>
      </w:pPr>
    </w:p>
    <w:p w14:paraId="0C3BA88C">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sz w:val="24"/>
          <w:highlight w:val="none"/>
        </w:rPr>
        <w:t>注：自然人投标的无需提供</w:t>
      </w:r>
    </w:p>
    <w:p w14:paraId="67BDCD69">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授权委托书格式</w:t>
      </w:r>
    </w:p>
    <w:p w14:paraId="777E2B14">
      <w:pPr>
        <w:snapToGrid w:val="0"/>
        <w:spacing w:before="120" w:beforeLines="50" w:after="50"/>
        <w:jc w:val="center"/>
        <w:rPr>
          <w:rFonts w:ascii="宋体" w:hAnsi="宋体" w:cs="宋体"/>
          <w:b/>
          <w:color w:val="auto"/>
          <w:sz w:val="44"/>
          <w:szCs w:val="44"/>
          <w:highlight w:val="none"/>
        </w:rPr>
      </w:pPr>
    </w:p>
    <w:p w14:paraId="3E479AB9">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5C0779CE">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25D8C26F">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07A7D3B3">
      <w:pPr>
        <w:spacing w:line="440" w:lineRule="exact"/>
        <w:contextualSpacing/>
        <w:jc w:val="center"/>
        <w:rPr>
          <w:rFonts w:ascii="宋体" w:hAnsi="宋体" w:cs="宋体"/>
          <w:b/>
          <w:color w:val="auto"/>
          <w:sz w:val="24"/>
          <w:highlight w:val="none"/>
        </w:rPr>
      </w:pPr>
    </w:p>
    <w:p w14:paraId="4C71366B">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E419026">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我（姓名）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2443BD26">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55BC2F3F">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2F6D78ED">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15C4EB4D">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3E839C39">
      <w:pPr>
        <w:spacing w:line="440" w:lineRule="exact"/>
        <w:contextualSpacing/>
        <w:rPr>
          <w:rFonts w:ascii="宋体" w:hAnsi="宋体" w:cs="宋体"/>
          <w:color w:val="auto"/>
          <w:sz w:val="24"/>
          <w:highlight w:val="none"/>
        </w:rPr>
      </w:pPr>
    </w:p>
    <w:p w14:paraId="5A0D19D6">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委托代理人（签字或者电子签名）：</w:t>
      </w:r>
    </w:p>
    <w:p w14:paraId="43A50C7F">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委托代理人身份证号码：</w:t>
      </w:r>
    </w:p>
    <w:p w14:paraId="2DDD313D">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法定代表人（签字或者盖章或者电子签名）：</w:t>
      </w:r>
    </w:p>
    <w:p w14:paraId="19B6C77B">
      <w:pPr>
        <w:spacing w:line="440" w:lineRule="exact"/>
        <w:contextualSpacing/>
        <w:rPr>
          <w:rFonts w:ascii="宋体" w:hAnsi="宋体" w:cs="宋体"/>
          <w:color w:val="auto"/>
          <w:sz w:val="24"/>
          <w:highlight w:val="none"/>
        </w:rPr>
      </w:pPr>
    </w:p>
    <w:p w14:paraId="140F76C1">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304B7F04">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5B547912">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w:t>
      </w:r>
      <w:bookmarkStart w:id="182" w:name="_Hlk65851555"/>
      <w:bookmarkStart w:id="183" w:name="_Hlk65851620"/>
      <w:r>
        <w:rPr>
          <w:rFonts w:hint="eastAsia" w:ascii="宋体" w:hAnsi="宋体" w:cs="宋体"/>
          <w:color w:val="auto"/>
          <w:sz w:val="24"/>
          <w:highlight w:val="none"/>
        </w:rPr>
        <w:t>法定代表人必须在授权委托书上签字或者盖章或者电子签名，</w:t>
      </w:r>
      <w:bookmarkEnd w:id="182"/>
      <w:r>
        <w:rPr>
          <w:rFonts w:hint="eastAsia" w:ascii="宋体" w:hAnsi="宋体" w:cs="宋体"/>
          <w:color w:val="auto"/>
          <w:sz w:val="24"/>
          <w:highlight w:val="none"/>
        </w:rPr>
        <w:t>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bookmarkEnd w:id="183"/>
    </w:p>
    <w:p w14:paraId="52B57F5B">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17E39B68">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11CD93FD">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16B31506">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6F3A3EEC">
      <w:pPr>
        <w:spacing w:line="440" w:lineRule="exact"/>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88CE955">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40E036A0">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749C5C4F">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2D8E27C7">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4198D87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14:paraId="1FB5C2B3">
      <w:pPr>
        <w:spacing w:line="440" w:lineRule="exact"/>
        <w:ind w:firstLine="566" w:firstLineChars="236"/>
        <w:contextualSpacing/>
        <w:rPr>
          <w:rFonts w:ascii="宋体" w:hAnsi="宋体" w:cs="宋体"/>
          <w:color w:val="auto"/>
          <w:sz w:val="24"/>
          <w:highlight w:val="none"/>
        </w:rPr>
      </w:pPr>
    </w:p>
    <w:p w14:paraId="1AFB029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牵头人法定代表人（签字或者盖章或者电子签名）：</w:t>
      </w:r>
    </w:p>
    <w:p w14:paraId="2A9FA2EA">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牵头人（电子签章）：</w:t>
      </w:r>
    </w:p>
    <w:p w14:paraId="4939C419">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4824CBCC">
      <w:pPr>
        <w:spacing w:line="440" w:lineRule="exact"/>
        <w:ind w:firstLine="566" w:firstLineChars="236"/>
        <w:contextualSpacing/>
        <w:rPr>
          <w:rFonts w:ascii="宋体" w:hAnsi="宋体" w:cs="宋体"/>
          <w:color w:val="auto"/>
          <w:sz w:val="24"/>
          <w:highlight w:val="none"/>
        </w:rPr>
      </w:pPr>
    </w:p>
    <w:p w14:paraId="46AB2D59">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被授权人（签字或者电子签名）：</w:t>
      </w:r>
    </w:p>
    <w:p w14:paraId="2FF779D0">
      <w:pPr>
        <w:spacing w:line="440" w:lineRule="exact"/>
        <w:ind w:firstLine="566" w:firstLineChars="236"/>
        <w:contextualSpacing/>
        <w:rPr>
          <w:rFonts w:ascii="宋体" w:hAnsi="宋体" w:cs="宋体"/>
          <w:color w:val="auto"/>
          <w:sz w:val="32"/>
          <w:szCs w:val="32"/>
          <w:highlight w:val="none"/>
        </w:rPr>
      </w:pPr>
      <w:r>
        <w:rPr>
          <w:rFonts w:hint="eastAsia" w:ascii="宋体" w:hAnsi="宋体" w:cs="宋体"/>
          <w:color w:val="auto"/>
          <w:sz w:val="24"/>
          <w:highlight w:val="none"/>
        </w:rPr>
        <w:t>日期：    年   月   日</w:t>
      </w:r>
    </w:p>
    <w:p w14:paraId="4408E92B">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注：1.法定代表人必须在授权委托书上签字或者盖章或者电子签名，委托代理人必须在授权委托书上签字或者电子签名，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p>
    <w:p w14:paraId="24E5F0D6">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24550FE5">
      <w:pPr>
        <w:snapToGrid w:val="0"/>
        <w:spacing w:before="50" w:after="120" w:afterLines="50"/>
        <w:jc w:val="left"/>
        <w:rPr>
          <w:rFonts w:ascii="宋体" w:hAnsi="宋体" w:cs="宋体"/>
          <w:color w:val="auto"/>
          <w:sz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701" w:right="1701" w:bottom="1701" w:left="1701" w:header="851" w:footer="992" w:gutter="0"/>
          <w:pgNumType w:start="0"/>
          <w:cols w:space="720" w:num="1"/>
          <w:titlePg/>
          <w:docGrid w:linePitch="312" w:charSpace="0"/>
        </w:sectPr>
      </w:pPr>
    </w:p>
    <w:p w14:paraId="6E4F88F9">
      <w:pPr>
        <w:rPr>
          <w:rFonts w:ascii="宋体" w:hAnsi="宋体" w:cs="宋体"/>
          <w:color w:val="auto"/>
          <w:sz w:val="24"/>
          <w:highlight w:val="none"/>
        </w:rPr>
      </w:pPr>
    </w:p>
    <w:p w14:paraId="7C46AEEA">
      <w:pPr>
        <w:rPr>
          <w:rFonts w:ascii="宋体" w:hAnsi="宋体" w:cs="宋体"/>
          <w:b/>
          <w:color w:val="auto"/>
          <w:sz w:val="24"/>
          <w:szCs w:val="20"/>
          <w:highlight w:val="none"/>
        </w:rPr>
      </w:pPr>
      <w:r>
        <w:rPr>
          <w:rFonts w:hint="eastAsia" w:ascii="宋体" w:hAnsi="宋体" w:cs="宋体"/>
          <w:b/>
          <w:color w:val="auto"/>
          <w:sz w:val="24"/>
          <w:highlight w:val="none"/>
        </w:rPr>
        <w:t>商务要求承诺响应表格式</w:t>
      </w:r>
    </w:p>
    <w:p w14:paraId="3EB14DF4">
      <w:pPr>
        <w:snapToGrid w:val="0"/>
        <w:spacing w:before="50"/>
        <w:jc w:val="left"/>
        <w:rPr>
          <w:rFonts w:ascii="宋体" w:hAnsi="宋体" w:cs="宋体"/>
          <w:color w:val="auto"/>
          <w:sz w:val="24"/>
          <w:highlight w:val="none"/>
        </w:rPr>
      </w:pPr>
    </w:p>
    <w:tbl>
      <w:tblPr>
        <w:tblStyle w:val="4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03"/>
        <w:gridCol w:w="6544"/>
      </w:tblGrid>
      <w:tr w14:paraId="5FE26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503" w:type="dxa"/>
            <w:tcBorders>
              <w:top w:val="single" w:color="auto" w:sz="4" w:space="0"/>
              <w:left w:val="single" w:color="auto" w:sz="4" w:space="0"/>
              <w:bottom w:val="single" w:color="auto" w:sz="4" w:space="0"/>
              <w:right w:val="single" w:color="auto" w:sz="4" w:space="0"/>
            </w:tcBorders>
            <w:vAlign w:val="center"/>
          </w:tcPr>
          <w:p w14:paraId="330868BA">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6544" w:type="dxa"/>
            <w:tcBorders>
              <w:top w:val="single" w:color="auto" w:sz="4" w:space="0"/>
              <w:left w:val="single" w:color="auto" w:sz="4" w:space="0"/>
              <w:bottom w:val="single" w:color="auto" w:sz="4" w:space="0"/>
              <w:right w:val="single" w:color="auto" w:sz="4" w:space="0"/>
            </w:tcBorders>
            <w:vAlign w:val="center"/>
          </w:tcPr>
          <w:p w14:paraId="64A66E4D">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投标人对应“招标文件商务要求”的详细承诺响应</w:t>
            </w:r>
          </w:p>
        </w:tc>
      </w:tr>
      <w:tr w14:paraId="69BEA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503" w:type="dxa"/>
            <w:tcBorders>
              <w:top w:val="single" w:color="auto" w:sz="4" w:space="0"/>
              <w:left w:val="single" w:color="auto" w:sz="4" w:space="0"/>
              <w:bottom w:val="single" w:color="auto" w:sz="4" w:space="0"/>
              <w:right w:val="single" w:color="auto" w:sz="4" w:space="0"/>
            </w:tcBorders>
            <w:vAlign w:val="center"/>
          </w:tcPr>
          <w:p w14:paraId="0C4E3333">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2F0EE6F2">
            <w:pPr>
              <w:snapToGrid w:val="0"/>
              <w:spacing w:before="120" w:beforeLines="50"/>
              <w:jc w:val="center"/>
              <w:rPr>
                <w:rFonts w:ascii="宋体" w:hAnsi="宋体" w:cs="宋体"/>
                <w:color w:val="auto"/>
                <w:sz w:val="24"/>
                <w:highlight w:val="none"/>
              </w:rPr>
            </w:pPr>
          </w:p>
        </w:tc>
      </w:tr>
      <w:tr w14:paraId="3E6AF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1503" w:type="dxa"/>
            <w:tcBorders>
              <w:top w:val="single" w:color="auto" w:sz="4" w:space="0"/>
              <w:left w:val="single" w:color="auto" w:sz="4" w:space="0"/>
              <w:bottom w:val="single" w:color="auto" w:sz="4" w:space="0"/>
              <w:right w:val="single" w:color="auto" w:sz="4" w:space="0"/>
            </w:tcBorders>
            <w:vAlign w:val="center"/>
          </w:tcPr>
          <w:p w14:paraId="530C3A12">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171C941E">
            <w:pPr>
              <w:snapToGrid w:val="0"/>
              <w:spacing w:before="120" w:beforeLines="50"/>
              <w:ind w:left="43"/>
              <w:jc w:val="center"/>
              <w:rPr>
                <w:rFonts w:ascii="宋体" w:hAnsi="宋体" w:cs="宋体"/>
                <w:color w:val="auto"/>
                <w:sz w:val="24"/>
                <w:highlight w:val="none"/>
              </w:rPr>
            </w:pPr>
          </w:p>
        </w:tc>
      </w:tr>
      <w:tr w14:paraId="0AF76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03" w:type="dxa"/>
            <w:tcBorders>
              <w:top w:val="single" w:color="auto" w:sz="4" w:space="0"/>
              <w:left w:val="single" w:color="auto" w:sz="4" w:space="0"/>
              <w:bottom w:val="single" w:color="auto" w:sz="4" w:space="0"/>
              <w:right w:val="single" w:color="auto" w:sz="4" w:space="0"/>
            </w:tcBorders>
            <w:vAlign w:val="center"/>
          </w:tcPr>
          <w:p w14:paraId="27EAD904">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77942FB6">
            <w:pPr>
              <w:snapToGrid w:val="0"/>
              <w:spacing w:before="120" w:beforeLines="50"/>
              <w:jc w:val="center"/>
              <w:rPr>
                <w:rFonts w:ascii="宋体" w:hAnsi="宋体" w:cs="宋体"/>
                <w:color w:val="auto"/>
                <w:sz w:val="24"/>
                <w:highlight w:val="none"/>
              </w:rPr>
            </w:pPr>
          </w:p>
        </w:tc>
      </w:tr>
      <w:tr w14:paraId="7ED26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03" w:type="dxa"/>
            <w:tcBorders>
              <w:top w:val="single" w:color="auto" w:sz="4" w:space="0"/>
              <w:left w:val="single" w:color="auto" w:sz="4" w:space="0"/>
              <w:bottom w:val="single" w:color="auto" w:sz="4" w:space="0"/>
              <w:right w:val="single" w:color="auto" w:sz="4" w:space="0"/>
            </w:tcBorders>
            <w:vAlign w:val="center"/>
          </w:tcPr>
          <w:p w14:paraId="4F5E02C6">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649D3A4C">
            <w:pPr>
              <w:snapToGrid w:val="0"/>
              <w:spacing w:before="120" w:beforeLines="50"/>
              <w:jc w:val="center"/>
              <w:rPr>
                <w:rFonts w:ascii="宋体" w:hAnsi="宋体" w:cs="宋体"/>
                <w:color w:val="auto"/>
                <w:sz w:val="24"/>
                <w:highlight w:val="none"/>
              </w:rPr>
            </w:pPr>
          </w:p>
        </w:tc>
      </w:tr>
      <w:tr w14:paraId="78A03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503" w:type="dxa"/>
            <w:tcBorders>
              <w:top w:val="single" w:color="auto" w:sz="4" w:space="0"/>
              <w:left w:val="single" w:color="auto" w:sz="4" w:space="0"/>
              <w:bottom w:val="single" w:color="auto" w:sz="4" w:space="0"/>
              <w:right w:val="single" w:color="auto" w:sz="4" w:space="0"/>
            </w:tcBorders>
            <w:vAlign w:val="center"/>
          </w:tcPr>
          <w:p w14:paraId="6846DD87">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01AD83A6">
            <w:pPr>
              <w:snapToGrid w:val="0"/>
              <w:spacing w:before="120" w:beforeLines="50"/>
              <w:jc w:val="center"/>
              <w:rPr>
                <w:rFonts w:ascii="宋体" w:hAnsi="宋体" w:cs="宋体"/>
                <w:color w:val="auto"/>
                <w:sz w:val="24"/>
                <w:highlight w:val="none"/>
              </w:rPr>
            </w:pPr>
          </w:p>
        </w:tc>
      </w:tr>
      <w:tr w14:paraId="2CFE5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03" w:type="dxa"/>
            <w:tcBorders>
              <w:top w:val="single" w:color="auto" w:sz="4" w:space="0"/>
              <w:left w:val="single" w:color="auto" w:sz="4" w:space="0"/>
              <w:bottom w:val="single" w:color="auto" w:sz="4" w:space="0"/>
              <w:right w:val="single" w:color="auto" w:sz="4" w:space="0"/>
            </w:tcBorders>
            <w:vAlign w:val="center"/>
          </w:tcPr>
          <w:p w14:paraId="35819637">
            <w:pPr>
              <w:widowControl/>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476C9E36">
            <w:pPr>
              <w:snapToGrid w:val="0"/>
              <w:spacing w:before="120" w:beforeLines="50"/>
              <w:jc w:val="center"/>
              <w:rPr>
                <w:rFonts w:ascii="宋体" w:hAnsi="宋体" w:cs="宋体"/>
                <w:color w:val="auto"/>
                <w:sz w:val="24"/>
                <w:highlight w:val="none"/>
              </w:rPr>
            </w:pPr>
          </w:p>
        </w:tc>
      </w:tr>
      <w:tr w14:paraId="59E05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03" w:type="dxa"/>
            <w:tcBorders>
              <w:top w:val="single" w:color="auto" w:sz="4" w:space="0"/>
              <w:left w:val="single" w:color="auto" w:sz="4" w:space="0"/>
              <w:bottom w:val="single" w:color="auto" w:sz="4" w:space="0"/>
              <w:right w:val="single" w:color="auto" w:sz="4" w:space="0"/>
            </w:tcBorders>
            <w:vAlign w:val="center"/>
          </w:tcPr>
          <w:p w14:paraId="352E8C83">
            <w:pPr>
              <w:spacing w:line="32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55D14F69">
            <w:pPr>
              <w:snapToGrid w:val="0"/>
              <w:spacing w:before="120" w:beforeLines="50"/>
              <w:jc w:val="center"/>
              <w:rPr>
                <w:rFonts w:ascii="宋体" w:hAnsi="宋体" w:cs="宋体"/>
                <w:color w:val="auto"/>
                <w:sz w:val="24"/>
                <w:highlight w:val="none"/>
              </w:rPr>
            </w:pPr>
          </w:p>
        </w:tc>
      </w:tr>
      <w:tr w14:paraId="19EFE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03" w:type="dxa"/>
            <w:tcBorders>
              <w:top w:val="single" w:color="auto" w:sz="4" w:space="0"/>
              <w:left w:val="single" w:color="auto" w:sz="4" w:space="0"/>
              <w:bottom w:val="single" w:color="auto" w:sz="4" w:space="0"/>
              <w:right w:val="single" w:color="auto" w:sz="4" w:space="0"/>
            </w:tcBorders>
            <w:vAlign w:val="center"/>
          </w:tcPr>
          <w:p w14:paraId="0E6225F2">
            <w:pPr>
              <w:spacing w:line="34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66565B0D">
            <w:pPr>
              <w:snapToGrid w:val="0"/>
              <w:spacing w:before="120" w:beforeLines="50"/>
              <w:jc w:val="center"/>
              <w:rPr>
                <w:rFonts w:ascii="宋体" w:hAnsi="宋体" w:cs="宋体"/>
                <w:color w:val="auto"/>
                <w:sz w:val="24"/>
                <w:highlight w:val="none"/>
              </w:rPr>
            </w:pPr>
          </w:p>
        </w:tc>
      </w:tr>
      <w:tr w14:paraId="738A0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03" w:type="dxa"/>
            <w:tcBorders>
              <w:top w:val="single" w:color="auto" w:sz="4" w:space="0"/>
              <w:left w:val="single" w:color="auto" w:sz="4" w:space="0"/>
              <w:bottom w:val="single" w:color="auto" w:sz="4" w:space="0"/>
              <w:right w:val="single" w:color="auto" w:sz="4" w:space="0"/>
            </w:tcBorders>
            <w:vAlign w:val="center"/>
          </w:tcPr>
          <w:p w14:paraId="2464B6DA">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46C7A176">
            <w:pPr>
              <w:snapToGrid w:val="0"/>
              <w:spacing w:before="120" w:beforeLines="50"/>
              <w:jc w:val="center"/>
              <w:rPr>
                <w:rFonts w:ascii="宋体" w:hAnsi="宋体" w:cs="宋体"/>
                <w:color w:val="auto"/>
                <w:sz w:val="24"/>
                <w:highlight w:val="none"/>
              </w:rPr>
            </w:pPr>
          </w:p>
        </w:tc>
      </w:tr>
    </w:tbl>
    <w:p w14:paraId="10E1843D">
      <w:pPr>
        <w:pStyle w:val="19"/>
        <w:rPr>
          <w:rFonts w:ascii="宋体" w:hAnsi="宋体" w:cs="宋体"/>
          <w:color w:val="auto"/>
          <w:highlight w:val="none"/>
        </w:rPr>
      </w:pPr>
      <w:r>
        <w:rPr>
          <w:rFonts w:hint="eastAsia" w:ascii="宋体" w:hAnsi="宋体" w:cs="宋体"/>
          <w:color w:val="auto"/>
          <w:highlight w:val="none"/>
        </w:rPr>
        <w:t>注：</w:t>
      </w:r>
    </w:p>
    <w:p w14:paraId="369ADE85">
      <w:pPr>
        <w:pStyle w:val="21"/>
        <w:spacing w:line="520" w:lineRule="exact"/>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说明：应对照招标文件“第二章 采购需求”中的商务要求逐条作明确的投标响应。</w:t>
      </w:r>
    </w:p>
    <w:p w14:paraId="6E575D4B">
      <w:pPr>
        <w:snapToGrid w:val="0"/>
        <w:spacing w:before="50" w:after="50"/>
        <w:rPr>
          <w:rFonts w:ascii="宋体" w:hAnsi="宋体" w:cs="宋体"/>
          <w:color w:val="auto"/>
          <w:sz w:val="24"/>
          <w:highlight w:val="none"/>
        </w:rPr>
      </w:pPr>
    </w:p>
    <w:p w14:paraId="28A3034E">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10C280F6">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10DA04A2">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日  期：</w:t>
      </w:r>
    </w:p>
    <w:p w14:paraId="16F07539">
      <w:pPr>
        <w:snapToGrid w:val="0"/>
        <w:spacing w:before="120" w:beforeLines="50"/>
        <w:rPr>
          <w:rFonts w:ascii="宋体" w:hAnsi="宋体" w:cs="宋体"/>
          <w:b/>
          <w:color w:val="auto"/>
          <w:sz w:val="24"/>
          <w:highlight w:val="none"/>
        </w:rPr>
      </w:pPr>
    </w:p>
    <w:p w14:paraId="21CDD24B">
      <w:pPr>
        <w:snapToGrid w:val="0"/>
        <w:spacing w:before="120" w:beforeLines="50"/>
        <w:rPr>
          <w:rFonts w:ascii="宋体" w:hAnsi="宋体" w:cs="宋体"/>
          <w:b/>
          <w:color w:val="auto"/>
          <w:sz w:val="24"/>
          <w:highlight w:val="none"/>
        </w:rPr>
      </w:pPr>
    </w:p>
    <w:p w14:paraId="70093EC4">
      <w:pPr>
        <w:snapToGrid w:val="0"/>
        <w:spacing w:before="120" w:beforeLines="50"/>
        <w:rPr>
          <w:rFonts w:ascii="宋体" w:hAnsi="宋体" w:cs="宋体"/>
          <w:b/>
          <w:color w:val="auto"/>
          <w:sz w:val="24"/>
          <w:highlight w:val="none"/>
        </w:rPr>
      </w:pPr>
    </w:p>
    <w:p w14:paraId="2DB9D5E6">
      <w:pPr>
        <w:snapToGrid w:val="0"/>
        <w:spacing w:before="120" w:beforeLines="50"/>
        <w:rPr>
          <w:rFonts w:ascii="宋体" w:hAnsi="宋体" w:cs="宋体"/>
          <w:b/>
          <w:color w:val="auto"/>
          <w:sz w:val="24"/>
          <w:highlight w:val="none"/>
        </w:rPr>
      </w:pPr>
    </w:p>
    <w:p w14:paraId="4D4F9339">
      <w:pPr>
        <w:snapToGrid w:val="0"/>
        <w:spacing w:before="120" w:beforeLines="50"/>
        <w:rPr>
          <w:rFonts w:ascii="宋体" w:hAnsi="宋体" w:cs="宋体"/>
          <w:b/>
          <w:color w:val="auto"/>
          <w:sz w:val="24"/>
          <w:highlight w:val="none"/>
        </w:rPr>
      </w:pPr>
    </w:p>
    <w:p w14:paraId="00CFD42B">
      <w:pPr>
        <w:snapToGrid w:val="0"/>
        <w:spacing w:before="120" w:beforeLines="50"/>
        <w:rPr>
          <w:rFonts w:ascii="宋体" w:hAnsi="宋体" w:cs="宋体"/>
          <w:b/>
          <w:color w:val="auto"/>
          <w:sz w:val="24"/>
          <w:highlight w:val="none"/>
        </w:rPr>
      </w:pPr>
    </w:p>
    <w:p w14:paraId="400B1CA9">
      <w:pPr>
        <w:snapToGrid w:val="0"/>
        <w:spacing w:before="120" w:beforeLines="50"/>
        <w:rPr>
          <w:rFonts w:ascii="宋体" w:hAnsi="宋体" w:cs="宋体"/>
          <w:b/>
          <w:color w:val="auto"/>
          <w:sz w:val="24"/>
          <w:highlight w:val="none"/>
        </w:rPr>
      </w:pPr>
      <w:r>
        <w:rPr>
          <w:rFonts w:hint="eastAsia" w:ascii="宋体" w:hAnsi="宋体" w:cs="宋体"/>
          <w:b/>
          <w:color w:val="auto"/>
          <w:sz w:val="24"/>
          <w:highlight w:val="none"/>
        </w:rPr>
        <w:t>服务方案格式</w:t>
      </w:r>
    </w:p>
    <w:p w14:paraId="05574B3A">
      <w:pPr>
        <w:snapToGrid w:val="0"/>
        <w:spacing w:before="120" w:before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服务方案</w:t>
      </w:r>
    </w:p>
    <w:p w14:paraId="00EDA81F">
      <w:pPr>
        <w:snapToGrid w:val="0"/>
        <w:spacing w:before="50" w:after="50"/>
        <w:rPr>
          <w:rFonts w:ascii="宋体" w:hAnsi="宋体" w:cs="宋体"/>
          <w:b/>
          <w:bCs/>
          <w:color w:val="auto"/>
          <w:szCs w:val="21"/>
          <w:highlight w:val="none"/>
        </w:rPr>
      </w:pPr>
    </w:p>
    <w:p w14:paraId="38575BA5">
      <w:pPr>
        <w:snapToGrid w:val="0"/>
        <w:spacing w:before="50" w:after="50"/>
        <w:rPr>
          <w:rFonts w:ascii="宋体" w:hAnsi="宋体" w:cs="宋体"/>
          <w:b/>
          <w:bCs/>
          <w:color w:val="auto"/>
          <w:szCs w:val="21"/>
          <w:highlight w:val="none"/>
        </w:rPr>
      </w:pPr>
      <w:r>
        <w:rPr>
          <w:rFonts w:hint="eastAsia" w:ascii="宋体" w:hAnsi="宋体" w:cs="宋体"/>
          <w:color w:val="auto"/>
          <w:szCs w:val="21"/>
          <w:highlight w:val="none"/>
        </w:rPr>
        <w:t>投标人根据项目要求和自身情况，于投标文件中提供</w:t>
      </w:r>
      <w:r>
        <w:rPr>
          <w:rFonts w:hint="eastAsia" w:ascii="宋体" w:hAnsi="宋体"/>
          <w:color w:val="auto"/>
          <w:highlight w:val="none"/>
        </w:rPr>
        <w:t>服务方案</w:t>
      </w:r>
    </w:p>
    <w:p w14:paraId="0A638D22">
      <w:pPr>
        <w:snapToGrid w:val="0"/>
        <w:spacing w:before="50" w:after="50"/>
        <w:rPr>
          <w:rFonts w:ascii="宋体" w:hAnsi="宋体" w:cs="宋体"/>
          <w:color w:val="auto"/>
          <w:sz w:val="24"/>
          <w:highlight w:val="none"/>
        </w:rPr>
      </w:pPr>
      <w:r>
        <w:rPr>
          <w:rFonts w:hint="eastAsia" w:ascii="宋体" w:hAnsi="宋体" w:cs="宋体"/>
          <w:b/>
          <w:bCs/>
          <w:color w:val="auto"/>
          <w:szCs w:val="21"/>
          <w:highlight w:val="none"/>
        </w:rPr>
        <w:t>.......</w:t>
      </w:r>
    </w:p>
    <w:p w14:paraId="2829F52B">
      <w:pPr>
        <w:snapToGrid w:val="0"/>
        <w:spacing w:before="50" w:after="50"/>
        <w:rPr>
          <w:rFonts w:ascii="宋体" w:hAnsi="宋体" w:cs="宋体"/>
          <w:color w:val="auto"/>
          <w:sz w:val="24"/>
          <w:highlight w:val="none"/>
        </w:rPr>
      </w:pPr>
    </w:p>
    <w:p w14:paraId="6CAF45B7">
      <w:pPr>
        <w:snapToGrid w:val="0"/>
        <w:spacing w:before="50" w:after="50"/>
        <w:rPr>
          <w:rFonts w:ascii="宋体" w:hAnsi="宋体" w:cs="宋体"/>
          <w:color w:val="auto"/>
          <w:sz w:val="24"/>
          <w:highlight w:val="none"/>
        </w:rPr>
      </w:pPr>
    </w:p>
    <w:p w14:paraId="1B12682E">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2C33795D">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4DC3B7A8">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68697DD2">
      <w:pPr>
        <w:snapToGrid w:val="0"/>
        <w:spacing w:before="120" w:beforeLines="50"/>
        <w:rPr>
          <w:rFonts w:ascii="宋体" w:hAnsi="宋体" w:cs="宋体"/>
          <w:b/>
          <w:color w:val="auto"/>
          <w:sz w:val="24"/>
          <w:highlight w:val="none"/>
        </w:rPr>
      </w:pPr>
    </w:p>
    <w:p w14:paraId="320CE0AB">
      <w:pPr>
        <w:snapToGrid w:val="0"/>
        <w:spacing w:before="120" w:beforeLines="50"/>
        <w:rPr>
          <w:rFonts w:ascii="宋体" w:hAnsi="宋体" w:cs="宋体"/>
          <w:b/>
          <w:color w:val="auto"/>
          <w:sz w:val="24"/>
          <w:highlight w:val="none"/>
        </w:rPr>
      </w:pPr>
    </w:p>
    <w:p w14:paraId="3313D1DE">
      <w:pPr>
        <w:snapToGrid w:val="0"/>
        <w:spacing w:before="120" w:beforeLines="50"/>
        <w:rPr>
          <w:rFonts w:ascii="宋体" w:hAnsi="宋体" w:cs="宋体"/>
          <w:b/>
          <w:color w:val="auto"/>
          <w:sz w:val="24"/>
          <w:highlight w:val="none"/>
        </w:rPr>
      </w:pPr>
    </w:p>
    <w:p w14:paraId="1A671202">
      <w:pPr>
        <w:snapToGrid w:val="0"/>
        <w:spacing w:before="120" w:beforeLines="50"/>
        <w:rPr>
          <w:rFonts w:ascii="宋体" w:hAnsi="宋体" w:cs="宋体"/>
          <w:b/>
          <w:color w:val="auto"/>
          <w:sz w:val="24"/>
          <w:highlight w:val="none"/>
        </w:rPr>
      </w:pPr>
    </w:p>
    <w:p w14:paraId="7F2AA0D4">
      <w:pPr>
        <w:snapToGrid w:val="0"/>
        <w:spacing w:before="120" w:beforeLines="50"/>
        <w:rPr>
          <w:rFonts w:ascii="宋体" w:hAnsi="宋体" w:cs="宋体"/>
          <w:b/>
          <w:color w:val="auto"/>
          <w:sz w:val="24"/>
          <w:highlight w:val="none"/>
        </w:rPr>
      </w:pPr>
      <w:r>
        <w:rPr>
          <w:rFonts w:hint="eastAsia" w:ascii="宋体" w:hAnsi="宋体" w:cs="宋体"/>
          <w:b/>
          <w:color w:val="auto"/>
          <w:sz w:val="24"/>
          <w:highlight w:val="none"/>
        </w:rPr>
        <w:t>人员管理及培训方案格式</w:t>
      </w:r>
    </w:p>
    <w:p w14:paraId="2168D782">
      <w:pPr>
        <w:snapToGrid w:val="0"/>
        <w:spacing w:before="120" w:beforeLines="50"/>
        <w:jc w:val="center"/>
        <w:rPr>
          <w:rFonts w:ascii="宋体" w:hAnsi="宋体" w:cs="宋体"/>
          <w:b/>
          <w:color w:val="auto"/>
          <w:sz w:val="36"/>
          <w:szCs w:val="36"/>
          <w:highlight w:val="none"/>
        </w:rPr>
      </w:pPr>
    </w:p>
    <w:p w14:paraId="4E205EAF">
      <w:pPr>
        <w:snapToGrid w:val="0"/>
        <w:spacing w:before="120" w:beforeLines="50"/>
        <w:jc w:val="center"/>
        <w:rPr>
          <w:rFonts w:ascii="宋体" w:hAnsi="宋体" w:cs="宋体"/>
          <w:b/>
          <w:color w:val="auto"/>
          <w:spacing w:val="20"/>
          <w:sz w:val="36"/>
          <w:szCs w:val="36"/>
          <w:highlight w:val="none"/>
        </w:rPr>
      </w:pPr>
      <w:r>
        <w:rPr>
          <w:rFonts w:hint="eastAsia" w:ascii="宋体" w:hAnsi="宋体" w:cs="宋体"/>
          <w:b/>
          <w:color w:val="auto"/>
          <w:spacing w:val="20"/>
          <w:sz w:val="36"/>
          <w:szCs w:val="36"/>
          <w:highlight w:val="none"/>
        </w:rPr>
        <w:t>人员管理及培训方案</w:t>
      </w:r>
    </w:p>
    <w:p w14:paraId="4ADD2BDA">
      <w:pPr>
        <w:snapToGrid w:val="0"/>
        <w:spacing w:before="120" w:beforeLines="50"/>
        <w:rPr>
          <w:rFonts w:ascii="宋体" w:hAnsi="宋体" w:cs="宋体"/>
          <w:color w:val="auto"/>
          <w:szCs w:val="21"/>
          <w:highlight w:val="none"/>
        </w:rPr>
      </w:pPr>
    </w:p>
    <w:p w14:paraId="21E82097">
      <w:pPr>
        <w:snapToGrid w:val="0"/>
        <w:spacing w:before="120" w:beforeLines="50"/>
        <w:rPr>
          <w:rFonts w:ascii="宋体" w:hAnsi="宋体"/>
          <w:bCs/>
          <w:color w:val="auto"/>
          <w:highlight w:val="none"/>
        </w:rPr>
      </w:pPr>
      <w:r>
        <w:rPr>
          <w:rFonts w:hint="eastAsia" w:ascii="宋体" w:hAnsi="宋体" w:cs="宋体"/>
          <w:color w:val="auto"/>
          <w:szCs w:val="21"/>
          <w:highlight w:val="none"/>
        </w:rPr>
        <w:t>投标人根据项目要求和自身情况，于投标文件中提供</w:t>
      </w:r>
      <w:r>
        <w:rPr>
          <w:rFonts w:hint="eastAsia" w:ascii="宋体" w:hAnsi="宋体"/>
          <w:color w:val="auto"/>
          <w:highlight w:val="none"/>
        </w:rPr>
        <w:t>人员管理及培训方案</w:t>
      </w:r>
    </w:p>
    <w:p w14:paraId="613704E3">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16C375F9">
      <w:pPr>
        <w:snapToGrid w:val="0"/>
        <w:spacing w:before="120" w:beforeLines="50"/>
        <w:rPr>
          <w:rFonts w:ascii="宋体" w:hAnsi="宋体" w:cs="宋体"/>
          <w:color w:val="auto"/>
          <w:sz w:val="24"/>
          <w:szCs w:val="20"/>
          <w:highlight w:val="none"/>
        </w:rPr>
      </w:pPr>
    </w:p>
    <w:p w14:paraId="63918E72">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6212A612">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0079E7A5">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5FB85605">
      <w:pPr>
        <w:snapToGrid w:val="0"/>
        <w:spacing w:before="120" w:beforeLines="50" w:after="50"/>
        <w:jc w:val="left"/>
        <w:rPr>
          <w:rFonts w:ascii="宋体" w:hAnsi="宋体" w:cs="宋体"/>
          <w:b/>
          <w:color w:val="auto"/>
          <w:sz w:val="24"/>
          <w:highlight w:val="none"/>
        </w:rPr>
      </w:pPr>
    </w:p>
    <w:p w14:paraId="3DC8D6AF">
      <w:pPr>
        <w:snapToGrid w:val="0"/>
        <w:spacing w:before="120" w:beforeLines="50"/>
        <w:rPr>
          <w:rFonts w:ascii="宋体" w:hAnsi="宋体" w:cs="宋体"/>
          <w:b/>
          <w:color w:val="auto"/>
          <w:sz w:val="24"/>
          <w:highlight w:val="none"/>
        </w:rPr>
      </w:pPr>
    </w:p>
    <w:p w14:paraId="5CE0C6D9">
      <w:pPr>
        <w:snapToGrid w:val="0"/>
        <w:spacing w:before="120" w:beforeLines="50"/>
        <w:rPr>
          <w:rFonts w:ascii="宋体" w:hAnsi="宋体" w:cs="宋体"/>
          <w:b/>
          <w:color w:val="auto"/>
          <w:sz w:val="24"/>
          <w:highlight w:val="none"/>
        </w:rPr>
      </w:pPr>
    </w:p>
    <w:p w14:paraId="3639536A">
      <w:pPr>
        <w:snapToGrid w:val="0"/>
        <w:spacing w:before="120" w:beforeLines="50"/>
        <w:rPr>
          <w:rFonts w:ascii="宋体" w:hAnsi="宋体" w:cs="宋体"/>
          <w:b/>
          <w:color w:val="auto"/>
          <w:sz w:val="24"/>
          <w:highlight w:val="none"/>
        </w:rPr>
      </w:pPr>
    </w:p>
    <w:p w14:paraId="5041E884">
      <w:pPr>
        <w:pStyle w:val="2"/>
        <w:rPr>
          <w:color w:val="auto"/>
          <w:highlight w:val="none"/>
        </w:rPr>
      </w:pPr>
    </w:p>
    <w:p w14:paraId="0B81F615">
      <w:pPr>
        <w:pStyle w:val="2"/>
        <w:rPr>
          <w:color w:val="auto"/>
          <w:highlight w:val="none"/>
        </w:rPr>
      </w:pPr>
    </w:p>
    <w:p w14:paraId="13CA4D36">
      <w:pPr>
        <w:pStyle w:val="2"/>
        <w:rPr>
          <w:color w:val="auto"/>
          <w:highlight w:val="none"/>
        </w:rPr>
      </w:pPr>
    </w:p>
    <w:p w14:paraId="5300D254">
      <w:pPr>
        <w:pStyle w:val="2"/>
        <w:rPr>
          <w:color w:val="auto"/>
          <w:highlight w:val="none"/>
        </w:rPr>
      </w:pPr>
    </w:p>
    <w:p w14:paraId="6191C5D1">
      <w:pPr>
        <w:snapToGrid w:val="0"/>
        <w:spacing w:before="120" w:beforeLines="50"/>
        <w:rPr>
          <w:rFonts w:ascii="宋体" w:hAnsi="宋体" w:cs="宋体"/>
          <w:b/>
          <w:color w:val="auto"/>
          <w:sz w:val="24"/>
          <w:highlight w:val="none"/>
        </w:rPr>
      </w:pPr>
    </w:p>
    <w:p w14:paraId="305ED2F2">
      <w:pPr>
        <w:snapToGrid w:val="0"/>
        <w:spacing w:before="120" w:beforeLines="50"/>
        <w:rPr>
          <w:rFonts w:ascii="宋体" w:hAnsi="宋体" w:cs="宋体"/>
          <w:b/>
          <w:color w:val="auto"/>
          <w:sz w:val="24"/>
          <w:highlight w:val="none"/>
        </w:rPr>
      </w:pPr>
      <w:r>
        <w:rPr>
          <w:rFonts w:hint="eastAsia" w:ascii="宋体" w:hAnsi="宋体" w:cs="宋体"/>
          <w:b/>
          <w:color w:val="auto"/>
          <w:sz w:val="24"/>
          <w:highlight w:val="none"/>
        </w:rPr>
        <w:t>突发事件处理预案格式</w:t>
      </w:r>
    </w:p>
    <w:p w14:paraId="40CF5698">
      <w:pPr>
        <w:snapToGrid w:val="0"/>
        <w:spacing w:before="120" w:beforeLines="50"/>
        <w:jc w:val="center"/>
        <w:rPr>
          <w:rFonts w:ascii="宋体" w:hAnsi="宋体" w:cs="宋体"/>
          <w:b/>
          <w:color w:val="auto"/>
          <w:sz w:val="36"/>
          <w:szCs w:val="36"/>
          <w:highlight w:val="none"/>
        </w:rPr>
      </w:pPr>
    </w:p>
    <w:p w14:paraId="6D39E666">
      <w:pPr>
        <w:snapToGrid w:val="0"/>
        <w:spacing w:before="120" w:before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突发事件处理预案</w:t>
      </w:r>
    </w:p>
    <w:p w14:paraId="6148C772">
      <w:pPr>
        <w:snapToGrid w:val="0"/>
        <w:spacing w:before="120" w:beforeLines="50"/>
        <w:rPr>
          <w:rFonts w:ascii="宋体" w:hAnsi="宋体" w:cs="宋体"/>
          <w:color w:val="auto"/>
          <w:szCs w:val="21"/>
          <w:highlight w:val="none"/>
        </w:rPr>
      </w:pPr>
      <w:r>
        <w:rPr>
          <w:rFonts w:hint="eastAsia" w:ascii="宋体" w:hAnsi="宋体" w:cs="宋体"/>
          <w:color w:val="auto"/>
          <w:szCs w:val="21"/>
          <w:highlight w:val="none"/>
        </w:rPr>
        <w:t>投标人根据项目要求和自身情况，于投标文件中提供</w:t>
      </w:r>
      <w:r>
        <w:rPr>
          <w:rFonts w:hint="eastAsia" w:ascii="宋体" w:hAnsi="宋体"/>
          <w:bCs/>
          <w:color w:val="auto"/>
          <w:highlight w:val="none"/>
        </w:rPr>
        <w:t>突发事件处理预案</w:t>
      </w:r>
    </w:p>
    <w:p w14:paraId="40184BF0">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7F2602C3">
      <w:pPr>
        <w:snapToGrid w:val="0"/>
        <w:spacing w:before="120" w:beforeLines="50"/>
        <w:rPr>
          <w:rFonts w:ascii="宋体" w:hAnsi="宋体" w:cs="宋体"/>
          <w:color w:val="auto"/>
          <w:sz w:val="24"/>
          <w:szCs w:val="20"/>
          <w:highlight w:val="none"/>
        </w:rPr>
      </w:pPr>
    </w:p>
    <w:p w14:paraId="7044E51A">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1E1616CD">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50756FCB">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444E96DD">
      <w:pPr>
        <w:snapToGrid w:val="0"/>
        <w:spacing w:before="120" w:beforeLines="50" w:after="50"/>
        <w:jc w:val="left"/>
        <w:rPr>
          <w:rFonts w:ascii="宋体" w:hAnsi="宋体" w:cs="宋体"/>
          <w:b/>
          <w:color w:val="auto"/>
          <w:sz w:val="24"/>
          <w:highlight w:val="none"/>
        </w:rPr>
      </w:pPr>
    </w:p>
    <w:p w14:paraId="15FE6724">
      <w:pPr>
        <w:snapToGrid w:val="0"/>
        <w:spacing w:before="120" w:beforeLines="50" w:after="50"/>
        <w:jc w:val="left"/>
        <w:rPr>
          <w:rFonts w:ascii="宋体" w:hAnsi="宋体" w:cs="宋体"/>
          <w:b/>
          <w:color w:val="auto"/>
          <w:sz w:val="24"/>
          <w:highlight w:val="none"/>
        </w:rPr>
      </w:pPr>
    </w:p>
    <w:p w14:paraId="5BC79529">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投标人业绩证明材料</w:t>
      </w:r>
    </w:p>
    <w:p w14:paraId="12B231DF">
      <w:pPr>
        <w:pStyle w:val="38"/>
        <w:snapToGrid w:val="0"/>
        <w:ind w:left="480" w:hanging="480"/>
        <w:rPr>
          <w:rFonts w:ascii="宋体" w:hAnsi="宋体" w:cs="宋体"/>
          <w:color w:val="auto"/>
          <w:sz w:val="24"/>
          <w:highlight w:val="none"/>
        </w:rPr>
      </w:pPr>
    </w:p>
    <w:p w14:paraId="592FE1AC">
      <w:pPr>
        <w:pStyle w:val="38"/>
        <w:snapToGrid w:val="0"/>
        <w:ind w:left="480" w:hanging="480"/>
        <w:rPr>
          <w:rFonts w:ascii="宋体" w:hAnsi="宋体" w:cs="宋体"/>
          <w:color w:val="auto"/>
          <w:sz w:val="24"/>
          <w:highlight w:val="none"/>
        </w:rPr>
      </w:pPr>
      <w:r>
        <w:rPr>
          <w:rFonts w:hint="eastAsia" w:ascii="宋体" w:hAnsi="宋体" w:cs="宋体"/>
          <w:color w:val="auto"/>
          <w:sz w:val="24"/>
          <w:highlight w:val="none"/>
        </w:rPr>
        <w:t xml:space="preserve">业绩情况一览表格式： </w:t>
      </w:r>
    </w:p>
    <w:tbl>
      <w:tblPr>
        <w:tblStyle w:val="4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5250E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1CF15D0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728A8B5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4810727B">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3A04A57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5F4D66D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376FAD1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1D11E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046B95E5">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2E622957">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06D8BC76">
            <w:pPr>
              <w:jc w:val="left"/>
              <w:rPr>
                <w:rFonts w:ascii="宋体" w:hAnsi="宋体" w:cs="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43C2A3C7">
            <w:pPr>
              <w:jc w:val="left"/>
              <w:rPr>
                <w:rFonts w:ascii="宋体" w:hAnsi="宋体" w:cs="宋体"/>
                <w:color w:val="auto"/>
                <w:sz w:val="24"/>
                <w:highlight w:val="none"/>
              </w:rPr>
            </w:pPr>
          </w:p>
        </w:tc>
      </w:tr>
      <w:tr w14:paraId="60C7B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53461562">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2AF36BB">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6D36D83">
            <w:pPr>
              <w:snapToGrid w:val="0"/>
              <w:spacing w:line="24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81D22AB">
            <w:pPr>
              <w:snapToGrid w:val="0"/>
              <w:spacing w:line="240" w:lineRule="exact"/>
              <w:jc w:val="left"/>
              <w:rPr>
                <w:rFonts w:ascii="宋体" w:hAnsi="宋体" w:cs="宋体"/>
                <w:color w:val="auto"/>
                <w:sz w:val="24"/>
                <w:highlight w:val="none"/>
              </w:rPr>
            </w:pPr>
          </w:p>
        </w:tc>
      </w:tr>
      <w:tr w14:paraId="35D00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9136477">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8021847">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36A169C">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47F24F10">
            <w:pPr>
              <w:snapToGrid w:val="0"/>
              <w:spacing w:before="50" w:after="120" w:afterLines="50" w:line="400" w:lineRule="exact"/>
              <w:jc w:val="left"/>
              <w:rPr>
                <w:rFonts w:ascii="宋体" w:hAnsi="宋体" w:cs="宋体"/>
                <w:color w:val="auto"/>
                <w:sz w:val="24"/>
                <w:highlight w:val="none"/>
              </w:rPr>
            </w:pPr>
          </w:p>
        </w:tc>
      </w:tr>
      <w:tr w14:paraId="77D9E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084323D3">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2C1FB32">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6CE60B7">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661251F">
            <w:pPr>
              <w:snapToGrid w:val="0"/>
              <w:spacing w:before="50" w:after="120" w:afterLines="50" w:line="400" w:lineRule="exact"/>
              <w:jc w:val="left"/>
              <w:rPr>
                <w:rFonts w:ascii="宋体" w:hAnsi="宋体" w:cs="宋体"/>
                <w:color w:val="auto"/>
                <w:sz w:val="24"/>
                <w:highlight w:val="none"/>
              </w:rPr>
            </w:pPr>
          </w:p>
        </w:tc>
      </w:tr>
      <w:tr w14:paraId="5B531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7E2D8F01">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4D40809">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544FFAF">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311C22E">
            <w:pPr>
              <w:snapToGrid w:val="0"/>
              <w:spacing w:before="50" w:after="120" w:afterLines="50" w:line="400" w:lineRule="exact"/>
              <w:jc w:val="left"/>
              <w:rPr>
                <w:rFonts w:ascii="宋体" w:hAnsi="宋体" w:cs="宋体"/>
                <w:color w:val="auto"/>
                <w:sz w:val="24"/>
                <w:highlight w:val="none"/>
              </w:rPr>
            </w:pPr>
          </w:p>
        </w:tc>
      </w:tr>
      <w:tr w14:paraId="0A13F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1EADF8F0">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333E283">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8856E77">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41EBB1E2">
            <w:pPr>
              <w:snapToGrid w:val="0"/>
              <w:spacing w:before="50" w:after="120" w:afterLines="50" w:line="400" w:lineRule="exact"/>
              <w:jc w:val="left"/>
              <w:rPr>
                <w:rFonts w:ascii="宋体" w:hAnsi="宋体" w:cs="宋体"/>
                <w:color w:val="auto"/>
                <w:sz w:val="24"/>
                <w:highlight w:val="none"/>
              </w:rPr>
            </w:pPr>
          </w:p>
        </w:tc>
      </w:tr>
    </w:tbl>
    <w:p w14:paraId="3C2E2D50">
      <w:pPr>
        <w:pStyle w:val="16"/>
        <w:spacing w:before="0" w:after="0" w:line="360" w:lineRule="auto"/>
        <w:contextualSpacing/>
        <w:rPr>
          <w:rFonts w:ascii="宋体" w:hAnsi="宋体" w:eastAsia="宋体" w:cs="宋体"/>
          <w:color w:val="auto"/>
          <w:sz w:val="24"/>
          <w:szCs w:val="24"/>
          <w:highlight w:val="none"/>
        </w:rPr>
      </w:pPr>
    </w:p>
    <w:p w14:paraId="528D17A0">
      <w:pPr>
        <w:pStyle w:val="16"/>
        <w:spacing w:before="0" w:after="0"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highlight w:val="none"/>
        </w:rPr>
        <w:t>投标人根据评标标准具体要求附业绩证明材料。</w:t>
      </w:r>
    </w:p>
    <w:p w14:paraId="09D02C7F">
      <w:pPr>
        <w:pStyle w:val="16"/>
        <w:spacing w:before="0" w:after="0" w:line="360" w:lineRule="auto"/>
        <w:contextualSpacing/>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法定代表人或者委托代理人（签字或者电子签名）：</w:t>
      </w:r>
      <w:r>
        <w:rPr>
          <w:rFonts w:hint="eastAsia" w:ascii="宋体" w:hAnsi="宋体" w:eastAsia="宋体" w:cs="宋体"/>
          <w:color w:val="auto"/>
          <w:sz w:val="24"/>
          <w:szCs w:val="24"/>
          <w:highlight w:val="none"/>
          <w:u w:val="single"/>
        </w:rPr>
        <w:t>　　　　　</w:t>
      </w:r>
    </w:p>
    <w:p w14:paraId="1247AFAC">
      <w:pPr>
        <w:spacing w:line="360" w:lineRule="auto"/>
        <w:ind w:right="480"/>
        <w:contextualSpacing/>
        <w:jc w:val="left"/>
        <w:rPr>
          <w:rFonts w:ascii="宋体" w:hAnsi="宋体" w:cs="宋体"/>
          <w:color w:val="auto"/>
          <w:sz w:val="24"/>
          <w:szCs w:val="20"/>
          <w:highlight w:val="none"/>
        </w:rPr>
      </w:pPr>
      <w:r>
        <w:rPr>
          <w:rFonts w:hint="eastAsia" w:ascii="宋体" w:hAnsi="宋体" w:cs="宋体"/>
          <w:color w:val="auto"/>
          <w:sz w:val="24"/>
          <w:highlight w:val="none"/>
        </w:rPr>
        <w:t>投标人名称（电子签章）：                                                               年    月    日</w:t>
      </w:r>
    </w:p>
    <w:p w14:paraId="632B216A">
      <w:pPr>
        <w:snapToGrid w:val="0"/>
        <w:spacing w:before="50"/>
        <w:ind w:firstLine="480" w:firstLineChars="200"/>
        <w:jc w:val="left"/>
        <w:rPr>
          <w:rFonts w:ascii="宋体" w:hAnsi="宋体" w:cs="宋体"/>
          <w:color w:val="auto"/>
          <w:sz w:val="24"/>
          <w:szCs w:val="20"/>
          <w:highlight w:val="none"/>
        </w:rPr>
      </w:pPr>
    </w:p>
    <w:p w14:paraId="08ADC7BD">
      <w:pPr>
        <w:snapToGrid w:val="0"/>
        <w:spacing w:before="50"/>
        <w:jc w:val="left"/>
        <w:rPr>
          <w:rFonts w:ascii="宋体" w:hAnsi="宋体" w:cs="宋体"/>
          <w:color w:val="auto"/>
          <w:sz w:val="24"/>
          <w:highlight w:val="none"/>
        </w:rPr>
      </w:pPr>
    </w:p>
    <w:p w14:paraId="0DD4442D">
      <w:pPr>
        <w:snapToGrid w:val="0"/>
        <w:spacing w:before="120" w:beforeLines="50"/>
        <w:rPr>
          <w:rFonts w:ascii="宋体" w:hAnsi="宋体" w:cs="宋体"/>
          <w:color w:val="auto"/>
          <w:sz w:val="24"/>
          <w:szCs w:val="20"/>
          <w:highlight w:val="none"/>
        </w:rPr>
        <w:sectPr>
          <w:pgSz w:w="11906" w:h="16838"/>
          <w:pgMar w:top="1440" w:right="1797" w:bottom="1440" w:left="1797" w:header="851" w:footer="992" w:gutter="0"/>
          <w:cols w:space="720" w:num="1"/>
          <w:docGrid w:linePitch="312" w:charSpace="0"/>
        </w:sectPr>
      </w:pPr>
    </w:p>
    <w:p w14:paraId="234833C3">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23F68946">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43FCF635">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5A7E166F">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14:paraId="322F8F98">
      <w:pPr>
        <w:snapToGrid w:val="0"/>
        <w:spacing w:before="120" w:beforeLines="50" w:after="50"/>
        <w:rPr>
          <w:rFonts w:ascii="宋体" w:hAnsi="宋体" w:cs="宋体"/>
          <w:bCs/>
          <w:color w:val="auto"/>
          <w:sz w:val="24"/>
          <w:szCs w:val="20"/>
          <w:highlight w:val="none"/>
        </w:rPr>
      </w:pPr>
    </w:p>
    <w:p w14:paraId="65A489F1">
      <w:pPr>
        <w:snapToGrid w:val="0"/>
        <w:spacing w:before="120" w:beforeLines="50" w:after="50" w:line="400" w:lineRule="exact"/>
        <w:ind w:firstLine="360" w:firstLineChars="150"/>
        <w:rPr>
          <w:rFonts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744CC69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406B0869">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652E8CAB">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45D764DF">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7345964D">
      <w:pPr>
        <w:snapToGrid w:val="0"/>
        <w:spacing w:before="120" w:beforeLines="50" w:after="50"/>
        <w:ind w:firstLine="645"/>
        <w:jc w:val="center"/>
        <w:rPr>
          <w:rFonts w:ascii="宋体" w:hAnsi="宋体" w:cs="宋体"/>
          <w:color w:val="auto"/>
          <w:sz w:val="24"/>
          <w:szCs w:val="20"/>
          <w:highlight w:val="none"/>
        </w:rPr>
      </w:pPr>
    </w:p>
    <w:p w14:paraId="4FA3F943">
      <w:pPr>
        <w:snapToGrid w:val="0"/>
        <w:spacing w:before="120" w:beforeLines="50" w:after="50"/>
        <w:ind w:left="142"/>
        <w:jc w:val="left"/>
        <w:rPr>
          <w:rFonts w:ascii="宋体" w:hAnsi="宋体" w:cs="宋体"/>
          <w:b/>
          <w:color w:val="auto"/>
          <w:sz w:val="24"/>
          <w:highlight w:val="none"/>
        </w:rPr>
      </w:pPr>
      <w:r>
        <w:rPr>
          <w:rFonts w:hint="eastAsia" w:ascii="宋体" w:hAnsi="宋体" w:cs="宋体"/>
          <w:b/>
          <w:bCs/>
          <w:color w:val="auto"/>
          <w:sz w:val="24"/>
          <w:highlight w:val="none"/>
        </w:rPr>
        <w:br w:type="page"/>
      </w:r>
      <w:r>
        <w:rPr>
          <w:rFonts w:hint="eastAsia" w:ascii="宋体" w:hAnsi="宋体" w:cs="宋体"/>
          <w:b/>
          <w:color w:val="auto"/>
          <w:sz w:val="24"/>
          <w:highlight w:val="none"/>
        </w:rPr>
        <w:t>2.技术文件目录</w:t>
      </w:r>
    </w:p>
    <w:p w14:paraId="609E71C1">
      <w:pPr>
        <w:snapToGrid w:val="0"/>
        <w:spacing w:before="50" w:after="120" w:afterLines="50"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p>
    <w:p w14:paraId="397EE0F7">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部分技术文件格式</w:t>
      </w:r>
    </w:p>
    <w:p w14:paraId="53893421">
      <w:pPr>
        <w:snapToGrid w:val="0"/>
        <w:spacing w:before="120" w:beforeLines="50" w:after="50"/>
        <w:ind w:left="142"/>
        <w:jc w:val="left"/>
        <w:rPr>
          <w:rFonts w:ascii="宋体" w:hAnsi="宋体" w:cs="宋体"/>
          <w:b/>
          <w:color w:val="auto"/>
          <w:sz w:val="24"/>
          <w:highlight w:val="none"/>
        </w:rPr>
      </w:pPr>
    </w:p>
    <w:p w14:paraId="51A1AC01">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服务内容及要求响应表</w:t>
      </w:r>
    </w:p>
    <w:p w14:paraId="42509049">
      <w:pPr>
        <w:snapToGrid w:val="0"/>
        <w:spacing w:before="120" w:beforeLines="50" w:after="50"/>
        <w:ind w:left="142"/>
        <w:jc w:val="left"/>
        <w:rPr>
          <w:rFonts w:ascii="宋体" w:hAnsi="宋体" w:cs="宋体"/>
          <w:b/>
          <w:color w:val="auto"/>
          <w:sz w:val="24"/>
          <w:highlight w:val="none"/>
        </w:rPr>
      </w:pPr>
    </w:p>
    <w:p w14:paraId="27BC05E8">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服务内容及要求响应表</w:t>
      </w:r>
    </w:p>
    <w:p w14:paraId="733B5066">
      <w:pPr>
        <w:pStyle w:val="27"/>
        <w:spacing w:line="400" w:lineRule="exact"/>
        <w:jc w:val="left"/>
        <w:rPr>
          <w:rFonts w:hAnsi="宋体" w:cs="宋体"/>
          <w:color w:val="auto"/>
          <w:kern w:val="2"/>
          <w:sz w:val="24"/>
          <w:highlight w:val="none"/>
        </w:rPr>
      </w:pPr>
    </w:p>
    <w:tbl>
      <w:tblPr>
        <w:tblStyle w:val="49"/>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8"/>
        <w:gridCol w:w="2072"/>
        <w:gridCol w:w="1943"/>
        <w:gridCol w:w="1934"/>
      </w:tblGrid>
      <w:tr w14:paraId="2347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958" w:type="dxa"/>
            <w:vAlign w:val="center"/>
          </w:tcPr>
          <w:p w14:paraId="45883EF5">
            <w:pPr>
              <w:pStyle w:val="27"/>
              <w:spacing w:line="400" w:lineRule="exact"/>
              <w:jc w:val="center"/>
              <w:rPr>
                <w:rFonts w:hAnsi="宋体" w:cs="宋体"/>
                <w:color w:val="auto"/>
                <w:kern w:val="2"/>
                <w:sz w:val="24"/>
                <w:highlight w:val="none"/>
              </w:rPr>
            </w:pPr>
            <w:r>
              <w:rPr>
                <w:rFonts w:hint="eastAsia" w:hAnsi="宋体" w:cs="宋体"/>
                <w:color w:val="auto"/>
                <w:kern w:val="2"/>
                <w:sz w:val="24"/>
                <w:highlight w:val="none"/>
              </w:rPr>
              <w:t>标的的名称</w:t>
            </w:r>
          </w:p>
        </w:tc>
        <w:tc>
          <w:tcPr>
            <w:tcW w:w="2072" w:type="dxa"/>
            <w:vAlign w:val="center"/>
          </w:tcPr>
          <w:p w14:paraId="16E4180B">
            <w:pPr>
              <w:pStyle w:val="27"/>
              <w:spacing w:line="400" w:lineRule="exact"/>
              <w:jc w:val="center"/>
              <w:rPr>
                <w:rFonts w:hAnsi="宋体" w:cs="宋体"/>
                <w:color w:val="auto"/>
                <w:kern w:val="2"/>
                <w:sz w:val="24"/>
                <w:highlight w:val="none"/>
              </w:rPr>
            </w:pPr>
            <w:r>
              <w:rPr>
                <w:rFonts w:hint="eastAsia" w:hAnsi="宋体" w:cs="宋体"/>
                <w:color w:val="auto"/>
                <w:kern w:val="2"/>
                <w:sz w:val="24"/>
                <w:highlight w:val="none"/>
              </w:rPr>
              <w:t>服务内容及要求</w:t>
            </w:r>
          </w:p>
        </w:tc>
        <w:tc>
          <w:tcPr>
            <w:tcW w:w="1943" w:type="dxa"/>
            <w:vAlign w:val="center"/>
          </w:tcPr>
          <w:p w14:paraId="477B2C12">
            <w:pPr>
              <w:pStyle w:val="27"/>
              <w:spacing w:line="400" w:lineRule="exact"/>
              <w:jc w:val="center"/>
              <w:rPr>
                <w:rFonts w:hAnsi="宋体" w:cs="宋体"/>
                <w:color w:val="auto"/>
                <w:kern w:val="2"/>
                <w:sz w:val="24"/>
                <w:highlight w:val="none"/>
              </w:rPr>
            </w:pPr>
            <w:r>
              <w:rPr>
                <w:rFonts w:hint="eastAsia" w:hAnsi="宋体" w:cs="宋体"/>
                <w:color w:val="auto"/>
                <w:kern w:val="2"/>
                <w:sz w:val="24"/>
                <w:highlight w:val="none"/>
              </w:rPr>
              <w:t>投标响应</w:t>
            </w:r>
          </w:p>
        </w:tc>
        <w:tc>
          <w:tcPr>
            <w:tcW w:w="1934" w:type="dxa"/>
            <w:vAlign w:val="center"/>
          </w:tcPr>
          <w:p w14:paraId="5B5692B8">
            <w:pPr>
              <w:pStyle w:val="27"/>
              <w:spacing w:line="400" w:lineRule="exact"/>
              <w:jc w:val="center"/>
              <w:rPr>
                <w:rFonts w:hAnsi="宋体" w:cs="宋体"/>
                <w:color w:val="auto"/>
                <w:kern w:val="2"/>
                <w:sz w:val="24"/>
                <w:highlight w:val="none"/>
              </w:rPr>
            </w:pPr>
            <w:r>
              <w:rPr>
                <w:rFonts w:hint="eastAsia" w:hAnsi="宋体" w:cs="宋体"/>
                <w:color w:val="auto"/>
                <w:kern w:val="2"/>
                <w:sz w:val="24"/>
                <w:highlight w:val="none"/>
              </w:rPr>
              <w:t>偏离说明</w:t>
            </w:r>
          </w:p>
        </w:tc>
      </w:tr>
      <w:tr w14:paraId="65AC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8" w:type="dxa"/>
            <w:vAlign w:val="center"/>
          </w:tcPr>
          <w:p w14:paraId="06C952F3">
            <w:pPr>
              <w:pStyle w:val="27"/>
              <w:spacing w:line="600" w:lineRule="exact"/>
              <w:jc w:val="center"/>
              <w:rPr>
                <w:rFonts w:hAnsi="宋体" w:cs="宋体"/>
                <w:color w:val="auto"/>
                <w:kern w:val="2"/>
                <w:sz w:val="24"/>
                <w:highlight w:val="none"/>
              </w:rPr>
            </w:pPr>
          </w:p>
        </w:tc>
        <w:tc>
          <w:tcPr>
            <w:tcW w:w="2072" w:type="dxa"/>
            <w:vAlign w:val="center"/>
          </w:tcPr>
          <w:p w14:paraId="747FE979">
            <w:pPr>
              <w:pStyle w:val="27"/>
              <w:spacing w:line="600" w:lineRule="exact"/>
              <w:jc w:val="center"/>
              <w:rPr>
                <w:rFonts w:hAnsi="宋体" w:cs="宋体"/>
                <w:color w:val="auto"/>
                <w:kern w:val="2"/>
                <w:sz w:val="24"/>
                <w:highlight w:val="none"/>
              </w:rPr>
            </w:pPr>
          </w:p>
        </w:tc>
        <w:tc>
          <w:tcPr>
            <w:tcW w:w="1943" w:type="dxa"/>
            <w:vAlign w:val="center"/>
          </w:tcPr>
          <w:p w14:paraId="6A2CC5CF">
            <w:pPr>
              <w:pStyle w:val="27"/>
              <w:spacing w:line="600" w:lineRule="exact"/>
              <w:jc w:val="center"/>
              <w:rPr>
                <w:rFonts w:hAnsi="宋体" w:cs="宋体"/>
                <w:color w:val="auto"/>
                <w:kern w:val="2"/>
                <w:sz w:val="24"/>
                <w:highlight w:val="none"/>
              </w:rPr>
            </w:pPr>
          </w:p>
        </w:tc>
        <w:tc>
          <w:tcPr>
            <w:tcW w:w="1934" w:type="dxa"/>
            <w:vAlign w:val="center"/>
          </w:tcPr>
          <w:p w14:paraId="52AD83F8">
            <w:pPr>
              <w:pStyle w:val="27"/>
              <w:spacing w:line="600" w:lineRule="exact"/>
              <w:jc w:val="center"/>
              <w:rPr>
                <w:rFonts w:hAnsi="宋体" w:cs="宋体"/>
                <w:color w:val="auto"/>
                <w:kern w:val="2"/>
                <w:sz w:val="24"/>
                <w:highlight w:val="none"/>
              </w:rPr>
            </w:pPr>
          </w:p>
        </w:tc>
      </w:tr>
    </w:tbl>
    <w:p w14:paraId="2A58EDA5">
      <w:pPr>
        <w:pStyle w:val="19"/>
        <w:rPr>
          <w:rFonts w:ascii="宋体" w:hAnsi="宋体" w:cs="宋体"/>
          <w:color w:val="auto"/>
          <w:highlight w:val="none"/>
        </w:rPr>
      </w:pPr>
      <w:r>
        <w:rPr>
          <w:rFonts w:hint="eastAsia" w:ascii="宋体" w:hAnsi="宋体" w:cs="宋体"/>
          <w:color w:val="auto"/>
          <w:highlight w:val="none"/>
        </w:rPr>
        <w:t>注：</w:t>
      </w:r>
    </w:p>
    <w:p w14:paraId="30A191BC">
      <w:pPr>
        <w:pStyle w:val="21"/>
        <w:spacing w:line="360" w:lineRule="auto"/>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1. 说明：应对照招标文件“第二章 采购需求”中的“服务内容及要求”逐条作明确的投标响应，并作出偏离说明。</w:t>
      </w:r>
    </w:p>
    <w:p w14:paraId="41609504">
      <w:pPr>
        <w:pStyle w:val="19"/>
        <w:spacing w:line="360" w:lineRule="auto"/>
        <w:rPr>
          <w:rFonts w:ascii="宋体" w:hAnsi="宋体" w:cs="宋体"/>
          <w:b w:val="0"/>
          <w:bCs w:val="0"/>
          <w:color w:val="auto"/>
          <w:highlight w:val="none"/>
        </w:rPr>
      </w:pPr>
      <w:r>
        <w:rPr>
          <w:rFonts w:hint="eastAsia" w:ascii="宋体" w:hAnsi="宋体" w:cs="宋体"/>
          <w:b w:val="0"/>
          <w:bCs w:val="0"/>
          <w:color w:val="auto"/>
          <w:highlight w:val="none"/>
        </w:rPr>
        <w:t>2.投标人根据所投服务，对照招标文件服务内容及要求，在“偏离说明”中注明“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31418B60">
      <w:pPr>
        <w:snapToGrid w:val="0"/>
        <w:spacing w:before="50" w:after="50" w:line="360" w:lineRule="auto"/>
        <w:rPr>
          <w:rFonts w:ascii="宋体" w:hAnsi="宋体" w:cs="宋体"/>
          <w:color w:val="auto"/>
          <w:sz w:val="24"/>
          <w:highlight w:val="none"/>
        </w:rPr>
      </w:pPr>
    </w:p>
    <w:p w14:paraId="3A8CC24F">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450721C6">
      <w:pPr>
        <w:snapToGrid w:val="0"/>
        <w:spacing w:before="50" w:after="50" w:line="360" w:lineRule="auto"/>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3DA770F0">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5BA47004">
      <w:pPr>
        <w:snapToGrid w:val="0"/>
        <w:spacing w:before="50" w:after="50" w:line="360" w:lineRule="auto"/>
        <w:rPr>
          <w:rFonts w:ascii="宋体" w:hAnsi="宋体" w:cs="宋体"/>
          <w:color w:val="auto"/>
          <w:sz w:val="24"/>
          <w:szCs w:val="20"/>
          <w:highlight w:val="none"/>
        </w:rPr>
      </w:pPr>
    </w:p>
    <w:p w14:paraId="4E6A3892">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p>
    <w:p w14:paraId="5C092130">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项目实施人员一览表</w:t>
      </w:r>
    </w:p>
    <w:p w14:paraId="654B1AB5">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42D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4C7DA7">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4A7D38B9">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40F5EEDE">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35D99670">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776D0DB7">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2DB42D2D">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7435EF63">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6F2F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3756E55">
            <w:pPr>
              <w:snapToGrid w:val="0"/>
              <w:spacing w:before="50" w:after="120" w:afterLines="50"/>
              <w:jc w:val="center"/>
              <w:rPr>
                <w:rFonts w:ascii="宋体" w:hAnsi="宋体" w:cs="宋体"/>
                <w:color w:val="auto"/>
                <w:sz w:val="24"/>
                <w:szCs w:val="20"/>
                <w:highlight w:val="none"/>
              </w:rPr>
            </w:pPr>
          </w:p>
        </w:tc>
        <w:tc>
          <w:tcPr>
            <w:tcW w:w="709" w:type="dxa"/>
            <w:vAlign w:val="center"/>
          </w:tcPr>
          <w:p w14:paraId="7B16AC69">
            <w:pPr>
              <w:snapToGrid w:val="0"/>
              <w:spacing w:before="50" w:after="120" w:afterLines="50"/>
              <w:jc w:val="center"/>
              <w:rPr>
                <w:rFonts w:ascii="宋体" w:hAnsi="宋体" w:cs="宋体"/>
                <w:color w:val="auto"/>
                <w:sz w:val="24"/>
                <w:szCs w:val="20"/>
                <w:highlight w:val="none"/>
              </w:rPr>
            </w:pPr>
          </w:p>
        </w:tc>
        <w:tc>
          <w:tcPr>
            <w:tcW w:w="1701" w:type="dxa"/>
            <w:vAlign w:val="center"/>
          </w:tcPr>
          <w:p w14:paraId="2FE129F6">
            <w:pPr>
              <w:snapToGrid w:val="0"/>
              <w:spacing w:before="50" w:after="120" w:afterLines="50"/>
              <w:jc w:val="center"/>
              <w:rPr>
                <w:rFonts w:ascii="宋体" w:hAnsi="宋体" w:cs="宋体"/>
                <w:color w:val="auto"/>
                <w:sz w:val="24"/>
                <w:szCs w:val="20"/>
                <w:highlight w:val="none"/>
              </w:rPr>
            </w:pPr>
          </w:p>
        </w:tc>
        <w:tc>
          <w:tcPr>
            <w:tcW w:w="1420" w:type="dxa"/>
            <w:vAlign w:val="center"/>
          </w:tcPr>
          <w:p w14:paraId="6C1398E8">
            <w:pPr>
              <w:snapToGrid w:val="0"/>
              <w:spacing w:before="50" w:after="120" w:afterLines="50"/>
              <w:jc w:val="center"/>
              <w:rPr>
                <w:rFonts w:ascii="宋体" w:hAnsi="宋体" w:cs="宋体"/>
                <w:color w:val="auto"/>
                <w:sz w:val="24"/>
                <w:szCs w:val="20"/>
                <w:highlight w:val="none"/>
              </w:rPr>
            </w:pPr>
          </w:p>
        </w:tc>
        <w:tc>
          <w:tcPr>
            <w:tcW w:w="1698" w:type="dxa"/>
            <w:vAlign w:val="center"/>
          </w:tcPr>
          <w:p w14:paraId="46DDF49E">
            <w:pPr>
              <w:snapToGrid w:val="0"/>
              <w:spacing w:before="50" w:after="120" w:afterLines="50"/>
              <w:jc w:val="center"/>
              <w:rPr>
                <w:rFonts w:ascii="宋体" w:hAnsi="宋体" w:cs="宋体"/>
                <w:color w:val="auto"/>
                <w:sz w:val="24"/>
                <w:szCs w:val="20"/>
                <w:highlight w:val="none"/>
              </w:rPr>
            </w:pPr>
          </w:p>
        </w:tc>
        <w:tc>
          <w:tcPr>
            <w:tcW w:w="1843" w:type="dxa"/>
            <w:vAlign w:val="center"/>
          </w:tcPr>
          <w:p w14:paraId="4BFE2073">
            <w:pPr>
              <w:snapToGrid w:val="0"/>
              <w:spacing w:before="50" w:after="120" w:afterLines="50"/>
              <w:jc w:val="center"/>
              <w:rPr>
                <w:rFonts w:ascii="宋体" w:hAnsi="宋体" w:cs="宋体"/>
                <w:color w:val="auto"/>
                <w:sz w:val="24"/>
                <w:szCs w:val="20"/>
                <w:highlight w:val="none"/>
              </w:rPr>
            </w:pPr>
          </w:p>
        </w:tc>
      </w:tr>
      <w:tr w14:paraId="1B02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237F884">
            <w:pPr>
              <w:snapToGrid w:val="0"/>
              <w:spacing w:before="50" w:after="120" w:afterLines="50"/>
              <w:jc w:val="center"/>
              <w:rPr>
                <w:rFonts w:ascii="宋体" w:hAnsi="宋体" w:cs="宋体"/>
                <w:color w:val="auto"/>
                <w:sz w:val="24"/>
                <w:szCs w:val="20"/>
                <w:highlight w:val="none"/>
              </w:rPr>
            </w:pPr>
          </w:p>
        </w:tc>
        <w:tc>
          <w:tcPr>
            <w:tcW w:w="709" w:type="dxa"/>
            <w:vAlign w:val="center"/>
          </w:tcPr>
          <w:p w14:paraId="08459EAC">
            <w:pPr>
              <w:snapToGrid w:val="0"/>
              <w:spacing w:before="50" w:after="120" w:afterLines="50"/>
              <w:jc w:val="center"/>
              <w:rPr>
                <w:rFonts w:ascii="宋体" w:hAnsi="宋体" w:cs="宋体"/>
                <w:color w:val="auto"/>
                <w:sz w:val="24"/>
                <w:szCs w:val="20"/>
                <w:highlight w:val="none"/>
              </w:rPr>
            </w:pPr>
          </w:p>
        </w:tc>
        <w:tc>
          <w:tcPr>
            <w:tcW w:w="1701" w:type="dxa"/>
            <w:vAlign w:val="center"/>
          </w:tcPr>
          <w:p w14:paraId="71E4E13B">
            <w:pPr>
              <w:snapToGrid w:val="0"/>
              <w:spacing w:before="50" w:after="120" w:afterLines="50"/>
              <w:jc w:val="center"/>
              <w:rPr>
                <w:rFonts w:ascii="宋体" w:hAnsi="宋体" w:cs="宋体"/>
                <w:color w:val="auto"/>
                <w:sz w:val="24"/>
                <w:szCs w:val="20"/>
                <w:highlight w:val="none"/>
              </w:rPr>
            </w:pPr>
          </w:p>
        </w:tc>
        <w:tc>
          <w:tcPr>
            <w:tcW w:w="1420" w:type="dxa"/>
            <w:vAlign w:val="center"/>
          </w:tcPr>
          <w:p w14:paraId="74A18FD6">
            <w:pPr>
              <w:snapToGrid w:val="0"/>
              <w:spacing w:before="50" w:after="120" w:afterLines="50"/>
              <w:jc w:val="center"/>
              <w:rPr>
                <w:rFonts w:ascii="宋体" w:hAnsi="宋体" w:cs="宋体"/>
                <w:color w:val="auto"/>
                <w:sz w:val="24"/>
                <w:szCs w:val="20"/>
                <w:highlight w:val="none"/>
              </w:rPr>
            </w:pPr>
          </w:p>
        </w:tc>
        <w:tc>
          <w:tcPr>
            <w:tcW w:w="1698" w:type="dxa"/>
            <w:vAlign w:val="center"/>
          </w:tcPr>
          <w:p w14:paraId="75180B3C">
            <w:pPr>
              <w:snapToGrid w:val="0"/>
              <w:spacing w:before="50" w:after="120" w:afterLines="50"/>
              <w:jc w:val="center"/>
              <w:rPr>
                <w:rFonts w:ascii="宋体" w:hAnsi="宋体" w:cs="宋体"/>
                <w:color w:val="auto"/>
                <w:sz w:val="24"/>
                <w:szCs w:val="20"/>
                <w:highlight w:val="none"/>
              </w:rPr>
            </w:pPr>
          </w:p>
        </w:tc>
        <w:tc>
          <w:tcPr>
            <w:tcW w:w="1843" w:type="dxa"/>
            <w:vAlign w:val="center"/>
          </w:tcPr>
          <w:p w14:paraId="3673FECC">
            <w:pPr>
              <w:snapToGrid w:val="0"/>
              <w:spacing w:before="50" w:after="120" w:afterLines="50"/>
              <w:jc w:val="center"/>
              <w:rPr>
                <w:rFonts w:ascii="宋体" w:hAnsi="宋体" w:cs="宋体"/>
                <w:color w:val="auto"/>
                <w:sz w:val="24"/>
                <w:szCs w:val="20"/>
                <w:highlight w:val="none"/>
              </w:rPr>
            </w:pPr>
          </w:p>
        </w:tc>
      </w:tr>
      <w:tr w14:paraId="16AC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24BFF1F">
            <w:pPr>
              <w:snapToGrid w:val="0"/>
              <w:spacing w:before="50" w:after="120" w:afterLines="50"/>
              <w:jc w:val="center"/>
              <w:rPr>
                <w:rFonts w:ascii="宋体" w:hAnsi="宋体" w:cs="宋体"/>
                <w:color w:val="auto"/>
                <w:sz w:val="24"/>
                <w:szCs w:val="20"/>
                <w:highlight w:val="none"/>
              </w:rPr>
            </w:pPr>
          </w:p>
        </w:tc>
        <w:tc>
          <w:tcPr>
            <w:tcW w:w="709" w:type="dxa"/>
            <w:vAlign w:val="center"/>
          </w:tcPr>
          <w:p w14:paraId="48871B5B">
            <w:pPr>
              <w:snapToGrid w:val="0"/>
              <w:spacing w:before="50" w:after="120" w:afterLines="50"/>
              <w:jc w:val="center"/>
              <w:rPr>
                <w:rFonts w:ascii="宋体" w:hAnsi="宋体" w:cs="宋体"/>
                <w:color w:val="auto"/>
                <w:sz w:val="24"/>
                <w:szCs w:val="20"/>
                <w:highlight w:val="none"/>
              </w:rPr>
            </w:pPr>
          </w:p>
        </w:tc>
        <w:tc>
          <w:tcPr>
            <w:tcW w:w="1701" w:type="dxa"/>
            <w:vAlign w:val="center"/>
          </w:tcPr>
          <w:p w14:paraId="02315CC3">
            <w:pPr>
              <w:snapToGrid w:val="0"/>
              <w:spacing w:before="50" w:after="120" w:afterLines="50"/>
              <w:jc w:val="center"/>
              <w:rPr>
                <w:rFonts w:ascii="宋体" w:hAnsi="宋体" w:cs="宋体"/>
                <w:color w:val="auto"/>
                <w:sz w:val="24"/>
                <w:szCs w:val="20"/>
                <w:highlight w:val="none"/>
              </w:rPr>
            </w:pPr>
          </w:p>
        </w:tc>
        <w:tc>
          <w:tcPr>
            <w:tcW w:w="1420" w:type="dxa"/>
            <w:vAlign w:val="center"/>
          </w:tcPr>
          <w:p w14:paraId="3AC04B21">
            <w:pPr>
              <w:snapToGrid w:val="0"/>
              <w:spacing w:before="50" w:after="120" w:afterLines="50"/>
              <w:jc w:val="center"/>
              <w:rPr>
                <w:rFonts w:ascii="宋体" w:hAnsi="宋体" w:cs="宋体"/>
                <w:color w:val="auto"/>
                <w:sz w:val="24"/>
                <w:szCs w:val="20"/>
                <w:highlight w:val="none"/>
              </w:rPr>
            </w:pPr>
          </w:p>
        </w:tc>
        <w:tc>
          <w:tcPr>
            <w:tcW w:w="1698" w:type="dxa"/>
            <w:vAlign w:val="center"/>
          </w:tcPr>
          <w:p w14:paraId="7E0F03DC">
            <w:pPr>
              <w:snapToGrid w:val="0"/>
              <w:spacing w:before="50" w:after="120" w:afterLines="50"/>
              <w:jc w:val="center"/>
              <w:rPr>
                <w:rFonts w:ascii="宋体" w:hAnsi="宋体" w:cs="宋体"/>
                <w:color w:val="auto"/>
                <w:sz w:val="24"/>
                <w:szCs w:val="20"/>
                <w:highlight w:val="none"/>
              </w:rPr>
            </w:pPr>
          </w:p>
        </w:tc>
        <w:tc>
          <w:tcPr>
            <w:tcW w:w="1843" w:type="dxa"/>
            <w:vAlign w:val="center"/>
          </w:tcPr>
          <w:p w14:paraId="2113FBB8">
            <w:pPr>
              <w:snapToGrid w:val="0"/>
              <w:spacing w:before="50" w:after="120" w:afterLines="50"/>
              <w:jc w:val="center"/>
              <w:rPr>
                <w:rFonts w:ascii="宋体" w:hAnsi="宋体" w:cs="宋体"/>
                <w:color w:val="auto"/>
                <w:sz w:val="24"/>
                <w:szCs w:val="20"/>
                <w:highlight w:val="none"/>
              </w:rPr>
            </w:pPr>
          </w:p>
        </w:tc>
      </w:tr>
    </w:tbl>
    <w:p w14:paraId="7561EB50">
      <w:pPr>
        <w:snapToGrid w:val="0"/>
        <w:spacing w:before="50" w:after="120" w:afterLines="50"/>
        <w:jc w:val="left"/>
        <w:rPr>
          <w:rFonts w:ascii="宋体" w:hAnsi="宋体" w:cs="宋体"/>
          <w:color w:val="auto"/>
          <w:sz w:val="24"/>
          <w:szCs w:val="20"/>
          <w:highlight w:val="none"/>
        </w:rPr>
      </w:pPr>
    </w:p>
    <w:p w14:paraId="488D62B5">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7310A353">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1.在填写时，如本表格不适合投标单位的实际情况，可根据本表格式自行制表填写。</w:t>
      </w:r>
    </w:p>
    <w:p w14:paraId="6056A4BB">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2.投标人应当附本表所列证书的复印件并加盖供应商CA电子签章。</w:t>
      </w:r>
    </w:p>
    <w:p w14:paraId="76FA8441">
      <w:pPr>
        <w:spacing w:line="360" w:lineRule="auto"/>
        <w:contextualSpacing/>
        <w:jc w:val="left"/>
        <w:rPr>
          <w:rFonts w:ascii="宋体" w:hAnsi="宋体" w:cs="宋体"/>
          <w:color w:val="auto"/>
          <w:sz w:val="24"/>
          <w:szCs w:val="20"/>
          <w:highlight w:val="none"/>
        </w:rPr>
      </w:pPr>
    </w:p>
    <w:p w14:paraId="03B0A827">
      <w:pPr>
        <w:spacing w:line="360" w:lineRule="auto"/>
        <w:contextualSpacing/>
        <w:jc w:val="left"/>
        <w:rPr>
          <w:rFonts w:ascii="宋体" w:hAnsi="宋体" w:cs="宋体"/>
          <w:color w:val="auto"/>
          <w:sz w:val="24"/>
          <w:szCs w:val="20"/>
          <w:highlight w:val="none"/>
        </w:rPr>
      </w:pPr>
    </w:p>
    <w:p w14:paraId="2B2FA16F">
      <w:pPr>
        <w:spacing w:line="360" w:lineRule="auto"/>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5D50DAD1">
      <w:pPr>
        <w:spacing w:line="360" w:lineRule="auto"/>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01E76650">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254CAB22">
      <w:pPr>
        <w:snapToGrid w:val="0"/>
        <w:spacing w:before="50" w:after="120" w:afterLines="50"/>
        <w:jc w:val="left"/>
        <w:rPr>
          <w:rFonts w:ascii="宋体" w:hAnsi="宋体" w:cs="宋体"/>
          <w:color w:val="auto"/>
          <w:sz w:val="24"/>
          <w:szCs w:val="20"/>
          <w:highlight w:val="none"/>
        </w:rPr>
      </w:pPr>
    </w:p>
    <w:p w14:paraId="094E074E">
      <w:pPr>
        <w:rPr>
          <w:rFonts w:ascii="宋体" w:hAnsi="宋体" w:cs="宋体"/>
          <w:b/>
          <w:color w:val="auto"/>
          <w:sz w:val="28"/>
          <w:szCs w:val="28"/>
          <w:highlight w:val="none"/>
        </w:rPr>
      </w:pPr>
      <w:r>
        <w:rPr>
          <w:rFonts w:hint="eastAsia" w:ascii="宋体" w:hAnsi="宋体" w:cs="宋体"/>
          <w:b/>
          <w:color w:val="auto"/>
          <w:sz w:val="24"/>
          <w:highlight w:val="none"/>
        </w:rPr>
        <w:br w:type="page"/>
      </w:r>
      <w:r>
        <w:rPr>
          <w:rFonts w:hint="eastAsia" w:ascii="宋体" w:hAnsi="宋体" w:cs="宋体"/>
          <w:b/>
          <w:color w:val="auto"/>
          <w:sz w:val="28"/>
          <w:szCs w:val="28"/>
          <w:highlight w:val="none"/>
        </w:rPr>
        <w:t>五、其他文书、文件格式</w:t>
      </w:r>
    </w:p>
    <w:p w14:paraId="117AFE8D">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36841814">
      <w:pPr>
        <w:pStyle w:val="8"/>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049C7B3B">
      <w:pPr>
        <w:pStyle w:val="8"/>
        <w:overflowPunct w:val="0"/>
        <w:rPr>
          <w:rFonts w:ascii="宋体" w:hAnsi="宋体" w:cs="宋体"/>
          <w:color w:val="auto"/>
          <w:sz w:val="24"/>
          <w:highlight w:val="none"/>
        </w:rPr>
      </w:pPr>
    </w:p>
    <w:p w14:paraId="0230303F">
      <w:pPr>
        <w:pStyle w:val="8"/>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采购招标项目投标。现就联合体投标事宜订立如下协议。</w:t>
      </w:r>
    </w:p>
    <w:p w14:paraId="0DB7A201">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58CEADEC">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0BF31200">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3.联合体牵头人在本项目中签署和盖章的一切文件和处理的一切事宜，联合体各成员均予以承认。联合体各成员将严格按照招标文件、投标文件和合同的要求全面履行义务，并向招标人承担连带责任。</w:t>
      </w:r>
    </w:p>
    <w:p w14:paraId="0706469F">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16CFF338">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5.本协议书自所有成员单位法定代表人或者其委托代理人签字（或者电子签名）或者加盖公章之日起生效，合同履行完毕后自动失效。</w:t>
      </w:r>
    </w:p>
    <w:p w14:paraId="42B25A53">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份，联合体成员和招标人各执一份。</w:t>
      </w:r>
    </w:p>
    <w:p w14:paraId="4F3FF7B8">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注：本协议书应附法定代表人身份证明；有委托代理的，应附授权委托书（格式自拟）。</w:t>
      </w:r>
    </w:p>
    <w:p w14:paraId="640F3851">
      <w:pPr>
        <w:pStyle w:val="8"/>
        <w:overflowPunct w:val="0"/>
        <w:spacing w:line="360" w:lineRule="auto"/>
        <w:ind w:firstLineChars="175"/>
        <w:contextualSpacing/>
        <w:rPr>
          <w:rFonts w:ascii="宋体" w:hAnsi="宋体" w:cs="宋体"/>
          <w:color w:val="auto"/>
          <w:sz w:val="24"/>
          <w:highlight w:val="none"/>
        </w:rPr>
      </w:pPr>
    </w:p>
    <w:p w14:paraId="36F05989">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联合体牵头人名称（电子签章）：</w:t>
      </w:r>
    </w:p>
    <w:p w14:paraId="3DA7BC01">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66E44708">
      <w:pPr>
        <w:pStyle w:val="8"/>
        <w:overflowPunct w:val="0"/>
        <w:spacing w:line="360" w:lineRule="auto"/>
        <w:ind w:firstLineChars="175"/>
        <w:contextualSpacing/>
        <w:rPr>
          <w:rFonts w:ascii="宋体" w:hAnsi="宋体" w:cs="宋体"/>
          <w:color w:val="auto"/>
          <w:sz w:val="24"/>
          <w:highlight w:val="none"/>
        </w:rPr>
      </w:pPr>
    </w:p>
    <w:p w14:paraId="5E85E17C">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联合体成员名称（盖公章或者电子签章）：</w:t>
      </w:r>
    </w:p>
    <w:p w14:paraId="51283B3F">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0F75BAA1">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14:paraId="328564B1">
      <w:pPr>
        <w:pStyle w:val="8"/>
        <w:overflowPunct w:val="0"/>
        <w:spacing w:line="360" w:lineRule="auto"/>
        <w:ind w:firstLineChars="175"/>
        <w:contextualSpacing/>
        <w:rPr>
          <w:rFonts w:ascii="宋体" w:hAnsi="宋体" w:cs="宋体"/>
          <w:color w:val="auto"/>
          <w:sz w:val="24"/>
          <w:highlight w:val="none"/>
        </w:rPr>
      </w:pPr>
    </w:p>
    <w:p w14:paraId="4274A89A">
      <w:pPr>
        <w:pStyle w:val="8"/>
        <w:overflowPunct w:val="0"/>
        <w:spacing w:line="360" w:lineRule="auto"/>
        <w:ind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年</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p>
    <w:p w14:paraId="1074EEAB">
      <w:pPr>
        <w:snapToGrid w:val="0"/>
        <w:spacing w:before="120" w:beforeLines="50" w:after="50"/>
        <w:jc w:val="left"/>
        <w:rPr>
          <w:rFonts w:ascii="宋体" w:hAnsi="宋体" w:cs="宋体"/>
          <w:b/>
          <w:color w:val="auto"/>
          <w:sz w:val="24"/>
          <w:highlight w:val="none"/>
        </w:rPr>
      </w:pPr>
    </w:p>
    <w:p w14:paraId="70F4DDFA">
      <w:pPr>
        <w:spacing w:line="360" w:lineRule="auto"/>
        <w:contextualSpacing/>
        <w:rPr>
          <w:rFonts w:ascii="宋体" w:hAnsi="宋体" w:cs="宋体"/>
          <w:color w:val="auto"/>
          <w:sz w:val="24"/>
          <w:highlight w:val="none"/>
        </w:rPr>
      </w:pPr>
      <w:r>
        <w:rPr>
          <w:rFonts w:hint="eastAsia" w:ascii="宋体" w:hAnsi="宋体" w:cs="宋体"/>
          <w:b/>
          <w:color w:val="auto"/>
          <w:sz w:val="24"/>
          <w:highlight w:val="none"/>
        </w:rPr>
        <w:br w:type="page"/>
      </w:r>
    </w:p>
    <w:p w14:paraId="7CF4A113">
      <w:pPr>
        <w:snapToGrid w:val="0"/>
        <w:spacing w:before="120" w:beforeLines="50" w:after="50"/>
        <w:jc w:val="left"/>
        <w:rPr>
          <w:rFonts w:ascii="宋体" w:hAnsi="宋体" w:cs="宋体"/>
          <w:color w:val="auto"/>
          <w:highlight w:val="none"/>
        </w:rPr>
      </w:pPr>
      <w:r>
        <w:rPr>
          <w:rFonts w:hint="eastAsia" w:ascii="宋体" w:hAnsi="宋体" w:cs="宋体"/>
          <w:b/>
          <w:color w:val="auto"/>
          <w:sz w:val="24"/>
          <w:highlight w:val="none"/>
        </w:rPr>
        <w:t>2.中小企业声明函格式</w:t>
      </w:r>
    </w:p>
    <w:p w14:paraId="4FD44D6A">
      <w:pPr>
        <w:rPr>
          <w:rFonts w:ascii="宋体" w:hAnsi="宋体" w:cs="宋体"/>
          <w:color w:val="auto"/>
          <w:highlight w:val="none"/>
        </w:rPr>
      </w:pPr>
    </w:p>
    <w:p w14:paraId="1EAAAA8F">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中小企业声明函（服务）</w:t>
      </w:r>
    </w:p>
    <w:p w14:paraId="145DFBA1">
      <w:pPr>
        <w:spacing w:before="2" w:line="500" w:lineRule="exact"/>
        <w:rPr>
          <w:rFonts w:ascii="宋体" w:hAnsi="宋体" w:cs="宋体"/>
          <w:b/>
          <w:bCs/>
          <w:color w:val="auto"/>
          <w:sz w:val="27"/>
          <w:szCs w:val="27"/>
          <w:highlight w:val="none"/>
        </w:rPr>
      </w:pPr>
    </w:p>
    <w:p w14:paraId="748B147F">
      <w:pPr>
        <w:spacing w:line="440" w:lineRule="exact"/>
        <w:ind w:firstLine="480" w:firstLineChars="200"/>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本公司郑重声明，根据《政府采购促进中小企业发展管理办法》（财库﹝2020﹞46 号）的规定，本公司参加</w:t>
      </w:r>
      <w:r>
        <w:rPr>
          <w:rFonts w:hint="eastAsia" w:asciiTheme="majorEastAsia" w:hAnsiTheme="majorEastAsia" w:eastAsiaTheme="majorEastAsia" w:cstheme="majorEastAsia"/>
          <w:color w:val="auto"/>
          <w:kern w:val="0"/>
          <w:sz w:val="24"/>
          <w:highlight w:val="none"/>
          <w:u w:val="single"/>
        </w:rPr>
        <w:t>（单位名称）</w:t>
      </w:r>
      <w:r>
        <w:rPr>
          <w:rFonts w:hint="eastAsia" w:asciiTheme="majorEastAsia" w:hAnsiTheme="majorEastAsia" w:eastAsiaTheme="majorEastAsia" w:cstheme="majorEastAsia"/>
          <w:color w:val="auto"/>
          <w:kern w:val="0"/>
          <w:sz w:val="24"/>
          <w:highlight w:val="none"/>
        </w:rPr>
        <w:t>的</w:t>
      </w:r>
      <w:r>
        <w:rPr>
          <w:rFonts w:hint="eastAsia" w:asciiTheme="majorEastAsia" w:hAnsiTheme="majorEastAsia" w:eastAsiaTheme="majorEastAsia" w:cstheme="majorEastAsia"/>
          <w:color w:val="auto"/>
          <w:kern w:val="0"/>
          <w:sz w:val="24"/>
          <w:highlight w:val="none"/>
          <w:u w:val="single"/>
        </w:rPr>
        <w:t>（项目名称）</w:t>
      </w:r>
      <w:r>
        <w:rPr>
          <w:rFonts w:hint="eastAsia" w:asciiTheme="majorEastAsia" w:hAnsiTheme="majorEastAsia" w:eastAsiaTheme="majorEastAsia" w:cstheme="majorEastAsia"/>
          <w:color w:val="auto"/>
          <w:kern w:val="0"/>
          <w:sz w:val="24"/>
          <w:highlight w:val="none"/>
        </w:rPr>
        <w:t>采购活动，服务全部由符合政策要求的中小企业承接。相关企业的具体情况如下：</w:t>
      </w:r>
    </w:p>
    <w:p w14:paraId="169E3125">
      <w:pPr>
        <w:spacing w:line="440" w:lineRule="exact"/>
        <w:ind w:firstLine="480" w:firstLineChars="200"/>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u w:val="single"/>
        </w:rPr>
        <w:t>（标的名称）</w:t>
      </w:r>
      <w:r>
        <w:rPr>
          <w:rFonts w:hint="eastAsia" w:asciiTheme="majorEastAsia" w:hAnsiTheme="majorEastAsia" w:eastAsiaTheme="majorEastAsia" w:cstheme="majorEastAsia"/>
          <w:color w:val="auto"/>
          <w:kern w:val="0"/>
          <w:sz w:val="24"/>
          <w:highlight w:val="none"/>
        </w:rPr>
        <w:t>，属于</w:t>
      </w:r>
      <w:r>
        <w:rPr>
          <w:rFonts w:hint="eastAsia" w:asciiTheme="majorEastAsia" w:hAnsiTheme="majorEastAsia" w:eastAsiaTheme="majorEastAsia" w:cstheme="majorEastAsia"/>
          <w:color w:val="auto"/>
          <w:kern w:val="0"/>
          <w:sz w:val="24"/>
          <w:highlight w:val="none"/>
          <w:u w:val="single"/>
        </w:rPr>
        <w:t xml:space="preserve">         </w:t>
      </w:r>
      <w:r>
        <w:rPr>
          <w:rFonts w:hint="eastAsia" w:asciiTheme="majorEastAsia" w:hAnsiTheme="majorEastAsia" w:eastAsiaTheme="majorEastAsia" w:cstheme="majorEastAsia"/>
          <w:color w:val="auto"/>
          <w:kern w:val="0"/>
          <w:sz w:val="24"/>
          <w:highlight w:val="none"/>
        </w:rPr>
        <w:t xml:space="preserve"> 行业；承接企业为</w:t>
      </w:r>
      <w:r>
        <w:rPr>
          <w:rFonts w:hint="eastAsia" w:asciiTheme="majorEastAsia" w:hAnsiTheme="majorEastAsia" w:eastAsiaTheme="majorEastAsia" w:cstheme="majorEastAsia"/>
          <w:color w:val="auto"/>
          <w:kern w:val="0"/>
          <w:sz w:val="24"/>
          <w:highlight w:val="none"/>
          <w:u w:val="single"/>
        </w:rPr>
        <w:t>（企业名称）</w:t>
      </w:r>
      <w:r>
        <w:rPr>
          <w:rFonts w:hint="eastAsia" w:asciiTheme="majorEastAsia" w:hAnsiTheme="majorEastAsia" w:eastAsiaTheme="majorEastAsia" w:cstheme="majorEastAsia"/>
          <w:color w:val="auto"/>
          <w:kern w:val="0"/>
          <w:sz w:val="24"/>
          <w:highlight w:val="none"/>
        </w:rPr>
        <w:t>，从业人员</w:t>
      </w:r>
      <w:r>
        <w:rPr>
          <w:rFonts w:hint="eastAsia" w:asciiTheme="majorEastAsia" w:hAnsiTheme="majorEastAsia" w:eastAsiaTheme="majorEastAsia" w:cstheme="majorEastAsia"/>
          <w:color w:val="auto"/>
          <w:kern w:val="0"/>
          <w:sz w:val="24"/>
          <w:highlight w:val="none"/>
          <w:u w:val="single"/>
        </w:rPr>
        <w:t xml:space="preserve">   </w:t>
      </w:r>
      <w:r>
        <w:rPr>
          <w:rFonts w:hint="eastAsia" w:asciiTheme="majorEastAsia" w:hAnsiTheme="majorEastAsia" w:eastAsiaTheme="majorEastAsia" w:cstheme="majorEastAsia"/>
          <w:color w:val="auto"/>
          <w:kern w:val="0"/>
          <w:sz w:val="24"/>
          <w:highlight w:val="none"/>
        </w:rPr>
        <w:t>人，营业收入为</w:t>
      </w:r>
      <w:r>
        <w:rPr>
          <w:rFonts w:hint="eastAsia" w:asciiTheme="majorEastAsia" w:hAnsiTheme="majorEastAsia" w:eastAsiaTheme="majorEastAsia" w:cstheme="majorEastAsia"/>
          <w:color w:val="auto"/>
          <w:kern w:val="0"/>
          <w:sz w:val="24"/>
          <w:highlight w:val="none"/>
          <w:u w:val="single"/>
        </w:rPr>
        <w:t xml:space="preserve">    </w:t>
      </w:r>
      <w:r>
        <w:rPr>
          <w:rFonts w:hint="eastAsia" w:asciiTheme="majorEastAsia" w:hAnsiTheme="majorEastAsia" w:eastAsiaTheme="majorEastAsia" w:cstheme="majorEastAsia"/>
          <w:color w:val="auto"/>
          <w:kern w:val="0"/>
          <w:sz w:val="24"/>
          <w:highlight w:val="none"/>
        </w:rPr>
        <w:t>万元，资产总额为</w:t>
      </w:r>
      <w:r>
        <w:rPr>
          <w:rFonts w:hint="eastAsia" w:asciiTheme="majorEastAsia" w:hAnsiTheme="majorEastAsia" w:eastAsiaTheme="majorEastAsia" w:cstheme="majorEastAsia"/>
          <w:color w:val="auto"/>
          <w:kern w:val="0"/>
          <w:sz w:val="24"/>
          <w:highlight w:val="none"/>
          <w:u w:val="single"/>
        </w:rPr>
        <w:t xml:space="preserve">     </w:t>
      </w:r>
      <w:r>
        <w:rPr>
          <w:rFonts w:hint="eastAsia" w:asciiTheme="majorEastAsia" w:hAnsiTheme="majorEastAsia" w:eastAsiaTheme="majorEastAsia" w:cstheme="majorEastAsia"/>
          <w:color w:val="auto"/>
          <w:kern w:val="0"/>
          <w:sz w:val="24"/>
          <w:highlight w:val="none"/>
        </w:rPr>
        <w:t>万元，属于</w:t>
      </w:r>
      <w:r>
        <w:rPr>
          <w:rFonts w:hint="eastAsia" w:asciiTheme="majorEastAsia" w:hAnsiTheme="majorEastAsia" w:eastAsiaTheme="majorEastAsia" w:cstheme="majorEastAsia"/>
          <w:color w:val="auto"/>
          <w:kern w:val="0"/>
          <w:sz w:val="24"/>
          <w:highlight w:val="none"/>
          <w:u w:val="single"/>
        </w:rPr>
        <w:t>（中型企业、小型企业、微型企业）</w:t>
      </w:r>
      <w:r>
        <w:rPr>
          <w:rFonts w:hint="eastAsia" w:asciiTheme="majorEastAsia" w:hAnsiTheme="majorEastAsia" w:eastAsiaTheme="majorEastAsia" w:cstheme="majorEastAsia"/>
          <w:color w:val="auto"/>
          <w:kern w:val="0"/>
          <w:sz w:val="24"/>
          <w:highlight w:val="none"/>
        </w:rPr>
        <w:t>；</w:t>
      </w:r>
    </w:p>
    <w:p w14:paraId="4DD00639">
      <w:pPr>
        <w:spacing w:line="440" w:lineRule="exact"/>
        <w:ind w:firstLine="480" w:firstLineChars="200"/>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以上企业，不属于大企业的分支机构，不存在控股股东为大企业的情形，也不存在与大企业的负责人为同一人的情形。</w:t>
      </w:r>
    </w:p>
    <w:p w14:paraId="408B91DF">
      <w:pPr>
        <w:spacing w:line="440" w:lineRule="exact"/>
        <w:ind w:firstLine="480" w:firstLineChars="200"/>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本企业对上述声明内容的真实性负责。如有虚假，将依法承担相应责任。</w:t>
      </w:r>
    </w:p>
    <w:p w14:paraId="4567F7B2">
      <w:pPr>
        <w:tabs>
          <w:tab w:val="left" w:pos="4860"/>
        </w:tabs>
        <w:spacing w:line="440" w:lineRule="exact"/>
        <w:ind w:right="1560" w:firstLine="480" w:firstLineChars="200"/>
        <w:jc w:val="center"/>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 xml:space="preserve">               </w:t>
      </w:r>
      <w:r>
        <w:rPr>
          <w:rFonts w:hint="eastAsia" w:asciiTheme="majorEastAsia" w:hAnsiTheme="majorEastAsia" w:eastAsiaTheme="majorEastAsia" w:cstheme="majorEastAsia"/>
          <w:color w:val="auto"/>
          <w:sz w:val="24"/>
          <w:highlight w:val="none"/>
        </w:rPr>
        <w:t>供应商电子签章</w:t>
      </w:r>
      <w:r>
        <w:rPr>
          <w:rFonts w:hint="eastAsia" w:asciiTheme="majorEastAsia" w:hAnsiTheme="majorEastAsia" w:eastAsiaTheme="majorEastAsia" w:cstheme="majorEastAsia"/>
          <w:color w:val="auto"/>
          <w:kern w:val="0"/>
          <w:sz w:val="24"/>
          <w:highlight w:val="none"/>
        </w:rPr>
        <w:t xml:space="preserve">： </w:t>
      </w:r>
    </w:p>
    <w:p w14:paraId="40963FC8">
      <w:pPr>
        <w:snapToGrid w:val="0"/>
        <w:spacing w:before="120" w:beforeLines="50" w:after="50" w:line="440" w:lineRule="exact"/>
        <w:ind w:firstLine="480" w:firstLineChars="200"/>
        <w:jc w:val="left"/>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 xml:space="preserve">                                   日  期：</w:t>
      </w:r>
    </w:p>
    <w:p w14:paraId="5F19A682">
      <w:pPr>
        <w:spacing w:line="480" w:lineRule="exact"/>
        <w:ind w:firstLine="480" w:firstLineChars="200"/>
        <w:rPr>
          <w:rFonts w:ascii="宋体" w:hAnsi="宋体" w:cs="宋体"/>
          <w:color w:val="auto"/>
          <w:kern w:val="0"/>
          <w:sz w:val="24"/>
          <w:highlight w:val="none"/>
        </w:rPr>
      </w:pPr>
    </w:p>
    <w:p w14:paraId="7615B4AC">
      <w:pPr>
        <w:pStyle w:val="20"/>
        <w:spacing w:line="360" w:lineRule="auto"/>
        <w:ind w:left="3960" w:right="1808"/>
        <w:contextualSpacing/>
        <w:rPr>
          <w:rFonts w:ascii="宋体" w:hAnsi="宋体" w:cs="宋体"/>
          <w:color w:val="auto"/>
          <w:kern w:val="24"/>
          <w:highlight w:val="none"/>
        </w:rPr>
      </w:pPr>
    </w:p>
    <w:p w14:paraId="39C11675">
      <w:pPr>
        <w:pStyle w:val="20"/>
        <w:spacing w:line="360" w:lineRule="auto"/>
        <w:ind w:left="3960" w:right="1808"/>
        <w:contextualSpacing/>
        <w:rPr>
          <w:rFonts w:ascii="宋体" w:hAnsi="宋体" w:cs="宋体"/>
          <w:color w:val="auto"/>
          <w:kern w:val="24"/>
          <w:highlight w:val="none"/>
        </w:rPr>
      </w:pPr>
    </w:p>
    <w:p w14:paraId="3F87569A">
      <w:pPr>
        <w:pStyle w:val="20"/>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46123274">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3.残疾人福利性单位声明函格式</w:t>
      </w:r>
    </w:p>
    <w:p w14:paraId="4326642E">
      <w:pPr>
        <w:spacing w:line="588" w:lineRule="exact"/>
        <w:jc w:val="center"/>
        <w:rPr>
          <w:rFonts w:ascii="宋体" w:hAnsi="宋体" w:cs="宋体"/>
          <w:b/>
          <w:color w:val="auto"/>
          <w:spacing w:val="6"/>
          <w:sz w:val="32"/>
          <w:szCs w:val="32"/>
          <w:highlight w:val="none"/>
        </w:rPr>
      </w:pPr>
    </w:p>
    <w:p w14:paraId="32DE22F6">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0EF00093">
      <w:pPr>
        <w:spacing w:line="360" w:lineRule="auto"/>
        <w:contextualSpacing/>
        <w:rPr>
          <w:rFonts w:ascii="宋体" w:hAnsi="宋体" w:cs="宋体"/>
          <w:bCs/>
          <w:color w:val="auto"/>
          <w:spacing w:val="6"/>
          <w:sz w:val="30"/>
          <w:szCs w:val="30"/>
          <w:highlight w:val="none"/>
        </w:rPr>
      </w:pPr>
    </w:p>
    <w:p w14:paraId="2852CCA3">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0B815CC3">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7CD06C9E">
      <w:pPr>
        <w:spacing w:line="360" w:lineRule="auto"/>
        <w:ind w:firstLine="504" w:firstLineChars="200"/>
        <w:contextualSpacing/>
        <w:rPr>
          <w:rFonts w:ascii="宋体" w:hAnsi="宋体" w:cs="宋体"/>
          <w:color w:val="auto"/>
          <w:spacing w:val="6"/>
          <w:sz w:val="24"/>
          <w:highlight w:val="none"/>
        </w:rPr>
      </w:pPr>
    </w:p>
    <w:p w14:paraId="62E3EA0C">
      <w:pPr>
        <w:spacing w:line="360" w:lineRule="auto"/>
        <w:ind w:firstLine="504" w:firstLineChars="200"/>
        <w:contextualSpacing/>
        <w:rPr>
          <w:rFonts w:ascii="宋体" w:hAnsi="宋体" w:cs="宋体"/>
          <w:color w:val="auto"/>
          <w:spacing w:val="6"/>
          <w:sz w:val="24"/>
          <w:highlight w:val="none"/>
        </w:rPr>
      </w:pPr>
    </w:p>
    <w:p w14:paraId="5C96C9EA">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单位名称（电子签章）：</w:t>
      </w:r>
    </w:p>
    <w:p w14:paraId="1FCD0401">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171F66B8">
      <w:pPr>
        <w:spacing w:line="360" w:lineRule="auto"/>
        <w:contextualSpacing/>
        <w:rPr>
          <w:rFonts w:ascii="宋体" w:hAnsi="宋体" w:cs="宋体"/>
          <w:color w:val="auto"/>
          <w:sz w:val="24"/>
          <w:highlight w:val="none"/>
        </w:rPr>
      </w:pPr>
    </w:p>
    <w:p w14:paraId="2AB457D8">
      <w:pPr>
        <w:spacing w:line="360" w:lineRule="auto"/>
        <w:contextualSpacing/>
        <w:rPr>
          <w:rFonts w:ascii="宋体" w:hAnsi="宋体" w:cs="宋体"/>
          <w:color w:val="auto"/>
          <w:sz w:val="24"/>
          <w:highlight w:val="none"/>
        </w:rPr>
      </w:pPr>
    </w:p>
    <w:p w14:paraId="639AB961">
      <w:pPr>
        <w:spacing w:line="360" w:lineRule="auto"/>
        <w:contextualSpacing/>
        <w:rPr>
          <w:rFonts w:ascii="宋体" w:hAnsi="宋体" w:cs="宋体"/>
          <w:color w:val="auto"/>
          <w:sz w:val="24"/>
          <w:highlight w:val="none"/>
        </w:rPr>
      </w:pPr>
    </w:p>
    <w:p w14:paraId="41C6BC1E">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02BAABC">
      <w:pPr>
        <w:pStyle w:val="20"/>
        <w:rPr>
          <w:rFonts w:ascii="宋体" w:hAnsi="宋体"/>
          <w:b/>
          <w:color w:val="auto"/>
          <w:highlight w:val="none"/>
        </w:rPr>
      </w:pPr>
    </w:p>
    <w:p w14:paraId="2641ADFD">
      <w:pPr>
        <w:pStyle w:val="20"/>
        <w:rPr>
          <w:rFonts w:ascii="宋体" w:hAnsi="宋体"/>
          <w:b/>
          <w:color w:val="auto"/>
          <w:highlight w:val="none"/>
        </w:rPr>
      </w:pPr>
    </w:p>
    <w:p w14:paraId="40BC8586">
      <w:pPr>
        <w:rPr>
          <w:rFonts w:ascii="宋体" w:hAnsi="宋体"/>
          <w:b/>
          <w:color w:val="auto"/>
          <w:highlight w:val="none"/>
        </w:rPr>
      </w:pPr>
    </w:p>
    <w:p w14:paraId="1B5B39E7">
      <w:pPr>
        <w:pStyle w:val="59"/>
        <w:rPr>
          <w:color w:val="auto"/>
          <w:highlight w:val="none"/>
        </w:rPr>
      </w:pPr>
    </w:p>
    <w:p w14:paraId="15C90CB1">
      <w:pPr>
        <w:pStyle w:val="60"/>
        <w:rPr>
          <w:rFonts w:ascii="宋体" w:hAnsi="宋体"/>
          <w:b/>
          <w:color w:val="auto"/>
          <w:highlight w:val="none"/>
        </w:rPr>
      </w:pPr>
    </w:p>
    <w:p w14:paraId="5CF89780">
      <w:pPr>
        <w:pStyle w:val="60"/>
        <w:rPr>
          <w:rFonts w:ascii="宋体" w:hAnsi="宋体"/>
          <w:b/>
          <w:color w:val="auto"/>
          <w:highlight w:val="none"/>
        </w:rPr>
      </w:pPr>
    </w:p>
    <w:p w14:paraId="47D8E1FD">
      <w:pPr>
        <w:pStyle w:val="60"/>
        <w:rPr>
          <w:rFonts w:ascii="宋体" w:hAnsi="宋体"/>
          <w:b/>
          <w:color w:val="auto"/>
          <w:highlight w:val="none"/>
        </w:rPr>
      </w:pPr>
    </w:p>
    <w:p w14:paraId="6662949A">
      <w:pPr>
        <w:pStyle w:val="60"/>
        <w:rPr>
          <w:rFonts w:ascii="宋体" w:hAnsi="宋体"/>
          <w:b/>
          <w:color w:val="auto"/>
          <w:highlight w:val="none"/>
        </w:rPr>
      </w:pPr>
    </w:p>
    <w:p w14:paraId="6EEBD526">
      <w:pPr>
        <w:pStyle w:val="60"/>
        <w:rPr>
          <w:rFonts w:ascii="宋体" w:hAnsi="宋体"/>
          <w:b/>
          <w:color w:val="auto"/>
          <w:highlight w:val="none"/>
        </w:rPr>
      </w:pPr>
    </w:p>
    <w:p w14:paraId="685D00A6">
      <w:pPr>
        <w:pStyle w:val="60"/>
        <w:rPr>
          <w:rFonts w:ascii="宋体" w:hAnsi="宋体"/>
          <w:b/>
          <w:color w:val="auto"/>
          <w:highlight w:val="none"/>
        </w:rPr>
      </w:pPr>
    </w:p>
    <w:p w14:paraId="52EEC53B">
      <w:pPr>
        <w:spacing w:line="360" w:lineRule="auto"/>
        <w:jc w:val="left"/>
        <w:rPr>
          <w:rFonts w:ascii="宋体" w:hAnsi="宋体" w:cs="宋体"/>
          <w:color w:val="auto"/>
          <w:sz w:val="24"/>
          <w:highlight w:val="none"/>
        </w:rPr>
      </w:pPr>
      <w:r>
        <w:rPr>
          <w:rFonts w:ascii="宋体" w:hAnsi="宋体"/>
          <w:color w:val="auto"/>
          <w:sz w:val="24"/>
          <w:highlight w:val="none"/>
        </w:rPr>
        <w:br w:type="page"/>
      </w:r>
      <w:r>
        <w:rPr>
          <w:rFonts w:hint="eastAsia" w:ascii="宋体" w:hAnsi="宋体"/>
          <w:color w:val="auto"/>
          <w:sz w:val="24"/>
          <w:highlight w:val="none"/>
        </w:rPr>
        <w:t>4</w:t>
      </w:r>
      <w:r>
        <w:rPr>
          <w:rFonts w:hint="eastAsia" w:ascii="宋体" w:hAnsi="宋体" w:cs="宋体"/>
          <w:b/>
          <w:color w:val="auto"/>
          <w:sz w:val="24"/>
          <w:highlight w:val="none"/>
        </w:rPr>
        <w:t>.质疑函（格式）</w:t>
      </w:r>
    </w:p>
    <w:p w14:paraId="2D115BF9">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质疑函（格式）</w:t>
      </w:r>
    </w:p>
    <w:p w14:paraId="0E023CBF">
      <w:pPr>
        <w:pStyle w:val="27"/>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06E12456">
      <w:pPr>
        <w:pStyle w:val="2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color w:val="auto"/>
          <w:sz w:val="24"/>
          <w:szCs w:val="24"/>
          <w:highlight w:val="none"/>
          <w:u w:val="single"/>
        </w:rPr>
        <w:t>　　　　　</w:t>
      </w:r>
    </w:p>
    <w:p w14:paraId="063BAC85">
      <w:pPr>
        <w:pStyle w:val="2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3A56236A">
      <w:pPr>
        <w:pStyle w:val="2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15995CB9">
      <w:pPr>
        <w:pStyle w:val="2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p>
    <w:p w14:paraId="3786D610">
      <w:pPr>
        <w:pStyle w:val="2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4ACEE7C6">
      <w:pPr>
        <w:pStyle w:val="2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7E9E6719">
      <w:pPr>
        <w:pStyle w:val="27"/>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1DE637EC">
      <w:pPr>
        <w:pStyle w:val="27"/>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23FC2CBB">
      <w:pPr>
        <w:pStyle w:val="27"/>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1C4CCD2A">
      <w:pPr>
        <w:pStyle w:val="2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496785D2">
      <w:pPr>
        <w:pStyle w:val="2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r>
        <w:rPr>
          <w:rFonts w:hint="eastAsia" w:hAnsi="宋体" w:cs="宋体"/>
          <w:color w:val="auto"/>
          <w:sz w:val="24"/>
          <w:szCs w:val="24"/>
          <w:highlight w:val="none"/>
          <w:u w:val="single"/>
        </w:rPr>
        <w:t>　　　　　</w:t>
      </w:r>
    </w:p>
    <w:p w14:paraId="2385A0A8">
      <w:pPr>
        <w:pStyle w:val="27"/>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□采购文件   采购文件获取日期：</w:t>
      </w:r>
    </w:p>
    <w:p w14:paraId="58711EED">
      <w:pPr>
        <w:pStyle w:val="27"/>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06BC5865">
      <w:pPr>
        <w:pStyle w:val="27"/>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□采购结果   </w:t>
      </w:r>
    </w:p>
    <w:p w14:paraId="0297DC8F">
      <w:pPr>
        <w:pStyle w:val="27"/>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16F50077">
      <w:pPr>
        <w:pStyle w:val="2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p>
    <w:p w14:paraId="501F96A5">
      <w:pPr>
        <w:pStyle w:val="2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p>
    <w:p w14:paraId="66E3185F">
      <w:pPr>
        <w:pStyle w:val="2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p>
    <w:p w14:paraId="312AEBF3">
      <w:pPr>
        <w:pStyle w:val="2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56AA9148">
      <w:pPr>
        <w:pStyle w:val="2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68946659">
      <w:pPr>
        <w:pStyle w:val="2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20275374">
      <w:pPr>
        <w:pStyle w:val="2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1FB94AEE">
      <w:pPr>
        <w:pStyle w:val="27"/>
        <w:spacing w:line="360" w:lineRule="auto"/>
        <w:ind w:left="25" w:leftChars="12" w:firstLine="352" w:firstLineChars="147"/>
        <w:rPr>
          <w:rFonts w:hAnsi="宋体" w:cs="宋体"/>
          <w:color w:val="auto"/>
          <w:sz w:val="24"/>
          <w:szCs w:val="24"/>
          <w:highlight w:val="none"/>
        </w:rPr>
      </w:pPr>
    </w:p>
    <w:p w14:paraId="227C525F">
      <w:pPr>
        <w:pStyle w:val="2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1670CC0C">
      <w:pPr>
        <w:pStyle w:val="27"/>
        <w:spacing w:line="360" w:lineRule="auto"/>
        <w:ind w:left="25" w:leftChars="12" w:firstLine="352" w:firstLineChars="147"/>
        <w:rPr>
          <w:rFonts w:hAnsi="宋体" w:cs="宋体"/>
          <w:color w:val="auto"/>
          <w:sz w:val="24"/>
          <w:szCs w:val="24"/>
          <w:highlight w:val="none"/>
        </w:rPr>
      </w:pPr>
    </w:p>
    <w:p w14:paraId="0050B16B">
      <w:pPr>
        <w:pStyle w:val="2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32B30D2B">
      <w:pPr>
        <w:pStyle w:val="27"/>
        <w:snapToGrid w:val="0"/>
        <w:spacing w:line="360" w:lineRule="auto"/>
        <w:rPr>
          <w:rFonts w:hAnsi="宋体" w:cs="宋体"/>
          <w:b/>
          <w:color w:val="auto"/>
          <w:sz w:val="24"/>
          <w:szCs w:val="24"/>
          <w:highlight w:val="none"/>
        </w:rPr>
      </w:pPr>
    </w:p>
    <w:p w14:paraId="1A0D066A">
      <w:pPr>
        <w:pStyle w:val="27"/>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00BBBF91">
      <w:pPr>
        <w:pStyle w:val="27"/>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3DB0D3D9">
      <w:pPr>
        <w:pStyle w:val="2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3BC122F">
      <w:pPr>
        <w:pStyle w:val="2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21127F06">
      <w:pPr>
        <w:pStyle w:val="2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5D9FDCE0">
      <w:pPr>
        <w:pStyle w:val="27"/>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58E95317">
      <w:pPr>
        <w:pStyle w:val="27"/>
        <w:snapToGrid w:val="0"/>
        <w:rPr>
          <w:rFonts w:hAnsi="宋体" w:cs="宋体"/>
          <w:b/>
          <w:color w:val="auto"/>
          <w:sz w:val="24"/>
          <w:szCs w:val="24"/>
          <w:highlight w:val="none"/>
        </w:rPr>
      </w:pPr>
    </w:p>
    <w:p w14:paraId="0A2591C5">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5.投诉书（格式）</w:t>
      </w:r>
    </w:p>
    <w:p w14:paraId="5E55E212">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投诉书（格式）</w:t>
      </w:r>
    </w:p>
    <w:p w14:paraId="1FCEAC86">
      <w:pPr>
        <w:pStyle w:val="27"/>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56BD5E4E">
      <w:pPr>
        <w:pStyle w:val="27"/>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color w:val="auto"/>
          <w:sz w:val="24"/>
          <w:szCs w:val="24"/>
          <w:highlight w:val="none"/>
          <w:u w:val="single"/>
        </w:rPr>
        <w:t>　　　　　</w:t>
      </w:r>
    </w:p>
    <w:p w14:paraId="39D7B712">
      <w:pPr>
        <w:pStyle w:val="27"/>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2396F420">
      <w:pPr>
        <w:pStyle w:val="27"/>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color w:val="auto"/>
          <w:sz w:val="24"/>
          <w:szCs w:val="24"/>
          <w:highlight w:val="none"/>
          <w:u w:val="single"/>
        </w:rPr>
        <w:t>　　　　　</w:t>
      </w:r>
    </w:p>
    <w:p w14:paraId="71202725">
      <w:pPr>
        <w:pStyle w:val="27"/>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798AA721">
      <w:pPr>
        <w:pStyle w:val="27"/>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573AA462">
      <w:pPr>
        <w:pStyle w:val="27"/>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7FC12621">
      <w:pPr>
        <w:pStyle w:val="27"/>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2FE0BAB9">
      <w:pPr>
        <w:pStyle w:val="27"/>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r>
        <w:rPr>
          <w:rFonts w:hint="eastAsia" w:hAnsi="宋体" w:cs="宋体"/>
          <w:color w:val="auto"/>
          <w:sz w:val="24"/>
          <w:szCs w:val="24"/>
          <w:highlight w:val="none"/>
          <w:u w:val="single"/>
        </w:rPr>
        <w:t>　　　　　</w:t>
      </w:r>
    </w:p>
    <w:p w14:paraId="5B681310">
      <w:pPr>
        <w:pStyle w:val="27"/>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42B02E12">
      <w:pPr>
        <w:pStyle w:val="27"/>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7BE43989">
      <w:pPr>
        <w:pStyle w:val="27"/>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7D80242B">
      <w:pPr>
        <w:pStyle w:val="27"/>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r>
        <w:rPr>
          <w:rFonts w:hint="eastAsia" w:hAnsi="宋体" w:cs="宋体"/>
          <w:color w:val="auto"/>
          <w:sz w:val="24"/>
          <w:szCs w:val="24"/>
          <w:highlight w:val="none"/>
          <w:u w:val="single"/>
        </w:rPr>
        <w:t>　　　　　</w:t>
      </w:r>
    </w:p>
    <w:p w14:paraId="37F878F0">
      <w:pPr>
        <w:pStyle w:val="27"/>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524457A4">
      <w:pPr>
        <w:pStyle w:val="27"/>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color w:val="auto"/>
          <w:sz w:val="24"/>
          <w:szCs w:val="24"/>
          <w:highlight w:val="none"/>
          <w:u w:val="single"/>
        </w:rPr>
        <w:t>　　　　　</w:t>
      </w:r>
    </w:p>
    <w:p w14:paraId="22E32138">
      <w:pPr>
        <w:pStyle w:val="27"/>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7E7E37BC">
      <w:pPr>
        <w:pStyle w:val="27"/>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4B2D11B2">
      <w:pPr>
        <w:pStyle w:val="27"/>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1B0CB0CF">
      <w:pPr>
        <w:pStyle w:val="27"/>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50E7B231">
      <w:pPr>
        <w:pStyle w:val="27"/>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63ABD618">
      <w:pPr>
        <w:pStyle w:val="27"/>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52413DD2">
      <w:pPr>
        <w:pStyle w:val="27"/>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color w:val="auto"/>
          <w:sz w:val="24"/>
          <w:szCs w:val="24"/>
          <w:highlight w:val="none"/>
          <w:u w:val="single"/>
        </w:rPr>
        <w:t>　　　　　</w:t>
      </w:r>
    </w:p>
    <w:p w14:paraId="2BED78BB">
      <w:pPr>
        <w:pStyle w:val="27"/>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 xml:space="preserve">      公告期限：</w:t>
      </w:r>
    </w:p>
    <w:p w14:paraId="503D76CC">
      <w:pPr>
        <w:pStyle w:val="27"/>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 xml:space="preserve">是/否 </w:t>
      </w:r>
      <w:r>
        <w:rPr>
          <w:rFonts w:hint="eastAsia" w:hAnsi="宋体" w:cs="宋体"/>
          <w:bCs/>
          <w:color w:val="auto"/>
          <w:sz w:val="24"/>
          <w:szCs w:val="24"/>
          <w:highlight w:val="none"/>
        </w:rPr>
        <w:t xml:space="preserve">     公告期限：</w:t>
      </w:r>
    </w:p>
    <w:p w14:paraId="61035A48">
      <w:pPr>
        <w:pStyle w:val="27"/>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58AB64C1">
      <w:pPr>
        <w:pStyle w:val="27"/>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投诉人于年月日，向提出质疑，质疑事项为：</w:t>
      </w:r>
    </w:p>
    <w:p w14:paraId="42452FD5">
      <w:pPr>
        <w:pStyle w:val="27"/>
        <w:spacing w:line="360" w:lineRule="auto"/>
        <w:ind w:firstLine="241"/>
        <w:rPr>
          <w:rFonts w:hAnsi="宋体" w:cs="宋体"/>
          <w:bCs/>
          <w:color w:val="auto"/>
          <w:sz w:val="24"/>
          <w:szCs w:val="24"/>
          <w:highlight w:val="none"/>
          <w:u w:val="single"/>
        </w:rPr>
      </w:pPr>
    </w:p>
    <w:p w14:paraId="7348D18C">
      <w:pPr>
        <w:pStyle w:val="27"/>
        <w:spacing w:line="360" w:lineRule="auto"/>
        <w:ind w:firstLine="241"/>
        <w:rPr>
          <w:rFonts w:hAnsi="宋体" w:cs="宋体"/>
          <w:bCs/>
          <w:color w:val="auto"/>
          <w:sz w:val="24"/>
          <w:szCs w:val="24"/>
          <w:highlight w:val="none"/>
          <w:u w:val="single"/>
        </w:rPr>
      </w:pPr>
    </w:p>
    <w:p w14:paraId="4B9BD986">
      <w:pPr>
        <w:pStyle w:val="27"/>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rPr>
        <w:t>年月日，</w:t>
      </w:r>
      <w:r>
        <w:rPr>
          <w:rFonts w:hint="eastAsia" w:hAnsi="宋体" w:cs="宋体"/>
          <w:bCs/>
          <w:color w:val="auto"/>
          <w:sz w:val="24"/>
          <w:szCs w:val="24"/>
          <w:highlight w:val="none"/>
        </w:rPr>
        <w:t xml:space="preserve">就质疑事项作出了答复/没有在法定期限内作出答复。                                                                                             </w:t>
      </w:r>
    </w:p>
    <w:p w14:paraId="34F4D8A6">
      <w:pPr>
        <w:pStyle w:val="27"/>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30283285">
      <w:pPr>
        <w:pStyle w:val="27"/>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p>
    <w:p w14:paraId="1126E678">
      <w:pPr>
        <w:pStyle w:val="27"/>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p>
    <w:p w14:paraId="1C644E61">
      <w:pPr>
        <w:pStyle w:val="27"/>
        <w:spacing w:line="360" w:lineRule="auto"/>
        <w:ind w:left="25" w:leftChars="12" w:firstLine="472" w:firstLineChars="197"/>
        <w:rPr>
          <w:rFonts w:hAnsi="宋体" w:cs="宋体"/>
          <w:color w:val="auto"/>
          <w:sz w:val="24"/>
          <w:szCs w:val="24"/>
          <w:highlight w:val="none"/>
        </w:rPr>
      </w:pPr>
    </w:p>
    <w:p w14:paraId="4F1FAF56">
      <w:pPr>
        <w:pStyle w:val="27"/>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p>
    <w:p w14:paraId="0D9656C1">
      <w:pPr>
        <w:pStyle w:val="27"/>
        <w:spacing w:line="360" w:lineRule="auto"/>
        <w:ind w:left="25" w:leftChars="12" w:firstLine="352" w:firstLineChars="147"/>
        <w:rPr>
          <w:rFonts w:hAnsi="宋体" w:cs="宋体"/>
          <w:bCs/>
          <w:color w:val="auto"/>
          <w:sz w:val="24"/>
          <w:szCs w:val="24"/>
          <w:highlight w:val="none"/>
          <w:u w:val="single"/>
        </w:rPr>
      </w:pPr>
    </w:p>
    <w:p w14:paraId="5B8ADBCA">
      <w:pPr>
        <w:pStyle w:val="27"/>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p>
    <w:p w14:paraId="791EBEA1">
      <w:pPr>
        <w:pStyle w:val="27"/>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2B84160F">
      <w:pPr>
        <w:pStyle w:val="27"/>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054F02C3">
      <w:pPr>
        <w:pStyle w:val="2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4329A6FD">
      <w:pPr>
        <w:pStyle w:val="27"/>
        <w:spacing w:line="360" w:lineRule="auto"/>
        <w:ind w:left="25" w:leftChars="12" w:firstLine="352" w:firstLineChars="147"/>
        <w:rPr>
          <w:rFonts w:hAnsi="宋体" w:cs="宋体"/>
          <w:color w:val="auto"/>
          <w:sz w:val="24"/>
          <w:szCs w:val="24"/>
          <w:highlight w:val="none"/>
        </w:rPr>
      </w:pPr>
    </w:p>
    <w:p w14:paraId="2FF821EF">
      <w:pPr>
        <w:pStyle w:val="2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5D3AA87C">
      <w:pPr>
        <w:pStyle w:val="27"/>
        <w:spacing w:line="360" w:lineRule="auto"/>
        <w:ind w:left="25" w:leftChars="12" w:firstLine="352" w:firstLineChars="147"/>
        <w:rPr>
          <w:rFonts w:hAnsi="宋体" w:cs="宋体"/>
          <w:color w:val="auto"/>
          <w:sz w:val="24"/>
          <w:szCs w:val="24"/>
          <w:highlight w:val="none"/>
        </w:rPr>
      </w:pPr>
    </w:p>
    <w:p w14:paraId="2E5E9502">
      <w:pPr>
        <w:pStyle w:val="2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7D874025">
      <w:pPr>
        <w:pStyle w:val="27"/>
        <w:spacing w:line="360" w:lineRule="auto"/>
        <w:ind w:left="25" w:leftChars="12"/>
        <w:rPr>
          <w:rFonts w:hAnsi="宋体" w:cs="宋体"/>
          <w:b/>
          <w:color w:val="auto"/>
          <w:sz w:val="24"/>
          <w:szCs w:val="24"/>
          <w:highlight w:val="none"/>
        </w:rPr>
      </w:pPr>
      <w:r>
        <w:rPr>
          <w:rFonts w:hint="eastAsia" w:hAnsi="宋体" w:cs="宋体"/>
          <w:b/>
          <w:color w:val="auto"/>
          <w:sz w:val="24"/>
          <w:szCs w:val="24"/>
          <w:highlight w:val="none"/>
        </w:rPr>
        <w:t>说明：</w:t>
      </w:r>
    </w:p>
    <w:p w14:paraId="48B4C427">
      <w:pPr>
        <w:pStyle w:val="27"/>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59D5D79F">
      <w:pPr>
        <w:pStyle w:val="2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BBDC53A">
      <w:pPr>
        <w:pStyle w:val="2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3A443370">
      <w:pPr>
        <w:pStyle w:val="2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657622C8">
      <w:pPr>
        <w:pStyle w:val="2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00213D5C">
      <w:pPr>
        <w:pStyle w:val="27"/>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5BF2E">
    <w:pPr>
      <w:pStyle w:val="33"/>
      <w:jc w:val="center"/>
    </w:pPr>
    <w:r>
      <w:fldChar w:fldCharType="begin"/>
    </w:r>
    <w:r>
      <w:instrText xml:space="preserve"> PAGE   \* MERGEFORMAT </w:instrText>
    </w:r>
    <w:r>
      <w:fldChar w:fldCharType="separate"/>
    </w:r>
    <w:r>
      <w:rPr>
        <w:lang w:val="zh-CN"/>
      </w:rPr>
      <w:t>97</w:t>
    </w:r>
    <w:r>
      <w:rPr>
        <w:lang w:val="zh-CN"/>
      </w:rPr>
      <w:fldChar w:fldCharType="end"/>
    </w:r>
  </w:p>
  <w:p w14:paraId="246417BD">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6906B">
    <w:pPr>
      <w:pStyle w:val="33"/>
      <w:framePr w:wrap="around" w:vAnchor="text" w:hAnchor="margin" w:xAlign="center" w:y="1"/>
      <w:rPr>
        <w:rStyle w:val="54"/>
      </w:rPr>
    </w:pPr>
    <w:r>
      <w:fldChar w:fldCharType="begin"/>
    </w:r>
    <w:r>
      <w:rPr>
        <w:rStyle w:val="54"/>
      </w:rPr>
      <w:instrText xml:space="preserve">PAGE  </w:instrText>
    </w:r>
    <w:r>
      <w:fldChar w:fldCharType="end"/>
    </w:r>
  </w:p>
  <w:p w14:paraId="02DF4D2A">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53878">
    <w:pPr>
      <w:pStyle w:val="33"/>
      <w:jc w:val="center"/>
    </w:pPr>
    <w:r>
      <w:fldChar w:fldCharType="begin"/>
    </w:r>
    <w:r>
      <w:instrText xml:space="preserve">PAGE   \* MERGEFORMAT</w:instrText>
    </w:r>
    <w:r>
      <w:fldChar w:fldCharType="separate"/>
    </w:r>
    <w:r>
      <w:rPr>
        <w:lang w:val="zh-CN"/>
      </w:rPr>
      <w:t>0</w:t>
    </w:r>
    <w:r>
      <w:rPr>
        <w:lang w:val="zh-CN"/>
      </w:rPr>
      <w:fldChar w:fldCharType="end"/>
    </w:r>
  </w:p>
  <w:p w14:paraId="253453CC">
    <w:pPr>
      <w:pStyle w:val="33"/>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F5C36">
    <w:pPr>
      <w:pStyle w:val="33"/>
      <w:jc w:val="center"/>
    </w:pPr>
    <w:r>
      <w:fldChar w:fldCharType="begin"/>
    </w:r>
    <w:r>
      <w:instrText xml:space="preserve"> PAGE   \* MERGEFORMAT </w:instrText>
    </w:r>
    <w:r>
      <w:fldChar w:fldCharType="separate"/>
    </w:r>
    <w:r>
      <w:rPr>
        <w:lang w:val="zh-CN"/>
      </w:rPr>
      <w:t>107</w:t>
    </w:r>
    <w:r>
      <w:rPr>
        <w:lang w:val="zh-CN"/>
      </w:rPr>
      <w:fldChar w:fldCharType="end"/>
    </w:r>
  </w:p>
  <w:p w14:paraId="7D113D29">
    <w:pPr>
      <w:pStyle w:val="3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74594">
    <w:pPr>
      <w:pStyle w:val="33"/>
      <w:framePr w:wrap="around" w:vAnchor="text" w:hAnchor="margin" w:xAlign="center" w:y="1"/>
      <w:rPr>
        <w:rStyle w:val="54"/>
      </w:rPr>
    </w:pPr>
    <w:r>
      <w:fldChar w:fldCharType="begin"/>
    </w:r>
    <w:r>
      <w:rPr>
        <w:rStyle w:val="54"/>
      </w:rPr>
      <w:instrText xml:space="preserve">PAGE  </w:instrText>
    </w:r>
    <w:r>
      <w:fldChar w:fldCharType="end"/>
    </w:r>
  </w:p>
  <w:p w14:paraId="1BE4FD72">
    <w:pPr>
      <w:pStyle w:val="3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78012">
    <w:pPr>
      <w:pStyle w:val="33"/>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28753">
    <w:pPr>
      <w:pStyle w:val="35"/>
      <w:pBdr>
        <w:bottom w:val="none" w:color="auto" w:sz="0" w:space="0"/>
      </w:pBdr>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396230" cy="4782185"/>
          <wp:effectExtent l="0" t="0" r="13970" b="18415"/>
          <wp:wrapNone/>
          <wp:docPr id="4" name="WordPictureWatermark96546633"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96546633"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24888">
    <w:pPr>
      <w:pStyle w:val="35"/>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396230" cy="4782185"/>
          <wp:effectExtent l="0" t="0" r="13970" b="18415"/>
          <wp:wrapNone/>
          <wp:docPr id="3" name="WordPictureWatermark96546632"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96546632"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2CDE8">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396230" cy="4782185"/>
          <wp:effectExtent l="0" t="0" r="13970" b="18415"/>
          <wp:wrapNone/>
          <wp:docPr id="1" name="WordPictureWatermark96546631"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96546631"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01C73">
    <w:pPr>
      <w:pStyle w:val="35"/>
      <w:pBdr>
        <w:bottom w:val="none" w:color="auto" w:sz="0" w:space="0"/>
      </w:pBdr>
    </w:pPr>
    <w: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396230" cy="4782185"/>
          <wp:effectExtent l="0" t="0" r="13970" b="18415"/>
          <wp:wrapNone/>
          <wp:docPr id="7" name="WordPictureWatermark96546636"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96546636"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ED3EB">
    <w:pPr>
      <w:pStyle w:val="35"/>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396230" cy="4782185"/>
          <wp:effectExtent l="0" t="0" r="13970" b="18415"/>
          <wp:wrapNone/>
          <wp:docPr id="6" name="WordPictureWatermark96546635"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96546635"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507F0">
    <w:pPr>
      <w:pStyle w:val="35"/>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396230" cy="4782185"/>
          <wp:effectExtent l="0" t="0" r="13970" b="18415"/>
          <wp:wrapNone/>
          <wp:docPr id="5" name="WordPictureWatermark96546634"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96546634"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179F3"/>
    <w:multiLevelType w:val="singleLevel"/>
    <w:tmpl w:val="B0E179F3"/>
    <w:lvl w:ilvl="0" w:tentative="0">
      <w:start w:val="1"/>
      <w:numFmt w:val="chineseCounting"/>
      <w:suff w:val="space"/>
      <w:lvlText w:val="第%1条"/>
      <w:lvlJc w:val="left"/>
      <w:rPr>
        <w:rFonts w:hint="eastAsia"/>
      </w:rPr>
    </w:lvl>
  </w:abstractNum>
  <w:abstractNum w:abstractNumId="1">
    <w:nsid w:val="FFFFFF7E"/>
    <w:multiLevelType w:val="singleLevel"/>
    <w:tmpl w:val="FFFFFF7E"/>
    <w:lvl w:ilvl="0" w:tentative="0">
      <w:start w:val="1"/>
      <w:numFmt w:val="decimal"/>
      <w:pStyle w:val="22"/>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C601917"/>
    <w:multiLevelType w:val="singleLevel"/>
    <w:tmpl w:val="4C601917"/>
    <w:lvl w:ilvl="0" w:tentative="0">
      <w:start w:val="1"/>
      <w:numFmt w:val="decimal"/>
      <w:suff w:val="nothing"/>
      <w:lvlText w:val="（%1）"/>
      <w:lvlJc w:val="left"/>
      <w:pPr>
        <w:ind w:left="-2"/>
      </w:pPr>
    </w:lvl>
  </w:abstractNum>
  <w:abstractNum w:abstractNumId="5">
    <w:nsid w:val="5FABD14B"/>
    <w:multiLevelType w:val="singleLevel"/>
    <w:tmpl w:val="5FABD14B"/>
    <w:lvl w:ilvl="0" w:tentative="0">
      <w:start w:val="1"/>
      <w:numFmt w:val="decimal"/>
      <w:suff w:val="nothing"/>
      <w:lvlText w:val="（%1）"/>
      <w:lvlJc w:val="left"/>
    </w:lvl>
  </w:abstractNum>
  <w:abstractNum w:abstractNumId="6">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7">
    <w:nsid w:val="7E66D773"/>
    <w:multiLevelType w:val="singleLevel"/>
    <w:tmpl w:val="7E66D773"/>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s>
  <w:rsids>
    <w:rsidRoot w:val="00172A27"/>
    <w:rsid w:val="0000085D"/>
    <w:rsid w:val="00006992"/>
    <w:rsid w:val="00010DCE"/>
    <w:rsid w:val="0001215A"/>
    <w:rsid w:val="000132CA"/>
    <w:rsid w:val="00015B66"/>
    <w:rsid w:val="00015FCE"/>
    <w:rsid w:val="00020F00"/>
    <w:rsid w:val="00021F25"/>
    <w:rsid w:val="00023308"/>
    <w:rsid w:val="00027DBC"/>
    <w:rsid w:val="0003133C"/>
    <w:rsid w:val="000327B8"/>
    <w:rsid w:val="00033446"/>
    <w:rsid w:val="00033B41"/>
    <w:rsid w:val="00034752"/>
    <w:rsid w:val="000353E4"/>
    <w:rsid w:val="00035989"/>
    <w:rsid w:val="00036B9E"/>
    <w:rsid w:val="00040F42"/>
    <w:rsid w:val="00041E6B"/>
    <w:rsid w:val="00044A6B"/>
    <w:rsid w:val="00047682"/>
    <w:rsid w:val="000476CE"/>
    <w:rsid w:val="00050200"/>
    <w:rsid w:val="0005021C"/>
    <w:rsid w:val="0005070D"/>
    <w:rsid w:val="000514D1"/>
    <w:rsid w:val="000528BD"/>
    <w:rsid w:val="00052CC8"/>
    <w:rsid w:val="00056C35"/>
    <w:rsid w:val="000574F6"/>
    <w:rsid w:val="000579FA"/>
    <w:rsid w:val="00060307"/>
    <w:rsid w:val="00063225"/>
    <w:rsid w:val="00063BFA"/>
    <w:rsid w:val="00070C84"/>
    <w:rsid w:val="00071E99"/>
    <w:rsid w:val="00072814"/>
    <w:rsid w:val="00072ABD"/>
    <w:rsid w:val="00076F6A"/>
    <w:rsid w:val="00080927"/>
    <w:rsid w:val="00087BFC"/>
    <w:rsid w:val="00087E08"/>
    <w:rsid w:val="00091E6C"/>
    <w:rsid w:val="00093253"/>
    <w:rsid w:val="00094BEA"/>
    <w:rsid w:val="00095FB5"/>
    <w:rsid w:val="000A0961"/>
    <w:rsid w:val="000A1E59"/>
    <w:rsid w:val="000A5B6E"/>
    <w:rsid w:val="000A63DC"/>
    <w:rsid w:val="000A69FD"/>
    <w:rsid w:val="000A7BFF"/>
    <w:rsid w:val="000C277E"/>
    <w:rsid w:val="000C2C36"/>
    <w:rsid w:val="000C4440"/>
    <w:rsid w:val="000C75D7"/>
    <w:rsid w:val="000D0251"/>
    <w:rsid w:val="000D48B9"/>
    <w:rsid w:val="000D5418"/>
    <w:rsid w:val="000D6326"/>
    <w:rsid w:val="000E02D5"/>
    <w:rsid w:val="000E098F"/>
    <w:rsid w:val="000E1703"/>
    <w:rsid w:val="000E177C"/>
    <w:rsid w:val="000E3E97"/>
    <w:rsid w:val="000E4D51"/>
    <w:rsid w:val="000E5771"/>
    <w:rsid w:val="000E61A4"/>
    <w:rsid w:val="000F29B5"/>
    <w:rsid w:val="000F2CDE"/>
    <w:rsid w:val="000F3896"/>
    <w:rsid w:val="000F3EF2"/>
    <w:rsid w:val="000F6003"/>
    <w:rsid w:val="000F625A"/>
    <w:rsid w:val="000F7AED"/>
    <w:rsid w:val="00100162"/>
    <w:rsid w:val="001039D2"/>
    <w:rsid w:val="00103C69"/>
    <w:rsid w:val="00105357"/>
    <w:rsid w:val="0010758F"/>
    <w:rsid w:val="00111762"/>
    <w:rsid w:val="00111996"/>
    <w:rsid w:val="00112630"/>
    <w:rsid w:val="001137DD"/>
    <w:rsid w:val="00113980"/>
    <w:rsid w:val="001163B5"/>
    <w:rsid w:val="00120D55"/>
    <w:rsid w:val="001222C7"/>
    <w:rsid w:val="00127169"/>
    <w:rsid w:val="0013265A"/>
    <w:rsid w:val="00133278"/>
    <w:rsid w:val="00133E97"/>
    <w:rsid w:val="00141DA6"/>
    <w:rsid w:val="00141FC9"/>
    <w:rsid w:val="0014219C"/>
    <w:rsid w:val="001424B8"/>
    <w:rsid w:val="00143A9F"/>
    <w:rsid w:val="0015163C"/>
    <w:rsid w:val="001519A7"/>
    <w:rsid w:val="00152E9A"/>
    <w:rsid w:val="0015737C"/>
    <w:rsid w:val="00160ADF"/>
    <w:rsid w:val="001629C9"/>
    <w:rsid w:val="00164293"/>
    <w:rsid w:val="00164384"/>
    <w:rsid w:val="001660CD"/>
    <w:rsid w:val="001663CF"/>
    <w:rsid w:val="00172A27"/>
    <w:rsid w:val="00177BD1"/>
    <w:rsid w:val="00180580"/>
    <w:rsid w:val="001869E2"/>
    <w:rsid w:val="0019018C"/>
    <w:rsid w:val="00190B0A"/>
    <w:rsid w:val="00190C47"/>
    <w:rsid w:val="00191030"/>
    <w:rsid w:val="00191420"/>
    <w:rsid w:val="00192B8A"/>
    <w:rsid w:val="001A108D"/>
    <w:rsid w:val="001A33FD"/>
    <w:rsid w:val="001A3C80"/>
    <w:rsid w:val="001A758D"/>
    <w:rsid w:val="001B0143"/>
    <w:rsid w:val="001B136E"/>
    <w:rsid w:val="001B3624"/>
    <w:rsid w:val="001B3D35"/>
    <w:rsid w:val="001B7D14"/>
    <w:rsid w:val="001C0306"/>
    <w:rsid w:val="001C1E54"/>
    <w:rsid w:val="001C2C0F"/>
    <w:rsid w:val="001C2E55"/>
    <w:rsid w:val="001C3725"/>
    <w:rsid w:val="001C3BA8"/>
    <w:rsid w:val="001C41A3"/>
    <w:rsid w:val="001C61E4"/>
    <w:rsid w:val="001C6EC3"/>
    <w:rsid w:val="001D2553"/>
    <w:rsid w:val="001D2AA1"/>
    <w:rsid w:val="001D33BF"/>
    <w:rsid w:val="001E035E"/>
    <w:rsid w:val="001E0460"/>
    <w:rsid w:val="001E0A6B"/>
    <w:rsid w:val="001E0F94"/>
    <w:rsid w:val="001E1DDC"/>
    <w:rsid w:val="001E2B78"/>
    <w:rsid w:val="001E2D52"/>
    <w:rsid w:val="001E3255"/>
    <w:rsid w:val="001E41CB"/>
    <w:rsid w:val="001E4BA6"/>
    <w:rsid w:val="001E58F4"/>
    <w:rsid w:val="001F0380"/>
    <w:rsid w:val="001F0BFB"/>
    <w:rsid w:val="001F409D"/>
    <w:rsid w:val="001F5ACF"/>
    <w:rsid w:val="001F7C7D"/>
    <w:rsid w:val="00201942"/>
    <w:rsid w:val="00201C6D"/>
    <w:rsid w:val="00201E1C"/>
    <w:rsid w:val="00202426"/>
    <w:rsid w:val="00205421"/>
    <w:rsid w:val="002070B3"/>
    <w:rsid w:val="00213DEC"/>
    <w:rsid w:val="00213FD7"/>
    <w:rsid w:val="0021562B"/>
    <w:rsid w:val="00217530"/>
    <w:rsid w:val="00217891"/>
    <w:rsid w:val="00217A7A"/>
    <w:rsid w:val="002204FF"/>
    <w:rsid w:val="002220C2"/>
    <w:rsid w:val="00224446"/>
    <w:rsid w:val="00225AC8"/>
    <w:rsid w:val="00225B3B"/>
    <w:rsid w:val="00226E5C"/>
    <w:rsid w:val="0022787E"/>
    <w:rsid w:val="00227D6A"/>
    <w:rsid w:val="00230B60"/>
    <w:rsid w:val="002336CC"/>
    <w:rsid w:val="0023388A"/>
    <w:rsid w:val="002414D0"/>
    <w:rsid w:val="00241715"/>
    <w:rsid w:val="002425AA"/>
    <w:rsid w:val="00243C04"/>
    <w:rsid w:val="002464A4"/>
    <w:rsid w:val="002465F2"/>
    <w:rsid w:val="00246993"/>
    <w:rsid w:val="00246C53"/>
    <w:rsid w:val="002526EF"/>
    <w:rsid w:val="00252E9B"/>
    <w:rsid w:val="00253FC5"/>
    <w:rsid w:val="00254598"/>
    <w:rsid w:val="002554C8"/>
    <w:rsid w:val="00255656"/>
    <w:rsid w:val="002560BD"/>
    <w:rsid w:val="00260145"/>
    <w:rsid w:val="00265FA2"/>
    <w:rsid w:val="00267915"/>
    <w:rsid w:val="0027060D"/>
    <w:rsid w:val="00270C14"/>
    <w:rsid w:val="00271254"/>
    <w:rsid w:val="00271270"/>
    <w:rsid w:val="00272611"/>
    <w:rsid w:val="00274C3B"/>
    <w:rsid w:val="00276F4B"/>
    <w:rsid w:val="002776BC"/>
    <w:rsid w:val="00277C14"/>
    <w:rsid w:val="002806E7"/>
    <w:rsid w:val="00280A7B"/>
    <w:rsid w:val="00281DE5"/>
    <w:rsid w:val="0028309A"/>
    <w:rsid w:val="00284BE5"/>
    <w:rsid w:val="0028557F"/>
    <w:rsid w:val="00285B0C"/>
    <w:rsid w:val="002868B5"/>
    <w:rsid w:val="0028750A"/>
    <w:rsid w:val="00287535"/>
    <w:rsid w:val="00291BE9"/>
    <w:rsid w:val="002932B9"/>
    <w:rsid w:val="00296C17"/>
    <w:rsid w:val="002974BF"/>
    <w:rsid w:val="002A12AE"/>
    <w:rsid w:val="002A1A59"/>
    <w:rsid w:val="002A32CB"/>
    <w:rsid w:val="002A4B46"/>
    <w:rsid w:val="002A7670"/>
    <w:rsid w:val="002B295E"/>
    <w:rsid w:val="002B2E91"/>
    <w:rsid w:val="002B4042"/>
    <w:rsid w:val="002B524C"/>
    <w:rsid w:val="002B56EB"/>
    <w:rsid w:val="002B68EC"/>
    <w:rsid w:val="002C0EAE"/>
    <w:rsid w:val="002C1477"/>
    <w:rsid w:val="002C47D2"/>
    <w:rsid w:val="002C4912"/>
    <w:rsid w:val="002D033C"/>
    <w:rsid w:val="002D468B"/>
    <w:rsid w:val="002D61C3"/>
    <w:rsid w:val="002D758E"/>
    <w:rsid w:val="002D7F90"/>
    <w:rsid w:val="002E25B5"/>
    <w:rsid w:val="002E484B"/>
    <w:rsid w:val="002E7C69"/>
    <w:rsid w:val="002F1167"/>
    <w:rsid w:val="002F19EE"/>
    <w:rsid w:val="002F1F82"/>
    <w:rsid w:val="002F3360"/>
    <w:rsid w:val="002F4DD2"/>
    <w:rsid w:val="002F5172"/>
    <w:rsid w:val="002F5BCF"/>
    <w:rsid w:val="002F7114"/>
    <w:rsid w:val="0030133C"/>
    <w:rsid w:val="00301F2E"/>
    <w:rsid w:val="00304303"/>
    <w:rsid w:val="0030459B"/>
    <w:rsid w:val="00306458"/>
    <w:rsid w:val="003102B7"/>
    <w:rsid w:val="00313126"/>
    <w:rsid w:val="00313EF4"/>
    <w:rsid w:val="003158F6"/>
    <w:rsid w:val="00315A70"/>
    <w:rsid w:val="003166BB"/>
    <w:rsid w:val="00316826"/>
    <w:rsid w:val="00321CF6"/>
    <w:rsid w:val="00323A95"/>
    <w:rsid w:val="00327489"/>
    <w:rsid w:val="0033087B"/>
    <w:rsid w:val="003327CC"/>
    <w:rsid w:val="00333F85"/>
    <w:rsid w:val="00334114"/>
    <w:rsid w:val="00337929"/>
    <w:rsid w:val="00341A50"/>
    <w:rsid w:val="00346AA8"/>
    <w:rsid w:val="003479D4"/>
    <w:rsid w:val="00351E02"/>
    <w:rsid w:val="0035205B"/>
    <w:rsid w:val="00352BD6"/>
    <w:rsid w:val="00352C59"/>
    <w:rsid w:val="00352E50"/>
    <w:rsid w:val="00352FD8"/>
    <w:rsid w:val="00353B06"/>
    <w:rsid w:val="003564A4"/>
    <w:rsid w:val="0035659D"/>
    <w:rsid w:val="0035660C"/>
    <w:rsid w:val="00356C18"/>
    <w:rsid w:val="00364131"/>
    <w:rsid w:val="003647D9"/>
    <w:rsid w:val="00365217"/>
    <w:rsid w:val="00366125"/>
    <w:rsid w:val="00366FF2"/>
    <w:rsid w:val="00371E76"/>
    <w:rsid w:val="003729B7"/>
    <w:rsid w:val="003749B7"/>
    <w:rsid w:val="003752CA"/>
    <w:rsid w:val="003762F4"/>
    <w:rsid w:val="003763A4"/>
    <w:rsid w:val="00380273"/>
    <w:rsid w:val="00380528"/>
    <w:rsid w:val="003825AA"/>
    <w:rsid w:val="0038368A"/>
    <w:rsid w:val="00383EDC"/>
    <w:rsid w:val="0038496E"/>
    <w:rsid w:val="00385C8D"/>
    <w:rsid w:val="00387BFE"/>
    <w:rsid w:val="00387CB4"/>
    <w:rsid w:val="00392B7B"/>
    <w:rsid w:val="003947CB"/>
    <w:rsid w:val="003957DE"/>
    <w:rsid w:val="003A015C"/>
    <w:rsid w:val="003A2D15"/>
    <w:rsid w:val="003A32F4"/>
    <w:rsid w:val="003A5203"/>
    <w:rsid w:val="003A7B59"/>
    <w:rsid w:val="003B156B"/>
    <w:rsid w:val="003B1A2A"/>
    <w:rsid w:val="003B207F"/>
    <w:rsid w:val="003B2979"/>
    <w:rsid w:val="003B41BB"/>
    <w:rsid w:val="003C1979"/>
    <w:rsid w:val="003C37DE"/>
    <w:rsid w:val="003C4AC1"/>
    <w:rsid w:val="003C5689"/>
    <w:rsid w:val="003C629F"/>
    <w:rsid w:val="003C633B"/>
    <w:rsid w:val="003C7104"/>
    <w:rsid w:val="003D045E"/>
    <w:rsid w:val="003D0534"/>
    <w:rsid w:val="003D3535"/>
    <w:rsid w:val="003D3C4F"/>
    <w:rsid w:val="003D3E61"/>
    <w:rsid w:val="003D47FE"/>
    <w:rsid w:val="003D7203"/>
    <w:rsid w:val="003E0CE2"/>
    <w:rsid w:val="003E2501"/>
    <w:rsid w:val="003E3706"/>
    <w:rsid w:val="003E6DCC"/>
    <w:rsid w:val="003E6E24"/>
    <w:rsid w:val="003F463C"/>
    <w:rsid w:val="003F4FCC"/>
    <w:rsid w:val="003F55EA"/>
    <w:rsid w:val="003F60F3"/>
    <w:rsid w:val="003F7DBC"/>
    <w:rsid w:val="004009F3"/>
    <w:rsid w:val="00401A2E"/>
    <w:rsid w:val="00401A4D"/>
    <w:rsid w:val="00403331"/>
    <w:rsid w:val="00404D5C"/>
    <w:rsid w:val="0040503B"/>
    <w:rsid w:val="004057A1"/>
    <w:rsid w:val="00405A90"/>
    <w:rsid w:val="004064E9"/>
    <w:rsid w:val="004066F2"/>
    <w:rsid w:val="004114A6"/>
    <w:rsid w:val="004120D9"/>
    <w:rsid w:val="00412262"/>
    <w:rsid w:val="0041257C"/>
    <w:rsid w:val="0041301D"/>
    <w:rsid w:val="00415B30"/>
    <w:rsid w:val="00416830"/>
    <w:rsid w:val="00416B33"/>
    <w:rsid w:val="004170FF"/>
    <w:rsid w:val="00417528"/>
    <w:rsid w:val="004245C0"/>
    <w:rsid w:val="00424B15"/>
    <w:rsid w:val="00424BD1"/>
    <w:rsid w:val="0043241E"/>
    <w:rsid w:val="00432B55"/>
    <w:rsid w:val="0043422F"/>
    <w:rsid w:val="00436B8A"/>
    <w:rsid w:val="004420E7"/>
    <w:rsid w:val="00442C87"/>
    <w:rsid w:val="0044393D"/>
    <w:rsid w:val="0044412A"/>
    <w:rsid w:val="004450D0"/>
    <w:rsid w:val="00445142"/>
    <w:rsid w:val="0044686D"/>
    <w:rsid w:val="00450D4D"/>
    <w:rsid w:val="00451C52"/>
    <w:rsid w:val="00452648"/>
    <w:rsid w:val="00454CD8"/>
    <w:rsid w:val="0045582A"/>
    <w:rsid w:val="00455948"/>
    <w:rsid w:val="00457A5E"/>
    <w:rsid w:val="00460760"/>
    <w:rsid w:val="004607A8"/>
    <w:rsid w:val="00460C30"/>
    <w:rsid w:val="00460EE6"/>
    <w:rsid w:val="00463318"/>
    <w:rsid w:val="004645FD"/>
    <w:rsid w:val="00465C04"/>
    <w:rsid w:val="00466419"/>
    <w:rsid w:val="00466B2E"/>
    <w:rsid w:val="00466E27"/>
    <w:rsid w:val="00470A20"/>
    <w:rsid w:val="00471913"/>
    <w:rsid w:val="0047216E"/>
    <w:rsid w:val="0047230F"/>
    <w:rsid w:val="00472F70"/>
    <w:rsid w:val="004742BD"/>
    <w:rsid w:val="00475481"/>
    <w:rsid w:val="004818C0"/>
    <w:rsid w:val="00481F5D"/>
    <w:rsid w:val="00482050"/>
    <w:rsid w:val="00482946"/>
    <w:rsid w:val="00484E7B"/>
    <w:rsid w:val="004861BB"/>
    <w:rsid w:val="004863FD"/>
    <w:rsid w:val="0048721D"/>
    <w:rsid w:val="00490151"/>
    <w:rsid w:val="00492558"/>
    <w:rsid w:val="0049410C"/>
    <w:rsid w:val="00495CB0"/>
    <w:rsid w:val="004A081D"/>
    <w:rsid w:val="004A3E0C"/>
    <w:rsid w:val="004A3F6D"/>
    <w:rsid w:val="004A3FDF"/>
    <w:rsid w:val="004A4E35"/>
    <w:rsid w:val="004A65D5"/>
    <w:rsid w:val="004A6DF2"/>
    <w:rsid w:val="004A7498"/>
    <w:rsid w:val="004B0612"/>
    <w:rsid w:val="004B10BF"/>
    <w:rsid w:val="004B152A"/>
    <w:rsid w:val="004B3052"/>
    <w:rsid w:val="004B69E0"/>
    <w:rsid w:val="004C0162"/>
    <w:rsid w:val="004C1DCA"/>
    <w:rsid w:val="004C4CFB"/>
    <w:rsid w:val="004C628E"/>
    <w:rsid w:val="004D030E"/>
    <w:rsid w:val="004D2E1D"/>
    <w:rsid w:val="004D3259"/>
    <w:rsid w:val="004D3FC0"/>
    <w:rsid w:val="004D416F"/>
    <w:rsid w:val="004D6B37"/>
    <w:rsid w:val="004E2ED2"/>
    <w:rsid w:val="004E3FCA"/>
    <w:rsid w:val="004E444B"/>
    <w:rsid w:val="004E5E43"/>
    <w:rsid w:val="004E6117"/>
    <w:rsid w:val="004F01FD"/>
    <w:rsid w:val="004F0AC5"/>
    <w:rsid w:val="004F0D13"/>
    <w:rsid w:val="004F39D2"/>
    <w:rsid w:val="004F401E"/>
    <w:rsid w:val="004F608C"/>
    <w:rsid w:val="004F7DB4"/>
    <w:rsid w:val="00500A0A"/>
    <w:rsid w:val="00500A81"/>
    <w:rsid w:val="00503F12"/>
    <w:rsid w:val="00506FA9"/>
    <w:rsid w:val="005104FD"/>
    <w:rsid w:val="00511EAC"/>
    <w:rsid w:val="00512F6D"/>
    <w:rsid w:val="00513886"/>
    <w:rsid w:val="0051461C"/>
    <w:rsid w:val="00517F6F"/>
    <w:rsid w:val="005239D4"/>
    <w:rsid w:val="00523B45"/>
    <w:rsid w:val="00525767"/>
    <w:rsid w:val="005259CF"/>
    <w:rsid w:val="00525AA4"/>
    <w:rsid w:val="00530EA8"/>
    <w:rsid w:val="005320E5"/>
    <w:rsid w:val="00534C82"/>
    <w:rsid w:val="0053536E"/>
    <w:rsid w:val="00537958"/>
    <w:rsid w:val="00540C26"/>
    <w:rsid w:val="005426F7"/>
    <w:rsid w:val="00542887"/>
    <w:rsid w:val="00545A18"/>
    <w:rsid w:val="005462B0"/>
    <w:rsid w:val="00547513"/>
    <w:rsid w:val="00550640"/>
    <w:rsid w:val="00551FDF"/>
    <w:rsid w:val="00553A4A"/>
    <w:rsid w:val="00553C26"/>
    <w:rsid w:val="0055453C"/>
    <w:rsid w:val="0055699B"/>
    <w:rsid w:val="00556C5F"/>
    <w:rsid w:val="005622CE"/>
    <w:rsid w:val="005625B0"/>
    <w:rsid w:val="005645B6"/>
    <w:rsid w:val="00564844"/>
    <w:rsid w:val="0056487F"/>
    <w:rsid w:val="005651BD"/>
    <w:rsid w:val="005663AC"/>
    <w:rsid w:val="00572214"/>
    <w:rsid w:val="005736B8"/>
    <w:rsid w:val="00573990"/>
    <w:rsid w:val="0057737E"/>
    <w:rsid w:val="00577408"/>
    <w:rsid w:val="00577479"/>
    <w:rsid w:val="0058151E"/>
    <w:rsid w:val="005822B6"/>
    <w:rsid w:val="00583AAE"/>
    <w:rsid w:val="0058555B"/>
    <w:rsid w:val="00585B66"/>
    <w:rsid w:val="00587846"/>
    <w:rsid w:val="0059071B"/>
    <w:rsid w:val="00590DBC"/>
    <w:rsid w:val="00590FAF"/>
    <w:rsid w:val="005914DB"/>
    <w:rsid w:val="00592690"/>
    <w:rsid w:val="00592A26"/>
    <w:rsid w:val="00593E48"/>
    <w:rsid w:val="005A0C23"/>
    <w:rsid w:val="005A2DCF"/>
    <w:rsid w:val="005A4BBA"/>
    <w:rsid w:val="005A4E33"/>
    <w:rsid w:val="005B0387"/>
    <w:rsid w:val="005B0AA2"/>
    <w:rsid w:val="005B2925"/>
    <w:rsid w:val="005B2C44"/>
    <w:rsid w:val="005B3FD6"/>
    <w:rsid w:val="005B6AF7"/>
    <w:rsid w:val="005C0211"/>
    <w:rsid w:val="005C0742"/>
    <w:rsid w:val="005C4679"/>
    <w:rsid w:val="005C5CFC"/>
    <w:rsid w:val="005C7DDF"/>
    <w:rsid w:val="005D0173"/>
    <w:rsid w:val="005D44B2"/>
    <w:rsid w:val="005D4A9B"/>
    <w:rsid w:val="005D5245"/>
    <w:rsid w:val="005D5EA7"/>
    <w:rsid w:val="005D74D8"/>
    <w:rsid w:val="005D7DCD"/>
    <w:rsid w:val="005D7DDC"/>
    <w:rsid w:val="005E17CF"/>
    <w:rsid w:val="005E1809"/>
    <w:rsid w:val="005E204B"/>
    <w:rsid w:val="005E3275"/>
    <w:rsid w:val="005E5EE9"/>
    <w:rsid w:val="005F1D27"/>
    <w:rsid w:val="005F231D"/>
    <w:rsid w:val="005F2890"/>
    <w:rsid w:val="005F2F88"/>
    <w:rsid w:val="005F3EF8"/>
    <w:rsid w:val="005F44B7"/>
    <w:rsid w:val="005F53E6"/>
    <w:rsid w:val="005F6B05"/>
    <w:rsid w:val="005F6C8A"/>
    <w:rsid w:val="005F75A7"/>
    <w:rsid w:val="005F7B62"/>
    <w:rsid w:val="006001E4"/>
    <w:rsid w:val="00602FBF"/>
    <w:rsid w:val="00603898"/>
    <w:rsid w:val="00604105"/>
    <w:rsid w:val="006053F7"/>
    <w:rsid w:val="00607CC4"/>
    <w:rsid w:val="006100D2"/>
    <w:rsid w:val="00610A28"/>
    <w:rsid w:val="006128D0"/>
    <w:rsid w:val="00613F99"/>
    <w:rsid w:val="00615673"/>
    <w:rsid w:val="00615972"/>
    <w:rsid w:val="0061687E"/>
    <w:rsid w:val="0062063C"/>
    <w:rsid w:val="00621153"/>
    <w:rsid w:val="00621CB7"/>
    <w:rsid w:val="00622D8A"/>
    <w:rsid w:val="0062323D"/>
    <w:rsid w:val="00623C55"/>
    <w:rsid w:val="00625812"/>
    <w:rsid w:val="0062768E"/>
    <w:rsid w:val="00630220"/>
    <w:rsid w:val="006310EB"/>
    <w:rsid w:val="006313F3"/>
    <w:rsid w:val="006348BB"/>
    <w:rsid w:val="00635519"/>
    <w:rsid w:val="006363EF"/>
    <w:rsid w:val="00636416"/>
    <w:rsid w:val="006374BD"/>
    <w:rsid w:val="00640DBC"/>
    <w:rsid w:val="00643590"/>
    <w:rsid w:val="00646433"/>
    <w:rsid w:val="00651D62"/>
    <w:rsid w:val="006522FC"/>
    <w:rsid w:val="00652944"/>
    <w:rsid w:val="00654283"/>
    <w:rsid w:val="0065547E"/>
    <w:rsid w:val="00655BCB"/>
    <w:rsid w:val="00657BB4"/>
    <w:rsid w:val="006622D5"/>
    <w:rsid w:val="0066267A"/>
    <w:rsid w:val="0066447A"/>
    <w:rsid w:val="00666353"/>
    <w:rsid w:val="00670C2C"/>
    <w:rsid w:val="0067387D"/>
    <w:rsid w:val="00673C7B"/>
    <w:rsid w:val="00676258"/>
    <w:rsid w:val="0068003D"/>
    <w:rsid w:val="00681F9A"/>
    <w:rsid w:val="006828F8"/>
    <w:rsid w:val="00683C55"/>
    <w:rsid w:val="00684B8B"/>
    <w:rsid w:val="006853F7"/>
    <w:rsid w:val="006856CA"/>
    <w:rsid w:val="00687BD4"/>
    <w:rsid w:val="006927BE"/>
    <w:rsid w:val="00694196"/>
    <w:rsid w:val="006952B2"/>
    <w:rsid w:val="00695F25"/>
    <w:rsid w:val="00696442"/>
    <w:rsid w:val="00696C05"/>
    <w:rsid w:val="006A0129"/>
    <w:rsid w:val="006A162E"/>
    <w:rsid w:val="006A2E08"/>
    <w:rsid w:val="006A49A6"/>
    <w:rsid w:val="006A4A82"/>
    <w:rsid w:val="006B4415"/>
    <w:rsid w:val="006B7965"/>
    <w:rsid w:val="006C1A41"/>
    <w:rsid w:val="006C1A8D"/>
    <w:rsid w:val="006C1AE5"/>
    <w:rsid w:val="006C3C17"/>
    <w:rsid w:val="006C690E"/>
    <w:rsid w:val="006C76FE"/>
    <w:rsid w:val="006D19EA"/>
    <w:rsid w:val="006D2F8B"/>
    <w:rsid w:val="006D3182"/>
    <w:rsid w:val="006D5A39"/>
    <w:rsid w:val="006D6A33"/>
    <w:rsid w:val="006E34EA"/>
    <w:rsid w:val="006E3D89"/>
    <w:rsid w:val="006E657A"/>
    <w:rsid w:val="006E6711"/>
    <w:rsid w:val="006F0C90"/>
    <w:rsid w:val="006F1628"/>
    <w:rsid w:val="006F625E"/>
    <w:rsid w:val="007040FB"/>
    <w:rsid w:val="007046FB"/>
    <w:rsid w:val="00704D13"/>
    <w:rsid w:val="007054B1"/>
    <w:rsid w:val="007079A6"/>
    <w:rsid w:val="00707F41"/>
    <w:rsid w:val="00711A7B"/>
    <w:rsid w:val="007142FD"/>
    <w:rsid w:val="0071636D"/>
    <w:rsid w:val="007163D5"/>
    <w:rsid w:val="007166B0"/>
    <w:rsid w:val="00717972"/>
    <w:rsid w:val="00720481"/>
    <w:rsid w:val="00721574"/>
    <w:rsid w:val="0072234C"/>
    <w:rsid w:val="00724530"/>
    <w:rsid w:val="00727097"/>
    <w:rsid w:val="00727976"/>
    <w:rsid w:val="00730E3D"/>
    <w:rsid w:val="00733221"/>
    <w:rsid w:val="0073377D"/>
    <w:rsid w:val="00734C28"/>
    <w:rsid w:val="00737852"/>
    <w:rsid w:val="00737CB9"/>
    <w:rsid w:val="007406FD"/>
    <w:rsid w:val="00745A9A"/>
    <w:rsid w:val="00746921"/>
    <w:rsid w:val="007475D6"/>
    <w:rsid w:val="00750C8D"/>
    <w:rsid w:val="007518A3"/>
    <w:rsid w:val="00752101"/>
    <w:rsid w:val="00752ED9"/>
    <w:rsid w:val="007532DD"/>
    <w:rsid w:val="00755548"/>
    <w:rsid w:val="00755867"/>
    <w:rsid w:val="007558FE"/>
    <w:rsid w:val="00756394"/>
    <w:rsid w:val="00756542"/>
    <w:rsid w:val="00757C10"/>
    <w:rsid w:val="00760693"/>
    <w:rsid w:val="00762896"/>
    <w:rsid w:val="00762B4A"/>
    <w:rsid w:val="0076545F"/>
    <w:rsid w:val="00767E6E"/>
    <w:rsid w:val="00770ADA"/>
    <w:rsid w:val="0077301F"/>
    <w:rsid w:val="007735FA"/>
    <w:rsid w:val="00773C03"/>
    <w:rsid w:val="00774C34"/>
    <w:rsid w:val="007750A3"/>
    <w:rsid w:val="00776A3F"/>
    <w:rsid w:val="00776BE2"/>
    <w:rsid w:val="007770D0"/>
    <w:rsid w:val="00780099"/>
    <w:rsid w:val="007802E6"/>
    <w:rsid w:val="0078162D"/>
    <w:rsid w:val="007818B5"/>
    <w:rsid w:val="0078202F"/>
    <w:rsid w:val="007836C2"/>
    <w:rsid w:val="00790071"/>
    <w:rsid w:val="00791B02"/>
    <w:rsid w:val="0079306F"/>
    <w:rsid w:val="00793546"/>
    <w:rsid w:val="00793FEA"/>
    <w:rsid w:val="00794807"/>
    <w:rsid w:val="0079575B"/>
    <w:rsid w:val="0079733D"/>
    <w:rsid w:val="007A2349"/>
    <w:rsid w:val="007A2FB7"/>
    <w:rsid w:val="007A4178"/>
    <w:rsid w:val="007A5050"/>
    <w:rsid w:val="007A59AA"/>
    <w:rsid w:val="007A602D"/>
    <w:rsid w:val="007A6BBA"/>
    <w:rsid w:val="007A7CC7"/>
    <w:rsid w:val="007B0CF6"/>
    <w:rsid w:val="007B2519"/>
    <w:rsid w:val="007B36A8"/>
    <w:rsid w:val="007B3A10"/>
    <w:rsid w:val="007B4FF9"/>
    <w:rsid w:val="007B706B"/>
    <w:rsid w:val="007C04A2"/>
    <w:rsid w:val="007C1104"/>
    <w:rsid w:val="007C15DE"/>
    <w:rsid w:val="007C4685"/>
    <w:rsid w:val="007C4D66"/>
    <w:rsid w:val="007C51BD"/>
    <w:rsid w:val="007C58C6"/>
    <w:rsid w:val="007C5D1D"/>
    <w:rsid w:val="007C790B"/>
    <w:rsid w:val="007D1C33"/>
    <w:rsid w:val="007D2E1E"/>
    <w:rsid w:val="007D4CD4"/>
    <w:rsid w:val="007D5490"/>
    <w:rsid w:val="007D56FB"/>
    <w:rsid w:val="007D725E"/>
    <w:rsid w:val="007D7E23"/>
    <w:rsid w:val="007E0A8D"/>
    <w:rsid w:val="007E3885"/>
    <w:rsid w:val="007E53F4"/>
    <w:rsid w:val="007E7832"/>
    <w:rsid w:val="007F1FD2"/>
    <w:rsid w:val="007F5670"/>
    <w:rsid w:val="007F5AF4"/>
    <w:rsid w:val="007F671C"/>
    <w:rsid w:val="00800546"/>
    <w:rsid w:val="0080111A"/>
    <w:rsid w:val="00801E5F"/>
    <w:rsid w:val="008023EE"/>
    <w:rsid w:val="00802446"/>
    <w:rsid w:val="0080328C"/>
    <w:rsid w:val="00803F48"/>
    <w:rsid w:val="00804520"/>
    <w:rsid w:val="00804F0D"/>
    <w:rsid w:val="00805A64"/>
    <w:rsid w:val="00805E5B"/>
    <w:rsid w:val="00805F2A"/>
    <w:rsid w:val="00807728"/>
    <w:rsid w:val="00810517"/>
    <w:rsid w:val="008117F7"/>
    <w:rsid w:val="00813FCD"/>
    <w:rsid w:val="00815C12"/>
    <w:rsid w:val="00816FCD"/>
    <w:rsid w:val="0082030C"/>
    <w:rsid w:val="0082290A"/>
    <w:rsid w:val="008246D8"/>
    <w:rsid w:val="00825BFE"/>
    <w:rsid w:val="00826A24"/>
    <w:rsid w:val="0083161F"/>
    <w:rsid w:val="008354DA"/>
    <w:rsid w:val="008374A5"/>
    <w:rsid w:val="00837F59"/>
    <w:rsid w:val="008419D4"/>
    <w:rsid w:val="00846176"/>
    <w:rsid w:val="00846959"/>
    <w:rsid w:val="00846D58"/>
    <w:rsid w:val="00847112"/>
    <w:rsid w:val="00850A76"/>
    <w:rsid w:val="008518E9"/>
    <w:rsid w:val="00851F77"/>
    <w:rsid w:val="00853CF1"/>
    <w:rsid w:val="00853F90"/>
    <w:rsid w:val="00854287"/>
    <w:rsid w:val="00854CD7"/>
    <w:rsid w:val="008560DC"/>
    <w:rsid w:val="008608CE"/>
    <w:rsid w:val="00863FA0"/>
    <w:rsid w:val="008642AD"/>
    <w:rsid w:val="00864767"/>
    <w:rsid w:val="008658C1"/>
    <w:rsid w:val="00871420"/>
    <w:rsid w:val="00871E52"/>
    <w:rsid w:val="0087284F"/>
    <w:rsid w:val="00873B39"/>
    <w:rsid w:val="00874F0A"/>
    <w:rsid w:val="0087537F"/>
    <w:rsid w:val="00875790"/>
    <w:rsid w:val="0088274C"/>
    <w:rsid w:val="0088553F"/>
    <w:rsid w:val="0088566E"/>
    <w:rsid w:val="00887AE8"/>
    <w:rsid w:val="00890A44"/>
    <w:rsid w:val="008952B1"/>
    <w:rsid w:val="00895D42"/>
    <w:rsid w:val="00896461"/>
    <w:rsid w:val="008A092E"/>
    <w:rsid w:val="008A0A21"/>
    <w:rsid w:val="008A0A2B"/>
    <w:rsid w:val="008A1271"/>
    <w:rsid w:val="008A139B"/>
    <w:rsid w:val="008A19CC"/>
    <w:rsid w:val="008A2C2D"/>
    <w:rsid w:val="008A34A5"/>
    <w:rsid w:val="008A65A0"/>
    <w:rsid w:val="008B0AE4"/>
    <w:rsid w:val="008B386D"/>
    <w:rsid w:val="008B4009"/>
    <w:rsid w:val="008B419D"/>
    <w:rsid w:val="008B49BE"/>
    <w:rsid w:val="008B5E1A"/>
    <w:rsid w:val="008C01CC"/>
    <w:rsid w:val="008C0841"/>
    <w:rsid w:val="008C320E"/>
    <w:rsid w:val="008C39B7"/>
    <w:rsid w:val="008C41BA"/>
    <w:rsid w:val="008C4745"/>
    <w:rsid w:val="008C4853"/>
    <w:rsid w:val="008C6CE3"/>
    <w:rsid w:val="008C70A4"/>
    <w:rsid w:val="008D61F0"/>
    <w:rsid w:val="008D6230"/>
    <w:rsid w:val="008E0BC0"/>
    <w:rsid w:val="008E0D93"/>
    <w:rsid w:val="008E1730"/>
    <w:rsid w:val="008E396D"/>
    <w:rsid w:val="008E4433"/>
    <w:rsid w:val="008E5D9B"/>
    <w:rsid w:val="008E6BBD"/>
    <w:rsid w:val="008F1A37"/>
    <w:rsid w:val="008F1C7A"/>
    <w:rsid w:val="008F451C"/>
    <w:rsid w:val="008F68A8"/>
    <w:rsid w:val="009002D9"/>
    <w:rsid w:val="0090030F"/>
    <w:rsid w:val="00901117"/>
    <w:rsid w:val="00901F02"/>
    <w:rsid w:val="00901FAF"/>
    <w:rsid w:val="00903821"/>
    <w:rsid w:val="00903E8B"/>
    <w:rsid w:val="00904039"/>
    <w:rsid w:val="00904AAA"/>
    <w:rsid w:val="00906B23"/>
    <w:rsid w:val="009076DA"/>
    <w:rsid w:val="00907A72"/>
    <w:rsid w:val="00907FC8"/>
    <w:rsid w:val="00912121"/>
    <w:rsid w:val="00912206"/>
    <w:rsid w:val="009130B6"/>
    <w:rsid w:val="009137DE"/>
    <w:rsid w:val="009140B4"/>
    <w:rsid w:val="0091551B"/>
    <w:rsid w:val="0091583A"/>
    <w:rsid w:val="00915DBE"/>
    <w:rsid w:val="00916271"/>
    <w:rsid w:val="00921ECE"/>
    <w:rsid w:val="00922188"/>
    <w:rsid w:val="00923524"/>
    <w:rsid w:val="00924DE2"/>
    <w:rsid w:val="00925B65"/>
    <w:rsid w:val="0092697C"/>
    <w:rsid w:val="00927437"/>
    <w:rsid w:val="00927CEA"/>
    <w:rsid w:val="0093183D"/>
    <w:rsid w:val="009324BB"/>
    <w:rsid w:val="0093345B"/>
    <w:rsid w:val="009365FC"/>
    <w:rsid w:val="009373A8"/>
    <w:rsid w:val="0094046D"/>
    <w:rsid w:val="009404DF"/>
    <w:rsid w:val="0094217E"/>
    <w:rsid w:val="009425C8"/>
    <w:rsid w:val="009457D8"/>
    <w:rsid w:val="00951493"/>
    <w:rsid w:val="009517BB"/>
    <w:rsid w:val="00953B67"/>
    <w:rsid w:val="009552B5"/>
    <w:rsid w:val="00955DCE"/>
    <w:rsid w:val="00957384"/>
    <w:rsid w:val="009573D8"/>
    <w:rsid w:val="00957E28"/>
    <w:rsid w:val="00961749"/>
    <w:rsid w:val="00962015"/>
    <w:rsid w:val="00963524"/>
    <w:rsid w:val="00973168"/>
    <w:rsid w:val="00974DF1"/>
    <w:rsid w:val="00981B72"/>
    <w:rsid w:val="009845EA"/>
    <w:rsid w:val="00984CC4"/>
    <w:rsid w:val="00986494"/>
    <w:rsid w:val="00990067"/>
    <w:rsid w:val="0099202B"/>
    <w:rsid w:val="00992DE9"/>
    <w:rsid w:val="009941A7"/>
    <w:rsid w:val="00994284"/>
    <w:rsid w:val="009A3960"/>
    <w:rsid w:val="009A3A59"/>
    <w:rsid w:val="009A45A8"/>
    <w:rsid w:val="009B13B5"/>
    <w:rsid w:val="009B2101"/>
    <w:rsid w:val="009B3489"/>
    <w:rsid w:val="009B55B3"/>
    <w:rsid w:val="009B620F"/>
    <w:rsid w:val="009B6850"/>
    <w:rsid w:val="009B6E58"/>
    <w:rsid w:val="009B6E7D"/>
    <w:rsid w:val="009B73FD"/>
    <w:rsid w:val="009B7A8F"/>
    <w:rsid w:val="009C0EA9"/>
    <w:rsid w:val="009C3F3C"/>
    <w:rsid w:val="009C56AE"/>
    <w:rsid w:val="009C5841"/>
    <w:rsid w:val="009C6617"/>
    <w:rsid w:val="009C7D1E"/>
    <w:rsid w:val="009D4A4F"/>
    <w:rsid w:val="009D56DA"/>
    <w:rsid w:val="009E3F57"/>
    <w:rsid w:val="009E4836"/>
    <w:rsid w:val="009E4A5A"/>
    <w:rsid w:val="009E4BDC"/>
    <w:rsid w:val="009E524F"/>
    <w:rsid w:val="009E7F2B"/>
    <w:rsid w:val="009F1690"/>
    <w:rsid w:val="009F1EAD"/>
    <w:rsid w:val="009F37F6"/>
    <w:rsid w:val="009F425E"/>
    <w:rsid w:val="009F64A7"/>
    <w:rsid w:val="009F6559"/>
    <w:rsid w:val="009F734C"/>
    <w:rsid w:val="00A02076"/>
    <w:rsid w:val="00A023C8"/>
    <w:rsid w:val="00A02514"/>
    <w:rsid w:val="00A0420D"/>
    <w:rsid w:val="00A04629"/>
    <w:rsid w:val="00A05D8A"/>
    <w:rsid w:val="00A07C88"/>
    <w:rsid w:val="00A117BD"/>
    <w:rsid w:val="00A11CFA"/>
    <w:rsid w:val="00A1241B"/>
    <w:rsid w:val="00A12961"/>
    <w:rsid w:val="00A12CA4"/>
    <w:rsid w:val="00A138AE"/>
    <w:rsid w:val="00A13C40"/>
    <w:rsid w:val="00A142C3"/>
    <w:rsid w:val="00A14CD2"/>
    <w:rsid w:val="00A16817"/>
    <w:rsid w:val="00A21D38"/>
    <w:rsid w:val="00A225E2"/>
    <w:rsid w:val="00A22B96"/>
    <w:rsid w:val="00A24EC8"/>
    <w:rsid w:val="00A27D0B"/>
    <w:rsid w:val="00A31012"/>
    <w:rsid w:val="00A33FDF"/>
    <w:rsid w:val="00A34E30"/>
    <w:rsid w:val="00A3582D"/>
    <w:rsid w:val="00A35A46"/>
    <w:rsid w:val="00A35CCD"/>
    <w:rsid w:val="00A37807"/>
    <w:rsid w:val="00A4051A"/>
    <w:rsid w:val="00A42E4E"/>
    <w:rsid w:val="00A45060"/>
    <w:rsid w:val="00A456B5"/>
    <w:rsid w:val="00A45F5F"/>
    <w:rsid w:val="00A46AE6"/>
    <w:rsid w:val="00A4765F"/>
    <w:rsid w:val="00A47FE7"/>
    <w:rsid w:val="00A51CC8"/>
    <w:rsid w:val="00A52811"/>
    <w:rsid w:val="00A55E24"/>
    <w:rsid w:val="00A562C1"/>
    <w:rsid w:val="00A576CB"/>
    <w:rsid w:val="00A617AF"/>
    <w:rsid w:val="00A61B65"/>
    <w:rsid w:val="00A62967"/>
    <w:rsid w:val="00A638A7"/>
    <w:rsid w:val="00A63947"/>
    <w:rsid w:val="00A6462A"/>
    <w:rsid w:val="00A64861"/>
    <w:rsid w:val="00A65855"/>
    <w:rsid w:val="00A658A4"/>
    <w:rsid w:val="00A65F03"/>
    <w:rsid w:val="00A666B1"/>
    <w:rsid w:val="00A71C4A"/>
    <w:rsid w:val="00A72E9B"/>
    <w:rsid w:val="00A757EB"/>
    <w:rsid w:val="00A759C2"/>
    <w:rsid w:val="00A76022"/>
    <w:rsid w:val="00A85C54"/>
    <w:rsid w:val="00A87139"/>
    <w:rsid w:val="00A90A7A"/>
    <w:rsid w:val="00A91E23"/>
    <w:rsid w:val="00A92724"/>
    <w:rsid w:val="00A927F9"/>
    <w:rsid w:val="00A92C8F"/>
    <w:rsid w:val="00A92F8C"/>
    <w:rsid w:val="00A95E23"/>
    <w:rsid w:val="00AA2F00"/>
    <w:rsid w:val="00AA3273"/>
    <w:rsid w:val="00AA3D6A"/>
    <w:rsid w:val="00AA4349"/>
    <w:rsid w:val="00AA5266"/>
    <w:rsid w:val="00AA5C73"/>
    <w:rsid w:val="00AB28AC"/>
    <w:rsid w:val="00AB4015"/>
    <w:rsid w:val="00AB422A"/>
    <w:rsid w:val="00AC13BE"/>
    <w:rsid w:val="00AC314D"/>
    <w:rsid w:val="00AD0DCD"/>
    <w:rsid w:val="00AD167E"/>
    <w:rsid w:val="00AD5B97"/>
    <w:rsid w:val="00AD6D51"/>
    <w:rsid w:val="00AE02EE"/>
    <w:rsid w:val="00AE28C9"/>
    <w:rsid w:val="00AE4AC6"/>
    <w:rsid w:val="00AE506F"/>
    <w:rsid w:val="00AE5141"/>
    <w:rsid w:val="00AE7119"/>
    <w:rsid w:val="00AF0435"/>
    <w:rsid w:val="00AF4012"/>
    <w:rsid w:val="00AF46B2"/>
    <w:rsid w:val="00AF55B6"/>
    <w:rsid w:val="00AF5602"/>
    <w:rsid w:val="00AF5768"/>
    <w:rsid w:val="00B02A5A"/>
    <w:rsid w:val="00B10C19"/>
    <w:rsid w:val="00B13186"/>
    <w:rsid w:val="00B16A84"/>
    <w:rsid w:val="00B16E4B"/>
    <w:rsid w:val="00B1770A"/>
    <w:rsid w:val="00B27A1F"/>
    <w:rsid w:val="00B31898"/>
    <w:rsid w:val="00B32265"/>
    <w:rsid w:val="00B3614C"/>
    <w:rsid w:val="00B37238"/>
    <w:rsid w:val="00B378C5"/>
    <w:rsid w:val="00B4035F"/>
    <w:rsid w:val="00B40FE4"/>
    <w:rsid w:val="00B447F2"/>
    <w:rsid w:val="00B44D86"/>
    <w:rsid w:val="00B47B47"/>
    <w:rsid w:val="00B51149"/>
    <w:rsid w:val="00B52D3C"/>
    <w:rsid w:val="00B538E5"/>
    <w:rsid w:val="00B54004"/>
    <w:rsid w:val="00B54646"/>
    <w:rsid w:val="00B55E93"/>
    <w:rsid w:val="00B62626"/>
    <w:rsid w:val="00B6394D"/>
    <w:rsid w:val="00B71C81"/>
    <w:rsid w:val="00B72B8D"/>
    <w:rsid w:val="00B72DAA"/>
    <w:rsid w:val="00B747A6"/>
    <w:rsid w:val="00B82FA4"/>
    <w:rsid w:val="00B8541F"/>
    <w:rsid w:val="00B86F8C"/>
    <w:rsid w:val="00B87258"/>
    <w:rsid w:val="00B8751A"/>
    <w:rsid w:val="00B90035"/>
    <w:rsid w:val="00B905F1"/>
    <w:rsid w:val="00B9416D"/>
    <w:rsid w:val="00B9542F"/>
    <w:rsid w:val="00B96475"/>
    <w:rsid w:val="00BA311B"/>
    <w:rsid w:val="00BA3A97"/>
    <w:rsid w:val="00BA5121"/>
    <w:rsid w:val="00BA5A87"/>
    <w:rsid w:val="00BA62AC"/>
    <w:rsid w:val="00BB216D"/>
    <w:rsid w:val="00BB2F6A"/>
    <w:rsid w:val="00BB2FA9"/>
    <w:rsid w:val="00BB396C"/>
    <w:rsid w:val="00BB40A6"/>
    <w:rsid w:val="00BB4804"/>
    <w:rsid w:val="00BB4F18"/>
    <w:rsid w:val="00BB54B7"/>
    <w:rsid w:val="00BB60D7"/>
    <w:rsid w:val="00BB62A8"/>
    <w:rsid w:val="00BC05AC"/>
    <w:rsid w:val="00BC3993"/>
    <w:rsid w:val="00BC424D"/>
    <w:rsid w:val="00BD4AAD"/>
    <w:rsid w:val="00BD7444"/>
    <w:rsid w:val="00BE08D4"/>
    <w:rsid w:val="00BE1AF5"/>
    <w:rsid w:val="00BE1B6D"/>
    <w:rsid w:val="00BE4184"/>
    <w:rsid w:val="00BE469F"/>
    <w:rsid w:val="00BE58A0"/>
    <w:rsid w:val="00BE5A21"/>
    <w:rsid w:val="00BE746B"/>
    <w:rsid w:val="00BE7DEE"/>
    <w:rsid w:val="00BF02E1"/>
    <w:rsid w:val="00BF1929"/>
    <w:rsid w:val="00BF3DD0"/>
    <w:rsid w:val="00BF4B68"/>
    <w:rsid w:val="00BF5C31"/>
    <w:rsid w:val="00BF696E"/>
    <w:rsid w:val="00BF6FFF"/>
    <w:rsid w:val="00C00DB6"/>
    <w:rsid w:val="00C014E8"/>
    <w:rsid w:val="00C01E63"/>
    <w:rsid w:val="00C02CA6"/>
    <w:rsid w:val="00C03421"/>
    <w:rsid w:val="00C036DA"/>
    <w:rsid w:val="00C039E0"/>
    <w:rsid w:val="00C042B1"/>
    <w:rsid w:val="00C0542E"/>
    <w:rsid w:val="00C05CD7"/>
    <w:rsid w:val="00C06218"/>
    <w:rsid w:val="00C07EC6"/>
    <w:rsid w:val="00C118F5"/>
    <w:rsid w:val="00C136DD"/>
    <w:rsid w:val="00C23D63"/>
    <w:rsid w:val="00C26BCF"/>
    <w:rsid w:val="00C276E8"/>
    <w:rsid w:val="00C315AF"/>
    <w:rsid w:val="00C33F3A"/>
    <w:rsid w:val="00C34B52"/>
    <w:rsid w:val="00C34CD7"/>
    <w:rsid w:val="00C36413"/>
    <w:rsid w:val="00C3681E"/>
    <w:rsid w:val="00C42F86"/>
    <w:rsid w:val="00C43C5D"/>
    <w:rsid w:val="00C47A4A"/>
    <w:rsid w:val="00C503E3"/>
    <w:rsid w:val="00C51156"/>
    <w:rsid w:val="00C5152D"/>
    <w:rsid w:val="00C5198C"/>
    <w:rsid w:val="00C53AD3"/>
    <w:rsid w:val="00C56D87"/>
    <w:rsid w:val="00C574D8"/>
    <w:rsid w:val="00C607F8"/>
    <w:rsid w:val="00C6551F"/>
    <w:rsid w:val="00C65DAC"/>
    <w:rsid w:val="00C664AD"/>
    <w:rsid w:val="00C72DDD"/>
    <w:rsid w:val="00C7457C"/>
    <w:rsid w:val="00C74E9D"/>
    <w:rsid w:val="00C74EC8"/>
    <w:rsid w:val="00C760F3"/>
    <w:rsid w:val="00C76823"/>
    <w:rsid w:val="00C82523"/>
    <w:rsid w:val="00C83214"/>
    <w:rsid w:val="00C83D1A"/>
    <w:rsid w:val="00C927F1"/>
    <w:rsid w:val="00C930AB"/>
    <w:rsid w:val="00C947C9"/>
    <w:rsid w:val="00C95856"/>
    <w:rsid w:val="00C96128"/>
    <w:rsid w:val="00C97E67"/>
    <w:rsid w:val="00CA0552"/>
    <w:rsid w:val="00CA36CB"/>
    <w:rsid w:val="00CA3E1D"/>
    <w:rsid w:val="00CA508A"/>
    <w:rsid w:val="00CA5817"/>
    <w:rsid w:val="00CA613C"/>
    <w:rsid w:val="00CB00A4"/>
    <w:rsid w:val="00CB1189"/>
    <w:rsid w:val="00CB1649"/>
    <w:rsid w:val="00CB29D5"/>
    <w:rsid w:val="00CB46B3"/>
    <w:rsid w:val="00CB7B2E"/>
    <w:rsid w:val="00CC0B70"/>
    <w:rsid w:val="00CC1E85"/>
    <w:rsid w:val="00CC30F7"/>
    <w:rsid w:val="00CC3211"/>
    <w:rsid w:val="00CC38C8"/>
    <w:rsid w:val="00CD01D3"/>
    <w:rsid w:val="00CD74A6"/>
    <w:rsid w:val="00CD79A1"/>
    <w:rsid w:val="00CE3B62"/>
    <w:rsid w:val="00CE4DC8"/>
    <w:rsid w:val="00CE6308"/>
    <w:rsid w:val="00CE7975"/>
    <w:rsid w:val="00CF0E93"/>
    <w:rsid w:val="00CF23C5"/>
    <w:rsid w:val="00CF6073"/>
    <w:rsid w:val="00CF6327"/>
    <w:rsid w:val="00CF7303"/>
    <w:rsid w:val="00CF7979"/>
    <w:rsid w:val="00CF7C03"/>
    <w:rsid w:val="00D03DC4"/>
    <w:rsid w:val="00D04BD2"/>
    <w:rsid w:val="00D05DD5"/>
    <w:rsid w:val="00D06304"/>
    <w:rsid w:val="00D07E2D"/>
    <w:rsid w:val="00D1130B"/>
    <w:rsid w:val="00D11A9A"/>
    <w:rsid w:val="00D158FC"/>
    <w:rsid w:val="00D20CCC"/>
    <w:rsid w:val="00D21B02"/>
    <w:rsid w:val="00D22467"/>
    <w:rsid w:val="00D24653"/>
    <w:rsid w:val="00D25CE8"/>
    <w:rsid w:val="00D276B3"/>
    <w:rsid w:val="00D30254"/>
    <w:rsid w:val="00D316B7"/>
    <w:rsid w:val="00D33A34"/>
    <w:rsid w:val="00D34227"/>
    <w:rsid w:val="00D3620C"/>
    <w:rsid w:val="00D3705F"/>
    <w:rsid w:val="00D40A62"/>
    <w:rsid w:val="00D427F0"/>
    <w:rsid w:val="00D44680"/>
    <w:rsid w:val="00D45A2F"/>
    <w:rsid w:val="00D51D5E"/>
    <w:rsid w:val="00D54D84"/>
    <w:rsid w:val="00D5544D"/>
    <w:rsid w:val="00D55503"/>
    <w:rsid w:val="00D6249A"/>
    <w:rsid w:val="00D66EB9"/>
    <w:rsid w:val="00D670C6"/>
    <w:rsid w:val="00D70763"/>
    <w:rsid w:val="00D71277"/>
    <w:rsid w:val="00D71555"/>
    <w:rsid w:val="00D72155"/>
    <w:rsid w:val="00D74D94"/>
    <w:rsid w:val="00D775EE"/>
    <w:rsid w:val="00D81150"/>
    <w:rsid w:val="00D82E2D"/>
    <w:rsid w:val="00D832E5"/>
    <w:rsid w:val="00D858B6"/>
    <w:rsid w:val="00D85C50"/>
    <w:rsid w:val="00D85E10"/>
    <w:rsid w:val="00D85E81"/>
    <w:rsid w:val="00D9557F"/>
    <w:rsid w:val="00D972C4"/>
    <w:rsid w:val="00D9750B"/>
    <w:rsid w:val="00D97610"/>
    <w:rsid w:val="00D9781A"/>
    <w:rsid w:val="00DA174B"/>
    <w:rsid w:val="00DA2776"/>
    <w:rsid w:val="00DA2F12"/>
    <w:rsid w:val="00DA2FDA"/>
    <w:rsid w:val="00DB0259"/>
    <w:rsid w:val="00DB0529"/>
    <w:rsid w:val="00DB193C"/>
    <w:rsid w:val="00DB4111"/>
    <w:rsid w:val="00DB45E4"/>
    <w:rsid w:val="00DB561B"/>
    <w:rsid w:val="00DB7DFD"/>
    <w:rsid w:val="00DC7B32"/>
    <w:rsid w:val="00DD0136"/>
    <w:rsid w:val="00DD01CE"/>
    <w:rsid w:val="00DD2C52"/>
    <w:rsid w:val="00DD42B6"/>
    <w:rsid w:val="00DD4F14"/>
    <w:rsid w:val="00DD53BA"/>
    <w:rsid w:val="00DD7223"/>
    <w:rsid w:val="00DD7362"/>
    <w:rsid w:val="00DD788B"/>
    <w:rsid w:val="00DE0C89"/>
    <w:rsid w:val="00DE10E7"/>
    <w:rsid w:val="00DE1A90"/>
    <w:rsid w:val="00DE217A"/>
    <w:rsid w:val="00DE253F"/>
    <w:rsid w:val="00DE4E8F"/>
    <w:rsid w:val="00DE7445"/>
    <w:rsid w:val="00DF04EE"/>
    <w:rsid w:val="00DF1115"/>
    <w:rsid w:val="00DF1EA8"/>
    <w:rsid w:val="00DF2C6B"/>
    <w:rsid w:val="00DF2CAC"/>
    <w:rsid w:val="00DF75D3"/>
    <w:rsid w:val="00E02D5E"/>
    <w:rsid w:val="00E04C70"/>
    <w:rsid w:val="00E0567F"/>
    <w:rsid w:val="00E0626B"/>
    <w:rsid w:val="00E1182F"/>
    <w:rsid w:val="00E126A3"/>
    <w:rsid w:val="00E155BD"/>
    <w:rsid w:val="00E16F4C"/>
    <w:rsid w:val="00E16FEB"/>
    <w:rsid w:val="00E1736F"/>
    <w:rsid w:val="00E2070D"/>
    <w:rsid w:val="00E23758"/>
    <w:rsid w:val="00E238A1"/>
    <w:rsid w:val="00E2602A"/>
    <w:rsid w:val="00E26BB6"/>
    <w:rsid w:val="00E30FF0"/>
    <w:rsid w:val="00E32733"/>
    <w:rsid w:val="00E32F65"/>
    <w:rsid w:val="00E36B48"/>
    <w:rsid w:val="00E40A60"/>
    <w:rsid w:val="00E430E9"/>
    <w:rsid w:val="00E4325F"/>
    <w:rsid w:val="00E47CCC"/>
    <w:rsid w:val="00E50E2C"/>
    <w:rsid w:val="00E51C43"/>
    <w:rsid w:val="00E52ABE"/>
    <w:rsid w:val="00E60088"/>
    <w:rsid w:val="00E64072"/>
    <w:rsid w:val="00E64A44"/>
    <w:rsid w:val="00E6627D"/>
    <w:rsid w:val="00E6741F"/>
    <w:rsid w:val="00E67A1A"/>
    <w:rsid w:val="00E771F3"/>
    <w:rsid w:val="00E779E7"/>
    <w:rsid w:val="00E77B17"/>
    <w:rsid w:val="00E81313"/>
    <w:rsid w:val="00E81B31"/>
    <w:rsid w:val="00E832A8"/>
    <w:rsid w:val="00E868D2"/>
    <w:rsid w:val="00E873D1"/>
    <w:rsid w:val="00E87C36"/>
    <w:rsid w:val="00E900C5"/>
    <w:rsid w:val="00E90A01"/>
    <w:rsid w:val="00E948E6"/>
    <w:rsid w:val="00E9666A"/>
    <w:rsid w:val="00E97135"/>
    <w:rsid w:val="00EA1C86"/>
    <w:rsid w:val="00EA2CB4"/>
    <w:rsid w:val="00EA54FD"/>
    <w:rsid w:val="00EA683A"/>
    <w:rsid w:val="00EB01B2"/>
    <w:rsid w:val="00EB01FB"/>
    <w:rsid w:val="00EB0261"/>
    <w:rsid w:val="00EB1CF8"/>
    <w:rsid w:val="00EB4776"/>
    <w:rsid w:val="00EB4C40"/>
    <w:rsid w:val="00EB74BB"/>
    <w:rsid w:val="00EC16B4"/>
    <w:rsid w:val="00EC1E28"/>
    <w:rsid w:val="00EC2415"/>
    <w:rsid w:val="00EC34E7"/>
    <w:rsid w:val="00EC42BD"/>
    <w:rsid w:val="00EC5ED0"/>
    <w:rsid w:val="00EC63AE"/>
    <w:rsid w:val="00EC6C21"/>
    <w:rsid w:val="00EC7658"/>
    <w:rsid w:val="00ED0593"/>
    <w:rsid w:val="00ED06F9"/>
    <w:rsid w:val="00ED4D13"/>
    <w:rsid w:val="00EE05CA"/>
    <w:rsid w:val="00EE0E49"/>
    <w:rsid w:val="00EE1169"/>
    <w:rsid w:val="00EE5615"/>
    <w:rsid w:val="00EF1B3C"/>
    <w:rsid w:val="00EF3454"/>
    <w:rsid w:val="00EF5559"/>
    <w:rsid w:val="00EF64B1"/>
    <w:rsid w:val="00EF7B0D"/>
    <w:rsid w:val="00F007C9"/>
    <w:rsid w:val="00F009DB"/>
    <w:rsid w:val="00F02762"/>
    <w:rsid w:val="00F041D5"/>
    <w:rsid w:val="00F043F4"/>
    <w:rsid w:val="00F05770"/>
    <w:rsid w:val="00F120B7"/>
    <w:rsid w:val="00F14B76"/>
    <w:rsid w:val="00F244B7"/>
    <w:rsid w:val="00F31C57"/>
    <w:rsid w:val="00F36674"/>
    <w:rsid w:val="00F402B5"/>
    <w:rsid w:val="00F40959"/>
    <w:rsid w:val="00F40B12"/>
    <w:rsid w:val="00F40F93"/>
    <w:rsid w:val="00F43B88"/>
    <w:rsid w:val="00F442EF"/>
    <w:rsid w:val="00F47D7C"/>
    <w:rsid w:val="00F50010"/>
    <w:rsid w:val="00F506D1"/>
    <w:rsid w:val="00F51045"/>
    <w:rsid w:val="00F5404F"/>
    <w:rsid w:val="00F54A7F"/>
    <w:rsid w:val="00F55D50"/>
    <w:rsid w:val="00F57D77"/>
    <w:rsid w:val="00F604D8"/>
    <w:rsid w:val="00F606DF"/>
    <w:rsid w:val="00F62B70"/>
    <w:rsid w:val="00F651C1"/>
    <w:rsid w:val="00F67CE7"/>
    <w:rsid w:val="00F70643"/>
    <w:rsid w:val="00F70707"/>
    <w:rsid w:val="00F717E7"/>
    <w:rsid w:val="00F7395A"/>
    <w:rsid w:val="00F74997"/>
    <w:rsid w:val="00F762C7"/>
    <w:rsid w:val="00F76C86"/>
    <w:rsid w:val="00F77918"/>
    <w:rsid w:val="00F77A44"/>
    <w:rsid w:val="00F8058C"/>
    <w:rsid w:val="00F8077A"/>
    <w:rsid w:val="00F818BB"/>
    <w:rsid w:val="00F81A8C"/>
    <w:rsid w:val="00F82039"/>
    <w:rsid w:val="00F8283E"/>
    <w:rsid w:val="00F85470"/>
    <w:rsid w:val="00F86412"/>
    <w:rsid w:val="00F86C44"/>
    <w:rsid w:val="00F87E31"/>
    <w:rsid w:val="00F9594B"/>
    <w:rsid w:val="00F9598B"/>
    <w:rsid w:val="00F97844"/>
    <w:rsid w:val="00FA52F1"/>
    <w:rsid w:val="00FA617F"/>
    <w:rsid w:val="00FA7280"/>
    <w:rsid w:val="00FB0F48"/>
    <w:rsid w:val="00FB1CB7"/>
    <w:rsid w:val="00FB2377"/>
    <w:rsid w:val="00FB2A4D"/>
    <w:rsid w:val="00FB2BE6"/>
    <w:rsid w:val="00FB37B5"/>
    <w:rsid w:val="00FB4052"/>
    <w:rsid w:val="00FB446C"/>
    <w:rsid w:val="00FB7DB8"/>
    <w:rsid w:val="00FC1158"/>
    <w:rsid w:val="00FC1203"/>
    <w:rsid w:val="00FC4947"/>
    <w:rsid w:val="00FC4A0A"/>
    <w:rsid w:val="00FC5050"/>
    <w:rsid w:val="00FC675A"/>
    <w:rsid w:val="00FC68A3"/>
    <w:rsid w:val="00FD0B54"/>
    <w:rsid w:val="00FD15A4"/>
    <w:rsid w:val="00FD6403"/>
    <w:rsid w:val="00FD6DA6"/>
    <w:rsid w:val="00FE1340"/>
    <w:rsid w:val="00FE3E7B"/>
    <w:rsid w:val="00FE435C"/>
    <w:rsid w:val="00FE7CC5"/>
    <w:rsid w:val="00FF2782"/>
    <w:rsid w:val="00FF295A"/>
    <w:rsid w:val="00FF2A6F"/>
    <w:rsid w:val="00FF3FCD"/>
    <w:rsid w:val="00FF4737"/>
    <w:rsid w:val="00FF4C02"/>
    <w:rsid w:val="00FF5B50"/>
    <w:rsid w:val="00FF5EF9"/>
    <w:rsid w:val="00FF6B9B"/>
    <w:rsid w:val="00FF6F0A"/>
    <w:rsid w:val="00FF729B"/>
    <w:rsid w:val="010E70F1"/>
    <w:rsid w:val="0129403A"/>
    <w:rsid w:val="01503E86"/>
    <w:rsid w:val="01607A86"/>
    <w:rsid w:val="016F283F"/>
    <w:rsid w:val="018207C5"/>
    <w:rsid w:val="01826A17"/>
    <w:rsid w:val="01A346BF"/>
    <w:rsid w:val="01B77866"/>
    <w:rsid w:val="01DC2959"/>
    <w:rsid w:val="025837A5"/>
    <w:rsid w:val="02662F40"/>
    <w:rsid w:val="027A0E14"/>
    <w:rsid w:val="02883F6B"/>
    <w:rsid w:val="02976CA2"/>
    <w:rsid w:val="02AA6B16"/>
    <w:rsid w:val="02F56D74"/>
    <w:rsid w:val="03125B78"/>
    <w:rsid w:val="03CB0F7B"/>
    <w:rsid w:val="03CC5D27"/>
    <w:rsid w:val="03D93827"/>
    <w:rsid w:val="03F80327"/>
    <w:rsid w:val="041A5EC4"/>
    <w:rsid w:val="04302729"/>
    <w:rsid w:val="0451447E"/>
    <w:rsid w:val="047B1554"/>
    <w:rsid w:val="0480341C"/>
    <w:rsid w:val="04D101BA"/>
    <w:rsid w:val="04D53B24"/>
    <w:rsid w:val="04FF11CA"/>
    <w:rsid w:val="0516142A"/>
    <w:rsid w:val="05771922"/>
    <w:rsid w:val="05857459"/>
    <w:rsid w:val="05921EE8"/>
    <w:rsid w:val="05D11EB8"/>
    <w:rsid w:val="05DB75E5"/>
    <w:rsid w:val="05F11169"/>
    <w:rsid w:val="060055F2"/>
    <w:rsid w:val="061A1C7B"/>
    <w:rsid w:val="063E4F16"/>
    <w:rsid w:val="064538FB"/>
    <w:rsid w:val="06527826"/>
    <w:rsid w:val="06556C41"/>
    <w:rsid w:val="065872F8"/>
    <w:rsid w:val="06707908"/>
    <w:rsid w:val="067F7BE4"/>
    <w:rsid w:val="06A718B6"/>
    <w:rsid w:val="06B47B7A"/>
    <w:rsid w:val="06B92A9A"/>
    <w:rsid w:val="07346F7A"/>
    <w:rsid w:val="0736768B"/>
    <w:rsid w:val="07404390"/>
    <w:rsid w:val="075860A1"/>
    <w:rsid w:val="077F06E3"/>
    <w:rsid w:val="07F341CA"/>
    <w:rsid w:val="0858117E"/>
    <w:rsid w:val="086A32AC"/>
    <w:rsid w:val="088277E1"/>
    <w:rsid w:val="089116C0"/>
    <w:rsid w:val="089247D2"/>
    <w:rsid w:val="08A22C7C"/>
    <w:rsid w:val="08F32F05"/>
    <w:rsid w:val="090D25B4"/>
    <w:rsid w:val="0946740A"/>
    <w:rsid w:val="094D40E3"/>
    <w:rsid w:val="094F6585"/>
    <w:rsid w:val="097C6801"/>
    <w:rsid w:val="09AE3A49"/>
    <w:rsid w:val="09CC7F17"/>
    <w:rsid w:val="09F14739"/>
    <w:rsid w:val="09FC2CA4"/>
    <w:rsid w:val="0A016224"/>
    <w:rsid w:val="0A14667A"/>
    <w:rsid w:val="0A2E6E83"/>
    <w:rsid w:val="0A313AAA"/>
    <w:rsid w:val="0A424F95"/>
    <w:rsid w:val="0A462BC7"/>
    <w:rsid w:val="0A5F18BC"/>
    <w:rsid w:val="0A663F6C"/>
    <w:rsid w:val="0AB5554F"/>
    <w:rsid w:val="0ABE2142"/>
    <w:rsid w:val="0AC01F5D"/>
    <w:rsid w:val="0AD1239D"/>
    <w:rsid w:val="0ADE12CA"/>
    <w:rsid w:val="0B1F4989"/>
    <w:rsid w:val="0B2F58BB"/>
    <w:rsid w:val="0B444717"/>
    <w:rsid w:val="0B584344"/>
    <w:rsid w:val="0B626F71"/>
    <w:rsid w:val="0B7F5D75"/>
    <w:rsid w:val="0B866A2E"/>
    <w:rsid w:val="0B894039"/>
    <w:rsid w:val="0B9C7121"/>
    <w:rsid w:val="0BA56541"/>
    <w:rsid w:val="0BE34045"/>
    <w:rsid w:val="0BE845BB"/>
    <w:rsid w:val="0BE934DD"/>
    <w:rsid w:val="0C186B74"/>
    <w:rsid w:val="0C6C1935"/>
    <w:rsid w:val="0C6C62F9"/>
    <w:rsid w:val="0CD43E9E"/>
    <w:rsid w:val="0CDE5118"/>
    <w:rsid w:val="0CE106DB"/>
    <w:rsid w:val="0CF663AE"/>
    <w:rsid w:val="0D1B1ACD"/>
    <w:rsid w:val="0D2B61B4"/>
    <w:rsid w:val="0D5D5C42"/>
    <w:rsid w:val="0D6B4803"/>
    <w:rsid w:val="0D942D77"/>
    <w:rsid w:val="0D9D1AE5"/>
    <w:rsid w:val="0DAC6A6E"/>
    <w:rsid w:val="0DE96810"/>
    <w:rsid w:val="0DEE7B9E"/>
    <w:rsid w:val="0DFB64F3"/>
    <w:rsid w:val="0DFE49A3"/>
    <w:rsid w:val="0E11418C"/>
    <w:rsid w:val="0E1A7E28"/>
    <w:rsid w:val="0E3370FE"/>
    <w:rsid w:val="0E4A05AE"/>
    <w:rsid w:val="0E63372C"/>
    <w:rsid w:val="0E652AC5"/>
    <w:rsid w:val="0E682A23"/>
    <w:rsid w:val="0E6D565D"/>
    <w:rsid w:val="0E705B3C"/>
    <w:rsid w:val="0EAA293A"/>
    <w:rsid w:val="0EC40196"/>
    <w:rsid w:val="0EFD76DC"/>
    <w:rsid w:val="0F021F7C"/>
    <w:rsid w:val="0F090F36"/>
    <w:rsid w:val="0F515EB3"/>
    <w:rsid w:val="0F784573"/>
    <w:rsid w:val="0F7D6A6F"/>
    <w:rsid w:val="0FBE6C35"/>
    <w:rsid w:val="0FD216B3"/>
    <w:rsid w:val="0FF52AA9"/>
    <w:rsid w:val="0FF8315F"/>
    <w:rsid w:val="10112315"/>
    <w:rsid w:val="10202503"/>
    <w:rsid w:val="102F3FE5"/>
    <w:rsid w:val="103112F5"/>
    <w:rsid w:val="104D01F0"/>
    <w:rsid w:val="10654010"/>
    <w:rsid w:val="10732363"/>
    <w:rsid w:val="10866627"/>
    <w:rsid w:val="10937656"/>
    <w:rsid w:val="10DB414B"/>
    <w:rsid w:val="10EA1EE2"/>
    <w:rsid w:val="10EA5A3E"/>
    <w:rsid w:val="110A251D"/>
    <w:rsid w:val="110D2701"/>
    <w:rsid w:val="111E393A"/>
    <w:rsid w:val="11375BEE"/>
    <w:rsid w:val="115A6B37"/>
    <w:rsid w:val="11606388"/>
    <w:rsid w:val="11666897"/>
    <w:rsid w:val="11A63C77"/>
    <w:rsid w:val="11C71BA3"/>
    <w:rsid w:val="11CB2024"/>
    <w:rsid w:val="120A6EEB"/>
    <w:rsid w:val="12144EC0"/>
    <w:rsid w:val="123A0C48"/>
    <w:rsid w:val="12483364"/>
    <w:rsid w:val="128C112C"/>
    <w:rsid w:val="128F4AEF"/>
    <w:rsid w:val="12A433B1"/>
    <w:rsid w:val="12BB58E4"/>
    <w:rsid w:val="12E75B94"/>
    <w:rsid w:val="12EF726C"/>
    <w:rsid w:val="131B4E65"/>
    <w:rsid w:val="13563DAA"/>
    <w:rsid w:val="136310DD"/>
    <w:rsid w:val="136F1C20"/>
    <w:rsid w:val="13742D5D"/>
    <w:rsid w:val="13877D68"/>
    <w:rsid w:val="139F3BE4"/>
    <w:rsid w:val="13D3452B"/>
    <w:rsid w:val="13E626C7"/>
    <w:rsid w:val="13F76DF0"/>
    <w:rsid w:val="140774AD"/>
    <w:rsid w:val="144E5BAF"/>
    <w:rsid w:val="145002AE"/>
    <w:rsid w:val="14592015"/>
    <w:rsid w:val="148D32B1"/>
    <w:rsid w:val="14B8576B"/>
    <w:rsid w:val="1517701E"/>
    <w:rsid w:val="151E112D"/>
    <w:rsid w:val="15455939"/>
    <w:rsid w:val="154B447A"/>
    <w:rsid w:val="1561465A"/>
    <w:rsid w:val="156D1119"/>
    <w:rsid w:val="15800A62"/>
    <w:rsid w:val="15977F8D"/>
    <w:rsid w:val="15CC66A1"/>
    <w:rsid w:val="162278E8"/>
    <w:rsid w:val="162E71AF"/>
    <w:rsid w:val="163E57AE"/>
    <w:rsid w:val="164976AB"/>
    <w:rsid w:val="16505C99"/>
    <w:rsid w:val="167F4558"/>
    <w:rsid w:val="16AB2AE8"/>
    <w:rsid w:val="16AF4771"/>
    <w:rsid w:val="16B947B1"/>
    <w:rsid w:val="16BA0495"/>
    <w:rsid w:val="16C91235"/>
    <w:rsid w:val="16D34E8F"/>
    <w:rsid w:val="171364C4"/>
    <w:rsid w:val="1734382F"/>
    <w:rsid w:val="17814F0B"/>
    <w:rsid w:val="178502B5"/>
    <w:rsid w:val="17B9223F"/>
    <w:rsid w:val="17BE19D3"/>
    <w:rsid w:val="17D1198B"/>
    <w:rsid w:val="18067E8E"/>
    <w:rsid w:val="18176DF0"/>
    <w:rsid w:val="182C5C1D"/>
    <w:rsid w:val="186758E2"/>
    <w:rsid w:val="18720C84"/>
    <w:rsid w:val="1881312C"/>
    <w:rsid w:val="18A23810"/>
    <w:rsid w:val="18E4744D"/>
    <w:rsid w:val="193163BA"/>
    <w:rsid w:val="19636CD6"/>
    <w:rsid w:val="19A84D57"/>
    <w:rsid w:val="19CA4142"/>
    <w:rsid w:val="19EF7AF9"/>
    <w:rsid w:val="1A11228E"/>
    <w:rsid w:val="1A386444"/>
    <w:rsid w:val="1A5E7BE7"/>
    <w:rsid w:val="1AE45BF4"/>
    <w:rsid w:val="1B0B13D3"/>
    <w:rsid w:val="1B20250E"/>
    <w:rsid w:val="1B261841"/>
    <w:rsid w:val="1B304838"/>
    <w:rsid w:val="1B495A57"/>
    <w:rsid w:val="1B6762FA"/>
    <w:rsid w:val="1B6F4BDB"/>
    <w:rsid w:val="1B803B6F"/>
    <w:rsid w:val="1B9746C1"/>
    <w:rsid w:val="1BC9403A"/>
    <w:rsid w:val="1C050957"/>
    <w:rsid w:val="1C487D99"/>
    <w:rsid w:val="1C4955DC"/>
    <w:rsid w:val="1C4C100A"/>
    <w:rsid w:val="1C5847A3"/>
    <w:rsid w:val="1C5C30AE"/>
    <w:rsid w:val="1C7D3C0B"/>
    <w:rsid w:val="1C8C6544"/>
    <w:rsid w:val="1C915D6A"/>
    <w:rsid w:val="1C9920A6"/>
    <w:rsid w:val="1CA15CD3"/>
    <w:rsid w:val="1CB05C33"/>
    <w:rsid w:val="1CB658ED"/>
    <w:rsid w:val="1D6D644E"/>
    <w:rsid w:val="1D914C03"/>
    <w:rsid w:val="1DAF0113"/>
    <w:rsid w:val="1DD51824"/>
    <w:rsid w:val="1DEE08FE"/>
    <w:rsid w:val="1E725972"/>
    <w:rsid w:val="1E786D7F"/>
    <w:rsid w:val="1EAC0635"/>
    <w:rsid w:val="1EC47882"/>
    <w:rsid w:val="1ECE4BF1"/>
    <w:rsid w:val="1F066139"/>
    <w:rsid w:val="1F2D73FA"/>
    <w:rsid w:val="1F533C43"/>
    <w:rsid w:val="1F5F3A9B"/>
    <w:rsid w:val="1F731535"/>
    <w:rsid w:val="1F856AAA"/>
    <w:rsid w:val="1F8E4729"/>
    <w:rsid w:val="1FA3607E"/>
    <w:rsid w:val="1FB4678C"/>
    <w:rsid w:val="1FBD6951"/>
    <w:rsid w:val="1FD24B33"/>
    <w:rsid w:val="1FF22B62"/>
    <w:rsid w:val="1FFA3BFD"/>
    <w:rsid w:val="20303E66"/>
    <w:rsid w:val="20511E4F"/>
    <w:rsid w:val="209077A9"/>
    <w:rsid w:val="20991665"/>
    <w:rsid w:val="20AD412B"/>
    <w:rsid w:val="20BA6CB0"/>
    <w:rsid w:val="20BF43BB"/>
    <w:rsid w:val="20CF2E44"/>
    <w:rsid w:val="20DC3FA2"/>
    <w:rsid w:val="20F25A2B"/>
    <w:rsid w:val="20F5275D"/>
    <w:rsid w:val="20F66299"/>
    <w:rsid w:val="20F85F56"/>
    <w:rsid w:val="20FB3127"/>
    <w:rsid w:val="21134B3E"/>
    <w:rsid w:val="21236FF5"/>
    <w:rsid w:val="213B774D"/>
    <w:rsid w:val="21433208"/>
    <w:rsid w:val="218755AB"/>
    <w:rsid w:val="21C510A7"/>
    <w:rsid w:val="21E6657A"/>
    <w:rsid w:val="22010E3A"/>
    <w:rsid w:val="22116BA7"/>
    <w:rsid w:val="223942B3"/>
    <w:rsid w:val="223C6316"/>
    <w:rsid w:val="22765CAC"/>
    <w:rsid w:val="229446C2"/>
    <w:rsid w:val="2296771B"/>
    <w:rsid w:val="22BE060B"/>
    <w:rsid w:val="22BF646D"/>
    <w:rsid w:val="22CC769A"/>
    <w:rsid w:val="22F02729"/>
    <w:rsid w:val="22F4507B"/>
    <w:rsid w:val="23196297"/>
    <w:rsid w:val="232B2612"/>
    <w:rsid w:val="233012E3"/>
    <w:rsid w:val="233665E8"/>
    <w:rsid w:val="23B46876"/>
    <w:rsid w:val="23FB1E25"/>
    <w:rsid w:val="23FE1876"/>
    <w:rsid w:val="2425052A"/>
    <w:rsid w:val="244D325D"/>
    <w:rsid w:val="2458446D"/>
    <w:rsid w:val="24A15EE2"/>
    <w:rsid w:val="24AB715F"/>
    <w:rsid w:val="24B97925"/>
    <w:rsid w:val="24D03CD9"/>
    <w:rsid w:val="24FB6FE0"/>
    <w:rsid w:val="251E084D"/>
    <w:rsid w:val="251F41D5"/>
    <w:rsid w:val="25243F0A"/>
    <w:rsid w:val="253D0B41"/>
    <w:rsid w:val="2556775A"/>
    <w:rsid w:val="255B1D92"/>
    <w:rsid w:val="25A14E0E"/>
    <w:rsid w:val="25AE3087"/>
    <w:rsid w:val="25AF7C37"/>
    <w:rsid w:val="25B25001"/>
    <w:rsid w:val="25CF468D"/>
    <w:rsid w:val="25F81110"/>
    <w:rsid w:val="25FA35BC"/>
    <w:rsid w:val="26527C90"/>
    <w:rsid w:val="26583EBF"/>
    <w:rsid w:val="26627380"/>
    <w:rsid w:val="268325A1"/>
    <w:rsid w:val="26A7706F"/>
    <w:rsid w:val="26B05D42"/>
    <w:rsid w:val="26E256DE"/>
    <w:rsid w:val="26F34F21"/>
    <w:rsid w:val="26F653BB"/>
    <w:rsid w:val="26F67809"/>
    <w:rsid w:val="27063343"/>
    <w:rsid w:val="270D0F81"/>
    <w:rsid w:val="27117D71"/>
    <w:rsid w:val="27167136"/>
    <w:rsid w:val="276E5A04"/>
    <w:rsid w:val="27723B5D"/>
    <w:rsid w:val="27772991"/>
    <w:rsid w:val="278D7C5E"/>
    <w:rsid w:val="2797417A"/>
    <w:rsid w:val="27B552CD"/>
    <w:rsid w:val="27CC07A7"/>
    <w:rsid w:val="27CD66D3"/>
    <w:rsid w:val="27D72417"/>
    <w:rsid w:val="27F03C7F"/>
    <w:rsid w:val="2816238B"/>
    <w:rsid w:val="28181576"/>
    <w:rsid w:val="282854BD"/>
    <w:rsid w:val="28530E0E"/>
    <w:rsid w:val="28634B22"/>
    <w:rsid w:val="28810F26"/>
    <w:rsid w:val="289447B6"/>
    <w:rsid w:val="289A0216"/>
    <w:rsid w:val="289D21F4"/>
    <w:rsid w:val="289F15C5"/>
    <w:rsid w:val="28E868B0"/>
    <w:rsid w:val="290B70FC"/>
    <w:rsid w:val="290C1785"/>
    <w:rsid w:val="29553F04"/>
    <w:rsid w:val="298A545F"/>
    <w:rsid w:val="29B2271B"/>
    <w:rsid w:val="29C037A2"/>
    <w:rsid w:val="29D0210E"/>
    <w:rsid w:val="29D67050"/>
    <w:rsid w:val="29D82521"/>
    <w:rsid w:val="29EB7B9D"/>
    <w:rsid w:val="29EF191C"/>
    <w:rsid w:val="29F714A0"/>
    <w:rsid w:val="29FF65A7"/>
    <w:rsid w:val="29FF77DC"/>
    <w:rsid w:val="2A444801"/>
    <w:rsid w:val="2A552199"/>
    <w:rsid w:val="2A5F6759"/>
    <w:rsid w:val="2A8E16D9"/>
    <w:rsid w:val="2A9475EB"/>
    <w:rsid w:val="2A9665C1"/>
    <w:rsid w:val="2AA1140C"/>
    <w:rsid w:val="2AA57E7A"/>
    <w:rsid w:val="2AC03383"/>
    <w:rsid w:val="2ACA1805"/>
    <w:rsid w:val="2AFA4334"/>
    <w:rsid w:val="2B133D3F"/>
    <w:rsid w:val="2B2D4A4E"/>
    <w:rsid w:val="2B5050CE"/>
    <w:rsid w:val="2B5C0D08"/>
    <w:rsid w:val="2B5E540C"/>
    <w:rsid w:val="2B726905"/>
    <w:rsid w:val="2B867023"/>
    <w:rsid w:val="2B9864EF"/>
    <w:rsid w:val="2BB331A5"/>
    <w:rsid w:val="2BE34B63"/>
    <w:rsid w:val="2C2B0B8C"/>
    <w:rsid w:val="2C343AFE"/>
    <w:rsid w:val="2C66290D"/>
    <w:rsid w:val="2C8575AC"/>
    <w:rsid w:val="2CA06764"/>
    <w:rsid w:val="2CDB453F"/>
    <w:rsid w:val="2D662499"/>
    <w:rsid w:val="2DA76D39"/>
    <w:rsid w:val="2DAA0AE3"/>
    <w:rsid w:val="2DED6CD6"/>
    <w:rsid w:val="2E0B03C5"/>
    <w:rsid w:val="2E3005EA"/>
    <w:rsid w:val="2E4E753A"/>
    <w:rsid w:val="2E6A71C2"/>
    <w:rsid w:val="2E714081"/>
    <w:rsid w:val="2E9F12BE"/>
    <w:rsid w:val="2EA14510"/>
    <w:rsid w:val="2EA27D06"/>
    <w:rsid w:val="2EAB2B24"/>
    <w:rsid w:val="2EBA7481"/>
    <w:rsid w:val="2EBD6BCB"/>
    <w:rsid w:val="2EC014E9"/>
    <w:rsid w:val="2EC025F4"/>
    <w:rsid w:val="2EC67693"/>
    <w:rsid w:val="2EF069F5"/>
    <w:rsid w:val="2F294338"/>
    <w:rsid w:val="2F302D5E"/>
    <w:rsid w:val="2F4862FA"/>
    <w:rsid w:val="2F5E1492"/>
    <w:rsid w:val="2F6C2EA4"/>
    <w:rsid w:val="2F77273B"/>
    <w:rsid w:val="2F7872D4"/>
    <w:rsid w:val="2F9A46C5"/>
    <w:rsid w:val="2FC31409"/>
    <w:rsid w:val="2FCF1FDB"/>
    <w:rsid w:val="2FD90D3F"/>
    <w:rsid w:val="2FF65D56"/>
    <w:rsid w:val="303C3A3A"/>
    <w:rsid w:val="307920D8"/>
    <w:rsid w:val="3094798C"/>
    <w:rsid w:val="30997C37"/>
    <w:rsid w:val="30CD20FC"/>
    <w:rsid w:val="313254A2"/>
    <w:rsid w:val="31360497"/>
    <w:rsid w:val="3138414C"/>
    <w:rsid w:val="313C3C3D"/>
    <w:rsid w:val="316239A1"/>
    <w:rsid w:val="316B15CD"/>
    <w:rsid w:val="3182344A"/>
    <w:rsid w:val="3194017B"/>
    <w:rsid w:val="32142976"/>
    <w:rsid w:val="3216448E"/>
    <w:rsid w:val="326E42CA"/>
    <w:rsid w:val="32AB6A4F"/>
    <w:rsid w:val="32AC4528"/>
    <w:rsid w:val="32C31F24"/>
    <w:rsid w:val="32FA1A84"/>
    <w:rsid w:val="32FD7572"/>
    <w:rsid w:val="33075E91"/>
    <w:rsid w:val="33114175"/>
    <w:rsid w:val="33557238"/>
    <w:rsid w:val="33713C78"/>
    <w:rsid w:val="33762C0D"/>
    <w:rsid w:val="339709AF"/>
    <w:rsid w:val="339F7A0C"/>
    <w:rsid w:val="33AB0F61"/>
    <w:rsid w:val="33AF1371"/>
    <w:rsid w:val="33B3141F"/>
    <w:rsid w:val="33C42C0A"/>
    <w:rsid w:val="33DE6334"/>
    <w:rsid w:val="34106055"/>
    <w:rsid w:val="341C3E29"/>
    <w:rsid w:val="342463B4"/>
    <w:rsid w:val="343E5F1E"/>
    <w:rsid w:val="346E6803"/>
    <w:rsid w:val="347100A1"/>
    <w:rsid w:val="347F2CE0"/>
    <w:rsid w:val="348222AE"/>
    <w:rsid w:val="348A4CBF"/>
    <w:rsid w:val="34A477BF"/>
    <w:rsid w:val="34B9399F"/>
    <w:rsid w:val="34CD10C3"/>
    <w:rsid w:val="34E22D4D"/>
    <w:rsid w:val="35414D8C"/>
    <w:rsid w:val="355A0026"/>
    <w:rsid w:val="35635963"/>
    <w:rsid w:val="35753BC1"/>
    <w:rsid w:val="357F234A"/>
    <w:rsid w:val="35934EEF"/>
    <w:rsid w:val="35B5609F"/>
    <w:rsid w:val="35BF4750"/>
    <w:rsid w:val="35CB5AD6"/>
    <w:rsid w:val="35E13AD9"/>
    <w:rsid w:val="36316394"/>
    <w:rsid w:val="36B24F52"/>
    <w:rsid w:val="36E71A96"/>
    <w:rsid w:val="36EE262B"/>
    <w:rsid w:val="37313B18"/>
    <w:rsid w:val="3748158D"/>
    <w:rsid w:val="375444CF"/>
    <w:rsid w:val="375D3FE4"/>
    <w:rsid w:val="376932B2"/>
    <w:rsid w:val="377B03B8"/>
    <w:rsid w:val="37895702"/>
    <w:rsid w:val="379D0FA7"/>
    <w:rsid w:val="379F3EED"/>
    <w:rsid w:val="37AB1B1C"/>
    <w:rsid w:val="37DA2DF9"/>
    <w:rsid w:val="37E9704B"/>
    <w:rsid w:val="383C2774"/>
    <w:rsid w:val="3845264E"/>
    <w:rsid w:val="385555E4"/>
    <w:rsid w:val="385A322E"/>
    <w:rsid w:val="385B797E"/>
    <w:rsid w:val="38C34BC3"/>
    <w:rsid w:val="38CD161E"/>
    <w:rsid w:val="38D2636E"/>
    <w:rsid w:val="38E4124B"/>
    <w:rsid w:val="39095129"/>
    <w:rsid w:val="391C07F9"/>
    <w:rsid w:val="392F0000"/>
    <w:rsid w:val="39302C93"/>
    <w:rsid w:val="393F47DD"/>
    <w:rsid w:val="395343DC"/>
    <w:rsid w:val="395D1F82"/>
    <w:rsid w:val="396C4956"/>
    <w:rsid w:val="39703137"/>
    <w:rsid w:val="397D4EE4"/>
    <w:rsid w:val="399049A3"/>
    <w:rsid w:val="399A6DBB"/>
    <w:rsid w:val="39B829B6"/>
    <w:rsid w:val="39DF5AF6"/>
    <w:rsid w:val="39E77057"/>
    <w:rsid w:val="39EC2D56"/>
    <w:rsid w:val="3A00548E"/>
    <w:rsid w:val="3A8C0D88"/>
    <w:rsid w:val="3AAB46ED"/>
    <w:rsid w:val="3ABF1985"/>
    <w:rsid w:val="3AC60BDB"/>
    <w:rsid w:val="3AD067E5"/>
    <w:rsid w:val="3AD97E6F"/>
    <w:rsid w:val="3AEC19EF"/>
    <w:rsid w:val="3AF94B76"/>
    <w:rsid w:val="3B1A3241"/>
    <w:rsid w:val="3B345336"/>
    <w:rsid w:val="3B493953"/>
    <w:rsid w:val="3B5E5D97"/>
    <w:rsid w:val="3B60266D"/>
    <w:rsid w:val="3B7364AD"/>
    <w:rsid w:val="3B847179"/>
    <w:rsid w:val="3B991666"/>
    <w:rsid w:val="3BB6736F"/>
    <w:rsid w:val="3BD57167"/>
    <w:rsid w:val="3C037EF5"/>
    <w:rsid w:val="3C0C0F72"/>
    <w:rsid w:val="3C277297"/>
    <w:rsid w:val="3C4D4F50"/>
    <w:rsid w:val="3C7E0AEC"/>
    <w:rsid w:val="3CAA0C2A"/>
    <w:rsid w:val="3CE9395D"/>
    <w:rsid w:val="3CFB30CA"/>
    <w:rsid w:val="3D077723"/>
    <w:rsid w:val="3D122796"/>
    <w:rsid w:val="3D453E79"/>
    <w:rsid w:val="3D8A3020"/>
    <w:rsid w:val="3D91550A"/>
    <w:rsid w:val="3DDD78FF"/>
    <w:rsid w:val="3DE11AA5"/>
    <w:rsid w:val="3DEB7C6F"/>
    <w:rsid w:val="3E17671E"/>
    <w:rsid w:val="3E646581"/>
    <w:rsid w:val="3E697A0B"/>
    <w:rsid w:val="3E825552"/>
    <w:rsid w:val="3E8517C5"/>
    <w:rsid w:val="3E930198"/>
    <w:rsid w:val="3E946E66"/>
    <w:rsid w:val="3EB61701"/>
    <w:rsid w:val="3EBA6451"/>
    <w:rsid w:val="3ECA545B"/>
    <w:rsid w:val="3F555D25"/>
    <w:rsid w:val="3F566811"/>
    <w:rsid w:val="3F6E1604"/>
    <w:rsid w:val="3F9609BC"/>
    <w:rsid w:val="3F995B77"/>
    <w:rsid w:val="3FD05D64"/>
    <w:rsid w:val="3FE56233"/>
    <w:rsid w:val="401455C3"/>
    <w:rsid w:val="40244528"/>
    <w:rsid w:val="403874E0"/>
    <w:rsid w:val="405B4D28"/>
    <w:rsid w:val="4094294D"/>
    <w:rsid w:val="40A3733C"/>
    <w:rsid w:val="40CC3328"/>
    <w:rsid w:val="40E00B11"/>
    <w:rsid w:val="40E1065A"/>
    <w:rsid w:val="411029F0"/>
    <w:rsid w:val="41361594"/>
    <w:rsid w:val="414F6F99"/>
    <w:rsid w:val="41A67D0B"/>
    <w:rsid w:val="41DE110C"/>
    <w:rsid w:val="41F57644"/>
    <w:rsid w:val="421656C4"/>
    <w:rsid w:val="42193252"/>
    <w:rsid w:val="42277EF7"/>
    <w:rsid w:val="42411CEA"/>
    <w:rsid w:val="42585666"/>
    <w:rsid w:val="425C0A3B"/>
    <w:rsid w:val="426B76F0"/>
    <w:rsid w:val="429A1D6F"/>
    <w:rsid w:val="42A96C58"/>
    <w:rsid w:val="432431A4"/>
    <w:rsid w:val="433D5089"/>
    <w:rsid w:val="434616BC"/>
    <w:rsid w:val="43B46EA6"/>
    <w:rsid w:val="43C9590B"/>
    <w:rsid w:val="43D95BE2"/>
    <w:rsid w:val="43E16008"/>
    <w:rsid w:val="43F0701E"/>
    <w:rsid w:val="43F55B48"/>
    <w:rsid w:val="44011264"/>
    <w:rsid w:val="4410037A"/>
    <w:rsid w:val="44136A7F"/>
    <w:rsid w:val="441F5424"/>
    <w:rsid w:val="443A082D"/>
    <w:rsid w:val="44426641"/>
    <w:rsid w:val="44633262"/>
    <w:rsid w:val="448B4867"/>
    <w:rsid w:val="44D53D34"/>
    <w:rsid w:val="44F92940"/>
    <w:rsid w:val="4501063B"/>
    <w:rsid w:val="45052AC1"/>
    <w:rsid w:val="45132AAF"/>
    <w:rsid w:val="451F649D"/>
    <w:rsid w:val="45321187"/>
    <w:rsid w:val="45377CF9"/>
    <w:rsid w:val="45416075"/>
    <w:rsid w:val="45497D2C"/>
    <w:rsid w:val="455D4E4D"/>
    <w:rsid w:val="45782878"/>
    <w:rsid w:val="45A71A34"/>
    <w:rsid w:val="45BE6EBE"/>
    <w:rsid w:val="46062BB3"/>
    <w:rsid w:val="463D4D16"/>
    <w:rsid w:val="46490517"/>
    <w:rsid w:val="465346DC"/>
    <w:rsid w:val="467E74F1"/>
    <w:rsid w:val="46802876"/>
    <w:rsid w:val="46973A9F"/>
    <w:rsid w:val="46CD03D6"/>
    <w:rsid w:val="46DB4254"/>
    <w:rsid w:val="46F70FEB"/>
    <w:rsid w:val="47001852"/>
    <w:rsid w:val="47131AAE"/>
    <w:rsid w:val="475055A7"/>
    <w:rsid w:val="47593081"/>
    <w:rsid w:val="478236DD"/>
    <w:rsid w:val="47A948D0"/>
    <w:rsid w:val="47B65A57"/>
    <w:rsid w:val="47DB01D8"/>
    <w:rsid w:val="47EA6BCA"/>
    <w:rsid w:val="480F755D"/>
    <w:rsid w:val="48194880"/>
    <w:rsid w:val="48324258"/>
    <w:rsid w:val="485533C5"/>
    <w:rsid w:val="48961184"/>
    <w:rsid w:val="48981FDB"/>
    <w:rsid w:val="489A776F"/>
    <w:rsid w:val="48D12A65"/>
    <w:rsid w:val="48D72831"/>
    <w:rsid w:val="48DA400F"/>
    <w:rsid w:val="48E94252"/>
    <w:rsid w:val="48F826E7"/>
    <w:rsid w:val="48FB15B1"/>
    <w:rsid w:val="492E1C8A"/>
    <w:rsid w:val="49457B9B"/>
    <w:rsid w:val="49767A81"/>
    <w:rsid w:val="49C13E32"/>
    <w:rsid w:val="4A0C4830"/>
    <w:rsid w:val="4A193EF2"/>
    <w:rsid w:val="4A5C41EE"/>
    <w:rsid w:val="4A6B59BD"/>
    <w:rsid w:val="4A911DE8"/>
    <w:rsid w:val="4AB20618"/>
    <w:rsid w:val="4AC44A5C"/>
    <w:rsid w:val="4ACC0B18"/>
    <w:rsid w:val="4AD15721"/>
    <w:rsid w:val="4AD650FF"/>
    <w:rsid w:val="4AEC09FB"/>
    <w:rsid w:val="4B286C96"/>
    <w:rsid w:val="4B3D1D4B"/>
    <w:rsid w:val="4B841AD9"/>
    <w:rsid w:val="4B85737C"/>
    <w:rsid w:val="4BE1364C"/>
    <w:rsid w:val="4BE544FF"/>
    <w:rsid w:val="4BF9040A"/>
    <w:rsid w:val="4C0B61D0"/>
    <w:rsid w:val="4C1603E0"/>
    <w:rsid w:val="4C2A55AF"/>
    <w:rsid w:val="4C7F7F32"/>
    <w:rsid w:val="4C9202CE"/>
    <w:rsid w:val="4CBC4A0C"/>
    <w:rsid w:val="4CBD494A"/>
    <w:rsid w:val="4CF2172A"/>
    <w:rsid w:val="4D021D86"/>
    <w:rsid w:val="4D041B29"/>
    <w:rsid w:val="4D1D0B56"/>
    <w:rsid w:val="4D1E3BF0"/>
    <w:rsid w:val="4D216D20"/>
    <w:rsid w:val="4D355F0D"/>
    <w:rsid w:val="4D4B13F3"/>
    <w:rsid w:val="4D5344AC"/>
    <w:rsid w:val="4D653EE9"/>
    <w:rsid w:val="4D6B7D84"/>
    <w:rsid w:val="4D743336"/>
    <w:rsid w:val="4D761F49"/>
    <w:rsid w:val="4DA351F2"/>
    <w:rsid w:val="4DB536B0"/>
    <w:rsid w:val="4DE9121B"/>
    <w:rsid w:val="4DF44835"/>
    <w:rsid w:val="4E031D7A"/>
    <w:rsid w:val="4E3C3FC8"/>
    <w:rsid w:val="4E42314D"/>
    <w:rsid w:val="4E524648"/>
    <w:rsid w:val="4E873E5B"/>
    <w:rsid w:val="4EB4266F"/>
    <w:rsid w:val="4EC13713"/>
    <w:rsid w:val="4F227B55"/>
    <w:rsid w:val="4F3F4D79"/>
    <w:rsid w:val="4F447BCB"/>
    <w:rsid w:val="4F477F24"/>
    <w:rsid w:val="4F491758"/>
    <w:rsid w:val="4F506DD9"/>
    <w:rsid w:val="4F5D14F6"/>
    <w:rsid w:val="4F7B372A"/>
    <w:rsid w:val="4F9F2AF1"/>
    <w:rsid w:val="4FF50E5C"/>
    <w:rsid w:val="50492ED6"/>
    <w:rsid w:val="504B2981"/>
    <w:rsid w:val="50594E5E"/>
    <w:rsid w:val="50AA427B"/>
    <w:rsid w:val="50AC27F4"/>
    <w:rsid w:val="50E27D28"/>
    <w:rsid w:val="50F30CAD"/>
    <w:rsid w:val="51212B46"/>
    <w:rsid w:val="51510BE7"/>
    <w:rsid w:val="515163C4"/>
    <w:rsid w:val="51733EAB"/>
    <w:rsid w:val="5176689F"/>
    <w:rsid w:val="51A26F77"/>
    <w:rsid w:val="51A27BDE"/>
    <w:rsid w:val="51BD44CE"/>
    <w:rsid w:val="51BE5C1E"/>
    <w:rsid w:val="51C248A5"/>
    <w:rsid w:val="51CB640B"/>
    <w:rsid w:val="51DE20FB"/>
    <w:rsid w:val="51E1029C"/>
    <w:rsid w:val="520F496B"/>
    <w:rsid w:val="5219008D"/>
    <w:rsid w:val="522B1A1A"/>
    <w:rsid w:val="523B0E89"/>
    <w:rsid w:val="524B2DC8"/>
    <w:rsid w:val="525A0210"/>
    <w:rsid w:val="527148BE"/>
    <w:rsid w:val="52952D55"/>
    <w:rsid w:val="529601E4"/>
    <w:rsid w:val="52AF2B74"/>
    <w:rsid w:val="52D11EE3"/>
    <w:rsid w:val="530110AB"/>
    <w:rsid w:val="53066D0F"/>
    <w:rsid w:val="531941DA"/>
    <w:rsid w:val="531D551D"/>
    <w:rsid w:val="532B0ADB"/>
    <w:rsid w:val="53413B53"/>
    <w:rsid w:val="534E1882"/>
    <w:rsid w:val="53B87F60"/>
    <w:rsid w:val="53B95260"/>
    <w:rsid w:val="53E478AF"/>
    <w:rsid w:val="53F65A75"/>
    <w:rsid w:val="540A350F"/>
    <w:rsid w:val="541128AF"/>
    <w:rsid w:val="5425305B"/>
    <w:rsid w:val="543563F0"/>
    <w:rsid w:val="543A1E06"/>
    <w:rsid w:val="544069B1"/>
    <w:rsid w:val="546569FC"/>
    <w:rsid w:val="5488245D"/>
    <w:rsid w:val="54935E10"/>
    <w:rsid w:val="54A91DF0"/>
    <w:rsid w:val="54CD4A28"/>
    <w:rsid w:val="54D6585E"/>
    <w:rsid w:val="54D6640B"/>
    <w:rsid w:val="54F23F50"/>
    <w:rsid w:val="5515410D"/>
    <w:rsid w:val="551E1D72"/>
    <w:rsid w:val="55536FDA"/>
    <w:rsid w:val="555A59FD"/>
    <w:rsid w:val="556E388B"/>
    <w:rsid w:val="55806D8B"/>
    <w:rsid w:val="55B31E70"/>
    <w:rsid w:val="55BE7BFB"/>
    <w:rsid w:val="55D77168"/>
    <w:rsid w:val="560C77D2"/>
    <w:rsid w:val="56142BD0"/>
    <w:rsid w:val="56554D73"/>
    <w:rsid w:val="56867584"/>
    <w:rsid w:val="56B023EA"/>
    <w:rsid w:val="56F05B65"/>
    <w:rsid w:val="56FA0201"/>
    <w:rsid w:val="572D5C52"/>
    <w:rsid w:val="57460F04"/>
    <w:rsid w:val="57473B22"/>
    <w:rsid w:val="575D4AEE"/>
    <w:rsid w:val="5761663B"/>
    <w:rsid w:val="57736AB0"/>
    <w:rsid w:val="57B91294"/>
    <w:rsid w:val="57C07912"/>
    <w:rsid w:val="57FE0017"/>
    <w:rsid w:val="582A4DDF"/>
    <w:rsid w:val="584720E0"/>
    <w:rsid w:val="585A0885"/>
    <w:rsid w:val="586604EA"/>
    <w:rsid w:val="5889335C"/>
    <w:rsid w:val="58C3382F"/>
    <w:rsid w:val="58D27FB8"/>
    <w:rsid w:val="58F9524E"/>
    <w:rsid w:val="593A4990"/>
    <w:rsid w:val="599541CD"/>
    <w:rsid w:val="59A3777C"/>
    <w:rsid w:val="59B11055"/>
    <w:rsid w:val="59DB7BE7"/>
    <w:rsid w:val="5A0C1EF9"/>
    <w:rsid w:val="5A352FBE"/>
    <w:rsid w:val="5A390534"/>
    <w:rsid w:val="5A4A63D7"/>
    <w:rsid w:val="5A514DDC"/>
    <w:rsid w:val="5A715E56"/>
    <w:rsid w:val="5A9B04D6"/>
    <w:rsid w:val="5AE44F30"/>
    <w:rsid w:val="5B6F4A8B"/>
    <w:rsid w:val="5B8310E4"/>
    <w:rsid w:val="5BE62FD9"/>
    <w:rsid w:val="5BF74EC7"/>
    <w:rsid w:val="5C1F50E4"/>
    <w:rsid w:val="5C205BA2"/>
    <w:rsid w:val="5C491F27"/>
    <w:rsid w:val="5CC96302"/>
    <w:rsid w:val="5CE63E7E"/>
    <w:rsid w:val="5CF93AE0"/>
    <w:rsid w:val="5CF93B2D"/>
    <w:rsid w:val="5D27508B"/>
    <w:rsid w:val="5D6653C6"/>
    <w:rsid w:val="5D83037A"/>
    <w:rsid w:val="5DA90013"/>
    <w:rsid w:val="5DB9023F"/>
    <w:rsid w:val="5DBB4958"/>
    <w:rsid w:val="5DED7EE9"/>
    <w:rsid w:val="5DEF4CAD"/>
    <w:rsid w:val="5DFF6F42"/>
    <w:rsid w:val="5E297715"/>
    <w:rsid w:val="5E4443F8"/>
    <w:rsid w:val="5E731EEE"/>
    <w:rsid w:val="5E934DA7"/>
    <w:rsid w:val="5EBB21E3"/>
    <w:rsid w:val="5ED811C0"/>
    <w:rsid w:val="5EE8230E"/>
    <w:rsid w:val="5EFE78C9"/>
    <w:rsid w:val="5F04319F"/>
    <w:rsid w:val="5F125E59"/>
    <w:rsid w:val="5F1D468A"/>
    <w:rsid w:val="5F230C6E"/>
    <w:rsid w:val="5F396D54"/>
    <w:rsid w:val="5F5D650D"/>
    <w:rsid w:val="5F692B99"/>
    <w:rsid w:val="5F6D55CC"/>
    <w:rsid w:val="5F8C1EAA"/>
    <w:rsid w:val="5FAB09A1"/>
    <w:rsid w:val="5FB21B76"/>
    <w:rsid w:val="5FE559CD"/>
    <w:rsid w:val="5FEB71DA"/>
    <w:rsid w:val="600F5332"/>
    <w:rsid w:val="60561D75"/>
    <w:rsid w:val="60562F44"/>
    <w:rsid w:val="607A491A"/>
    <w:rsid w:val="60932FCA"/>
    <w:rsid w:val="60D9470F"/>
    <w:rsid w:val="60DD5F31"/>
    <w:rsid w:val="60EB6D00"/>
    <w:rsid w:val="612049BB"/>
    <w:rsid w:val="614F614E"/>
    <w:rsid w:val="6151253D"/>
    <w:rsid w:val="61561B83"/>
    <w:rsid w:val="615841C4"/>
    <w:rsid w:val="615978D1"/>
    <w:rsid w:val="615C785F"/>
    <w:rsid w:val="619D1807"/>
    <w:rsid w:val="61B16610"/>
    <w:rsid w:val="61C827FF"/>
    <w:rsid w:val="61CD3451"/>
    <w:rsid w:val="61DD2A6C"/>
    <w:rsid w:val="61E6479E"/>
    <w:rsid w:val="62170D32"/>
    <w:rsid w:val="62292FA7"/>
    <w:rsid w:val="62595B4D"/>
    <w:rsid w:val="62614A02"/>
    <w:rsid w:val="62625805"/>
    <w:rsid w:val="629A2158"/>
    <w:rsid w:val="62AA63A9"/>
    <w:rsid w:val="62AC1A0A"/>
    <w:rsid w:val="62D1432C"/>
    <w:rsid w:val="62E573FE"/>
    <w:rsid w:val="63067AE6"/>
    <w:rsid w:val="631E68A0"/>
    <w:rsid w:val="632C0E54"/>
    <w:rsid w:val="63780255"/>
    <w:rsid w:val="63806A58"/>
    <w:rsid w:val="639F1C85"/>
    <w:rsid w:val="63D87AEE"/>
    <w:rsid w:val="6411743B"/>
    <w:rsid w:val="642C15E5"/>
    <w:rsid w:val="64301C12"/>
    <w:rsid w:val="64917820"/>
    <w:rsid w:val="649829A9"/>
    <w:rsid w:val="64C42F83"/>
    <w:rsid w:val="64EB67CE"/>
    <w:rsid w:val="656C77A6"/>
    <w:rsid w:val="658729D1"/>
    <w:rsid w:val="65A87E00"/>
    <w:rsid w:val="65AA5DA5"/>
    <w:rsid w:val="65C07D27"/>
    <w:rsid w:val="65D21085"/>
    <w:rsid w:val="660E4EA0"/>
    <w:rsid w:val="6639016F"/>
    <w:rsid w:val="66392D9A"/>
    <w:rsid w:val="663E0A2F"/>
    <w:rsid w:val="66577444"/>
    <w:rsid w:val="6663635F"/>
    <w:rsid w:val="66754F1F"/>
    <w:rsid w:val="669473E5"/>
    <w:rsid w:val="66993F11"/>
    <w:rsid w:val="66A31A8D"/>
    <w:rsid w:val="66B772E6"/>
    <w:rsid w:val="66BB0D4F"/>
    <w:rsid w:val="66C54326"/>
    <w:rsid w:val="66CE13EF"/>
    <w:rsid w:val="66D41C46"/>
    <w:rsid w:val="66DB4D83"/>
    <w:rsid w:val="67105A18"/>
    <w:rsid w:val="671D552C"/>
    <w:rsid w:val="67346614"/>
    <w:rsid w:val="674120F2"/>
    <w:rsid w:val="674E7C3D"/>
    <w:rsid w:val="678C20F6"/>
    <w:rsid w:val="678C7A88"/>
    <w:rsid w:val="67BD6B7E"/>
    <w:rsid w:val="67EB2EF9"/>
    <w:rsid w:val="67FC1D90"/>
    <w:rsid w:val="68413F22"/>
    <w:rsid w:val="685F19E3"/>
    <w:rsid w:val="688C2BE0"/>
    <w:rsid w:val="688D6550"/>
    <w:rsid w:val="68994EF5"/>
    <w:rsid w:val="689A2236"/>
    <w:rsid w:val="68B6096A"/>
    <w:rsid w:val="68B80B93"/>
    <w:rsid w:val="68C3014D"/>
    <w:rsid w:val="68E41866"/>
    <w:rsid w:val="68EF29E6"/>
    <w:rsid w:val="690D50F9"/>
    <w:rsid w:val="690E07BC"/>
    <w:rsid w:val="69767FB8"/>
    <w:rsid w:val="697C498C"/>
    <w:rsid w:val="69927E5F"/>
    <w:rsid w:val="69CA7A26"/>
    <w:rsid w:val="69D0221D"/>
    <w:rsid w:val="6A3B3B6D"/>
    <w:rsid w:val="6A4242B5"/>
    <w:rsid w:val="6A504E6E"/>
    <w:rsid w:val="6A5C5C0D"/>
    <w:rsid w:val="6A8272FB"/>
    <w:rsid w:val="6A912B8B"/>
    <w:rsid w:val="6AC235A3"/>
    <w:rsid w:val="6AEC6564"/>
    <w:rsid w:val="6AF44665"/>
    <w:rsid w:val="6B1D6721"/>
    <w:rsid w:val="6B3A0B10"/>
    <w:rsid w:val="6B567508"/>
    <w:rsid w:val="6B6E08BB"/>
    <w:rsid w:val="6B710969"/>
    <w:rsid w:val="6B7B74A0"/>
    <w:rsid w:val="6B9E135C"/>
    <w:rsid w:val="6BBC2383"/>
    <w:rsid w:val="6BDA5FDD"/>
    <w:rsid w:val="6C505E6C"/>
    <w:rsid w:val="6C5B730A"/>
    <w:rsid w:val="6C7B1646"/>
    <w:rsid w:val="6C8C0EA4"/>
    <w:rsid w:val="6CB275EC"/>
    <w:rsid w:val="6CC87B57"/>
    <w:rsid w:val="6CCF3B4B"/>
    <w:rsid w:val="6D1A513E"/>
    <w:rsid w:val="6D28384B"/>
    <w:rsid w:val="6D427557"/>
    <w:rsid w:val="6D69533C"/>
    <w:rsid w:val="6D6C470B"/>
    <w:rsid w:val="6D6F34FA"/>
    <w:rsid w:val="6D7018D3"/>
    <w:rsid w:val="6D724E66"/>
    <w:rsid w:val="6E027D32"/>
    <w:rsid w:val="6E0659A0"/>
    <w:rsid w:val="6E331948"/>
    <w:rsid w:val="6E3B6AC8"/>
    <w:rsid w:val="6E533D98"/>
    <w:rsid w:val="6E5B0E2F"/>
    <w:rsid w:val="6E5C35A4"/>
    <w:rsid w:val="6E5C7E3A"/>
    <w:rsid w:val="6EA22C01"/>
    <w:rsid w:val="6ED352FB"/>
    <w:rsid w:val="6F154861"/>
    <w:rsid w:val="6F7201AC"/>
    <w:rsid w:val="6F8B1310"/>
    <w:rsid w:val="6FAE2A7D"/>
    <w:rsid w:val="6FAF5830"/>
    <w:rsid w:val="6FD22638"/>
    <w:rsid w:val="6FEA732C"/>
    <w:rsid w:val="701D4BDE"/>
    <w:rsid w:val="70204F9A"/>
    <w:rsid w:val="70897BFE"/>
    <w:rsid w:val="70911BAC"/>
    <w:rsid w:val="70A02736"/>
    <w:rsid w:val="70B43760"/>
    <w:rsid w:val="70BB79D3"/>
    <w:rsid w:val="70C108B5"/>
    <w:rsid w:val="70C20D61"/>
    <w:rsid w:val="70D801D6"/>
    <w:rsid w:val="70DD3A4C"/>
    <w:rsid w:val="716E429D"/>
    <w:rsid w:val="71701401"/>
    <w:rsid w:val="718129CA"/>
    <w:rsid w:val="71C0365F"/>
    <w:rsid w:val="71C1201B"/>
    <w:rsid w:val="71C32FA0"/>
    <w:rsid w:val="71D61A5A"/>
    <w:rsid w:val="71E865E8"/>
    <w:rsid w:val="721249A8"/>
    <w:rsid w:val="722153EB"/>
    <w:rsid w:val="723247C9"/>
    <w:rsid w:val="72707D11"/>
    <w:rsid w:val="727F33AE"/>
    <w:rsid w:val="72801E0E"/>
    <w:rsid w:val="728D72D4"/>
    <w:rsid w:val="72F6424D"/>
    <w:rsid w:val="72FF004B"/>
    <w:rsid w:val="73351855"/>
    <w:rsid w:val="734168B5"/>
    <w:rsid w:val="734A22F6"/>
    <w:rsid w:val="7351143E"/>
    <w:rsid w:val="73591E51"/>
    <w:rsid w:val="73750FEF"/>
    <w:rsid w:val="73770529"/>
    <w:rsid w:val="7379604F"/>
    <w:rsid w:val="73A82490"/>
    <w:rsid w:val="73BF77DA"/>
    <w:rsid w:val="73CD213F"/>
    <w:rsid w:val="73D94D40"/>
    <w:rsid w:val="74205BD2"/>
    <w:rsid w:val="74315930"/>
    <w:rsid w:val="74585E26"/>
    <w:rsid w:val="74671F38"/>
    <w:rsid w:val="747B1BB4"/>
    <w:rsid w:val="748A4618"/>
    <w:rsid w:val="74B3090C"/>
    <w:rsid w:val="74B72AE2"/>
    <w:rsid w:val="750000AA"/>
    <w:rsid w:val="75A62A4E"/>
    <w:rsid w:val="75AC272C"/>
    <w:rsid w:val="75BD7F14"/>
    <w:rsid w:val="75BF1D13"/>
    <w:rsid w:val="75D01109"/>
    <w:rsid w:val="75D61CF2"/>
    <w:rsid w:val="75E56F2F"/>
    <w:rsid w:val="760342F6"/>
    <w:rsid w:val="76054C7B"/>
    <w:rsid w:val="76642F03"/>
    <w:rsid w:val="766460CF"/>
    <w:rsid w:val="766E5C13"/>
    <w:rsid w:val="76971078"/>
    <w:rsid w:val="76B455F0"/>
    <w:rsid w:val="76D33CC8"/>
    <w:rsid w:val="76DE134D"/>
    <w:rsid w:val="76EC4465"/>
    <w:rsid w:val="76F33ECC"/>
    <w:rsid w:val="772876AC"/>
    <w:rsid w:val="773418AC"/>
    <w:rsid w:val="77694159"/>
    <w:rsid w:val="77B25FEB"/>
    <w:rsid w:val="77BC77E7"/>
    <w:rsid w:val="77C979EF"/>
    <w:rsid w:val="77F019DE"/>
    <w:rsid w:val="780266F5"/>
    <w:rsid w:val="78203E33"/>
    <w:rsid w:val="7827164B"/>
    <w:rsid w:val="78590CF3"/>
    <w:rsid w:val="788B576D"/>
    <w:rsid w:val="78936238"/>
    <w:rsid w:val="78AD0549"/>
    <w:rsid w:val="78BF7473"/>
    <w:rsid w:val="78E81443"/>
    <w:rsid w:val="79137054"/>
    <w:rsid w:val="791A5958"/>
    <w:rsid w:val="793626A9"/>
    <w:rsid w:val="79536017"/>
    <w:rsid w:val="795F234F"/>
    <w:rsid w:val="7961335E"/>
    <w:rsid w:val="796A0C20"/>
    <w:rsid w:val="79721340"/>
    <w:rsid w:val="7988176F"/>
    <w:rsid w:val="79AD7538"/>
    <w:rsid w:val="79B078F9"/>
    <w:rsid w:val="79D00993"/>
    <w:rsid w:val="79DB3109"/>
    <w:rsid w:val="7A0E68EE"/>
    <w:rsid w:val="7A2E61A1"/>
    <w:rsid w:val="7A2F1845"/>
    <w:rsid w:val="7AC23EDC"/>
    <w:rsid w:val="7ACA6D89"/>
    <w:rsid w:val="7ACC0F15"/>
    <w:rsid w:val="7AE90AEC"/>
    <w:rsid w:val="7AF35895"/>
    <w:rsid w:val="7B171426"/>
    <w:rsid w:val="7B2173E8"/>
    <w:rsid w:val="7B252E38"/>
    <w:rsid w:val="7B335DF5"/>
    <w:rsid w:val="7B336A83"/>
    <w:rsid w:val="7B3F069E"/>
    <w:rsid w:val="7B562068"/>
    <w:rsid w:val="7B9D6653"/>
    <w:rsid w:val="7BB30D54"/>
    <w:rsid w:val="7BCB4C79"/>
    <w:rsid w:val="7BD42F30"/>
    <w:rsid w:val="7C417A67"/>
    <w:rsid w:val="7C4B6BA4"/>
    <w:rsid w:val="7C571654"/>
    <w:rsid w:val="7C683394"/>
    <w:rsid w:val="7C806757"/>
    <w:rsid w:val="7CC44922"/>
    <w:rsid w:val="7CC67687"/>
    <w:rsid w:val="7CDF36C4"/>
    <w:rsid w:val="7D032BB1"/>
    <w:rsid w:val="7D4C2584"/>
    <w:rsid w:val="7D8379F3"/>
    <w:rsid w:val="7D8A547F"/>
    <w:rsid w:val="7D9879F5"/>
    <w:rsid w:val="7DBD71A6"/>
    <w:rsid w:val="7DC336AA"/>
    <w:rsid w:val="7DC823CC"/>
    <w:rsid w:val="7E050960"/>
    <w:rsid w:val="7E355268"/>
    <w:rsid w:val="7E470AF8"/>
    <w:rsid w:val="7EBA56AC"/>
    <w:rsid w:val="7EC04E5E"/>
    <w:rsid w:val="7F0F03A1"/>
    <w:rsid w:val="7F1955B0"/>
    <w:rsid w:val="7F3217A8"/>
    <w:rsid w:val="7F6852F2"/>
    <w:rsid w:val="7F7211CD"/>
    <w:rsid w:val="7F7818B1"/>
    <w:rsid w:val="7F952167"/>
    <w:rsid w:val="7FB87EFF"/>
    <w:rsid w:val="7FCA06E4"/>
    <w:rsid w:val="7FD0144E"/>
    <w:rsid w:val="7FDD1714"/>
    <w:rsid w:val="7FEF0A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64"/>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7">
    <w:name w:val="heading 5"/>
    <w:basedOn w:val="1"/>
    <w:next w:val="8"/>
    <w:link w:val="66"/>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67"/>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68"/>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6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70"/>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autoSpaceDE w:val="0"/>
      <w:autoSpaceDN w:val="0"/>
      <w:adjustRightInd w:val="0"/>
    </w:pPr>
    <w:rPr>
      <w:rFonts w:ascii="宋体" w:hAnsi="Times New Roman" w:cs="宋体"/>
      <w:color w:val="000000"/>
      <w:sz w:val="24"/>
      <w:szCs w:val="24"/>
    </w:rPr>
  </w:style>
  <w:style w:type="paragraph" w:styleId="3">
    <w:name w:val="Title"/>
    <w:basedOn w:val="1"/>
    <w:next w:val="1"/>
    <w:link w:val="86"/>
    <w:qFormat/>
    <w:uiPriority w:val="10"/>
    <w:pPr>
      <w:spacing w:before="240" w:after="60"/>
      <w:jc w:val="center"/>
      <w:outlineLvl w:val="0"/>
    </w:pPr>
    <w:rPr>
      <w:rFonts w:ascii="Cambria" w:hAnsi="Cambria"/>
      <w:b/>
      <w:bCs/>
      <w:sz w:val="32"/>
      <w:szCs w:val="32"/>
    </w:rPr>
  </w:style>
  <w:style w:type="paragraph" w:styleId="8">
    <w:name w:val="Normal Indent"/>
    <w:basedOn w:val="1"/>
    <w:qFormat/>
    <w:uiPriority w:val="0"/>
    <w:pPr>
      <w:ind w:firstLine="420"/>
    </w:pPr>
    <w:rPr>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index 8"/>
    <w:basedOn w:val="1"/>
    <w:next w:val="1"/>
    <w:qFormat/>
    <w:uiPriority w:val="0"/>
    <w:pPr>
      <w:spacing w:line="400" w:lineRule="exact"/>
      <w:ind w:left="2940" w:firstLine="1044" w:firstLineChars="200"/>
      <w:jc w:val="left"/>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71"/>
    <w:unhideWhenUsed/>
    <w:qFormat/>
    <w:uiPriority w:val="0"/>
    <w:pPr>
      <w:shd w:val="clear" w:color="auto" w:fill="000080"/>
    </w:pPr>
    <w:rPr>
      <w:rFonts w:hint="eastAsia" w:ascii="宋体" w:hAnsi="宋体"/>
      <w:kern w:val="0"/>
      <w:sz w:val="20"/>
      <w:szCs w:val="20"/>
    </w:rPr>
  </w:style>
  <w:style w:type="paragraph" w:styleId="18">
    <w:name w:val="annotation text"/>
    <w:basedOn w:val="1"/>
    <w:link w:val="72"/>
    <w:unhideWhenUsed/>
    <w:qFormat/>
    <w:uiPriority w:val="0"/>
    <w:pPr>
      <w:jc w:val="left"/>
    </w:pPr>
  </w:style>
  <w:style w:type="paragraph" w:styleId="19">
    <w:name w:val="Body Text 3"/>
    <w:basedOn w:val="1"/>
    <w:link w:val="73"/>
    <w:qFormat/>
    <w:uiPriority w:val="0"/>
    <w:pPr>
      <w:spacing w:line="500" w:lineRule="exact"/>
    </w:pPr>
    <w:rPr>
      <w:b/>
      <w:bCs/>
      <w:kern w:val="0"/>
      <w:sz w:val="24"/>
    </w:rPr>
  </w:style>
  <w:style w:type="paragraph" w:styleId="20">
    <w:name w:val="Body Text"/>
    <w:basedOn w:val="1"/>
    <w:next w:val="1"/>
    <w:link w:val="159"/>
    <w:qFormat/>
    <w:uiPriority w:val="0"/>
    <w:pPr>
      <w:spacing w:line="380" w:lineRule="exact"/>
    </w:pPr>
    <w:rPr>
      <w:kern w:val="0"/>
      <w:sz w:val="24"/>
    </w:rPr>
  </w:style>
  <w:style w:type="paragraph" w:styleId="21">
    <w:name w:val="Body Text Indent"/>
    <w:basedOn w:val="1"/>
    <w:next w:val="1"/>
    <w:link w:val="75"/>
    <w:qFormat/>
    <w:uiPriority w:val="0"/>
    <w:pPr>
      <w:ind w:firstLine="830" w:firstLineChars="352"/>
    </w:pPr>
    <w:rPr>
      <w:rFonts w:ascii="仿宋_GB2312" w:eastAsia="仿宋_GB2312"/>
      <w:kern w:val="0"/>
      <w:sz w:val="32"/>
      <w:szCs w:val="20"/>
    </w:rPr>
  </w:style>
  <w:style w:type="paragraph" w:styleId="22">
    <w:name w:val="List Number 3"/>
    <w:basedOn w:val="1"/>
    <w:qFormat/>
    <w:uiPriority w:val="0"/>
    <w:pPr>
      <w:numPr>
        <w:ilvl w:val="0"/>
        <w:numId w:val="2"/>
      </w:numPr>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99"/>
    <w:pPr>
      <w:adjustRightInd w:val="0"/>
      <w:ind w:left="420" w:right="33"/>
      <w:jc w:val="left"/>
      <w:textAlignment w:val="baseline"/>
    </w:pPr>
    <w:rPr>
      <w:kern w:val="0"/>
      <w:sz w:val="24"/>
      <w:szCs w:val="20"/>
    </w:rPr>
  </w:style>
  <w:style w:type="paragraph" w:styleId="25">
    <w:name w:val="toc 5"/>
    <w:basedOn w:val="1"/>
    <w:next w:val="1"/>
    <w:unhideWhenUsed/>
    <w:qFormat/>
    <w:uiPriority w:val="39"/>
    <w:pPr>
      <w:ind w:left="1680" w:leftChars="800"/>
    </w:pPr>
    <w:rPr>
      <w:rFonts w:ascii="Calibri" w:hAnsi="Calibri"/>
      <w:szCs w:val="22"/>
    </w:rPr>
  </w:style>
  <w:style w:type="paragraph" w:styleId="26">
    <w:name w:val="toc 3"/>
    <w:basedOn w:val="1"/>
    <w:next w:val="1"/>
    <w:unhideWhenUsed/>
    <w:qFormat/>
    <w:uiPriority w:val="39"/>
    <w:pPr>
      <w:ind w:left="840" w:leftChars="400"/>
    </w:pPr>
    <w:rPr>
      <w:rFonts w:ascii="Calibri" w:hAnsi="Calibri"/>
      <w:szCs w:val="22"/>
    </w:rPr>
  </w:style>
  <w:style w:type="paragraph" w:styleId="27">
    <w:name w:val="Plain Text"/>
    <w:basedOn w:val="1"/>
    <w:next w:val="14"/>
    <w:link w:val="76"/>
    <w:qFormat/>
    <w:uiPriority w:val="0"/>
    <w:rPr>
      <w:rFonts w:ascii="宋体" w:hAnsi="Courier New"/>
      <w:kern w:val="0"/>
      <w:sz w:val="20"/>
      <w:szCs w:val="21"/>
    </w:rPr>
  </w:style>
  <w:style w:type="paragraph" w:styleId="28">
    <w:name w:val="toc 8"/>
    <w:basedOn w:val="1"/>
    <w:next w:val="1"/>
    <w:unhideWhenUsed/>
    <w:qFormat/>
    <w:uiPriority w:val="39"/>
    <w:pPr>
      <w:ind w:left="2940" w:leftChars="1400"/>
    </w:pPr>
    <w:rPr>
      <w:rFonts w:ascii="Calibri" w:hAnsi="Calibri"/>
      <w:szCs w:val="22"/>
    </w:rPr>
  </w:style>
  <w:style w:type="paragraph" w:styleId="29">
    <w:name w:val="Date"/>
    <w:basedOn w:val="1"/>
    <w:next w:val="1"/>
    <w:link w:val="77"/>
    <w:qFormat/>
    <w:uiPriority w:val="0"/>
    <w:pPr>
      <w:ind w:left="100" w:leftChars="2500"/>
    </w:pPr>
    <w:rPr>
      <w:rFonts w:ascii="宋体" w:hAnsi="Courier New"/>
      <w:kern w:val="0"/>
      <w:sz w:val="20"/>
      <w:szCs w:val="21"/>
    </w:rPr>
  </w:style>
  <w:style w:type="paragraph" w:styleId="30">
    <w:name w:val="Body Text Indent 2"/>
    <w:basedOn w:val="1"/>
    <w:link w:val="78"/>
    <w:qFormat/>
    <w:uiPriority w:val="0"/>
    <w:pPr>
      <w:ind w:firstLine="630"/>
    </w:pPr>
    <w:rPr>
      <w:kern w:val="0"/>
      <w:sz w:val="32"/>
      <w:szCs w:val="20"/>
    </w:rPr>
  </w:style>
  <w:style w:type="paragraph" w:styleId="31">
    <w:name w:val="endnote text"/>
    <w:basedOn w:val="1"/>
    <w:link w:val="79"/>
    <w:unhideWhenUsed/>
    <w:qFormat/>
    <w:uiPriority w:val="99"/>
    <w:pPr>
      <w:snapToGrid w:val="0"/>
      <w:jc w:val="left"/>
    </w:pPr>
  </w:style>
  <w:style w:type="paragraph" w:styleId="32">
    <w:name w:val="Balloon Text"/>
    <w:basedOn w:val="1"/>
    <w:link w:val="80"/>
    <w:semiHidden/>
    <w:qFormat/>
    <w:uiPriority w:val="0"/>
    <w:rPr>
      <w:kern w:val="0"/>
      <w:sz w:val="18"/>
      <w:szCs w:val="18"/>
    </w:rPr>
  </w:style>
  <w:style w:type="paragraph" w:styleId="33">
    <w:name w:val="footer"/>
    <w:basedOn w:val="1"/>
    <w:link w:val="81"/>
    <w:unhideWhenUsed/>
    <w:qFormat/>
    <w:uiPriority w:val="99"/>
    <w:pPr>
      <w:tabs>
        <w:tab w:val="center" w:pos="4153"/>
        <w:tab w:val="right" w:pos="8306"/>
      </w:tabs>
      <w:snapToGrid w:val="0"/>
      <w:jc w:val="left"/>
    </w:pPr>
    <w:rPr>
      <w:kern w:val="0"/>
      <w:sz w:val="18"/>
      <w:szCs w:val="18"/>
    </w:rPr>
  </w:style>
  <w:style w:type="paragraph" w:styleId="34">
    <w:name w:val="envelope return"/>
    <w:basedOn w:val="1"/>
    <w:qFormat/>
    <w:uiPriority w:val="0"/>
    <w:pPr>
      <w:snapToGrid w:val="0"/>
    </w:pPr>
    <w:rPr>
      <w:rFonts w:ascii="Arial" w:hAnsi="Arial"/>
    </w:rPr>
  </w:style>
  <w:style w:type="paragraph" w:styleId="35">
    <w:name w:val="header"/>
    <w:basedOn w:val="1"/>
    <w:link w:val="82"/>
    <w:unhideWhenUsed/>
    <w:qFormat/>
    <w:uiPriority w:val="99"/>
    <w:pPr>
      <w:pBdr>
        <w:bottom w:val="single" w:color="auto" w:sz="6" w:space="1"/>
      </w:pBdr>
      <w:tabs>
        <w:tab w:val="center" w:pos="0"/>
        <w:tab w:val="left" w:pos="8306"/>
      </w:tabs>
      <w:snapToGrid w:val="0"/>
      <w:jc w:val="center"/>
    </w:pPr>
    <w:rPr>
      <w:sz w:val="18"/>
      <w:szCs w:val="18"/>
    </w:rPr>
  </w:style>
  <w:style w:type="paragraph" w:styleId="3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7">
    <w:name w:val="toc 4"/>
    <w:basedOn w:val="1"/>
    <w:next w:val="1"/>
    <w:unhideWhenUsed/>
    <w:qFormat/>
    <w:uiPriority w:val="39"/>
    <w:pPr>
      <w:ind w:left="1260" w:leftChars="600"/>
    </w:pPr>
    <w:rPr>
      <w:rFonts w:ascii="Calibri" w:hAnsi="Calibri"/>
      <w:szCs w:val="22"/>
    </w:rPr>
  </w:style>
  <w:style w:type="paragraph" w:styleId="38">
    <w:name w:val="List"/>
    <w:basedOn w:val="1"/>
    <w:qFormat/>
    <w:uiPriority w:val="0"/>
    <w:pPr>
      <w:ind w:left="200" w:hanging="200" w:hangingChars="200"/>
    </w:pPr>
    <w:rPr>
      <w:sz w:val="28"/>
    </w:rPr>
  </w:style>
  <w:style w:type="paragraph" w:styleId="39">
    <w:name w:val="footnote text"/>
    <w:basedOn w:val="1"/>
    <w:link w:val="83"/>
    <w:unhideWhenUsed/>
    <w:qFormat/>
    <w:uiPriority w:val="99"/>
    <w:pPr>
      <w:snapToGrid w:val="0"/>
      <w:jc w:val="left"/>
    </w:pPr>
    <w:rPr>
      <w:sz w:val="18"/>
      <w:szCs w:val="18"/>
    </w:rPr>
  </w:style>
  <w:style w:type="paragraph" w:styleId="40">
    <w:name w:val="toc 6"/>
    <w:basedOn w:val="1"/>
    <w:next w:val="1"/>
    <w:unhideWhenUsed/>
    <w:qFormat/>
    <w:uiPriority w:val="39"/>
    <w:pPr>
      <w:ind w:left="2100" w:leftChars="1000"/>
    </w:pPr>
    <w:rPr>
      <w:rFonts w:ascii="Calibri" w:hAnsi="Calibri"/>
      <w:szCs w:val="22"/>
    </w:rPr>
  </w:style>
  <w:style w:type="paragraph" w:styleId="41">
    <w:name w:val="Body Text Indent 3"/>
    <w:basedOn w:val="1"/>
    <w:link w:val="84"/>
    <w:qFormat/>
    <w:uiPriority w:val="0"/>
    <w:pPr>
      <w:spacing w:after="120"/>
      <w:ind w:left="420" w:leftChars="200"/>
    </w:pPr>
    <w:rPr>
      <w:kern w:val="0"/>
      <w:sz w:val="16"/>
      <w:szCs w:val="16"/>
    </w:rPr>
  </w:style>
  <w:style w:type="paragraph" w:styleId="42">
    <w:name w:val="toc 2"/>
    <w:basedOn w:val="1"/>
    <w:next w:val="1"/>
    <w:unhideWhenUsed/>
    <w:qFormat/>
    <w:uiPriority w:val="39"/>
    <w:pPr>
      <w:ind w:left="420" w:leftChars="200"/>
    </w:pPr>
  </w:style>
  <w:style w:type="paragraph" w:styleId="43">
    <w:name w:val="toc 9"/>
    <w:basedOn w:val="1"/>
    <w:next w:val="1"/>
    <w:unhideWhenUsed/>
    <w:qFormat/>
    <w:uiPriority w:val="39"/>
    <w:pPr>
      <w:ind w:left="3360" w:leftChars="1600"/>
    </w:pPr>
    <w:rPr>
      <w:rFonts w:ascii="Calibri" w:hAnsi="Calibri"/>
      <w:szCs w:val="22"/>
    </w:rPr>
  </w:style>
  <w:style w:type="paragraph" w:styleId="44">
    <w:name w:val="Body Text 2"/>
    <w:basedOn w:val="1"/>
    <w:link w:val="85"/>
    <w:qFormat/>
    <w:uiPriority w:val="0"/>
    <w:pPr>
      <w:spacing w:after="120" w:line="480" w:lineRule="auto"/>
    </w:pPr>
    <w:rPr>
      <w:kern w:val="0"/>
      <w:sz w:val="20"/>
    </w:rPr>
  </w:style>
  <w:style w:type="paragraph" w:styleId="45">
    <w:name w:val="Normal (Web)"/>
    <w:basedOn w:val="1"/>
    <w:qFormat/>
    <w:uiPriority w:val="99"/>
    <w:pPr>
      <w:widowControl/>
      <w:spacing w:before="100" w:beforeAutospacing="1" w:after="100" w:afterAutospacing="1"/>
      <w:jc w:val="left"/>
    </w:pPr>
    <w:rPr>
      <w:rFonts w:ascii="宋体" w:hAnsi="宋体"/>
      <w:kern w:val="0"/>
      <w:sz w:val="24"/>
    </w:rPr>
  </w:style>
  <w:style w:type="paragraph" w:styleId="46">
    <w:name w:val="index 1"/>
    <w:basedOn w:val="1"/>
    <w:next w:val="1"/>
    <w:semiHidden/>
    <w:qFormat/>
    <w:uiPriority w:val="0"/>
    <w:pPr>
      <w:spacing w:line="400" w:lineRule="exact"/>
      <w:ind w:firstLine="420" w:firstLineChars="200"/>
    </w:pPr>
    <w:rPr>
      <w:rFonts w:ascii="宋体" w:hAnsi="Courier New"/>
      <w:b/>
      <w:szCs w:val="20"/>
    </w:rPr>
  </w:style>
  <w:style w:type="paragraph" w:styleId="47">
    <w:name w:val="annotation subject"/>
    <w:basedOn w:val="18"/>
    <w:next w:val="18"/>
    <w:link w:val="87"/>
    <w:unhideWhenUsed/>
    <w:qFormat/>
    <w:uiPriority w:val="99"/>
    <w:rPr>
      <w:b/>
      <w:bCs/>
    </w:rPr>
  </w:style>
  <w:style w:type="paragraph" w:styleId="48">
    <w:name w:val="Body Text First Indent 2"/>
    <w:basedOn w:val="21"/>
    <w:next w:val="1"/>
    <w:unhideWhenUsed/>
    <w:qFormat/>
    <w:uiPriority w:val="0"/>
    <w:pPr>
      <w:ind w:firstLine="420" w:firstLineChars="200"/>
    </w:p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basedOn w:val="51"/>
    <w:qFormat/>
    <w:uiPriority w:val="22"/>
    <w:rPr>
      <w:b/>
    </w:rPr>
  </w:style>
  <w:style w:type="character" w:styleId="53">
    <w:name w:val="endnote reference"/>
    <w:unhideWhenUsed/>
    <w:qFormat/>
    <w:uiPriority w:val="99"/>
    <w:rPr>
      <w:vertAlign w:val="superscript"/>
    </w:rPr>
  </w:style>
  <w:style w:type="character" w:styleId="54">
    <w:name w:val="page number"/>
    <w:basedOn w:val="51"/>
    <w:qFormat/>
    <w:uiPriority w:val="0"/>
  </w:style>
  <w:style w:type="character" w:styleId="55">
    <w:name w:val="FollowedHyperlink"/>
    <w:qFormat/>
    <w:uiPriority w:val="0"/>
    <w:rPr>
      <w:color w:val="800080"/>
      <w:u w:val="single"/>
    </w:rPr>
  </w:style>
  <w:style w:type="character" w:styleId="56">
    <w:name w:val="Hyperlink"/>
    <w:qFormat/>
    <w:uiPriority w:val="99"/>
    <w:rPr>
      <w:color w:val="0000FF"/>
      <w:u w:val="single"/>
    </w:rPr>
  </w:style>
  <w:style w:type="character" w:styleId="57">
    <w:name w:val="annotation reference"/>
    <w:basedOn w:val="51"/>
    <w:unhideWhenUsed/>
    <w:qFormat/>
    <w:uiPriority w:val="0"/>
    <w:rPr>
      <w:sz w:val="21"/>
      <w:szCs w:val="21"/>
    </w:rPr>
  </w:style>
  <w:style w:type="character" w:styleId="58">
    <w:name w:val="footnote reference"/>
    <w:unhideWhenUsed/>
    <w:qFormat/>
    <w:uiPriority w:val="99"/>
    <w:rPr>
      <w:vertAlign w:val="superscript"/>
    </w:rPr>
  </w:style>
  <w:style w:type="paragraph" w:customStyle="1" w:styleId="59">
    <w:name w:val="标题 5（有编号）（绿盟科技）"/>
    <w:basedOn w:val="1"/>
    <w:next w:val="60"/>
    <w:qFormat/>
    <w:uiPriority w:val="0"/>
    <w:pPr>
      <w:keepNext/>
      <w:keepLines/>
      <w:numPr>
        <w:ilvl w:val="4"/>
        <w:numId w:val="3"/>
      </w:numPr>
      <w:spacing w:before="280" w:after="156" w:line="377" w:lineRule="auto"/>
      <w:jc w:val="left"/>
      <w:outlineLvl w:val="4"/>
    </w:pPr>
    <w:rPr>
      <w:rFonts w:ascii="Arial" w:hAnsi="Arial" w:eastAsia="黑体" w:cs="黑体"/>
      <w:b/>
      <w:kern w:val="0"/>
      <w:sz w:val="24"/>
      <w:szCs w:val="28"/>
    </w:rPr>
  </w:style>
  <w:style w:type="paragraph" w:customStyle="1" w:styleId="6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1">
    <w:name w:val="首行缩进"/>
    <w:basedOn w:val="1"/>
    <w:qFormat/>
    <w:uiPriority w:val="0"/>
    <w:pPr>
      <w:ind w:firstLine="480" w:firstLineChars="200"/>
    </w:pPr>
  </w:style>
  <w:style w:type="paragraph" w:customStyle="1" w:styleId="6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63">
    <w:name w:val="标题 1 Char1"/>
    <w:link w:val="4"/>
    <w:qFormat/>
    <w:uiPriority w:val="0"/>
    <w:rPr>
      <w:rFonts w:ascii="Times New Roman" w:hAnsi="Times New Roman" w:eastAsia="宋体" w:cs="Times New Roman"/>
      <w:b/>
      <w:bCs/>
      <w:kern w:val="44"/>
      <w:sz w:val="44"/>
      <w:szCs w:val="44"/>
    </w:rPr>
  </w:style>
  <w:style w:type="character" w:customStyle="1" w:styleId="64">
    <w:name w:val="标题 2 Char1"/>
    <w:link w:val="5"/>
    <w:qFormat/>
    <w:uiPriority w:val="0"/>
    <w:rPr>
      <w:rFonts w:ascii="Arial" w:hAnsi="Arial" w:eastAsia="黑体" w:cs="Times New Roman"/>
      <w:b/>
      <w:bCs/>
      <w:sz w:val="32"/>
      <w:szCs w:val="32"/>
    </w:rPr>
  </w:style>
  <w:style w:type="character" w:customStyle="1" w:styleId="65">
    <w:name w:val="标题 3 Char1"/>
    <w:link w:val="6"/>
    <w:qFormat/>
    <w:uiPriority w:val="0"/>
    <w:rPr>
      <w:rFonts w:ascii="Times New Roman" w:hAnsi="Times New Roman" w:eastAsia="宋体" w:cs="Times New Roman"/>
      <w:b/>
      <w:bCs/>
      <w:sz w:val="32"/>
      <w:szCs w:val="32"/>
    </w:rPr>
  </w:style>
  <w:style w:type="character" w:customStyle="1" w:styleId="66">
    <w:name w:val="标题 5 Char2"/>
    <w:link w:val="7"/>
    <w:qFormat/>
    <w:uiPriority w:val="0"/>
    <w:rPr>
      <w:b/>
      <w:kern w:val="2"/>
      <w:sz w:val="28"/>
      <w:szCs w:val="24"/>
    </w:rPr>
  </w:style>
  <w:style w:type="character" w:customStyle="1" w:styleId="67">
    <w:name w:val="标题 6 Char1"/>
    <w:link w:val="9"/>
    <w:qFormat/>
    <w:uiPriority w:val="0"/>
    <w:rPr>
      <w:rFonts w:ascii="Arial" w:hAnsi="Arial" w:eastAsia="黑体"/>
      <w:b/>
      <w:kern w:val="2"/>
      <w:sz w:val="24"/>
      <w:szCs w:val="24"/>
    </w:rPr>
  </w:style>
  <w:style w:type="character" w:customStyle="1" w:styleId="68">
    <w:name w:val="标题 7 Char1"/>
    <w:link w:val="10"/>
    <w:qFormat/>
    <w:uiPriority w:val="0"/>
    <w:rPr>
      <w:rFonts w:ascii="Times New Roman" w:hAnsi="Times New Roman"/>
      <w:b/>
      <w:kern w:val="2"/>
      <w:sz w:val="24"/>
      <w:szCs w:val="24"/>
    </w:rPr>
  </w:style>
  <w:style w:type="character" w:customStyle="1" w:styleId="69">
    <w:name w:val="标题 8 Char1"/>
    <w:link w:val="11"/>
    <w:qFormat/>
    <w:uiPriority w:val="0"/>
    <w:rPr>
      <w:rFonts w:ascii="Arial" w:hAnsi="Arial" w:eastAsia="黑体"/>
      <w:kern w:val="2"/>
      <w:sz w:val="24"/>
      <w:szCs w:val="24"/>
    </w:rPr>
  </w:style>
  <w:style w:type="character" w:customStyle="1" w:styleId="70">
    <w:name w:val="标题 9 Char1"/>
    <w:link w:val="12"/>
    <w:qFormat/>
    <w:uiPriority w:val="0"/>
    <w:rPr>
      <w:rFonts w:ascii="Arial" w:hAnsi="Arial" w:eastAsia="黑体"/>
      <w:kern w:val="2"/>
      <w:sz w:val="21"/>
      <w:szCs w:val="24"/>
    </w:rPr>
  </w:style>
  <w:style w:type="character" w:customStyle="1" w:styleId="71">
    <w:name w:val="文档结构图 Char1"/>
    <w:link w:val="17"/>
    <w:qFormat/>
    <w:uiPriority w:val="0"/>
    <w:rPr>
      <w:rFonts w:hint="eastAsia" w:ascii="宋体" w:hAnsi="宋体" w:eastAsia="宋体" w:cs="宋体"/>
    </w:rPr>
  </w:style>
  <w:style w:type="character" w:customStyle="1" w:styleId="72">
    <w:name w:val="批注文字 Char3"/>
    <w:link w:val="18"/>
    <w:qFormat/>
    <w:uiPriority w:val="0"/>
    <w:rPr>
      <w:rFonts w:ascii="Times New Roman" w:hAnsi="Times New Roman"/>
      <w:kern w:val="2"/>
      <w:sz w:val="21"/>
      <w:szCs w:val="24"/>
    </w:rPr>
  </w:style>
  <w:style w:type="character" w:customStyle="1" w:styleId="73">
    <w:name w:val="正文文本 3 Char1"/>
    <w:link w:val="19"/>
    <w:qFormat/>
    <w:uiPriority w:val="0"/>
    <w:rPr>
      <w:rFonts w:ascii="Times New Roman" w:hAnsi="Times New Roman" w:eastAsia="宋体" w:cs="Times New Roman"/>
      <w:b/>
      <w:bCs/>
      <w:sz w:val="24"/>
      <w:szCs w:val="24"/>
    </w:rPr>
  </w:style>
  <w:style w:type="character" w:customStyle="1" w:styleId="74">
    <w:name w:val="正文文本 Char2"/>
    <w:qFormat/>
    <w:uiPriority w:val="0"/>
    <w:rPr>
      <w:rFonts w:ascii="Times New Roman" w:hAnsi="Times New Roman" w:eastAsia="宋体" w:cs="Times New Roman"/>
      <w:sz w:val="24"/>
      <w:szCs w:val="24"/>
    </w:rPr>
  </w:style>
  <w:style w:type="character" w:customStyle="1" w:styleId="75">
    <w:name w:val="正文文本缩进 Char1"/>
    <w:link w:val="21"/>
    <w:qFormat/>
    <w:uiPriority w:val="0"/>
    <w:rPr>
      <w:rFonts w:ascii="仿宋_GB2312" w:hAnsi="Times New Roman" w:eastAsia="仿宋_GB2312" w:cs="Times New Roman"/>
      <w:sz w:val="32"/>
      <w:szCs w:val="20"/>
    </w:rPr>
  </w:style>
  <w:style w:type="character" w:customStyle="1" w:styleId="76">
    <w:name w:val="纯文本 Char3"/>
    <w:link w:val="27"/>
    <w:qFormat/>
    <w:uiPriority w:val="0"/>
    <w:rPr>
      <w:rFonts w:ascii="宋体" w:hAnsi="Courier New" w:eastAsia="宋体" w:cs="Courier New"/>
      <w:szCs w:val="21"/>
    </w:rPr>
  </w:style>
  <w:style w:type="character" w:customStyle="1" w:styleId="77">
    <w:name w:val="日期 Char1"/>
    <w:link w:val="29"/>
    <w:qFormat/>
    <w:uiPriority w:val="0"/>
    <w:rPr>
      <w:rFonts w:ascii="宋体" w:hAnsi="Courier New" w:eastAsia="宋体" w:cs="Courier New"/>
      <w:szCs w:val="21"/>
    </w:rPr>
  </w:style>
  <w:style w:type="character" w:customStyle="1" w:styleId="78">
    <w:name w:val="正文文本缩进 2 Char1"/>
    <w:link w:val="30"/>
    <w:qFormat/>
    <w:uiPriority w:val="0"/>
    <w:rPr>
      <w:rFonts w:ascii="Times New Roman" w:hAnsi="Times New Roman" w:eastAsia="宋体" w:cs="Times New Roman"/>
      <w:sz w:val="32"/>
      <w:szCs w:val="20"/>
    </w:rPr>
  </w:style>
  <w:style w:type="character" w:customStyle="1" w:styleId="79">
    <w:name w:val="尾注文本 Char1"/>
    <w:link w:val="31"/>
    <w:qFormat/>
    <w:uiPriority w:val="99"/>
    <w:rPr>
      <w:rFonts w:ascii="Times New Roman" w:hAnsi="Times New Roman"/>
      <w:kern w:val="2"/>
      <w:sz w:val="21"/>
      <w:szCs w:val="24"/>
    </w:rPr>
  </w:style>
  <w:style w:type="character" w:customStyle="1" w:styleId="80">
    <w:name w:val="批注框文本 Char1"/>
    <w:link w:val="32"/>
    <w:semiHidden/>
    <w:qFormat/>
    <w:uiPriority w:val="0"/>
    <w:rPr>
      <w:rFonts w:ascii="Times New Roman" w:hAnsi="Times New Roman" w:eastAsia="宋体" w:cs="Times New Roman"/>
      <w:sz w:val="18"/>
      <w:szCs w:val="18"/>
    </w:rPr>
  </w:style>
  <w:style w:type="character" w:customStyle="1" w:styleId="81">
    <w:name w:val="页脚 Char1"/>
    <w:link w:val="33"/>
    <w:qFormat/>
    <w:uiPriority w:val="99"/>
    <w:rPr>
      <w:sz w:val="18"/>
      <w:szCs w:val="18"/>
    </w:rPr>
  </w:style>
  <w:style w:type="character" w:customStyle="1" w:styleId="82">
    <w:name w:val="页眉 Char1"/>
    <w:link w:val="35"/>
    <w:qFormat/>
    <w:uiPriority w:val="99"/>
    <w:rPr>
      <w:rFonts w:ascii="Times New Roman" w:hAnsi="Times New Roman"/>
      <w:kern w:val="2"/>
      <w:sz w:val="18"/>
      <w:szCs w:val="18"/>
    </w:rPr>
  </w:style>
  <w:style w:type="character" w:customStyle="1" w:styleId="83">
    <w:name w:val="脚注文本 Char1"/>
    <w:link w:val="39"/>
    <w:qFormat/>
    <w:uiPriority w:val="99"/>
    <w:rPr>
      <w:rFonts w:ascii="Times New Roman" w:hAnsi="Times New Roman"/>
      <w:kern w:val="2"/>
      <w:sz w:val="18"/>
      <w:szCs w:val="18"/>
    </w:rPr>
  </w:style>
  <w:style w:type="character" w:customStyle="1" w:styleId="84">
    <w:name w:val="正文文本缩进 3 Char1"/>
    <w:link w:val="41"/>
    <w:qFormat/>
    <w:uiPriority w:val="0"/>
    <w:rPr>
      <w:rFonts w:ascii="Times New Roman" w:hAnsi="Times New Roman" w:eastAsia="宋体" w:cs="Times New Roman"/>
      <w:sz w:val="16"/>
      <w:szCs w:val="16"/>
    </w:rPr>
  </w:style>
  <w:style w:type="character" w:customStyle="1" w:styleId="85">
    <w:name w:val="正文文本 2 Char1"/>
    <w:link w:val="44"/>
    <w:qFormat/>
    <w:uiPriority w:val="0"/>
    <w:rPr>
      <w:rFonts w:ascii="Times New Roman" w:hAnsi="Times New Roman" w:eastAsia="宋体" w:cs="Times New Roman"/>
      <w:szCs w:val="24"/>
    </w:rPr>
  </w:style>
  <w:style w:type="character" w:customStyle="1" w:styleId="86">
    <w:name w:val="标题 Char1"/>
    <w:link w:val="3"/>
    <w:qFormat/>
    <w:uiPriority w:val="10"/>
    <w:rPr>
      <w:rFonts w:ascii="Cambria" w:hAnsi="Cambria" w:cs="Times New Roman"/>
      <w:b/>
      <w:bCs/>
      <w:kern w:val="2"/>
      <w:sz w:val="32"/>
      <w:szCs w:val="32"/>
    </w:rPr>
  </w:style>
  <w:style w:type="character" w:customStyle="1" w:styleId="87">
    <w:name w:val="批注主题 Char1"/>
    <w:link w:val="47"/>
    <w:qFormat/>
    <w:uiPriority w:val="99"/>
    <w:rPr>
      <w:rFonts w:ascii="Times New Roman" w:hAnsi="Times New Roman"/>
      <w:b/>
      <w:bCs/>
      <w:kern w:val="2"/>
      <w:sz w:val="21"/>
      <w:szCs w:val="24"/>
    </w:rPr>
  </w:style>
  <w:style w:type="character" w:customStyle="1" w:styleId="88">
    <w:name w:val="font11"/>
    <w:qFormat/>
    <w:uiPriority w:val="0"/>
    <w:rPr>
      <w:rFonts w:hint="eastAsia" w:ascii="宋体" w:hAnsi="宋体" w:eastAsia="宋体" w:cs="宋体"/>
      <w:color w:val="000000"/>
      <w:sz w:val="20"/>
      <w:szCs w:val="20"/>
      <w:u w:val="none"/>
    </w:rPr>
  </w:style>
  <w:style w:type="character" w:customStyle="1" w:styleId="89">
    <w:name w:val="批注文字 字符1"/>
    <w:qFormat/>
    <w:uiPriority w:val="0"/>
    <w:rPr>
      <w:rFonts w:ascii="Times New Roman" w:hAnsi="Times New Roman"/>
      <w:kern w:val="2"/>
      <w:sz w:val="21"/>
      <w:szCs w:val="24"/>
    </w:rPr>
  </w:style>
  <w:style w:type="character" w:customStyle="1" w:styleId="90">
    <w:name w:val="标题 2 字符"/>
    <w:qFormat/>
    <w:uiPriority w:val="0"/>
    <w:rPr>
      <w:rFonts w:ascii="Arial" w:hAnsi="Arial" w:eastAsia="黑体" w:cs="Times New Roman"/>
      <w:b/>
      <w:bCs/>
      <w:sz w:val="32"/>
      <w:szCs w:val="32"/>
    </w:rPr>
  </w:style>
  <w:style w:type="character" w:customStyle="1" w:styleId="9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2">
    <w:name w:val="批注文字 Char1"/>
    <w:semiHidden/>
    <w:qFormat/>
    <w:locked/>
    <w:uiPriority w:val="0"/>
    <w:rPr>
      <w:rFonts w:ascii="Times New Roman" w:hAnsi="Times New Roman"/>
      <w:kern w:val="2"/>
      <w:sz w:val="21"/>
      <w:szCs w:val="24"/>
    </w:rPr>
  </w:style>
  <w:style w:type="character" w:customStyle="1" w:styleId="93">
    <w:name w:val="页眉 字符"/>
    <w:qFormat/>
    <w:uiPriority w:val="99"/>
    <w:rPr>
      <w:rFonts w:ascii="Times New Roman" w:hAnsi="Times New Roman"/>
      <w:kern w:val="2"/>
      <w:sz w:val="18"/>
      <w:szCs w:val="18"/>
    </w:rPr>
  </w:style>
  <w:style w:type="character" w:customStyle="1" w:styleId="94">
    <w:name w:val="apple-style-span"/>
    <w:qFormat/>
    <w:uiPriority w:val="0"/>
  </w:style>
  <w:style w:type="character" w:customStyle="1" w:styleId="95">
    <w:name w:val="尾注文本 字符"/>
    <w:qFormat/>
    <w:uiPriority w:val="99"/>
    <w:rPr>
      <w:rFonts w:ascii="Times New Roman" w:hAnsi="Times New Roman"/>
      <w:kern w:val="2"/>
      <w:sz w:val="21"/>
      <w:szCs w:val="24"/>
    </w:rPr>
  </w:style>
  <w:style w:type="character" w:customStyle="1" w:styleId="96">
    <w:name w:val="正文文本缩进 字符"/>
    <w:qFormat/>
    <w:uiPriority w:val="0"/>
    <w:rPr>
      <w:rFonts w:ascii="仿宋_GB2312" w:hAnsi="Times New Roman" w:eastAsia="仿宋_GB2312" w:cs="Times New Roman"/>
      <w:sz w:val="32"/>
      <w:szCs w:val="20"/>
    </w:rPr>
  </w:style>
  <w:style w:type="character" w:customStyle="1" w:styleId="97">
    <w:name w:val="普通文字 Char Char2"/>
    <w:qFormat/>
    <w:uiPriority w:val="0"/>
    <w:rPr>
      <w:rFonts w:ascii="宋体" w:hAnsi="Courier New" w:eastAsia="宋体"/>
      <w:kern w:val="2"/>
      <w:sz w:val="21"/>
      <w:lang w:val="en-US" w:eastAsia="zh-CN" w:bidi="ar-SA"/>
    </w:rPr>
  </w:style>
  <w:style w:type="character" w:customStyle="1" w:styleId="98">
    <w:name w:val="正文文本缩进 3 字符"/>
    <w:qFormat/>
    <w:uiPriority w:val="0"/>
    <w:rPr>
      <w:rFonts w:ascii="Times New Roman" w:hAnsi="Times New Roman" w:eastAsia="宋体" w:cs="Times New Roman"/>
      <w:sz w:val="16"/>
      <w:szCs w:val="16"/>
    </w:rPr>
  </w:style>
  <w:style w:type="character" w:customStyle="1" w:styleId="99">
    <w:name w:val="font21"/>
    <w:basedOn w:val="51"/>
    <w:qFormat/>
    <w:uiPriority w:val="0"/>
    <w:rPr>
      <w:rFonts w:hint="eastAsia" w:ascii="宋体" w:hAnsi="宋体" w:eastAsia="宋体" w:cs="宋体"/>
      <w:color w:val="FF0000"/>
      <w:sz w:val="20"/>
      <w:szCs w:val="20"/>
      <w:u w:val="none"/>
    </w:rPr>
  </w:style>
  <w:style w:type="character" w:customStyle="1" w:styleId="100">
    <w:name w:val="页脚 字符"/>
    <w:qFormat/>
    <w:uiPriority w:val="99"/>
  </w:style>
  <w:style w:type="character" w:customStyle="1" w:styleId="101">
    <w:name w:val="标题 7 字符"/>
    <w:qFormat/>
    <w:uiPriority w:val="0"/>
    <w:rPr>
      <w:rFonts w:ascii="Times New Roman" w:hAnsi="Times New Roman"/>
      <w:b/>
      <w:kern w:val="2"/>
      <w:sz w:val="24"/>
      <w:szCs w:val="24"/>
    </w:rPr>
  </w:style>
  <w:style w:type="character" w:customStyle="1" w:styleId="102">
    <w:name w:val="标题 3 字符"/>
    <w:qFormat/>
    <w:uiPriority w:val="0"/>
    <w:rPr>
      <w:rFonts w:ascii="Times New Roman" w:hAnsi="Times New Roman" w:eastAsia="宋体" w:cs="Times New Roman"/>
      <w:b/>
      <w:bCs/>
      <w:sz w:val="32"/>
      <w:szCs w:val="32"/>
    </w:rPr>
  </w:style>
  <w:style w:type="character" w:customStyle="1" w:styleId="103">
    <w:name w:val="正文文本缩进 字符1"/>
    <w:qFormat/>
    <w:uiPriority w:val="0"/>
    <w:rPr>
      <w:rFonts w:ascii="仿宋_GB2312" w:hAnsi="Times New Roman" w:eastAsia="仿宋_GB2312" w:cs="Times New Roman"/>
      <w:sz w:val="32"/>
      <w:szCs w:val="20"/>
    </w:rPr>
  </w:style>
  <w:style w:type="character" w:customStyle="1" w:styleId="104">
    <w:name w:val="批注文字 字符"/>
    <w:qFormat/>
    <w:uiPriority w:val="0"/>
    <w:rPr>
      <w:rFonts w:ascii="Times New Roman" w:hAnsi="Times New Roman"/>
      <w:kern w:val="2"/>
      <w:sz w:val="21"/>
      <w:szCs w:val="24"/>
    </w:rPr>
  </w:style>
  <w:style w:type="character" w:customStyle="1" w:styleId="105">
    <w:name w:val="标题 8 字符"/>
    <w:qFormat/>
    <w:uiPriority w:val="0"/>
    <w:rPr>
      <w:rFonts w:ascii="Arial" w:hAnsi="Arial" w:eastAsia="黑体"/>
      <w:kern w:val="2"/>
      <w:sz w:val="24"/>
      <w:szCs w:val="24"/>
    </w:rPr>
  </w:style>
  <w:style w:type="character" w:customStyle="1" w:styleId="106">
    <w:name w:val="UserStyle_9"/>
    <w:link w:val="107"/>
    <w:qFormat/>
    <w:locked/>
    <w:uiPriority w:val="0"/>
    <w:rPr>
      <w:kern w:val="2"/>
      <w:sz w:val="21"/>
      <w:szCs w:val="24"/>
    </w:rPr>
  </w:style>
  <w:style w:type="paragraph" w:customStyle="1" w:styleId="107">
    <w:name w:val="AnnotationText"/>
    <w:basedOn w:val="1"/>
    <w:link w:val="106"/>
    <w:qFormat/>
    <w:uiPriority w:val="0"/>
    <w:pPr>
      <w:widowControl/>
      <w:jc w:val="left"/>
    </w:pPr>
  </w:style>
  <w:style w:type="character" w:customStyle="1" w:styleId="108">
    <w:name w:val="textcontents"/>
    <w:qFormat/>
    <w:uiPriority w:val="0"/>
  </w:style>
  <w:style w:type="character" w:customStyle="1" w:styleId="109">
    <w:name w:val="批注框文本 字符"/>
    <w:semiHidden/>
    <w:qFormat/>
    <w:uiPriority w:val="0"/>
    <w:rPr>
      <w:rFonts w:ascii="Times New Roman" w:hAnsi="Times New Roman" w:eastAsia="宋体" w:cs="Times New Roman"/>
      <w:sz w:val="18"/>
      <w:szCs w:val="18"/>
    </w:rPr>
  </w:style>
  <w:style w:type="character" w:customStyle="1" w:styleId="110">
    <w:name w:val="批注文字 Char"/>
    <w:qFormat/>
    <w:uiPriority w:val="0"/>
    <w:rPr>
      <w:rFonts w:ascii="Times New Roman" w:hAnsi="Times New Roman"/>
      <w:kern w:val="2"/>
      <w:sz w:val="21"/>
      <w:szCs w:val="24"/>
    </w:rPr>
  </w:style>
  <w:style w:type="character" w:customStyle="1" w:styleId="111">
    <w:name w:val="纯文本 字符"/>
    <w:qFormat/>
    <w:uiPriority w:val="0"/>
    <w:rPr>
      <w:rFonts w:ascii="宋体" w:hAnsi="Courier New" w:eastAsia="宋体" w:cs="Courier New"/>
      <w:szCs w:val="21"/>
    </w:rPr>
  </w:style>
  <w:style w:type="character" w:customStyle="1" w:styleId="112">
    <w:name w:val="正文文本 2 字符"/>
    <w:qFormat/>
    <w:uiPriority w:val="0"/>
    <w:rPr>
      <w:rFonts w:ascii="Times New Roman" w:hAnsi="Times New Roman" w:eastAsia="宋体" w:cs="Times New Roman"/>
      <w:szCs w:val="24"/>
    </w:rPr>
  </w:style>
  <w:style w:type="character" w:customStyle="1" w:styleId="113">
    <w:name w:val="标题 6 字符"/>
    <w:qFormat/>
    <w:uiPriority w:val="0"/>
    <w:rPr>
      <w:rFonts w:ascii="Arial" w:hAnsi="Arial" w:eastAsia="黑体"/>
      <w:b/>
      <w:kern w:val="2"/>
      <w:sz w:val="24"/>
      <w:szCs w:val="24"/>
    </w:rPr>
  </w:style>
  <w:style w:type="character" w:customStyle="1" w:styleId="114">
    <w:name w:val="批注主题 字符"/>
    <w:qFormat/>
    <w:uiPriority w:val="99"/>
    <w:rPr>
      <w:rFonts w:ascii="Times New Roman" w:hAnsi="Times New Roman"/>
      <w:b/>
      <w:bCs/>
      <w:kern w:val="2"/>
      <w:sz w:val="21"/>
      <w:szCs w:val="24"/>
    </w:rPr>
  </w:style>
  <w:style w:type="character" w:customStyle="1" w:styleId="115">
    <w:name w:val="正文2 Char Char"/>
    <w:link w:val="116"/>
    <w:qFormat/>
    <w:uiPriority w:val="0"/>
    <w:rPr>
      <w:kern w:val="2"/>
      <w:sz w:val="24"/>
    </w:rPr>
  </w:style>
  <w:style w:type="paragraph" w:customStyle="1" w:styleId="116">
    <w:name w:val="正文2"/>
    <w:basedOn w:val="1"/>
    <w:link w:val="115"/>
    <w:qFormat/>
    <w:uiPriority w:val="0"/>
    <w:pPr>
      <w:adjustRightInd w:val="0"/>
      <w:spacing w:before="156" w:line="360" w:lineRule="auto"/>
      <w:ind w:firstLine="510" w:firstLineChars="200"/>
    </w:pPr>
    <w:rPr>
      <w:sz w:val="24"/>
      <w:szCs w:val="20"/>
    </w:rPr>
  </w:style>
  <w:style w:type="character" w:customStyle="1" w:styleId="117">
    <w:name w:val="脚注文本 字符"/>
    <w:qFormat/>
    <w:uiPriority w:val="99"/>
    <w:rPr>
      <w:rFonts w:ascii="Times New Roman" w:hAnsi="Times New Roman"/>
      <w:kern w:val="2"/>
      <w:sz w:val="18"/>
      <w:szCs w:val="18"/>
    </w:rPr>
  </w:style>
  <w:style w:type="character" w:customStyle="1" w:styleId="118">
    <w:name w:val="纯文本 Char"/>
    <w:qFormat/>
    <w:uiPriority w:val="0"/>
    <w:rPr>
      <w:rFonts w:ascii="宋体" w:hAnsi="Courier New" w:eastAsia="宋体"/>
      <w:kern w:val="2"/>
      <w:sz w:val="21"/>
      <w:lang w:val="en-US" w:eastAsia="zh-CN" w:bidi="ar-SA"/>
    </w:rPr>
  </w:style>
  <w:style w:type="character" w:customStyle="1" w:styleId="119">
    <w:name w:val="页脚 字符1"/>
    <w:qFormat/>
    <w:uiPriority w:val="99"/>
    <w:rPr>
      <w:sz w:val="18"/>
      <w:szCs w:val="18"/>
    </w:rPr>
  </w:style>
  <w:style w:type="character" w:customStyle="1" w:styleId="120">
    <w:name w:val="font31"/>
    <w:qFormat/>
    <w:uiPriority w:val="0"/>
    <w:rPr>
      <w:rFonts w:hint="eastAsia" w:ascii="宋体" w:hAnsi="宋体" w:eastAsia="宋体" w:cs="宋体"/>
      <w:color w:val="FF0000"/>
      <w:sz w:val="20"/>
      <w:szCs w:val="20"/>
      <w:u w:val="none"/>
    </w:rPr>
  </w:style>
  <w:style w:type="character" w:customStyle="1" w:styleId="121">
    <w:name w:val="正文文本 Char1"/>
    <w:qFormat/>
    <w:locked/>
    <w:uiPriority w:val="0"/>
    <w:rPr>
      <w:sz w:val="24"/>
      <w:szCs w:val="24"/>
    </w:rPr>
  </w:style>
  <w:style w:type="character" w:customStyle="1" w:styleId="122">
    <w:name w:val="标题 5 Char"/>
    <w:qFormat/>
    <w:uiPriority w:val="0"/>
    <w:rPr>
      <w:b/>
      <w:kern w:val="2"/>
      <w:sz w:val="28"/>
      <w:szCs w:val="24"/>
    </w:rPr>
  </w:style>
  <w:style w:type="character" w:customStyle="1" w:styleId="123">
    <w:name w:val="标题 字符"/>
    <w:qFormat/>
    <w:uiPriority w:val="10"/>
    <w:rPr>
      <w:rFonts w:ascii="Cambria" w:hAnsi="Cambria" w:cs="Times New Roman"/>
      <w:b/>
      <w:bCs/>
      <w:kern w:val="2"/>
      <w:sz w:val="32"/>
      <w:szCs w:val="32"/>
    </w:rPr>
  </w:style>
  <w:style w:type="character" w:customStyle="1" w:styleId="124">
    <w:name w:val="标题 1 字符1"/>
    <w:qFormat/>
    <w:uiPriority w:val="0"/>
    <w:rPr>
      <w:rFonts w:ascii="Times New Roman" w:hAnsi="Times New Roman" w:eastAsia="宋体" w:cs="Times New Roman"/>
      <w:b/>
      <w:bCs/>
      <w:kern w:val="44"/>
      <w:sz w:val="44"/>
      <w:szCs w:val="44"/>
    </w:rPr>
  </w:style>
  <w:style w:type="character" w:customStyle="1" w:styleId="125">
    <w:name w:val="批注文字 字符2"/>
    <w:qFormat/>
    <w:uiPriority w:val="0"/>
    <w:rPr>
      <w:rFonts w:ascii="Times New Roman" w:hAnsi="Times New Roman"/>
      <w:kern w:val="2"/>
      <w:sz w:val="21"/>
      <w:szCs w:val="24"/>
    </w:rPr>
  </w:style>
  <w:style w:type="character" w:customStyle="1" w:styleId="126">
    <w:name w:val="正文文本 3 字符"/>
    <w:qFormat/>
    <w:uiPriority w:val="0"/>
    <w:rPr>
      <w:rFonts w:ascii="Times New Roman" w:hAnsi="Times New Roman" w:eastAsia="宋体" w:cs="Times New Roman"/>
      <w:b/>
      <w:bCs/>
      <w:sz w:val="24"/>
      <w:szCs w:val="24"/>
    </w:rPr>
  </w:style>
  <w:style w:type="character" w:customStyle="1" w:styleId="127">
    <w:name w:val="纯文本 字符1"/>
    <w:qFormat/>
    <w:uiPriority w:val="0"/>
    <w:rPr>
      <w:rFonts w:ascii="宋体" w:hAnsi="Courier New"/>
    </w:rPr>
  </w:style>
  <w:style w:type="character" w:customStyle="1" w:styleId="128">
    <w:name w:val="headline-content4"/>
    <w:qFormat/>
    <w:uiPriority w:val="0"/>
  </w:style>
  <w:style w:type="character" w:customStyle="1" w:styleId="129">
    <w:name w:val="正文文本缩进 2 字符"/>
    <w:qFormat/>
    <w:uiPriority w:val="0"/>
    <w:rPr>
      <w:rFonts w:ascii="Times New Roman" w:hAnsi="Times New Roman" w:eastAsia="宋体" w:cs="Times New Roman"/>
      <w:sz w:val="32"/>
      <w:szCs w:val="20"/>
    </w:rPr>
  </w:style>
  <w:style w:type="character" w:customStyle="1" w:styleId="130">
    <w:name w:val="标题 1 字符"/>
    <w:qFormat/>
    <w:uiPriority w:val="9"/>
    <w:rPr>
      <w:rFonts w:ascii="Times New Roman" w:hAnsi="Times New Roman" w:eastAsia="宋体" w:cs="Times New Roman"/>
      <w:b/>
      <w:bCs/>
      <w:kern w:val="44"/>
      <w:sz w:val="44"/>
      <w:szCs w:val="44"/>
    </w:rPr>
  </w:style>
  <w:style w:type="character" w:customStyle="1" w:styleId="131">
    <w:name w:val="文档结构图 字符"/>
    <w:qFormat/>
    <w:uiPriority w:val="0"/>
    <w:rPr>
      <w:rFonts w:hint="eastAsia" w:ascii="宋体" w:hAnsi="宋体" w:eastAsia="宋体" w:cs="宋体"/>
    </w:rPr>
  </w:style>
  <w:style w:type="character" w:customStyle="1" w:styleId="132">
    <w:name w:val="case31"/>
    <w:qFormat/>
    <w:uiPriority w:val="0"/>
    <w:rPr>
      <w:rFonts w:hint="default"/>
      <w:sz w:val="21"/>
      <w:szCs w:val="21"/>
    </w:rPr>
  </w:style>
  <w:style w:type="character" w:customStyle="1" w:styleId="133">
    <w:name w:val="纯文本 字符2"/>
    <w:qFormat/>
    <w:uiPriority w:val="0"/>
    <w:rPr>
      <w:rFonts w:ascii="宋体" w:hAnsi="Courier New" w:eastAsia="宋体" w:cs="Courier New"/>
      <w:szCs w:val="21"/>
    </w:rPr>
  </w:style>
  <w:style w:type="character" w:customStyle="1" w:styleId="134">
    <w:name w:val="NormalCharacter"/>
    <w:qFormat/>
    <w:uiPriority w:val="0"/>
  </w:style>
  <w:style w:type="character" w:customStyle="1" w:styleId="135">
    <w:name w:val="日期 字符"/>
    <w:qFormat/>
    <w:uiPriority w:val="0"/>
    <w:rPr>
      <w:rFonts w:ascii="宋体" w:hAnsi="Courier New" w:eastAsia="宋体" w:cs="Courier New"/>
      <w:szCs w:val="21"/>
    </w:rPr>
  </w:style>
  <w:style w:type="character" w:customStyle="1" w:styleId="136">
    <w:name w:val="正文文本 字符"/>
    <w:qFormat/>
    <w:uiPriority w:val="99"/>
    <w:rPr>
      <w:rFonts w:ascii="Times New Roman" w:hAnsi="Times New Roman" w:eastAsia="宋体" w:cs="Times New Roman"/>
      <w:sz w:val="24"/>
      <w:szCs w:val="24"/>
    </w:rPr>
  </w:style>
  <w:style w:type="character" w:customStyle="1" w:styleId="137">
    <w:name w:val="标题 5 字符"/>
    <w:qFormat/>
    <w:uiPriority w:val="0"/>
    <w:rPr>
      <w:b/>
      <w:kern w:val="2"/>
      <w:sz w:val="28"/>
      <w:szCs w:val="24"/>
    </w:rPr>
  </w:style>
  <w:style w:type="character" w:customStyle="1" w:styleId="138">
    <w:name w:val="标题 9 字符"/>
    <w:qFormat/>
    <w:uiPriority w:val="0"/>
    <w:rPr>
      <w:rFonts w:ascii="Arial" w:hAnsi="Arial" w:eastAsia="黑体"/>
      <w:kern w:val="2"/>
      <w:sz w:val="21"/>
      <w:szCs w:val="24"/>
    </w:rPr>
  </w:style>
  <w:style w:type="paragraph" w:customStyle="1" w:styleId="139">
    <w:name w:val="Table Paragraph"/>
    <w:basedOn w:val="1"/>
    <w:qFormat/>
    <w:uiPriority w:val="1"/>
    <w:pPr>
      <w:jc w:val="left"/>
    </w:pPr>
    <w:rPr>
      <w:rFonts w:ascii="Calibri" w:hAnsi="Calibri"/>
      <w:kern w:val="0"/>
      <w:sz w:val="22"/>
      <w:szCs w:val="22"/>
      <w:lang w:eastAsia="en-US"/>
    </w:rPr>
  </w:style>
  <w:style w:type="paragraph" w:customStyle="1" w:styleId="14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41">
    <w:name w:val="样式 首行缩进:  2 字符"/>
    <w:basedOn w:val="1"/>
    <w:qFormat/>
    <w:uiPriority w:val="0"/>
    <w:pPr>
      <w:spacing w:line="400" w:lineRule="exact"/>
      <w:ind w:firstLine="200" w:firstLineChars="200"/>
    </w:pPr>
    <w:rPr>
      <w:rFonts w:cs="宋体"/>
      <w:sz w:val="24"/>
    </w:rPr>
  </w:style>
  <w:style w:type="paragraph" w:styleId="142">
    <w:name w:val="List Paragraph"/>
    <w:basedOn w:val="1"/>
    <w:qFormat/>
    <w:uiPriority w:val="34"/>
    <w:pPr>
      <w:ind w:firstLine="420" w:firstLineChars="200"/>
    </w:pPr>
  </w:style>
  <w:style w:type="paragraph" w:customStyle="1" w:styleId="143">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44">
    <w:name w:val="正文段"/>
    <w:basedOn w:val="1"/>
    <w:qFormat/>
    <w:uiPriority w:val="0"/>
    <w:pPr>
      <w:widowControl/>
      <w:snapToGrid w:val="0"/>
      <w:spacing w:afterLines="50"/>
      <w:ind w:firstLine="200" w:firstLineChars="200"/>
    </w:pPr>
    <w:rPr>
      <w:kern w:val="0"/>
      <w:sz w:val="24"/>
      <w:szCs w:val="20"/>
    </w:rPr>
  </w:style>
  <w:style w:type="paragraph" w:customStyle="1" w:styleId="145">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46">
    <w:name w:val="正文正"/>
    <w:basedOn w:val="1"/>
    <w:qFormat/>
    <w:uiPriority w:val="99"/>
    <w:pPr>
      <w:spacing w:line="560" w:lineRule="exact"/>
      <w:ind w:firstLine="561"/>
    </w:pPr>
    <w:rPr>
      <w:rFonts w:eastAsia="仿宋_GB2312"/>
      <w:sz w:val="28"/>
    </w:rPr>
  </w:style>
  <w:style w:type="paragraph" w:customStyle="1" w:styleId="147">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48">
    <w:name w:val="默认段落字体 Para Char Char Char Char Char Char Char Char Char1 Char Char Char Char"/>
    <w:basedOn w:val="1"/>
    <w:qFormat/>
    <w:uiPriority w:val="0"/>
    <w:rPr>
      <w:rFonts w:ascii="Tahoma" w:hAnsi="Tahoma"/>
      <w:sz w:val="24"/>
      <w:szCs w:val="20"/>
    </w:rPr>
  </w:style>
  <w:style w:type="paragraph" w:customStyle="1" w:styleId="149">
    <w:name w:val="表格"/>
    <w:basedOn w:val="1"/>
    <w:qFormat/>
    <w:uiPriority w:val="0"/>
    <w:pPr>
      <w:spacing w:line="400" w:lineRule="exact"/>
    </w:pPr>
    <w:rPr>
      <w:sz w:val="24"/>
    </w:rPr>
  </w:style>
  <w:style w:type="paragraph" w:customStyle="1" w:styleId="150">
    <w:name w:val="纯文本1"/>
    <w:basedOn w:val="1"/>
    <w:qFormat/>
    <w:uiPriority w:val="0"/>
    <w:rPr>
      <w:rFonts w:ascii="宋体" w:hAnsi="Courier New" w:cs="Century"/>
      <w:szCs w:val="21"/>
    </w:rPr>
  </w:style>
  <w:style w:type="paragraph" w:customStyle="1" w:styleId="151">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52">
    <w:name w:val="Char1"/>
    <w:basedOn w:val="1"/>
    <w:qFormat/>
    <w:uiPriority w:val="0"/>
    <w:rPr>
      <w:szCs w:val="21"/>
    </w:rPr>
  </w:style>
  <w:style w:type="paragraph" w:customStyle="1" w:styleId="153">
    <w:name w:val="正文首行缩进两字符"/>
    <w:basedOn w:val="1"/>
    <w:qFormat/>
    <w:uiPriority w:val="0"/>
    <w:pPr>
      <w:spacing w:line="360" w:lineRule="auto"/>
      <w:ind w:firstLine="200" w:firstLineChars="200"/>
    </w:pPr>
  </w:style>
  <w:style w:type="paragraph" w:customStyle="1" w:styleId="15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55">
    <w:name w:val="_Style 60"/>
    <w:basedOn w:val="1"/>
    <w:next w:val="142"/>
    <w:qFormat/>
    <w:uiPriority w:val="99"/>
    <w:pPr>
      <w:ind w:firstLine="420" w:firstLineChars="200"/>
    </w:pPr>
  </w:style>
  <w:style w:type="table" w:customStyle="1" w:styleId="156">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157">
    <w:name w:val="_Style 129"/>
    <w:basedOn w:val="1"/>
    <w:next w:val="142"/>
    <w:qFormat/>
    <w:uiPriority w:val="99"/>
    <w:pPr>
      <w:ind w:firstLine="420" w:firstLineChars="200"/>
    </w:pPr>
  </w:style>
  <w:style w:type="character" w:customStyle="1" w:styleId="158">
    <w:name w:val="纯文本 Char1"/>
    <w:qFormat/>
    <w:locked/>
    <w:uiPriority w:val="0"/>
    <w:rPr>
      <w:rFonts w:ascii="宋体" w:hAnsi="Courier New" w:cs="Courier New"/>
      <w:szCs w:val="21"/>
    </w:rPr>
  </w:style>
  <w:style w:type="character" w:customStyle="1" w:styleId="159">
    <w:name w:val="正文文本 Char"/>
    <w:link w:val="20"/>
    <w:qFormat/>
    <w:uiPriority w:val="0"/>
    <w:rPr>
      <w:rFonts w:ascii="Times New Roman" w:hAnsi="Times New Roman" w:eastAsia="宋体" w:cs="Times New Roman"/>
      <w:sz w:val="24"/>
      <w:szCs w:val="24"/>
    </w:rPr>
  </w:style>
  <w:style w:type="character" w:customStyle="1" w:styleId="160">
    <w:name w:val="标题 1 Char"/>
    <w:qFormat/>
    <w:uiPriority w:val="9"/>
    <w:rPr>
      <w:rFonts w:ascii="Times New Roman" w:hAnsi="Times New Roman" w:eastAsia="宋体" w:cs="Times New Roman"/>
      <w:b/>
      <w:bCs/>
      <w:kern w:val="44"/>
      <w:sz w:val="44"/>
      <w:szCs w:val="44"/>
    </w:rPr>
  </w:style>
  <w:style w:type="character" w:customStyle="1" w:styleId="161">
    <w:name w:val="标题 2 Char"/>
    <w:qFormat/>
    <w:uiPriority w:val="0"/>
    <w:rPr>
      <w:rFonts w:ascii="Arial" w:hAnsi="Arial" w:eastAsia="黑体" w:cs="Times New Roman"/>
      <w:b/>
      <w:bCs/>
      <w:sz w:val="32"/>
      <w:szCs w:val="32"/>
    </w:rPr>
  </w:style>
  <w:style w:type="character" w:customStyle="1" w:styleId="162">
    <w:name w:val="标题 3 Char"/>
    <w:qFormat/>
    <w:uiPriority w:val="0"/>
    <w:rPr>
      <w:rFonts w:ascii="Times New Roman" w:hAnsi="Times New Roman" w:eastAsia="宋体" w:cs="Times New Roman"/>
      <w:b/>
      <w:bCs/>
      <w:sz w:val="32"/>
      <w:szCs w:val="32"/>
    </w:rPr>
  </w:style>
  <w:style w:type="character" w:customStyle="1" w:styleId="163">
    <w:name w:val="标题 5 Char1"/>
    <w:qFormat/>
    <w:uiPriority w:val="0"/>
    <w:rPr>
      <w:b/>
      <w:kern w:val="2"/>
      <w:sz w:val="28"/>
      <w:szCs w:val="24"/>
    </w:rPr>
  </w:style>
  <w:style w:type="character" w:customStyle="1" w:styleId="164">
    <w:name w:val="标题 6 Char"/>
    <w:qFormat/>
    <w:uiPriority w:val="0"/>
    <w:rPr>
      <w:rFonts w:ascii="Arial" w:hAnsi="Arial" w:eastAsia="黑体"/>
      <w:b/>
      <w:kern w:val="2"/>
      <w:sz w:val="24"/>
      <w:szCs w:val="24"/>
    </w:rPr>
  </w:style>
  <w:style w:type="character" w:customStyle="1" w:styleId="165">
    <w:name w:val="标题 7 Char"/>
    <w:qFormat/>
    <w:uiPriority w:val="0"/>
    <w:rPr>
      <w:rFonts w:ascii="Times New Roman" w:hAnsi="Times New Roman"/>
      <w:b/>
      <w:kern w:val="2"/>
      <w:sz w:val="24"/>
      <w:szCs w:val="24"/>
    </w:rPr>
  </w:style>
  <w:style w:type="character" w:customStyle="1" w:styleId="166">
    <w:name w:val="标题 8 Char"/>
    <w:qFormat/>
    <w:uiPriority w:val="0"/>
    <w:rPr>
      <w:rFonts w:ascii="Arial" w:hAnsi="Arial" w:eastAsia="黑体"/>
      <w:kern w:val="2"/>
      <w:sz w:val="24"/>
      <w:szCs w:val="24"/>
    </w:rPr>
  </w:style>
  <w:style w:type="character" w:customStyle="1" w:styleId="167">
    <w:name w:val="标题 9 Char"/>
    <w:qFormat/>
    <w:uiPriority w:val="0"/>
    <w:rPr>
      <w:rFonts w:ascii="Arial" w:hAnsi="Arial" w:eastAsia="黑体"/>
      <w:kern w:val="2"/>
      <w:sz w:val="21"/>
      <w:szCs w:val="24"/>
    </w:rPr>
  </w:style>
  <w:style w:type="paragraph" w:customStyle="1" w:styleId="168">
    <w:name w:val="_Style 161"/>
    <w:basedOn w:val="1"/>
    <w:next w:val="142"/>
    <w:qFormat/>
    <w:uiPriority w:val="99"/>
    <w:pPr>
      <w:ind w:firstLine="420" w:firstLineChars="200"/>
    </w:pPr>
  </w:style>
  <w:style w:type="character" w:customStyle="1" w:styleId="169">
    <w:name w:val="文档结构图 Char"/>
    <w:qFormat/>
    <w:uiPriority w:val="0"/>
    <w:rPr>
      <w:rFonts w:hint="eastAsia" w:ascii="宋体" w:hAnsi="宋体" w:eastAsia="宋体" w:cs="宋体"/>
    </w:rPr>
  </w:style>
  <w:style w:type="character" w:customStyle="1" w:styleId="170">
    <w:name w:val="批注文字 Char2"/>
    <w:qFormat/>
    <w:uiPriority w:val="0"/>
    <w:rPr>
      <w:rFonts w:ascii="Times New Roman" w:hAnsi="Times New Roman"/>
      <w:kern w:val="2"/>
      <w:sz w:val="21"/>
      <w:szCs w:val="24"/>
    </w:rPr>
  </w:style>
  <w:style w:type="character" w:customStyle="1" w:styleId="171">
    <w:name w:val="正文文本 3 Char"/>
    <w:qFormat/>
    <w:uiPriority w:val="0"/>
    <w:rPr>
      <w:rFonts w:ascii="Times New Roman" w:hAnsi="Times New Roman" w:eastAsia="宋体" w:cs="Times New Roman"/>
      <w:b/>
      <w:bCs/>
      <w:sz w:val="24"/>
      <w:szCs w:val="24"/>
    </w:rPr>
  </w:style>
  <w:style w:type="character" w:customStyle="1" w:styleId="172">
    <w:name w:val="正文文本缩进 Char"/>
    <w:qFormat/>
    <w:uiPriority w:val="0"/>
    <w:rPr>
      <w:rFonts w:ascii="仿宋_GB2312" w:hAnsi="Times New Roman" w:eastAsia="仿宋_GB2312" w:cs="Times New Roman"/>
      <w:sz w:val="32"/>
      <w:szCs w:val="20"/>
    </w:rPr>
  </w:style>
  <w:style w:type="character" w:customStyle="1" w:styleId="173">
    <w:name w:val="纯文本 Char2"/>
    <w:qFormat/>
    <w:uiPriority w:val="0"/>
    <w:rPr>
      <w:rFonts w:ascii="宋体" w:hAnsi="Courier New" w:eastAsia="宋体" w:cs="Courier New"/>
      <w:szCs w:val="21"/>
    </w:rPr>
  </w:style>
  <w:style w:type="character" w:customStyle="1" w:styleId="174">
    <w:name w:val="日期 Char"/>
    <w:qFormat/>
    <w:uiPriority w:val="0"/>
    <w:rPr>
      <w:rFonts w:ascii="宋体" w:hAnsi="Courier New" w:eastAsia="宋体" w:cs="Courier New"/>
      <w:szCs w:val="21"/>
    </w:rPr>
  </w:style>
  <w:style w:type="character" w:customStyle="1" w:styleId="175">
    <w:name w:val="正文文本缩进 2 Char"/>
    <w:qFormat/>
    <w:uiPriority w:val="0"/>
    <w:rPr>
      <w:rFonts w:ascii="Times New Roman" w:hAnsi="Times New Roman" w:eastAsia="宋体" w:cs="Times New Roman"/>
      <w:sz w:val="32"/>
      <w:szCs w:val="20"/>
    </w:rPr>
  </w:style>
  <w:style w:type="character" w:customStyle="1" w:styleId="176">
    <w:name w:val="尾注文本 Char"/>
    <w:qFormat/>
    <w:uiPriority w:val="99"/>
    <w:rPr>
      <w:rFonts w:ascii="Times New Roman" w:hAnsi="Times New Roman"/>
      <w:kern w:val="2"/>
      <w:sz w:val="21"/>
      <w:szCs w:val="24"/>
    </w:rPr>
  </w:style>
  <w:style w:type="character" w:customStyle="1" w:styleId="177">
    <w:name w:val="批注框文本 Char"/>
    <w:semiHidden/>
    <w:qFormat/>
    <w:uiPriority w:val="0"/>
    <w:rPr>
      <w:rFonts w:ascii="Times New Roman" w:hAnsi="Times New Roman" w:eastAsia="宋体" w:cs="Times New Roman"/>
      <w:sz w:val="18"/>
      <w:szCs w:val="18"/>
    </w:rPr>
  </w:style>
  <w:style w:type="character" w:customStyle="1" w:styleId="178">
    <w:name w:val="页脚 Char"/>
    <w:qFormat/>
    <w:uiPriority w:val="99"/>
    <w:rPr>
      <w:sz w:val="18"/>
      <w:szCs w:val="18"/>
    </w:rPr>
  </w:style>
  <w:style w:type="character" w:customStyle="1" w:styleId="179">
    <w:name w:val="页眉 Char"/>
    <w:qFormat/>
    <w:uiPriority w:val="99"/>
    <w:rPr>
      <w:rFonts w:ascii="Times New Roman" w:hAnsi="Times New Roman"/>
      <w:kern w:val="2"/>
      <w:sz w:val="18"/>
      <w:szCs w:val="18"/>
    </w:rPr>
  </w:style>
  <w:style w:type="character" w:customStyle="1" w:styleId="180">
    <w:name w:val="脚注文本 Char"/>
    <w:qFormat/>
    <w:uiPriority w:val="99"/>
    <w:rPr>
      <w:rFonts w:ascii="Times New Roman" w:hAnsi="Times New Roman"/>
      <w:kern w:val="2"/>
      <w:sz w:val="18"/>
      <w:szCs w:val="18"/>
    </w:rPr>
  </w:style>
  <w:style w:type="character" w:customStyle="1" w:styleId="181">
    <w:name w:val="正文文本缩进 3 Char"/>
    <w:qFormat/>
    <w:uiPriority w:val="0"/>
    <w:rPr>
      <w:rFonts w:ascii="Times New Roman" w:hAnsi="Times New Roman" w:eastAsia="宋体" w:cs="Times New Roman"/>
      <w:sz w:val="16"/>
      <w:szCs w:val="16"/>
    </w:rPr>
  </w:style>
  <w:style w:type="character" w:customStyle="1" w:styleId="182">
    <w:name w:val="正文文本 2 Char"/>
    <w:qFormat/>
    <w:uiPriority w:val="0"/>
    <w:rPr>
      <w:rFonts w:ascii="Times New Roman" w:hAnsi="Times New Roman" w:eastAsia="宋体" w:cs="Times New Roman"/>
      <w:szCs w:val="24"/>
    </w:rPr>
  </w:style>
  <w:style w:type="character" w:customStyle="1" w:styleId="183">
    <w:name w:val="标题 Char"/>
    <w:qFormat/>
    <w:uiPriority w:val="10"/>
    <w:rPr>
      <w:rFonts w:ascii="Cambria" w:hAnsi="Cambria" w:cs="Times New Roman"/>
      <w:b/>
      <w:bCs/>
      <w:kern w:val="2"/>
      <w:sz w:val="32"/>
      <w:szCs w:val="32"/>
    </w:rPr>
  </w:style>
  <w:style w:type="character" w:customStyle="1" w:styleId="184">
    <w:name w:val="批注主题 Char"/>
    <w:qFormat/>
    <w:uiPriority w:val="99"/>
    <w:rPr>
      <w:rFonts w:ascii="Times New Roman" w:hAnsi="Times New Roman"/>
      <w:b/>
      <w:bCs/>
      <w:kern w:val="2"/>
      <w:sz w:val="21"/>
      <w:szCs w:val="24"/>
    </w:rPr>
  </w:style>
  <w:style w:type="character" w:customStyle="1" w:styleId="185">
    <w:name w:val="vxe-cell--label"/>
    <w:basedOn w:val="51"/>
    <w:qFormat/>
    <w:uiPriority w:val="0"/>
  </w:style>
  <w:style w:type="character" w:customStyle="1" w:styleId="186">
    <w:name w:val="未处理的提及1"/>
    <w:basedOn w:val="51"/>
    <w:semiHidden/>
    <w:unhideWhenUsed/>
    <w:qFormat/>
    <w:uiPriority w:val="99"/>
    <w:rPr>
      <w:color w:val="605E5C"/>
      <w:shd w:val="clear" w:color="auto" w:fill="E1DFDD"/>
    </w:rPr>
  </w:style>
  <w:style w:type="character" w:customStyle="1" w:styleId="187">
    <w:name w:val="样式1 Char"/>
    <w:link w:val="188"/>
    <w:qFormat/>
    <w:uiPriority w:val="0"/>
    <w:rPr>
      <w:rFonts w:ascii="宋体" w:hAnsi="宋体"/>
      <w:b/>
      <w:kern w:val="2"/>
      <w:sz w:val="24"/>
    </w:rPr>
  </w:style>
  <w:style w:type="paragraph" w:customStyle="1" w:styleId="188">
    <w:name w:val="样式1"/>
    <w:basedOn w:val="1"/>
    <w:link w:val="187"/>
    <w:qFormat/>
    <w:uiPriority w:val="0"/>
    <w:pPr>
      <w:spacing w:before="120" w:after="120" w:line="300" w:lineRule="auto"/>
    </w:pPr>
    <w:rPr>
      <w:rFonts w:ascii="宋体" w:hAnsi="宋体"/>
      <w:b/>
      <w:sz w:val="24"/>
      <w:szCs w:val="20"/>
    </w:rPr>
  </w:style>
  <w:style w:type="paragraph" w:customStyle="1" w:styleId="189">
    <w:name w:val="msolistparagraph"/>
    <w:basedOn w:val="1"/>
    <w:qFormat/>
    <w:uiPriority w:val="0"/>
    <w:pPr>
      <w:ind w:firstLine="420" w:firstLineChars="200"/>
    </w:pPr>
  </w:style>
  <w:style w:type="paragraph" w:customStyle="1" w:styleId="190">
    <w:name w:val="bodytextbb1bodybtcontents01"/>
    <w:basedOn w:val="1"/>
    <w:qFormat/>
    <w:uiPriority w:val="0"/>
    <w:pPr>
      <w:widowControl/>
      <w:spacing w:before="100" w:beforeAutospacing="1" w:after="100" w:afterAutospacing="1"/>
      <w:jc w:val="left"/>
    </w:pPr>
    <w:rPr>
      <w:rFonts w:cs="宋体"/>
      <w:kern w:val="0"/>
    </w:rPr>
  </w:style>
  <w:style w:type="character" w:customStyle="1" w:styleId="191">
    <w:name w:val="正文文本 字符1"/>
    <w:qFormat/>
    <w:uiPriority w:val="99"/>
    <w:rPr>
      <w:kern w:val="2"/>
      <w:sz w:val="21"/>
      <w:szCs w:val="24"/>
    </w:rPr>
  </w:style>
  <w:style w:type="paragraph" w:customStyle="1" w:styleId="192">
    <w:name w:val="列出段落12"/>
    <w:basedOn w:val="1"/>
    <w:qFormat/>
    <w:uiPriority w:val="0"/>
    <w:pPr>
      <w:ind w:firstLine="420" w:firstLineChars="200"/>
    </w:pPr>
  </w:style>
  <w:style w:type="paragraph" w:customStyle="1" w:styleId="193">
    <w:name w:val="Table Text"/>
    <w:basedOn w:val="1"/>
    <w:semiHidden/>
    <w:qFormat/>
    <w:uiPriority w:val="0"/>
    <w:rPr>
      <w:rFonts w:ascii="宋体" w:hAnsi="宋体" w:cs="宋体"/>
      <w:sz w:val="24"/>
      <w:lang w:eastAsia="en-US"/>
    </w:rPr>
  </w:style>
  <w:style w:type="character" w:customStyle="1" w:styleId="194">
    <w:name w:val="15"/>
    <w:basedOn w:val="51"/>
    <w:qFormat/>
    <w:uiPriority w:val="0"/>
    <w:rPr>
      <w:rFonts w:hint="default" w:ascii="Times New Roman" w:hAnsi="Times New Roman" w:cs="Times New Roman"/>
    </w:rPr>
  </w:style>
  <w:style w:type="paragraph" w:customStyle="1" w:styleId="195">
    <w:name w:val="Char"/>
    <w:basedOn w:val="1"/>
    <w:unhideWhenUsed/>
    <w:qFormat/>
    <w:uiPriority w:val="99"/>
  </w:style>
  <w:style w:type="paragraph" w:customStyle="1" w:styleId="196">
    <w:name w:val="列出段落2"/>
    <w:basedOn w:val="1"/>
    <w:qFormat/>
    <w:uiPriority w:val="0"/>
    <w:pPr>
      <w:ind w:firstLine="420" w:firstLineChars="200"/>
    </w:pPr>
  </w:style>
  <w:style w:type="paragraph" w:customStyle="1" w:styleId="197">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file:///C:\Users\Administrator\AppData\Roaming\Tencent\Users\84332323\QQ\WinTemp\RichOle\IBTSMDNQID2EUB%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7b1%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5d6~PD(5.png" TargetMode="External"/><Relationship Id="rId18" Type="http://schemas.openxmlformats.org/officeDocument/2006/relationships/image" Target="media/image3.png"/><Relationship Id="rId17" Type="http://schemas.openxmlformats.org/officeDocument/2006/relationships/image" Target="https://www.gov.cn/zhengce/content/202509/W020250930645245947614.png" TargetMode="External"/><Relationship Id="rId16" Type="http://schemas.openxmlformats.org/officeDocument/2006/relationships/image" Target="media/image2.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d5997f1f-9caf-40e6-a7b7-bb08a2b76600</errorID>
      <errorWord>日至2026年</errorWord>
      <group>L1_Word</group>
      <groupName>字词问题</groupName>
      <ability>L2_Typo</ability>
      <abilityName>字词错误</abilityName>
      <candidateList>
        <item>日起至2026年</item>
      </candidateList>
      <explain/>
      <paraID>51034B98</paraID>
      <start>13</start>
      <end>20</end>
      <status>ignored</status>
      <modifiedWord/>
      <trackRevisions>false</trackRevisions>
    </reviewItem>
    <reviewItem>
      <errorID>63e73dd5-783a-4545-9d40-8386aa061a6e</errorID>
      <errorWord>上午00:00</errorWord>
      <group>L1_Knowledge</group>
      <groupName>知识性问题</groupName>
      <ability>L2_Time</ability>
      <abilityName>日期时间</abilityName>
      <candidateList/>
      <explain>时间与前缀不匹配，可能的时间前缀有“下午、晚上、凌晨、午夜”。</explain>
      <paraID>51034B98</paraID>
      <start>29</start>
      <end>36</end>
      <status>unmodified</status>
      <modifiedWord/>
      <trackRevisions>false</trackRevisions>
    </reviewItem>
    <reviewItem>
      <errorID>a4353ca9-6bb7-4e9f-b34b-8cf3b43c1335</errorID>
      <errorWord>-</errorWord>
      <group>L1_Format</group>
      <groupName>格式问题</groupName>
      <ability>L2_HalfPunc_CN</ability>
      <abilityName>全半角问题</abilityName>
      <candidateList>
        <item>－</item>
      </candidateList>
      <explain>文本全半角错误。</explain>
      <paraID>2C9C3B96</paraID>
      <start>136</start>
      <end>137</end>
      <status>unmodified</status>
      <modifiedWord/>
      <trackRevisions>false</trackRevisions>
    </reviewItem>
    <reviewItem>
      <errorID>1d58f526-db9f-452a-b4aa-7afbedab512a</errorID>
      <errorWord>-</errorWord>
      <group>L1_Format</group>
      <groupName>格式问题</groupName>
      <ability>L2_HalfPunc_CN</ability>
      <abilityName>全半角问题</abilityName>
      <candidateList>
        <item>－</item>
      </candidateList>
      <explain>文本全半角错误。</explain>
      <paraID>6222E4B4</paraID>
      <start>278</start>
      <end>279</end>
      <status>unmodified</status>
      <modifiedWord/>
      <trackRevisions>false</trackRevisions>
    </reviewItem>
    <reviewItem>
      <errorID>c67ce70b-1c5e-4c72-93e9-5753ac060b79</errorID>
      <errorWord>-</errorWord>
      <group>L1_Format</group>
      <groupName>格式问题</groupName>
      <ability>L2_HalfPunc_CN</ability>
      <abilityName>全半角问题</abilityName>
      <candidateList>
        <item>－</item>
      </candidateList>
      <explain>文本全半角错误。</explain>
      <paraID>6222E4B4</paraID>
      <start>283</start>
      <end>284</end>
      <status>unmodified</status>
      <modifiedWord/>
      <trackRevisions>false</trackRevisions>
    </reviewItem>
    <reviewItem>
      <errorID>d562eea0-5210-4f64-bd37-256a4a1e0f55</errorID>
      <errorWord>-</errorWord>
      <group>L1_Format</group>
      <groupName>格式问题</groupName>
      <ability>L2_HalfPunc_CN</ability>
      <abilityName>全半角问题</abilityName>
      <candidateList>
        <item>－</item>
      </candidateList>
      <explain>文本全半角错误。</explain>
      <paraID>6222E4B4</paraID>
      <start>288</start>
      <end>289</end>
      <status>unmodified</status>
      <modifiedWord/>
      <trackRevisions>false</trackRevisions>
    </reviewItem>
    <reviewItem>
      <errorID>f712717a-823d-4ebe-8030-91e3f39fd841</errorID>
      <errorWord>-</errorWord>
      <group>L1_Format</group>
      <groupName>格式问题</groupName>
      <ability>L2_HalfPunc_CN</ability>
      <abilityName>全半角问题</abilityName>
      <candidateList>
        <item>－</item>
      </candidateList>
      <explain>文本全半角错误。</explain>
      <paraID>6222E4B4</paraID>
      <start>294</start>
      <end>295</end>
      <status>unmodified</status>
      <modifiedWord/>
      <trackRevisions>false</trackRevisions>
    </reviewItem>
    <reviewItem>
      <errorID>8f95121c-2bce-4c18-8df7-0753b82d989a</errorID>
      <errorWord>-</errorWord>
      <group>L1_Format</group>
      <groupName>格式问题</groupName>
      <ability>L2_HalfPunc_CN</ability>
      <abilityName>全半角问题</abilityName>
      <candidateList>
        <item>－</item>
      </candidateList>
      <explain>文本全半角错误。</explain>
      <paraID>6222E4B4</paraID>
      <start>311</start>
      <end>312</end>
      <status>unmodified</status>
      <modifiedWord/>
      <trackRevisions>false</trackRevisions>
    </reviewItem>
    <reviewItem>
      <errorID>29ef5be6-bef5-491a-8d50-4afdcf665ad9</errorID>
      <errorWord>-</errorWord>
      <group>L1_Format</group>
      <groupName>格式问题</groupName>
      <ability>L2_HalfPunc_CN</ability>
      <abilityName>全半角问题</abilityName>
      <candidateList>
        <item>－</item>
      </candidateList>
      <explain>文本全半角错误。</explain>
      <paraID>26909119</paraID>
      <start>108</start>
      <end>109</end>
      <status>unmodified</status>
      <modifiedWord/>
      <trackRevisions>false</trackRevisions>
    </reviewItem>
    <reviewItem>
      <errorID>e908eebd-4803-4e77-8293-75b2f92840ab</errorID>
      <errorWord>-</errorWord>
      <group>L1_Format</group>
      <groupName>格式问题</groupName>
      <ability>L2_HalfPunc_CN</ability>
      <abilityName>全半角问题</abilityName>
      <candidateList>
        <item>－</item>
      </candidateList>
      <explain>文本全半角错误。</explain>
      <paraID>26909119</paraID>
      <start>139</start>
      <end>140</end>
      <status>unmodified</status>
      <modifiedWord/>
      <trackRevisions>false</trackRevisions>
    </reviewItem>
    <reviewItem>
      <errorID>b87aeabf-2f9c-442a-bf64-e1b7b727df67</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26909119</paraID>
      <start>206</start>
      <end>208</end>
      <status>unmodified</status>
      <modifiedWord/>
      <trackRevisions>false</trackRevisions>
    </reviewItem>
    <reviewItem>
      <errorID>533a5fdf-97f6-4f98-ba81-b00691013690</errorID>
      <errorWord>操作合</errorWord>
      <group>L1_Word</group>
      <groupName>字词问题</groupName>
      <ability>L2_Typo</ability>
      <abilityName>字词错误</abilityName>
      <candidateList>
        <item>操作台</item>
      </candidateList>
      <explain/>
      <paraID> 4210507</paraID>
      <start>9</start>
      <end>12</end>
      <status>unmodified</status>
      <modifiedWord/>
      <trackRevisions>false</trackRevisions>
    </reviewItem>
    <reviewItem>
      <errorID>8b82b253-a6cd-454e-bd0a-8356f01b5be1</errorID>
      <errorWord>.</errorWord>
      <group>L1_Format</group>
      <groupName>格式问题</groupName>
      <ability>L2_HalfPunc_CN</ability>
      <abilityName>全半角问题</abilityName>
      <candidateList>
        <item>。</item>
      </candidateList>
      <explain>文本全半角错误。</explain>
      <paraID>11508745</paraID>
      <start>1</start>
      <end>2</end>
      <status>unmodified</status>
      <modifiedWord/>
      <trackRevisions>false</trackRevisions>
    </reviewItem>
    <reviewItem>
      <errorID>43b8a1ca-9461-4577-9ad0-74ae4a324e65</errorID>
      <errorWord>[2014]68号</errorWord>
      <group>L1_Knowledge</group>
      <groupName>知识性问题</groupName>
      <ability>L2_Knowledge</ability>
      <abilityName>其他知识</abilityName>
      <candidateList>
        <item>〔2014〕68号</item>
      </candidateList>
      <explain>发文字号格式错误。</explain>
      <paraID>7A51FB60</paraID>
      <start>35</start>
      <end>44</end>
      <status>unmodified</status>
      <modifiedWord/>
      <trackRevisions>false</trackRevisions>
    </reviewItem>
    <reviewItem>
      <errorID>fbe1e460-8267-4e3f-a779-233b1bc8d4ff</errorID>
      <errorWord>.</errorWord>
      <group>L1_Format</group>
      <groupName>格式问题</groupName>
      <ability>L2_HalfPunc_CN</ability>
      <abilityName>全半角问题</abilityName>
      <candidateList>
        <item>。</item>
      </candidateList>
      <explain>文本全半角错误。</explain>
      <paraID>38B8BA82</paraID>
      <start>1</start>
      <end>2</end>
      <status>unmodified</status>
      <modifiedWord/>
      <trackRevisions>false</trackRevisions>
    </reviewItem>
    <reviewItem>
      <errorID>30687564-f371-4bde-bcd1-9ecc632d3d85</errorID>
      <errorWord>提交供</errorWord>
      <group>L1_Word</group>
      <groupName>字词问题</groupName>
      <ability>L2_Typo</ability>
      <abilityName>字词错误</abilityName>
      <candidateList>
        <item>提交</item>
      </candidateList>
      <explain/>
      <paraID>307FB12B</paraID>
      <start>67</start>
      <end>69</end>
      <status>modified</status>
      <modifiedWord>提交</modifiedWord>
      <trackRevisions>false</trackRevisions>
    </reviewItem>
    <reviewItem>
      <errorID>c7214d58-3355-42ab-b870-e45c08a69ec2</errorID>
      <errorWord>：</errorWord>
      <group>L1_Format</group>
      <groupName>格式问题</groupName>
      <ability>L2_HalfPunc_CN</ability>
      <abilityName>全半角问题</abilityName>
      <candidateList>
        <item>:</item>
      </candidateList>
      <explain>文本全半角错误。</explain>
      <paraID>19AF4522</paraID>
      <start>33</start>
      <end>34</end>
      <status>unmodified</status>
      <modifiedWord/>
      <trackRevisions>false</trackRevisions>
    </reviewItem>
    <reviewItem>
      <errorID>df3ae73b-d9f8-4135-9497-03aaf9d292ec</errorID>
      <errorWord>：</errorWord>
      <group>L1_Format</group>
      <groupName>格式问题</groupName>
      <ability>L2_HalfPunc_CN</ability>
      <abilityName>全半角问题</abilityName>
      <candidateList>
        <item>:</item>
      </candidateList>
      <explain>文本全半角错误。</explain>
      <paraID>19AF4522</paraID>
      <start>39</start>
      <end>40</end>
      <status>unmodified</status>
      <modifiedWord/>
      <trackRevisions>false</trackRevisions>
    </reviewItem>
    <reviewItem>
      <errorID>3c7d47db-2ca9-474a-ab3b-1c5223ab4cb1</errorID>
      <errorWord>：</errorWord>
      <group>L1_Format</group>
      <groupName>格式问题</groupName>
      <ability>L2_HalfPunc_CN</ability>
      <abilityName>全半角问题</abilityName>
      <candidateList>
        <item>:</item>
      </candidateList>
      <explain>文本全半角错误。</explain>
      <paraID>3F3F96F7</paraID>
      <start>33</start>
      <end>34</end>
      <status>unmodified</status>
      <modifiedWord/>
      <trackRevisions>false</trackRevisions>
    </reviewItem>
    <reviewItem>
      <errorID>09656ac3-7ca3-42de-920c-bfaf586fb2e3</errorID>
      <errorWord>：</errorWord>
      <group>L1_Format</group>
      <groupName>格式问题</groupName>
      <ability>L2_HalfPunc_CN</ability>
      <abilityName>全半角问题</abilityName>
      <candidateList>
        <item>:</item>
      </candidateList>
      <explain>文本全半角错误。</explain>
      <paraID>3F3F96F7</paraID>
      <start>39</start>
      <end>40</end>
      <status>unmodified</status>
      <modifiedWord/>
      <trackRevisions>false</trackRevisions>
    </reviewItem>
    <reviewItem>
      <errorID>79de6024-9733-4b6e-aa6a-35ce2d01c8df</errorID>
      <errorWord>：</errorWord>
      <group>L1_Format</group>
      <groupName>格式问题</groupName>
      <ability>L2_HalfPunc_CN</ability>
      <abilityName>全半角问题</abilityName>
      <candidateList>
        <item>:</item>
      </candidateList>
      <explain>文本全半角错误。</explain>
      <paraID>1E622B6E</paraID>
      <start>29</start>
      <end>30</end>
      <status>unmodified</status>
      <modifiedWord/>
      <trackRevisions>false</trackRevisions>
    </reviewItem>
    <reviewItem>
      <errorID>62b75d70-c6eb-4364-8cf8-c8fa72b2cdb8</errorID>
      <errorWord>：</errorWord>
      <group>L1_Format</group>
      <groupName>格式问题</groupName>
      <ability>L2_HalfPunc_CN</ability>
      <abilityName>全半角问题</abilityName>
      <candidateList>
        <item>:</item>
      </candidateList>
      <explain>文本全半角错误。</explain>
      <paraID>1E622B6E</paraID>
      <start>35</start>
      <end>36</end>
      <status>unmodified</status>
      <modifiedWord/>
      <trackRevisions>false</trackRevisions>
    </reviewItem>
    <reviewItem>
      <errorID>618380ae-31fd-4e42-96a1-133e45839cb5</errorID>
      <errorWord>：</errorWord>
      <group>L1_Format</group>
      <groupName>格式问题</groupName>
      <ability>L2_HalfPunc_CN</ability>
      <abilityName>全半角问题</abilityName>
      <candidateList>
        <item>:</item>
      </candidateList>
      <explain>文本全半角错误。</explain>
      <paraID>56ACC7FD</paraID>
      <start>32</start>
      <end>33</end>
      <status>unmodified</status>
      <modifiedWord/>
      <trackRevisions>false</trackRevisions>
    </reviewItem>
    <reviewItem>
      <errorID>71f7f5a9-50bb-4c9c-b00d-c80da25495c6</errorID>
      <errorWord>：</errorWord>
      <group>L1_Format</group>
      <groupName>格式问题</groupName>
      <ability>L2_HalfPunc_CN</ability>
      <abilityName>全半角问题</abilityName>
      <candidateList>
        <item>:</item>
      </candidateList>
      <explain>文本全半角错误。</explain>
      <paraID>56ACC7FD</paraID>
      <start>38</start>
      <end>39</end>
      <status>unmodified</status>
      <modifiedWord/>
      <trackRevisions>false</trackRevisions>
    </reviewItem>
    <reviewItem>
      <errorID>7651aef0-007b-47ea-8bca-dc6c51604713</errorID>
      <errorWord>：</errorWord>
      <group>L1_Format</group>
      <groupName>格式问题</groupName>
      <ability>L2_HalfPunc_CN</ability>
      <abilityName>全半角问题</abilityName>
      <candidateList>
        <item>:</item>
      </candidateList>
      <explain>文本全半角错误。</explain>
      <paraID>55C210F9</paraID>
      <start>27</start>
      <end>28</end>
      <status>unmodified</status>
      <modifiedWord/>
      <trackRevisions>false</trackRevisions>
    </reviewItem>
    <reviewItem>
      <errorID>c50fd69f-232f-4399-90d9-a4dca77fab14</errorID>
      <errorWord>：</errorWord>
      <group>L1_Format</group>
      <groupName>格式问题</groupName>
      <ability>L2_HalfPunc_CN</ability>
      <abilityName>全半角问题</abilityName>
      <candidateList>
        <item>:</item>
      </candidateList>
      <explain>文本全半角错误。</explain>
      <paraID>55C210F9</paraID>
      <start>33</start>
      <end>34</end>
      <status>unmodified</status>
      <modifiedWord/>
      <trackRevisions>false</trackRevisions>
    </reviewItem>
    <reviewItem>
      <errorID>38eee865-fff8-4f7f-a698-fbe7e51f6283</errorID>
      <errorWord>：</errorWord>
      <group>L1_Format</group>
      <groupName>格式问题</groupName>
      <ability>L2_HalfPunc_CN</ability>
      <abilityName>全半角问题</abilityName>
      <candidateList>
        <item>:</item>
      </candidateList>
      <explain>文本全半角错误。</explain>
      <paraID>55C210F9</paraID>
      <start>70</start>
      <end>71</end>
      <status>unmodified</status>
      <modifiedWord/>
      <trackRevisions>false</trackRevisions>
    </reviewItem>
    <reviewItem>
      <errorID>cee43bef-2021-4893-ac20-f61a5f8a3f76</errorID>
      <errorWord>：</errorWord>
      <group>L1_Format</group>
      <groupName>格式问题</groupName>
      <ability>L2_HalfPunc_CN</ability>
      <abilityName>全半角问题</abilityName>
      <candidateList>
        <item>:</item>
      </candidateList>
      <explain>文本全半角错误。</explain>
      <paraID>2FA55068</paraID>
      <start>28</start>
      <end>29</end>
      <status>unmodified</status>
      <modifiedWord/>
      <trackRevisions>false</trackRevisions>
    </reviewItem>
    <reviewItem>
      <errorID>c047c63b-35e2-4cbf-890d-a350b2fc568f</errorID>
      <errorWord>：</errorWord>
      <group>L1_Format</group>
      <groupName>格式问题</groupName>
      <ability>L2_HalfPunc_CN</ability>
      <abilityName>全半角问题</abilityName>
      <candidateList>
        <item>:</item>
      </candidateList>
      <explain>文本全半角错误。</explain>
      <paraID>2FA55068</paraID>
      <start>34</start>
      <end>35</end>
      <status>unmodified</status>
      <modifiedWord/>
      <trackRevisions>false</trackRevisions>
    </reviewItem>
    <reviewItem>
      <errorID>d78b7c4f-909a-4cd6-b910-df53dcf801fe</errorID>
      <errorWord>：</errorWord>
      <group>L1_Format</group>
      <groupName>格式问题</groupName>
      <ability>L2_HalfPunc_CN</ability>
      <abilityName>全半角问题</abilityName>
      <candidateList>
        <item>:</item>
      </candidateList>
      <explain>文本全半角错误。</explain>
      <paraID>53ABE798</paraID>
      <start>32</start>
      <end>33</end>
      <status>unmodified</status>
      <modifiedWord/>
      <trackRevisions>false</trackRevisions>
    </reviewItem>
    <reviewItem>
      <errorID>3be8191b-c381-4c8b-846f-050ec53d9181</errorID>
      <errorWord>：</errorWord>
      <group>L1_Format</group>
      <groupName>格式问题</groupName>
      <ability>L2_HalfPunc_CN</ability>
      <abilityName>全半角问题</abilityName>
      <candidateList>
        <item>:</item>
      </candidateList>
      <explain>文本全半角错误。</explain>
      <paraID>53ABE798</paraID>
      <start>38</start>
      <end>39</end>
      <status>unmodified</status>
      <modifiedWord/>
      <trackRevisions>false</trackRevisions>
    </reviewItem>
    <reviewItem>
      <errorID>e45e33a1-fe5d-48f9-af5d-f082d9cbc118</errorID>
      <errorWord>：</errorWord>
      <group>L1_Format</group>
      <groupName>格式问题</groupName>
      <ability>L2_HalfPunc_CN</ability>
      <abilityName>全半角问题</abilityName>
      <candidateList>
        <item>:</item>
      </candidateList>
      <explain>文本全半角错误。</explain>
      <paraID>33C13EFB</paraID>
      <start>28</start>
      <end>29</end>
      <status>unmodified</status>
      <modifiedWord/>
      <trackRevisions>false</trackRevisions>
    </reviewItem>
    <reviewItem>
      <errorID>76052afe-af28-4da5-a65d-bd3bb845aee4</errorID>
      <errorWord>：</errorWord>
      <group>L1_Format</group>
      <groupName>格式问题</groupName>
      <ability>L2_HalfPunc_CN</ability>
      <abilityName>全半角问题</abilityName>
      <candidateList>
        <item>:</item>
      </candidateList>
      <explain>文本全半角错误。</explain>
      <paraID>33C13EFB</paraID>
      <start>34</start>
      <end>35</end>
      <status>unmodified</status>
      <modifiedWord/>
      <trackRevisions>false</trackRevisions>
    </reviewItem>
    <reviewItem>
      <errorID>8b0462f8-531c-4391-9883-f46bd21e567b</errorID>
      <errorWord>：</errorWord>
      <group>L1_Format</group>
      <groupName>格式问题</groupName>
      <ability>L2_HalfPunc_CN</ability>
      <abilityName>全半角问题</abilityName>
      <candidateList>
        <item>:</item>
      </candidateList>
      <explain>文本全半角错误。</explain>
      <paraID>33C13EFB</paraID>
      <start>71</start>
      <end>72</end>
      <status>unmodified</status>
      <modifiedWord/>
      <trackRevisions>false</trackRevisions>
    </reviewItem>
    <reviewItem>
      <errorID>3bb11b89-4ee0-4e74-9e62-16d0d1d0c5e1</errorID>
      <errorWord>,</errorWord>
      <group>L1_Format</group>
      <groupName>格式问题</groupName>
      <ability>L2_HalfPunc_CN</ability>
      <abilityName>全半角问题</abilityName>
      <candidateList>
        <item>，</item>
      </candidateList>
      <explain>文本全半角错误。</explain>
      <paraID>6B883E8C</paraID>
      <start>98</start>
      <end>99</end>
      <status>unmodified</status>
      <modifiedWord/>
      <trackRevisions>false</trackRevisions>
    </reviewItem>
    <reviewItem>
      <errorID>b3fee580-6820-41cb-9f70-4b8040cda937</errorID>
      <errorWord>按《中华人民共和国</errorWord>
      <group>L1_Political</group>
      <groupName>政治性问题</groupName>
      <ability>L2_Unpolitical</ability>
      <abilityName>政治敏感错误</abilityName>
      <candidateList>
        <item>按照《中华人民共和国</item>
      </candidateList>
      <explain/>
      <paraID>2EEF6E3A</paraID>
      <start>10</start>
      <end>20</end>
      <status>modified</status>
      <modifiedWord>按照《中华人民共和国</modifiedWord>
      <trackRevisions>false</trackRevisions>
    </reviewItem>
    <reviewItem>
      <errorID>aed634b9-83c0-415b-afe2-127496251058</errorID>
      <errorWord>(</errorWord>
      <group>L1_Format</group>
      <groupName>格式问题</groupName>
      <ability>L2_HalfPunc_CN</ability>
      <abilityName>全半角问题</abilityName>
      <candidateList>
        <item>（</item>
      </candidateList>
      <explain>文本全半角错误。</explain>
      <paraID>2EEF6E3A</paraID>
      <start>113</start>
      <end>114</end>
      <status>modified</status>
      <modifiedWord>（</modifiedWord>
      <trackRevisions>false</trackRevisions>
    </reviewItem>
    <reviewItem>
      <errorID>4c1610a5-d5a7-44e6-b44d-bfcdd0e6506b</errorID>
      <errorWord>)</errorWord>
      <group>L1_Format</group>
      <groupName>格式问题</groupName>
      <ability>L2_HalfPunc_CN</ability>
      <abilityName>全半角问题</abilityName>
      <candidateList>
        <item>）</item>
      </candidateList>
      <explain>文本全半角错误。</explain>
      <paraID>2EEF6E3A</paraID>
      <start>121</start>
      <end>122</end>
      <status>modified</status>
      <modifiedWord>）</modifiedWord>
      <trackRevisions>false</trackRevisions>
    </reviewItem>
    <reviewItem>
      <errorID>d7c4fd74-5204-4ce8-95f6-18acce567f14</errorID>
      <errorWord>佩带饰物</errorWord>
      <group>L1_Word</group>
      <groupName>字词问题</groupName>
      <ability>L2_Alias</ability>
      <abilityName>也作/曾用词</abilityName>
      <candidateList>
        <item>佩戴饰物</item>
      </candidateList>
      <explain>词汇[佩带饰物]为不规范表述或旧称，其规范书面表述为[佩戴饰物]。</explain>
      <paraID>59DBCF9A</paraID>
      <start>80</start>
      <end>84</end>
      <status>modified</status>
      <modifiedWord>佩戴饰物</modifiedWord>
      <trackRevisions>false</trackRevisions>
    </reviewItem>
    <reviewItem>
      <errorID>ce3892cf-47db-4bee-9939-2d2a77c89765</errorID>
      <errorWord>地方法规</errorWord>
      <group>L1_Political</group>
      <groupName>政治性问题</groupName>
      <ability>L2_Unpolitical</ability>
      <abilityName>政治敏感错误</abilityName>
      <candidateList>
        <item>地方性法规</item>
      </candidateList>
      <explain/>
      <paraID>16DB80B6</paraID>
      <start>61</start>
      <end>66</end>
      <status>modified</status>
      <modifiedWord>地方性法规</modifiedWord>
      <trackRevisions>false</trackRevisions>
    </reviewItem>
    <reviewItem>
      <errorID>f7f6c6f1-8dbb-4f0e-b313-79d29ed183ce</errorID>
      <errorWord>交纳</errorWord>
      <group>L1_Word</group>
      <groupName>字词问题</groupName>
      <ability>L2_Typo</ability>
      <abilityName>字词错误</abilityName>
      <candidateList>
        <item>缴纳</item>
      </candidateList>
      <explain>〈动〉交纳：～税款。</explain>
      <paraID>16DB80B6</paraID>
      <start>101</start>
      <end>103</end>
      <status>modified</status>
      <modifiedWord>缴纳</modifiedWord>
      <trackRevisions>false</trackRevisions>
    </reviewItem>
    <reviewItem>
      <errorID>472302fe-3014-41b9-83ce-b8f4f22807c6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255A5E</paraID>
      <start>13</start>
      <end>14</end>
      <status>modified</status>
      <modifiedWord>地</modifiedWord>
      <trackRevisions>false</trackRevisions>
    </reviewItem>
    <reviewItem>
      <errorID>8094eb12-5202-44a2-b11b-a628b7913f3d</errorID>
      <errorWord>份量</errorWord>
      <group>L1_Word</group>
      <groupName>字词问题</groupName>
      <ability>L2_Typo</ability>
      <abilityName>字词错误</abilityName>
      <candidateList>
        <item>分量</item>
      </candidateList>
      <explain>（份量）fèn•liànɡ〈名〉重量：这个南瓜的～不下二十斤◇他这话说得很有～。</explain>
      <paraID>  255A5E</paraID>
      <start>119</start>
      <end>121</end>
      <status>modified</status>
      <modifiedWord>分量</modifiedWord>
      <trackRevisions>false</trackRevisions>
    </reviewItem>
    <reviewItem>
      <errorID>81595f70-8041-4e04-aeef-9bb9c53523c3</errorID>
      <errorWord>体验</errorWord>
      <group>L1_Word</group>
      <groupName>字词问题</groupName>
      <ability>L2_Typo</ability>
      <abilityName>字词错误</abilityName>
      <candidateList>
        <item>体检</item>
      </candidateList>
      <explain/>
      <paraID> 5A6B741</paraID>
      <start>15</start>
      <end>17</end>
      <status>modified</status>
      <modifiedWord>体检</modifiedWord>
      <trackRevisions>false</trackRevisions>
    </reviewItem>
    <reviewItem>
      <errorID>f810c7a1-cec3-4318-af92-c8fec00a76d5</errorID>
      <errorWord>吊尘</errorWord>
      <group>L1_Word</group>
      <groupName>字词问题</groupName>
      <ability>L2_Typo</ability>
      <abilityName>字词错误</abilityName>
      <candidateList>
        <item>灰尘</item>
      </candidateList>
      <explain/>
      <paraID>42067280</paraID>
      <start>11</start>
      <end>13</end>
      <status>modified</status>
      <modifiedWord>灰尘</modifiedWord>
      <trackRevisions>false</trackRevisions>
    </reviewItem>
    <reviewItem>
      <errorID>bc21c2bb-89b7-461c-8d60-5eee9c5daafc</errorID>
      <errorWord>另作它用</errorWord>
      <group>L1_Word</group>
      <groupName>字词问题</groupName>
      <ability>L2_Typo</ability>
      <abilityName>字词错误</abilityName>
      <candidateList>
        <item>另作他用</item>
      </candidateList>
      <explain/>
      <paraID> 2F5CE02</paraID>
      <start>29</start>
      <end>33</end>
      <status>modified</status>
      <modifiedWord>另作他用</modifiedWord>
      <trackRevisions>false</trackRevisions>
    </reviewItem>
    <reviewItem>
      <errorID>19d87812-555a-48c6-9e78-16fcd3127a71</errorID>
      <errorWord>厨柜门</errorWord>
      <group>L1_Word</group>
      <groupName>字词问题</groupName>
      <ability>L2_Typo</ability>
      <abilityName>字词错误</abilityName>
      <candidateList>
        <item>橱柜门</item>
      </candidateList>
      <explain/>
      <paraID>64AD1DCC</paraID>
      <start>17</start>
      <end>20</end>
      <status>modified</status>
      <modifiedWord>橱柜门</modifiedWord>
      <trackRevisions>false</trackRevisions>
    </reviewItem>
    <reviewItem>
      <errorID>f07fb91b-b9d8-47cd-a024-a8e6206a9a3c</errorID>
      <errorWord>各岗位岗位职责</errorWord>
      <group>L1_Word</group>
      <groupName>字词问题</groupName>
      <ability>L2_Typo</ability>
      <abilityName>字词错误</abilityName>
      <candidateList>
        <item>各岗位职责</item>
      </candidateList>
      <explain/>
      <paraID>11F3C22F</paraID>
      <start>28</start>
      <end>33</end>
      <status>modified</status>
      <modifiedWord>各岗位职责</modifiedWord>
      <trackRevisions>false</trackRevisions>
    </reviewItem>
    <reviewItem>
      <errorID>ed3575e6-7d64-4e93-b154-7d81063c1d6a</errorID>
      <errorWord>，</errorWord>
      <group>L1_Word</group>
      <groupName>字词问题</groupName>
      <ability>L2_Typo</ability>
      <abilityName>字词错误</abilityName>
      <candidateList>
        <item>，在</item>
      </candidateList>
      <explain/>
      <paraID>577086AA</paraID>
      <start>49</start>
      <end>51</end>
      <status>modified</status>
      <modifiedWord>，在</modifiedWord>
      <trackRevisions>false</trackRevisions>
    </reviewItem>
    <reviewItem>
      <errorID>3d34cc04-392f-47b4-a23c-8184c75f3dae</errorID>
      <errorWord>，</errorWord>
      <group>L1_Word</group>
      <groupName>字词问题</groupName>
      <ability>L2_Typo</ability>
      <abilityName>字词错误</abilityName>
      <candidateList>
        <item>，在</item>
      </candidateList>
      <explain/>
      <paraID>15AE2D4E</paraID>
      <start>22</start>
      <end>24</end>
      <status>modified</status>
      <modifiedWord>，在</modifiedWord>
      <trackRevisions>false</trackRevisions>
    </reviewItem>
    <reviewItem>
      <errorID>18a1ef54-be3d-4d7f-9419-f9a95f166bb6</errorID>
      <errorWord>满</errorWord>
      <group>L1_Word</group>
      <groupName>字词问题</groupName>
      <ability>L2_Typo</ability>
      <abilityName>字词错误</abilityName>
      <candidateList>
        <item>满后</item>
      </candidateList>
      <explain/>
      <paraID>34C3B632</paraID>
      <start>38</start>
      <end>40</end>
      <status>modified</status>
      <modifiedWord>满后</modifiedWord>
      <trackRevisions>false</trackRevisions>
    </reviewItem>
    <reviewItem>
      <errorID>bbfbd34a-969f-4953-b71d-ce45ef2149ac</errorID>
      <errorWord>[2011]300号</errorWord>
      <group>L1_Knowledge</group>
      <groupName>知识性问题</groupName>
      <ability>L2_Knowledge</ability>
      <abilityName>其他知识</abilityName>
      <candidateList>
        <item>〔2011〕300号</item>
      </candidateList>
      <explain>发文字号格式错误。</explain>
      <paraID>210C1871</paraID>
      <start>6</start>
      <end>16</end>
      <status>modified</status>
      <modifiedWord>〔2011〕300号</modifiedWord>
      <trackRevisions>false</trackRevisions>
    </reviewItem>
    <reviewItem>
      <errorID>a80d532f-595a-41fd-b248-58e1d8d917ba</errorID>
      <errorWord>(</errorWord>
      <group>L1_Format</group>
      <groupName>格式问题</groupName>
      <ability>L2_HalfPunc_CN</ability>
      <abilityName>全半角问题</abilityName>
      <candidateList>
        <item>（</item>
      </candidateList>
      <explain>文本全半角错误。</explain>
      <paraID>5803DD5E</paraID>
      <start>46</start>
      <end>47</end>
      <status>modified</status>
      <modifiedWord>（</modifiedWord>
      <trackRevisions>false</trackRevisions>
    </reviewItem>
    <reviewItem>
      <errorID>0e39e492-ba3f-445f-ac0c-949d8f8c4839</errorID>
      <errorWord>[2009]36号</errorWord>
      <group>L1_Knowledge</group>
      <groupName>知识性问题</groupName>
      <ability>L2_Knowledge</ability>
      <abilityName>其他知识</abilityName>
      <candidateList>
        <item>〔2009〕36号</item>
      </candidateList>
      <explain>发文字号格式错误。</explain>
      <paraID>5803DD5E</paraID>
      <start>49</start>
      <end>58</end>
      <status>modified</status>
      <modifiedWord>〔2009〕36号</modifiedWord>
      <trackRevisions>false</trackRevisions>
    </reviewItem>
    <reviewItem>
      <errorID>b7cd8786-a314-4edf-aa24-94886533be25</errorID>
      <errorWord>)</errorWord>
      <group>L1_Format</group>
      <groupName>格式问题</groupName>
      <ability>L2_HalfPunc_CN</ability>
      <abilityName>全半角问题</abilityName>
      <candidateList>
        <item>）</item>
      </candidateList>
      <explain>文本全半角错误。</explain>
      <paraID>5803DD5E</paraID>
      <start>58</start>
      <end>59</end>
      <status>modified</status>
      <modifiedWord>）</modifiedWord>
      <trackRevisions>false</trackRevisions>
    </reviewItem>
    <reviewItem>
      <errorID>2e1bf05b-36af-4154-b290-1f46e2038f48</errorID>
      <errorWord>分高分高</errorWord>
      <group>L1_Word</group>
      <groupName>字词问题</groupName>
      <ability>L2_Typo</ability>
      <abilityName>字词错误</abilityName>
      <candidateList>
        <item>分高</item>
      </candidateList>
      <explain/>
      <paraID>6FB44610</paraID>
      <start>73</start>
      <end>75</end>
      <status>modified</status>
      <modifiedWord>分高</modifiedWord>
      <trackRevisions>false</trackRevisions>
    </reviewItem>
    <reviewItem>
      <errorID>775efea2-6316-40c6-8920-9aed1368d669</errorID>
      <errorWord>起到</errorWord>
      <group>L1_Word</group>
      <groupName>字词问题</groupName>
      <ability>L2_Typo</ability>
      <abilityName>字词错误</abilityName>
      <candidateList>
        <item>起至</item>
      </candidateList>
      <explain/>
      <paraID>203ED00F</paraID>
      <start>77</start>
      <end>79</end>
      <status>modified</status>
      <modifiedWord>起至</modifiedWord>
      <trackRevisions>false</trackRevisions>
    </reviewItem>
    <reviewItem>
      <errorID>36007889-074d-4d7b-8c97-ee44b08d4e77</errorID>
      <errorWord>,</errorWord>
      <group>L1_Format</group>
      <groupName>格式问题</groupName>
      <ability>L2_HalfPunc_CN</ability>
      <abilityName>全半角问题</abilityName>
      <candidateList>
        <item>，</item>
      </candidateList>
      <explain>文本全半角错误。</explain>
      <paraID>203ED00F</paraID>
      <start>97</start>
      <end>98</end>
      <status>modified</status>
      <modifiedWord>，</modifiedWord>
      <trackRevisions>false</trackRevisions>
    </reviewItem>
    <reviewItem>
      <errorID>c697ec88-6ded-48ea-be5f-2c95200490aa</errorID>
      <errorWord>起到</errorWord>
      <group>L1_Word</group>
      <groupName>字词问题</groupName>
      <ability>L2_Typo</ability>
      <abilityName>字词错误</abilityName>
      <candidateList>
        <item>起至</item>
      </candidateList>
      <explain/>
      <paraID>6A6BB832</paraID>
      <start>128</start>
      <end>130</end>
      <status>modified</status>
      <modifiedWord>起至</modifiedWord>
      <trackRevisions>false</trackRevisions>
    </reviewItem>
    <reviewItem>
      <errorID>3137c762-ab35-468c-a469-19f7e022eb54</errorID>
      <errorWord>,</errorWord>
      <group>L1_Format</group>
      <groupName>格式问题</groupName>
      <ability>L2_HalfPunc_CN</ability>
      <abilityName>全半角问题</abilityName>
      <candidateList>
        <item>，</item>
      </candidateList>
      <explain>文本全半角错误。</explain>
      <paraID>6A6BB832</paraID>
      <start>148</start>
      <end>149</end>
      <status>modified</status>
      <modifiedWord>，</modifiedWord>
      <trackRevisions>false</trackRevisions>
    </reviewItem>
    <reviewItem>
      <errorID>5c8a91e7-feee-4893-84f7-b49f7eb49953</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7DA2914A</paraID>
      <start>11</start>
      <end>12</end>
      <status>unmodified</status>
      <modifiedWord/>
      <trackRevisions>false</trackRevisions>
    </reviewItem>
    <reviewItem>
      <errorID>92f76fbc-4a9c-4b03-b516-64488e5bd827</errorID>
      <errorWord>（</errorWord>
      <group>L1_Format</group>
      <groupName>格式问题</groupName>
      <ability>L2_HalfPunc_CN</ability>
      <abilityName>全半角问题</abilityName>
      <candidateList>
        <item>(</item>
      </candidateList>
      <explain>文本全半角错误。</explain>
      <paraID>78752F10</paraID>
      <start>4</start>
      <end>5</end>
      <status>unmodified</status>
      <modifiedWord/>
      <trackRevisions>false</trackRevisions>
    </reviewItem>
    <reviewItem>
      <errorID>dfbb0e5f-862d-45b0-a651-9ad3b43fddf7</errorID>
      <errorWord>）</errorWord>
      <group>L1_Format</group>
      <groupName>格式问题</groupName>
      <ability>L2_HalfPunc_CN</ability>
      <abilityName>全半角问题</abilityName>
      <candidateList>
        <item>)</item>
      </candidateList>
      <explain>文本全半角错误。</explain>
      <paraID>78752F10</paraID>
      <start>6</start>
      <end>7</end>
      <status>unmodified</status>
      <modifiedWord/>
      <trackRevisions>false</trackRevisions>
    </reviewItem>
    <reviewItem>
      <errorID>29eb34c0-0bc8-4af3-b787-106cc3be97a9</errorID>
      <errorWord>（</errorWord>
      <group>L1_Format</group>
      <groupName>格式问题</groupName>
      <ability>L2_HalfPunc_CN</ability>
      <abilityName>全半角问题</abilityName>
      <candidateList>
        <item>(</item>
      </candidateList>
      <explain>文本全半角错误。</explain>
      <paraID>70BE2347</paraID>
      <start>4</start>
      <end>5</end>
      <status>unmodified</status>
      <modifiedWord/>
      <trackRevisions>false</trackRevisions>
    </reviewItem>
    <reviewItem>
      <errorID>e1d0e65b-2710-4534-9ffc-2c6f0dbe3c52</errorID>
      <errorWord>）</errorWord>
      <group>L1_Format</group>
      <groupName>格式问题</groupName>
      <ability>L2_HalfPunc_CN</ability>
      <abilityName>全半角问题</abilityName>
      <candidateList>
        <item>)</item>
      </candidateList>
      <explain>文本全半角错误。</explain>
      <paraID>70BE2347</paraID>
      <start>6</start>
      <end>7</end>
      <status>unmodified</status>
      <modifiedWord/>
      <trackRevisions>false</trackRevisions>
    </reviewItem>
    <reviewItem>
      <errorID>95ca14b7-1a64-4463-a561-b563aa919ae1</errorID>
      <errorWord>（</errorWord>
      <group>L1_Format</group>
      <groupName>格式问题</groupName>
      <ability>L2_HalfPunc_CN</ability>
      <abilityName>全半角问题</abilityName>
      <candidateList>
        <item>(</item>
      </candidateList>
      <explain>文本全半角错误。</explain>
      <paraID>7CB3DE94</paraID>
      <start>4</start>
      <end>5</end>
      <status>unmodified</status>
      <modifiedWord/>
      <trackRevisions>false</trackRevisions>
    </reviewItem>
    <reviewItem>
      <errorID>7f6d9c73-b74c-4c88-848a-8e4a5ea08724</errorID>
      <errorWord>）</errorWord>
      <group>L1_Format</group>
      <groupName>格式问题</groupName>
      <ability>L2_HalfPunc_CN</ability>
      <abilityName>全半角问题</abilityName>
      <candidateList>
        <item>)</item>
      </candidateList>
      <explain>文本全半角错误。</explain>
      <paraID>7CB3DE94</paraID>
      <start>6</start>
      <end>7</end>
      <status>unmodified</status>
      <modifiedWord/>
      <trackRevisions>false</trackRevisions>
    </reviewItem>
    <reviewItem>
      <errorID>74661b8c-88ff-40b7-bbe5-37ff6ab9d46f</errorID>
      <errorWord>以下的</errorWord>
      <group>L1_Word</group>
      <groupName>字词问题</groupName>
      <ability>L2_Typo</ability>
      <abilityName>字词错误</abilityName>
      <candidateList>
        <item>以下</item>
      </candidateList>
      <explain/>
      <paraID>102B0C90</paraID>
      <start>42</start>
      <end>44</end>
      <status>modified</status>
      <modifiedWord>以下</modifiedWord>
      <trackRevisions>false</trackRevisions>
    </reviewItem>
    <reviewItem>
      <errorID>3d603bc0-ab04-476f-87ad-00b564f27b30</errorID>
      <errorWord>分高分高</errorWord>
      <group>L1_Word</group>
      <groupName>字词问题</groupName>
      <ability>L2_Typo</ability>
      <abilityName>字词错误</abilityName>
      <candidateList>
        <item>分高</item>
      </candidateList>
      <explain/>
      <paraID>295C6A52</paraID>
      <start>73</start>
      <end>75</end>
      <status>modified</status>
      <modifiedWord>分高</modifiedWord>
      <trackRevisions>false</trackRevisions>
    </reviewItem>
    <reviewItem>
      <errorID>2f658989-315c-4214-a703-14542c3afc1d</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55C1C27D</paraID>
      <start>0</start>
      <end>8</end>
      <status>unmodified</status>
      <modifiedWord/>
      <trackRevisions>false</trackRevisions>
    </reviewItem>
    <reviewItem>
      <errorID>0d6f98f8-4d43-4b18-aa35-7f5451dffa54</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1F189F9F</paraID>
      <start>0</start>
      <end>9</end>
      <status>unmodified</status>
      <modifiedWord/>
      <trackRevisions>false</trackRevisions>
    </reviewItem>
    <reviewItem>
      <errorID>ab93cbdb-b532-4077-a138-4491a6d4c5e9</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44E79C9B</paraID>
      <start>0</start>
      <end>10</end>
      <status>unmodified</status>
      <modifiedWord/>
      <trackRevisions>false</trackRevisions>
    </reviewItem>
    <reviewItem>
      <errorID>8298cde3-4a7f-40b3-a8e4-134d0379d0d2</errorID>
      <errorWord>，</errorWord>
      <group>L1_Word</group>
      <groupName>字词问题</groupName>
      <ability>L2_Typo</ability>
      <abilityName>字词错误</abilityName>
      <candidateList>
        <item>，使</item>
      </candidateList>
      <explain/>
      <paraID>413E06DC</paraID>
      <start>30</start>
      <end>32</end>
      <status>modified</status>
      <modifiedWord>，使</modifiedWord>
      <trackRevisions>false</trackRevisions>
    </reviewItem>
    <reviewItem>
      <errorID>92fe8a9f-d683-4ef1-b854-db61f0ced7c0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5E237224</paraID>
      <start>15</start>
      <end>18</end>
      <status>unmodified</status>
      <modifiedWord/>
      <trackRevisions>false</trackRevisions>
    </reviewItem>
    <reviewItem>
      <errorID>cf1e3b09-0aed-4801-9393-6728395bdcf4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7624CA9E</paraID>
      <start>51</start>
      <end>54</end>
      <status>unmodified</status>
      <modifiedWord/>
      <trackRevisions>false</trackRevisions>
    </reviewItem>
    <reviewItem>
      <errorID>b57e4397-b82f-44ab-883e-5ce03e5b718a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7624CA9E</paraID>
      <start>70</start>
      <end>73</end>
      <status>unmodified</status>
      <modifiedWord/>
      <trackRevisions>false</trackRevisions>
    </reviewItem>
    <reviewItem>
      <errorID>740ec50d-2477-403e-98c8-17d146974774</errorID>
      <errorWord>法律、法规</errorWord>
      <group>L1_Word</group>
      <groupName>字词问题</groupName>
      <ability>L2_Typo</ability>
      <abilityName>字词错误</abilityName>
      <candidateList>
        <item>法律法规</item>
      </candidateList>
      <explain/>
      <paraID>1A6C772F</paraID>
      <start>25</start>
      <end>30</end>
      <status>unmodified</status>
      <modifiedWord/>
      <trackRevisions>false</trackRevisions>
    </reviewItem>
    <reviewItem>
      <errorID>05a8fd1c-cad5-4b7f-acc7-531d7b384964</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4B6A9F89</paraID>
      <start>203</start>
      <end>208</end>
      <status>unmodified</status>
      <modifiedWord/>
      <trackRevisions>false</trackRevisions>
    </reviewItem>
    <reviewItem>
      <errorID>c217b83d-f3fc-4071-8654-16305a26b486</errorID>
      <errorWord>操作合</errorWord>
      <group>L1_Word</group>
      <groupName>字词问题</groupName>
      <ability>L2_Typo</ability>
      <abilityName>字词错误</abilityName>
      <candidateList>
        <item>操作台</item>
      </candidateList>
      <explain/>
      <paraID>1BB5BC5D</paraID>
      <start>10</start>
      <end>13</end>
      <status>unmodified</status>
      <modifiedWord/>
      <trackRevisions>false</trackRevisions>
    </reviewItem>
    <reviewItem>
      <errorID>2c92db42-221a-4b95-ba5f-8e2923bfb970</errorID>
      <errorWord>详见在</errorWord>
      <group>L1_Word</group>
      <groupName>字词问题</groupName>
      <ability>L2_Typo</ability>
      <abilityName>字词错误</abilityName>
      <candidateList>
        <item>详见</item>
      </candidateList>
      <explain/>
      <paraID>7C7BBFF2</paraID>
      <start>45</start>
      <end>47</end>
      <status>modified</status>
      <modifiedWord>详见</modifiedWord>
      <trackRevisions>false</trackRevisions>
    </reviewItem>
    <reviewItem>
      <errorID>ae3ddebd-7665-4464-9aac-bb0ffe07f22a</errorID>
      <errorWord>”中</errorWord>
      <group>L1_Word</group>
      <groupName>字词问题</groupName>
      <ability>L2_Typo</ability>
      <abilityName>字词错误</abilityName>
      <candidateList>
        <item>”</item>
      </candidateList>
      <explain/>
      <paraID>2E6F4BE8</paraID>
      <start>188</start>
      <end>189</end>
      <status>modified</status>
      <modifiedWord>”</modifiedWord>
      <trackRevisions>false</trackRevisions>
    </reviewItem>
    <reviewItem>
      <errorID>4c9996d9-459b-4e03-9f7e-429146ecf9b1</errorID>
      <errorWord>间</errorWord>
      <group>L1_Word</group>
      <groupName>字词问题</groupName>
      <ability>L2_Typo</ability>
      <abilityName>字词错误</abilityName>
      <candidateList>
        <item>间之</item>
      </candidateList>
      <explain/>
      <paraID>59231275</paraID>
      <start>41</start>
      <end>43</end>
      <status>modified</status>
      <modifiedWord>间之</modifiedWord>
      <trackRevisions>false</trackRevisions>
    </reviewItem>
    <reviewItem>
      <errorID>d7ff4b82-dcc8-4067-b608-798ebd150817</errorID>
      <errorWord>会</errorWord>
      <group>L1_Word</group>
      <groupName>字词问题</groupName>
      <ability>L2_Typo</ability>
      <abilityName>字词错误</abilityName>
      <candidateList>
        <item>会在</item>
      </candidateList>
      <explain/>
      <paraID>2BB52B2A</paraID>
      <start>13</start>
      <end>15</end>
      <status>modified</status>
      <modifiedWord>会在</modifiedWord>
      <trackRevisions>false</trackRevisions>
    </reviewItem>
    <reviewItem>
      <errorID>94ace015-f0c1-4dc0-bf61-55eb2629689c</errorID>
      <errorWord>：）</errorWord>
      <group>L1_Punc</group>
      <groupName>标点问题</groupName>
      <ability>L2_Punc_CN</ability>
      <abilityName>标点符号问题</abilityName>
      <candidateList>
        <item>）</item>
      </candidateList>
      <explain/>
      <paraID>72718DAE</paraID>
      <start>15</start>
      <end>17</end>
      <status>unmodified</status>
      <modifiedWord/>
      <trackRevisions>false</trackRevisions>
    </reviewItem>
    <reviewItem>
      <errorID>237ddc21-4222-49eb-8a8b-7edd171653ac</errorID>
      <errorWord>)</errorWord>
      <group>L1_Format</group>
      <groupName>格式问题</groupName>
      <ability>L2_HalfPunc_CN</ability>
      <abilityName>全半角问题</abilityName>
      <candidateList>
        <item>）</item>
      </candidateList>
      <explain>文本全半角错误。</explain>
      <paraID>5F8DD272</paraID>
      <start>98</start>
      <end>99</end>
      <status>unmodified</status>
      <modifiedWord/>
      <trackRevisions>false</trackRevisions>
    </reviewItem>
    <reviewItem>
      <errorID>f74742e7-839c-456e-8560-269ff21368d2</errorID>
      <errorWord>超</errorWord>
      <group>L1_Word</group>
      <groupName>字词问题</groupName>
      <ability>L2_Typo</ability>
      <abilityName>字词错误</abilityName>
      <candidateList>
        <item>超过</item>
      </candidateList>
      <explain/>
      <paraID> C3BB683</paraID>
      <start>4</start>
      <end>6</end>
      <status>modified</status>
      <modifiedWord>超过</modifiedWord>
      <trackRevisions>false</trackRevisions>
    </reviewItem>
    <reviewItem>
      <errorID>7da3ec4f-6a52-4421-a0db-bf47b6382325</errorID>
      <errorWord>法律、法规</errorWord>
      <group>L1_Word</group>
      <groupName>字词问题</groupName>
      <ability>L2_Typo</ability>
      <abilityName>字词错误</abilityName>
      <candidateList>
        <item>法律法规</item>
      </candidateList>
      <explain/>
      <paraID>12F0E90D</paraID>
      <start>0</start>
      <end>5</end>
      <status>unmodified</status>
      <modifiedWord/>
      <trackRevisions>false</trackRevisions>
    </reviewItem>
    <reviewItem>
      <errorID>cde94421-b663-4058-8b0f-a8a345cac1e0</errorID>
      <errorWord>-</errorWord>
      <group>L1_Format</group>
      <groupName>格式问题</groupName>
      <ability>L2_HalfPunc_CN</ability>
      <abilityName>全半角问题</abilityName>
      <candidateList>
        <item>－</item>
      </candidateList>
      <explain>文本全半角错误。</explain>
      <paraID>70981E53</paraID>
      <start>20</start>
      <end>21</end>
      <status>unmodified</status>
      <modifiedWord/>
      <trackRevisions>false</trackRevisions>
    </reviewItem>
    <reviewItem>
      <errorID>9e464bb5-45db-499a-b80f-a7529bb82c53</errorID>
      <errorWord>，</errorWord>
      <group>L1_Word</group>
      <groupName>字词问题</groupName>
      <ability>L2_Typo</ability>
      <abilityName>字词错误</abilityName>
      <candidateList>
        <item>，并</item>
      </candidateList>
      <explain/>
      <paraID>6A890476</paraID>
      <start>63</start>
      <end>65</end>
      <status>modified</status>
      <modifiedWord>，并</modifiedWord>
      <trackRevisions>false</trackRevisions>
    </reviewItem>
    <reviewItem>
      <errorID>1a7ccf59-1f79-4a9e-8c5f-efec2c4b7ca4</errorID>
      <errorWord>原则做出结论</errorWord>
      <group>L1_Word</group>
      <groupName>字词问题</groupName>
      <ability>L2_Typo</ability>
      <abilityName>字词错误</abilityName>
      <candidateList>
        <item>原则作出结论</item>
      </candidateList>
      <explain/>
      <paraID>7B6E5DF6</paraID>
      <start>114</start>
      <end>120</end>
      <status>modified</status>
      <modifiedWord>原则作出结论</modifiedWord>
      <trackRevisions>false</trackRevisions>
    </reviewItem>
    <reviewItem>
      <errorID>aecad51f-6245-4dae-a10e-996055ed0912</errorID>
      <errorWord>，</errorWord>
      <group>L1_Word</group>
      <groupName>字词问题</groupName>
      <ability>L2_Typo</ability>
      <abilityName>字词错误</abilityName>
      <candidateList>
        <item>，并</item>
      </candidateList>
      <explain/>
      <paraID>12FEEB37</paraID>
      <start>63</start>
      <end>65</end>
      <status>modified</status>
      <modifiedWord>，并</modifiedWord>
      <trackRevisions>false</trackRevisions>
    </reviewItem>
    <reviewItem>
      <errorID>4da9e026-dc71-4f9b-be08-91d631d01b21</errorID>
      <errorWord>原则做出结论</errorWord>
      <group>L1_Word</group>
      <groupName>字词问题</groupName>
      <ability>L2_Typo</ability>
      <abilityName>字词错误</abilityName>
      <candidateList>
        <item>原则作出结论</item>
      </candidateList>
      <explain/>
      <paraID>33D4AC64</paraID>
      <start>114</start>
      <end>120</end>
      <status>modified</status>
      <modifiedWord>原则作出结论</modifiedWord>
      <trackRevisions>false</trackRevisions>
    </reviewItem>
    <reviewItem>
      <errorID>c6ac8d95-af1f-40d6-8c45-23377d7cebf4</errorID>
      <errorWord>(</errorWord>
      <group>L1_Format</group>
      <groupName>格式问题</groupName>
      <ability>L2_HalfPunc_CN</ability>
      <abilityName>全半角问题</abilityName>
      <candidateList>
        <item>（</item>
      </candidateList>
      <explain>文本全半角错误。</explain>
      <paraID>4829D155</paraID>
      <start>131</start>
      <end>132</end>
      <status>unmodified</status>
      <modifiedWord/>
      <trackRevisions>false</trackRevisions>
    </reviewItem>
    <reviewItem>
      <errorID>8a488158-a500-485f-b9e6-536c8d7ec8f3</errorID>
      <errorWord>)</errorWord>
      <group>L1_Format</group>
      <groupName>格式问题</groupName>
      <ability>L2_HalfPunc_CN</ability>
      <abilityName>全半角问题</abilityName>
      <candidateList>
        <item>）</item>
      </candidateList>
      <explain>文本全半角错误。</explain>
      <paraID>4829D155</paraID>
      <start>141</start>
      <end>142</end>
      <status>unmodified</status>
      <modifiedWord/>
      <trackRevisions>false</trackRevisions>
    </reviewItem>
    <reviewItem>
      <errorID>9c2ff0de-c364-430a-b83d-48414b94767c</errorID>
      <errorWord>(</errorWord>
      <group>L1_Format</group>
      <groupName>格式问题</groupName>
      <ability>L2_HalfPunc_CN</ability>
      <abilityName>全半角问题</abilityName>
      <candidateList>
        <item>（</item>
      </candidateList>
      <explain>文本全半角错误。</explain>
      <paraID>74E0CE82</paraID>
      <start>4</start>
      <end>5</end>
      <status>unmodified</status>
      <modifiedWord/>
      <trackRevisions>false</trackRevisions>
    </reviewItem>
    <reviewItem>
      <errorID>0c33ed57-dec8-4931-8a42-81bd663a9f79</errorID>
      <errorWord>)</errorWord>
      <group>L1_Format</group>
      <groupName>格式问题</groupName>
      <ability>L2_HalfPunc_CN</ability>
      <abilityName>全半角问题</abilityName>
      <candidateList>
        <item>）</item>
      </candidateList>
      <explain>文本全半角错误。</explain>
      <paraID>74E0CE82</paraID>
      <start>15</start>
      <end>16</end>
      <status>unmodified</status>
      <modifiedWord/>
      <trackRevisions>false</trackRevisions>
    </reviewItem>
    <reviewItem>
      <errorID>447fd2d8-2b1e-40ad-92ac-ee0c696638a1</errorID>
      <errorWord>(</errorWord>
      <group>L1_Format</group>
      <groupName>格式问题</groupName>
      <ability>L2_HalfPunc_CN</ability>
      <abilityName>全半角问题</abilityName>
      <candidateList>
        <item>（</item>
      </candidateList>
      <explain>文本全半角错误。</explain>
      <paraID>4C72F3D4</paraID>
      <start>43</start>
      <end>44</end>
      <status>unmodified</status>
      <modifiedWord/>
      <trackRevisions>false</trackRevisions>
    </reviewItem>
    <reviewItem>
      <errorID>89052082-dc27-4b72-8214-b13bc96d250d</errorID>
      <errorWord>)</errorWord>
      <group>L1_Format</group>
      <groupName>格式问题</groupName>
      <ability>L2_HalfPunc_CN</ability>
      <abilityName>全半角问题</abilityName>
      <candidateList>
        <item>）</item>
      </candidateList>
      <explain>文本全半角错误。</explain>
      <paraID>4C72F3D4</paraID>
      <start>61</start>
      <end>62</end>
      <status>unmodified</status>
      <modifiedWord/>
      <trackRevisions>false</trackRevisions>
    </reviewItem>
    <reviewItem>
      <errorID>3224bda0-176a-4265-a553-5a0bdf4b5dac</errorID>
      <errorWord>统筹和</errorWord>
      <group>L1_Word</group>
      <groupName>字词问题</groupName>
      <ability>L2_Typo</ability>
      <abilityName>字词错误</abilityName>
      <candidateList>
        <item>统筹</item>
      </candidateList>
      <explain>〈动〉统一筹划：～兼顾｜～全局。</explain>
      <paraID>12E1DE93</paraID>
      <start>8</start>
      <end>11</end>
      <status>unmodified</status>
      <modifiedWord/>
      <trackRevisions>false</trackRevisions>
    </reviewItem>
    <reviewItem>
      <errorID>fef0579c-0301-4dd4-a1cf-e595b0b99413</errorID>
      <errorWord>，</errorWord>
      <group>L1_Word</group>
      <groupName>字词问题</groupName>
      <ability>L2_Typo</ability>
      <abilityName>字词错误</abilityName>
      <candidateList>
        <item>，具</item>
      </candidateList>
      <explain/>
      <paraID>5AEB637E</paraID>
      <start>56</start>
      <end>57</end>
      <status>unmodified</status>
      <modifiedWord/>
      <trackRevisions>false</trackRevisions>
    </reviewItem>
    <reviewItem>
      <errorID>f63b4805-6b1b-45b7-b744-27bb13ee6ea2</errorID>
      <errorWord>图标</errorWord>
      <group>L1_Word</group>
      <groupName>字词问题</groupName>
      <ability>L2_Typo</ability>
      <abilityName>字词错误</abilityName>
      <candidateList>
        <item>图表</item>
      </candidateList>
      <explain>〈名〉表示各种情况和注明各种数字的图和表的总称，如示意图、统计表等。</explain>
      <paraID>5AEB637E</paraID>
      <start>66</start>
      <end>68</end>
      <status>modified</status>
      <modifiedWord>图表</modifiedWord>
      <trackRevisions>false</trackRevisions>
    </reviewItem>
    <reviewItem>
      <errorID>3ac3ce59-6185-4f29-b6ad-4eec3108c484</errorID>
      <errorWord>对</errorWord>
      <group>L1_Word</group>
      <groupName>字词问题</groupName>
      <ability>L2_Typo</ability>
      <abilityName>字词错误</abilityName>
      <candidateList>
        <item>对性</item>
      </candidateList>
      <explain/>
      <paraID>5AEB637E</paraID>
      <start>115</start>
      <end>117</end>
      <status>modified</status>
      <modifiedWord>对性</modifiedWord>
      <trackRevisions>false</trackRevisions>
    </reviewItem>
    <reviewItem>
      <errorID>e08a8885-ef19-4c70-8fe8-d552e506e19f</errorID>
      <errorWord>方案有</errorWord>
      <group>L1_Word</group>
      <groupName>字词问题</groupName>
      <ability>L2_Typo</ability>
      <abilityName>字词错误</abilityName>
      <candidateList>
        <item>方案</item>
      </candidateList>
      <explain/>
      <paraID>4FAC00E0</paraID>
      <start>44</start>
      <end>46</end>
      <status>modified</status>
      <modifiedWord>方案</modifiedWord>
      <trackRevisions>false</trackRevisions>
    </reviewItem>
    <reviewItem>
      <errorID>197d4783-89f0-41d5-8381-a9d209c5c817</errorID>
      <errorWord>能</errorWord>
      <group>L1_Word</group>
      <groupName>字词问题</groupName>
      <ability>L2_Typo</ability>
      <abilityName>字词错误</abilityName>
      <candidateList>
        <item>能在</item>
      </candidateList>
      <explain/>
      <paraID> 1E1D175</paraID>
      <start>13</start>
      <end>15</end>
      <status>modified</status>
      <modifiedWord>能在</modifiedWord>
      <trackRevisions>false</trackRevisions>
    </reviewItem>
    <reviewItem>
      <errorID>c6d03722-9ae5-4db9-bae3-cedcb1bf62df</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154FDC4F</paraID>
      <start>15</start>
      <end>18</end>
      <status>unmodified</status>
      <modifiedWord/>
      <trackRevisions>false</trackRevisions>
    </reviewItem>
    <reviewItem>
      <errorID>65136605-4048-4362-9179-5c6370016575</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154FDC4F</paraID>
      <start>34</start>
      <end>37</end>
      <status>unmodified</status>
      <modifiedWord/>
      <trackRevisions>false</trackRevisions>
    </reviewItem>
    <reviewItem>
      <errorID>486cf8be-3cf0-4109-ba37-0fcf781ac1f8</errorID>
      <errorWord>法律、法规</errorWord>
      <group>L1_Word</group>
      <groupName>字词问题</groupName>
      <ability>L2_Typo</ability>
      <abilityName>字词错误</abilityName>
      <candidateList>
        <item>法律法规</item>
      </candidateList>
      <explain/>
      <paraID>154FDC4F</paraID>
      <start>49</start>
      <end>54</end>
      <status>unmodified</status>
      <modifiedWord/>
      <trackRevisions>false</trackRevisions>
    </reviewItem>
    <reviewItem>
      <errorID>0652bb69-52e9-4ca9-9bb2-e8c63de14622</errorID>
      <errorWord>提交供</errorWord>
      <group>L1_Word</group>
      <groupName>字词问题</groupName>
      <ability>L2_Typo</ability>
      <abilityName>字词错误</abilityName>
      <candidateList>
        <item>提交</item>
      </candidateList>
      <explain/>
      <paraID>60EF3E3A</paraID>
      <start>61</start>
      <end>63</end>
      <status>modified</status>
      <modifiedWord>提交</modifiedWord>
      <trackRevisions>false</trackRevisions>
    </reviewItem>
    <reviewItem>
      <errorID>4b75a771-1144-4482-80cb-24c86fcbf983</errorID>
      <errorWord>：</errorWord>
      <group>L1_Format</group>
      <groupName>格式问题</groupName>
      <ability>L2_HalfPunc_CN</ability>
      <abilityName>全半角问题</abilityName>
      <candidateList>
        <item>:</item>
      </candidateList>
      <explain>文本全半角错误。</explain>
      <paraID>53407902</paraID>
      <start>33</start>
      <end>34</end>
      <status>unmodified</status>
      <modifiedWord/>
      <trackRevisions>false</trackRevisions>
    </reviewItem>
    <reviewItem>
      <errorID>ce4bc465-78b3-4af0-8a0a-b9bbe720b983</errorID>
      <errorWord>：</errorWord>
      <group>L1_Format</group>
      <groupName>格式问题</groupName>
      <ability>L2_HalfPunc_CN</ability>
      <abilityName>全半角问题</abilityName>
      <candidateList>
        <item>:</item>
      </candidateList>
      <explain>文本全半角错误。</explain>
      <paraID>53407902</paraID>
      <start>39</start>
      <end>40</end>
      <status>unmodified</status>
      <modifiedWord/>
      <trackRevisions>false</trackRevisions>
    </reviewItem>
    <reviewItem>
      <errorID>85c6ad9b-cafa-4911-96bd-8600bf9ee65b</errorID>
      <errorWord>：</errorWord>
      <group>L1_Format</group>
      <groupName>格式问题</groupName>
      <ability>L2_HalfPunc_CN</ability>
      <abilityName>全半角问题</abilityName>
      <candidateList>
        <item>:</item>
      </candidateList>
      <explain>文本全半角错误。</explain>
      <paraID>7CFC303F</paraID>
      <start>33</start>
      <end>34</end>
      <status>unmodified</status>
      <modifiedWord/>
      <trackRevisions>false</trackRevisions>
    </reviewItem>
    <reviewItem>
      <errorID>114c9239-d1a6-40d3-9c8d-416e89cd02b1</errorID>
      <errorWord>：</errorWord>
      <group>L1_Format</group>
      <groupName>格式问题</groupName>
      <ability>L2_HalfPunc_CN</ability>
      <abilityName>全半角问题</abilityName>
      <candidateList>
        <item>:</item>
      </candidateList>
      <explain>文本全半角错误。</explain>
      <paraID>7CFC303F</paraID>
      <start>39</start>
      <end>40</end>
      <status>unmodified</status>
      <modifiedWord/>
      <trackRevisions>false</trackRevisions>
    </reviewItem>
    <reviewItem>
      <errorID>2efbd5c7-6ba3-41b1-9604-6a505f63a24e</errorID>
      <errorWord>：</errorWord>
      <group>L1_Format</group>
      <groupName>格式问题</groupName>
      <ability>L2_HalfPunc_CN</ability>
      <abilityName>全半角问题</abilityName>
      <candidateList>
        <item>:</item>
      </candidateList>
      <explain>文本全半角错误。</explain>
      <paraID>3F8AADBC</paraID>
      <start>29</start>
      <end>30</end>
      <status>unmodified</status>
      <modifiedWord/>
      <trackRevisions>false</trackRevisions>
    </reviewItem>
    <reviewItem>
      <errorID>7cf30eca-8ae3-498f-8ffd-bb59f5a948ee</errorID>
      <errorWord>：</errorWord>
      <group>L1_Format</group>
      <groupName>格式问题</groupName>
      <ability>L2_HalfPunc_CN</ability>
      <abilityName>全半角问题</abilityName>
      <candidateList>
        <item>:</item>
      </candidateList>
      <explain>文本全半角错误。</explain>
      <paraID>3F8AADBC</paraID>
      <start>35</start>
      <end>36</end>
      <status>unmodified</status>
      <modifiedWord/>
      <trackRevisions>false</trackRevisions>
    </reviewItem>
    <reviewItem>
      <errorID>817204eb-8aec-4754-b6b1-31b443053fe6</errorID>
      <errorWord>：</errorWord>
      <group>L1_Format</group>
      <groupName>格式问题</groupName>
      <ability>L2_HalfPunc_CN</ability>
      <abilityName>全半角问题</abilityName>
      <candidateList>
        <item>:</item>
      </candidateList>
      <explain>文本全半角错误。</explain>
      <paraID>548FF1C5</paraID>
      <start>32</start>
      <end>33</end>
      <status>unmodified</status>
      <modifiedWord/>
      <trackRevisions>false</trackRevisions>
    </reviewItem>
    <reviewItem>
      <errorID>9c4735f1-995a-46be-aa12-3277c6c14461</errorID>
      <errorWord>：</errorWord>
      <group>L1_Format</group>
      <groupName>格式问题</groupName>
      <ability>L2_HalfPunc_CN</ability>
      <abilityName>全半角问题</abilityName>
      <candidateList>
        <item>:</item>
      </candidateList>
      <explain>文本全半角错误。</explain>
      <paraID>548FF1C5</paraID>
      <start>38</start>
      <end>39</end>
      <status>unmodified</status>
      <modifiedWord/>
      <trackRevisions>false</trackRevisions>
    </reviewItem>
    <reviewItem>
      <errorID>a5691a2b-6645-43fd-94d1-a170b36cd76c</errorID>
      <errorWord>：</errorWord>
      <group>L1_Format</group>
      <groupName>格式问题</groupName>
      <ability>L2_HalfPunc_CN</ability>
      <abilityName>全半角问题</abilityName>
      <candidateList>
        <item>:</item>
      </candidateList>
      <explain>文本全半角错误。</explain>
      <paraID>1ABDC698</paraID>
      <start>27</start>
      <end>28</end>
      <status>unmodified</status>
      <modifiedWord/>
      <trackRevisions>false</trackRevisions>
    </reviewItem>
    <reviewItem>
      <errorID>eba968a9-3994-45ac-919a-4bf440c0b04e</errorID>
      <errorWord>：</errorWord>
      <group>L1_Format</group>
      <groupName>格式问题</groupName>
      <ability>L2_HalfPunc_CN</ability>
      <abilityName>全半角问题</abilityName>
      <candidateList>
        <item>:</item>
      </candidateList>
      <explain>文本全半角错误。</explain>
      <paraID>1ABDC698</paraID>
      <start>33</start>
      <end>34</end>
      <status>unmodified</status>
      <modifiedWord/>
      <trackRevisions>false</trackRevisions>
    </reviewItem>
    <reviewItem>
      <errorID>09fc1512-7343-4d4e-9847-a626277d2f74</errorID>
      <errorWord>：</errorWord>
      <group>L1_Format</group>
      <groupName>格式问题</groupName>
      <ability>L2_HalfPunc_CN</ability>
      <abilityName>全半角问题</abilityName>
      <candidateList>
        <item>:</item>
      </candidateList>
      <explain>文本全半角错误。</explain>
      <paraID>1ABDC698</paraID>
      <start>70</start>
      <end>71</end>
      <status>unmodified</status>
      <modifiedWord/>
      <trackRevisions>false</trackRevisions>
    </reviewItem>
    <reviewItem>
      <errorID>70bc31c1-2d2a-46e4-aeac-bd57f3ca97ac</errorID>
      <errorWord>为的</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161E39DD</paraID>
      <start>25</start>
      <end>26</end>
      <status>modified</status>
      <modifiedWord>为</modifiedWord>
      <trackRevisions>false</trackRevisions>
    </reviewItem>
    <reviewItem>
      <errorID>23b9fd62-1903-4260-97b7-9f57a31a4845</errorID>
      <errorWord>：</errorWord>
      <group>L1_Format</group>
      <groupName>格式问题</groupName>
      <ability>L2_HalfPunc_CN</ability>
      <abilityName>全半角问题</abilityName>
      <candidateList>
        <item>:</item>
      </candidateList>
      <explain>文本全半角错误。</explain>
      <paraID>161E39DD</paraID>
      <start>28</start>
      <end>29</end>
      <status>unmodified</status>
      <modifiedWord/>
      <trackRevisions>false</trackRevisions>
    </reviewItem>
    <reviewItem>
      <errorID>f3aeeef1-e3bb-4e1e-9a7b-4ea91c8a6db2</errorID>
      <errorWord>：</errorWord>
      <group>L1_Format</group>
      <groupName>格式问题</groupName>
      <ability>L2_HalfPunc_CN</ability>
      <abilityName>全半角问题</abilityName>
      <candidateList>
        <item>:</item>
      </candidateList>
      <explain>文本全半角错误。</explain>
      <paraID>161E39DD</paraID>
      <start>34</start>
      <end>35</end>
      <status>unmodified</status>
      <modifiedWord/>
      <trackRevisions>false</trackRevisions>
    </reviewItem>
    <reviewItem>
      <errorID>58b7ccf3-de84-4546-ab88-ba9fa61e8cf2</errorID>
      <errorWord>：</errorWord>
      <group>L1_Format</group>
      <groupName>格式问题</groupName>
      <ability>L2_HalfPunc_CN</ability>
      <abilityName>全半角问题</abilityName>
      <candidateList>
        <item>:</item>
      </candidateList>
      <explain>文本全半角错误。</explain>
      <paraID>23EE14EA</paraID>
      <start>32</start>
      <end>33</end>
      <status>unmodified</status>
      <modifiedWord/>
      <trackRevisions>false</trackRevisions>
    </reviewItem>
    <reviewItem>
      <errorID>a9720e24-28ec-4ab9-bdea-f4b9835a25b2</errorID>
      <errorWord>：</errorWord>
      <group>L1_Format</group>
      <groupName>格式问题</groupName>
      <ability>L2_HalfPunc_CN</ability>
      <abilityName>全半角问题</abilityName>
      <candidateList>
        <item>:</item>
      </candidateList>
      <explain>文本全半角错误。</explain>
      <paraID>23EE14EA</paraID>
      <start>38</start>
      <end>39</end>
      <status>unmodified</status>
      <modifiedWord/>
      <trackRevisions>false</trackRevisions>
    </reviewItem>
    <reviewItem>
      <errorID>26f06ae2-326f-4e5c-9781-c490706ef58a</errorID>
      <errorWord>：</errorWord>
      <group>L1_Format</group>
      <groupName>格式问题</groupName>
      <ability>L2_HalfPunc_CN</ability>
      <abilityName>全半角问题</abilityName>
      <candidateList>
        <item>:</item>
      </candidateList>
      <explain>文本全半角错误。</explain>
      <paraID>2B080E30</paraID>
      <start>28</start>
      <end>29</end>
      <status>unmodified</status>
      <modifiedWord/>
      <trackRevisions>false</trackRevisions>
    </reviewItem>
    <reviewItem>
      <errorID>0da2541d-d875-4016-bbb3-1231bc0a5a14</errorID>
      <errorWord>：</errorWord>
      <group>L1_Format</group>
      <groupName>格式问题</groupName>
      <ability>L2_HalfPunc_CN</ability>
      <abilityName>全半角问题</abilityName>
      <candidateList>
        <item>:</item>
      </candidateList>
      <explain>文本全半角错误。</explain>
      <paraID>2B080E30</paraID>
      <start>34</start>
      <end>35</end>
      <status>unmodified</status>
      <modifiedWord/>
      <trackRevisions>false</trackRevisions>
    </reviewItem>
    <reviewItem>
      <errorID>6cf9d8ea-4f78-4961-98bc-77469ffc403a</errorID>
      <errorWord>：</errorWord>
      <group>L1_Format</group>
      <groupName>格式问题</groupName>
      <ability>L2_HalfPunc_CN</ability>
      <abilityName>全半角问题</abilityName>
      <candidateList>
        <item>:</item>
      </candidateList>
      <explain>文本全半角错误。</explain>
      <paraID>2B080E30</paraID>
      <start>71</start>
      <end>72</end>
      <status>unmodified</status>
      <modifiedWord/>
      <trackRevisions>false</trackRevisions>
    </reviewItem>
    <reviewItem>
      <errorID>d4ea86de-d6ac-4ffa-9fe4-0009654f8c2a</errorID>
      <errorWord>,</errorWord>
      <group>L1_Format</group>
      <groupName>格式问题</groupName>
      <ability>L2_HalfPunc_CN</ability>
      <abilityName>全半角问题</abilityName>
      <candidateList>
        <item>，</item>
      </candidateList>
      <explain>文本全半角错误。</explain>
      <paraID>7A504ED2</paraID>
      <start>90</start>
      <end>91</end>
      <status>unmodified</status>
      <modifiedWord/>
      <trackRevisions>false</trackRevisions>
    </reviewItem>
    <reviewItem>
      <errorID>cf9f5805-6cbc-4fcf-a369-06c9efa00fa8</errorID>
      <errorWord>由甲方负责承担</errorWord>
      <group>L1_Word</group>
      <groupName>字词问题</groupName>
      <ability>L2_Typo</ability>
      <abilityName>字词错误</abilityName>
      <candidateList>
        <item>由甲方承担</item>
      </candidateList>
      <explain/>
      <paraID>7A504ED2</paraID>
      <start>101</start>
      <end>106</end>
      <status>modified</status>
      <modifiedWord>由甲方承担</modifiedWord>
      <trackRevisions>false</trackRevisions>
    </reviewItem>
    <reviewItem>
      <errorID>cd859032-6e94-44d1-bd5c-3dd837c48388</errorID>
      <errorWord>按《中华人民共和国</errorWord>
      <group>L1_Political</group>
      <groupName>政治性问题</groupName>
      <ability>L2_Unpolitical</ability>
      <abilityName>政治敏感错误</abilityName>
      <candidateList>
        <item>按照《中华人民共和国</item>
      </candidateList>
      <explain/>
      <paraID>682AFE2B</paraID>
      <start>6</start>
      <end>16</end>
      <status>modified</status>
      <modifiedWord>按照《中华人民共和国</modifiedWord>
      <trackRevisions>false</trackRevisions>
    </reviewItem>
    <reviewItem>
      <errorID>74178c3e-dbe9-4480-a7f9-f0be0246b1ac</errorID>
      <errorWord>(</errorWord>
      <group>L1_Format</group>
      <groupName>格式问题</groupName>
      <ability>L2_HalfPunc_CN</ability>
      <abilityName>全半角问题</abilityName>
      <candidateList>
        <item>（</item>
      </candidateList>
      <explain>文本全半角错误。</explain>
      <paraID>682AFE2B</paraID>
      <start>109</start>
      <end>110</end>
      <status>unmodified</status>
      <modifiedWord/>
      <trackRevisions>false</trackRevisions>
    </reviewItem>
    <reviewItem>
      <errorID>bb7de355-3179-46cf-959b-02a7174e804b</errorID>
      <errorWord>)</errorWord>
      <group>L1_Format</group>
      <groupName>格式问题</groupName>
      <ability>L2_HalfPunc_CN</ability>
      <abilityName>全半角问题</abilityName>
      <candidateList>
        <item>）</item>
      </candidateList>
      <explain>文本全半角错误。</explain>
      <paraID>682AFE2B</paraID>
      <start>117</start>
      <end>118</end>
      <status>unmodified</status>
      <modifiedWord/>
      <trackRevisions>false</trackRevisions>
    </reviewItem>
    <reviewItem>
      <errorID>a54f7e45-b688-4e64-b4e9-22d0b780d623</errorID>
      <errorWord>佩带饰物</errorWord>
      <group>L1_Word</group>
      <groupName>字词问题</groupName>
      <ability>L2_Alias</ability>
      <abilityName>也作/曾用词</abilityName>
      <candidateList>
        <item>佩戴饰物</item>
      </candidateList>
      <explain>词汇[佩带饰物]为不规范表述或旧称，其规范书面表述为[佩戴饰物]。</explain>
      <paraID>27B9292A</paraID>
      <start>80</start>
      <end>84</end>
      <status>modified</status>
      <modifiedWord>佩戴饰物</modifiedWord>
      <trackRevisions>false</trackRevisions>
    </reviewItem>
    <reviewItem>
      <errorID>25215bc4-2106-4b1c-95a8-f6754e764594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551549E1</paraID>
      <start>10</start>
      <end>11</end>
      <status>modified</status>
      <modifiedWord>地</modifiedWord>
      <trackRevisions>false</trackRevisions>
    </reviewItem>
    <reviewItem>
      <errorID>9e39afe7-f219-4a71-826c-027b5b1e6e97</errorID>
      <errorWord>份量</errorWord>
      <group>L1_Word</group>
      <groupName>字词问题</groupName>
      <ability>L2_Typo</ability>
      <abilityName>字词错误</abilityName>
      <candidateList>
        <item>分量</item>
      </candidateList>
      <explain>（份量）fèn•liànɡ〈名〉重量：这个南瓜的～不下二十斤◇他这话说得很有～。</explain>
      <paraID>551549E1</paraID>
      <start>107</start>
      <end>109</end>
      <status>modified</status>
      <modifiedWord>分量</modifiedWord>
      <trackRevisions>false</trackRevisions>
    </reviewItem>
    <reviewItem>
      <errorID>7275fc86-a1bb-4b9e-b2f3-19d7e1ef707f</errorID>
      <errorWord>(</errorWord>
      <group>L1_Format</group>
      <groupName>格式问题</groupName>
      <ability>L2_HalfPunc_CN</ability>
      <abilityName>全半角问题</abilityName>
      <candidateList>
        <item>（</item>
      </candidateList>
      <explain>文本全半角错误。</explain>
      <paraID>3C8C968F</paraID>
      <start>24</start>
      <end>25</end>
      <status>unmodified</status>
      <modifiedWord/>
      <trackRevisions>false</trackRevisions>
    </reviewItem>
    <reviewItem>
      <errorID>266cf6f5-9137-4be3-b3a3-232a0a5cd473</errorID>
      <errorWord>次的</errorWord>
      <group>L1_Word</group>
      <groupName>字词问题</groupName>
      <ability>L2_Typo</ability>
      <abilityName>字词错误</abilityName>
      <candidateList>
        <item>次</item>
      </candidateList>
      <explain/>
      <paraID>3C8C968F</paraID>
      <start>45</start>
      <end>46</end>
      <status>modified</status>
      <modifiedWord>次</modifiedWord>
      <trackRevisions>false</trackRevisions>
    </reviewItem>
    <reviewItem>
      <errorID>bc707b8d-a831-4acf-9d49-72f215ed1c58</errorID>
      <errorWord>),</errorWord>
      <group>L1_Format</group>
      <groupName>格式问题</groupName>
      <ability>L2_HalfPunc_CN</ability>
      <abilityName>全半角问题</abilityName>
      <candidateList>
        <item>），</item>
      </candidateList>
      <explain>文本全半角错误。</explain>
      <paraID>3C8C968F</paraID>
      <start>50</start>
      <end>52</end>
      <status>unmodified</status>
      <modifiedWord/>
      <trackRevisions>false</trackRevisions>
    </reviewItem>
    <reviewItem>
      <errorID>c86f6893-4cfe-48e7-a380-9733730923bb</errorID>
      <errorWord>(</errorWord>
      <group>L1_Format</group>
      <groupName>格式问题</groupName>
      <ability>L2_HalfPunc_CN</ability>
      <abilityName>全半角问题</abilityName>
      <candidateList>
        <item>（</item>
      </candidateList>
      <explain>文本全半角错误。</explain>
      <paraID>5FF8EBA5</paraID>
      <start>113</start>
      <end>114</end>
      <status>unmodified</status>
      <modifiedWord/>
      <trackRevisions>false</trackRevisions>
    </reviewItem>
    <reviewItem>
      <errorID>74813448-7e53-49f3-996b-6633c8b070d5</errorID>
      <errorWord>),</errorWord>
      <group>L1_Format</group>
      <groupName>格式问题</groupName>
      <ability>L2_HalfPunc_CN</ability>
      <abilityName>全半角问题</abilityName>
      <candidateList>
        <item>），</item>
      </candidateList>
      <explain>文本全半角错误。</explain>
      <paraID>5FF8EBA5</paraID>
      <start>118</start>
      <end>120</end>
      <status>unmodified</status>
      <modifiedWord/>
      <trackRevisions>false</trackRevisions>
    </reviewItem>
    <reviewItem>
      <errorID>4bd9dcb0-bdce-42b0-9a69-d70d18773edd</errorID>
      <errorWord>《食品安全法》</errorWord>
      <group>L1_Word</group>
      <groupName>字词问题</groupName>
      <ability>L2_Typo</ability>
      <abilityName>字词错误</abilityName>
      <candidateList>
        <item>《中华人民共和国食品安全法》</item>
      </candidateList>
      <explain/>
      <paraID>6049E88C</paraID>
      <start>9</start>
      <end>23</end>
      <status>modified</status>
      <modifiedWord>《中华人民共和国食品安全法》</modifiedWord>
      <trackRevisions>false</trackRevisions>
    </reviewItem>
    <reviewItem>
      <errorID>3b3f1a37-5f35-4d1d-8bb9-a00e1d840452</errorID>
      <errorWord>：）</errorWord>
      <group>L1_Punc</group>
      <groupName>标点问题</groupName>
      <ability>L2_Punc_CN</ability>
      <abilityName>标点符号问题</abilityName>
      <candidateList>
        <item>）</item>
      </candidateList>
      <explain/>
      <paraID>3B03EDA4</paraID>
      <start>14</start>
      <end>16</end>
      <status>unmodified</status>
      <modifiedWord/>
      <trackRevisions>false</trackRevisions>
    </reviewItem>
    <reviewItem>
      <errorID>f6a8e16e-3a70-4642-ac9a-9583fbb9ebbc</errorID>
      <errorWord>法律、法规</errorWord>
      <group>L1_Word</group>
      <groupName>字词问题</groupName>
      <ability>L2_Typo</ability>
      <abilityName>字词错误</abilityName>
      <candidateList>
        <item>法律法规</item>
      </candidateList>
      <explain/>
      <paraID>22F00F42</paraID>
      <start>43</start>
      <end>48</end>
      <status>unmodified</status>
      <modifiedWord/>
      <trackRevisions>false</trackRevisions>
    </reviewItem>
    <reviewItem>
      <errorID>4ea53d21-c91a-4e1f-b7fb-d2d5770de3bd</errorID>
      <errorWord>：；</errorWord>
      <group>L1_Punc</group>
      <groupName>标点问题</groupName>
      <ability>L2_Punc_CN</ability>
      <abilityName>标点符号问题</abilityName>
      <candidateList>
        <item>：</item>
      </candidateList>
      <explain/>
      <paraID>4A8316B6</paraID>
      <start>19</start>
      <end>21</end>
      <status>unmodified</status>
      <modifiedWord/>
      <trackRevisions>false</trackRevisions>
    </reviewItem>
    <reviewItem>
      <errorID>8a2282c4-b3b1-4e39-877a-6b5025750ae7</errorID>
      <errorWord>:</errorWord>
      <group>L1_Format</group>
      <groupName>格式问题</groupName>
      <ability>L2_HalfPunc_CN</ability>
      <abilityName>全半角问题</abilityName>
      <candidateList>
        <item>：</item>
      </candidateList>
      <explain>文本全半角错误。</explain>
      <paraID>7B87ABD2</paraID>
      <start>5</start>
      <end>6</end>
      <status>unmodified</status>
      <modifiedWord/>
      <trackRevisions>false</trackRevisions>
    </reviewItem>
    <reviewItem>
      <errorID>8075b403-425c-4689-9068-a4f03b9bb9d7</errorID>
      <errorWord>:</errorWord>
      <group>L1_Format</group>
      <groupName>格式问题</groupName>
      <ability>L2_HalfPunc_CN</ability>
      <abilityName>全半角问题</abilityName>
      <candidateList>
        <item>：</item>
      </candidateList>
      <explain>文本全半角错误。</explain>
      <paraID>64E50849</paraID>
      <start>22</start>
      <end>23</end>
      <status>unmodified</status>
      <modifiedWord/>
      <trackRevisions>false</trackRevisions>
    </reviewItem>
    <reviewItem>
      <errorID>ce4d44a8-9a4c-4714-8cb2-8047e6f6cb79</errorID>
      <errorWord>:</errorWord>
      <group>L1_Format</group>
      <groupName>格式问题</groupName>
      <ability>L2_HalfPunc_CN</ability>
      <abilityName>全半角问题</abilityName>
      <candidateList>
        <item>：</item>
      </candidateList>
      <explain>文本全半角错误。</explain>
      <paraID>48539005</paraID>
      <start>1</start>
      <end>2</end>
      <status>unmodified</status>
      <modifiedWord/>
      <trackRevisions>false</trackRevisions>
    </reviewItem>
    <reviewItem>
      <errorID>68f60148-a49b-48a2-9c8b-4222de17893d</errorID>
      <errorWord>(</errorWord>
      <group>L1_Format</group>
      <groupName>格式问题</groupName>
      <ability>L2_HalfPunc_CN</ability>
      <abilityName>全半角问题</abilityName>
      <candidateList>
        <item>（</item>
      </candidateList>
      <explain>文本全半角错误。</explain>
      <paraID> E77A7A2</paraID>
      <start>4</start>
      <end>5</end>
      <status>unmodified</status>
      <modifiedWord/>
      <trackRevisions>false</trackRevisions>
    </reviewItem>
    <reviewItem>
      <errorID>45df699b-32dc-4d7e-9c25-7cacbe56ccf2</errorID>
      <errorWord>)</errorWord>
      <group>L1_Format</group>
      <groupName>格式问题</groupName>
      <ability>L2_HalfPunc_CN</ability>
      <abilityName>全半角问题</abilityName>
      <candidateList>
        <item>）</item>
      </candidateList>
      <explain>文本全半角错误。</explain>
      <paraID> E77A7A2</paraID>
      <start>6</start>
      <end>7</end>
      <status>unmodified</status>
      <modifiedWord/>
      <trackRevisions>false</trackRevisions>
    </reviewItem>
    <reviewItem>
      <errorID>c7ed4cb7-2f21-4d08-9476-fb2e5cd77de1</errorID>
      <errorWord>股东大会</errorWord>
      <group>L1_Word</group>
      <groupName>字词问题</groupName>
      <ability>L2_Typo</ability>
      <abilityName>字词错误</abilityName>
      <candidateList>
        <item>股东会</item>
      </candidateList>
      <explain/>
      <paraID>71365AB9</paraID>
      <start>113</start>
      <end>117</end>
      <status>unmodified</status>
      <modifiedWord/>
      <trackRevisions>false</trackRevisions>
    </reviewItem>
    <reviewItem>
      <errorID>0875edc6-4d34-498d-8d5c-caf5a4196000</errorID>
      <errorWord>〔2017〕 141号</errorWord>
      <group>L1_Knowledge</group>
      <groupName>知识性问题</groupName>
      <ability>L2_Knowledge</ability>
      <abilityName>其他知识</abilityName>
      <candidateList>
        <item>〔2017〕141号</item>
      </candidateList>
      <explain>发文字号格式错误。</explain>
      <paraID> 4FAD04C</paraID>
      <start>49</start>
      <end>60</end>
      <status>unmodified</status>
      <modifiedWord/>
      <trackRevisions>false</trackRevisions>
    </reviewItem>
    <reviewItem>
      <errorID>c216e2d7-2fbc-4d9e-8543-6cce76ccf129</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267CB36C</paraID>
      <start>40</start>
      <end>43</end>
      <status>unmodified</status>
      <modifiedWord/>
      <trackRevisions>false</trackRevisions>
    </reviewItem>
    <reviewItem>
      <errorID>99f282df-aaa7-4bd3-92bf-77498eb0f550</errorID>
      <errorWord>者</errorWord>
      <group>L1_Word</group>
      <groupName>字词问题</groupName>
      <ability>L2_Typo</ability>
      <abilityName>字词错误</abilityName>
      <candidateList>
        <item>者加</item>
      </candidateList>
      <explain/>
      <paraID>232AAE1F</paraID>
      <start>37</start>
      <end>39</end>
      <status>modified</status>
      <modifiedWord>者加</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5F72FF-F768-48E6-8D35-8CFA7C774F7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110</Pages>
  <Words>17820</Words>
  <Characters>18897</Characters>
  <Lines>488</Lines>
  <Paragraphs>137</Paragraphs>
  <TotalTime>0</TotalTime>
  <ScaleCrop>false</ScaleCrop>
  <LinksUpToDate>false</LinksUpToDate>
  <CharactersWithSpaces>19099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2026-07-07T08:09:00Z</dcterms:created>
  <dc:creator>番茄花园</dc:creator>
  <cp:lastModifiedBy>wps</cp:lastModifiedBy>
  <cp:lastPrinted>2026-07-10T07:02:00Z</cp:lastPrinted>
  <dcterms:modified xsi:type="dcterms:W3CDTF">2026-07-15T11:46:11Z</dcterms:modified>
  <dc:title>公开招标采购文件范本</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0924491D5E6341A887505278ED1C8F54_13</vt:lpwstr>
  </property>
  <property fmtid="{D5CDD505-2E9C-101B-9397-08002B2CF9AE}" pid="4" name="KSOTemplateDocerSaveRecord">
    <vt:lpwstr>eyJoZGlkIjoiMzdiMzgxMDY2YjA1M2Y5NGY0ZjhjNTIwM2ZjMjA4NzUiLCJ1c2VySWQiOiI4MDU1NDc2MDIifQ==</vt:lpwstr>
  </property>
</Properties>
</file>