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EE5AFB">
      <w:pPr>
        <w:spacing w:line="360" w:lineRule="auto"/>
        <w:jc w:val="center"/>
        <w:rPr>
          <w:rFonts w:ascii="Arial Unicode MS" w:hAnsi="宋体" w:eastAsia="Arial Unicode MS"/>
          <w:color w:val="auto"/>
          <w:sz w:val="52"/>
          <w:szCs w:val="52"/>
          <w:highlight w:val="none"/>
        </w:rPr>
      </w:pPr>
    </w:p>
    <w:p w14:paraId="48255920">
      <w:pPr>
        <w:spacing w:line="360" w:lineRule="auto"/>
        <w:jc w:val="center"/>
        <w:rPr>
          <w:rFonts w:ascii="Arial Unicode MS" w:hAnsi="宋体" w:eastAsia="Arial Unicode MS"/>
          <w:color w:val="auto"/>
          <w:sz w:val="52"/>
          <w:szCs w:val="52"/>
          <w:highlight w:val="none"/>
        </w:rPr>
      </w:pPr>
      <w:r>
        <w:rPr>
          <w:rFonts w:hint="eastAsia" w:ascii="方正小标宋简体" w:hAnsi="宋体" w:eastAsia="方正小标宋简体"/>
          <w:color w:val="auto"/>
          <w:sz w:val="52"/>
          <w:szCs w:val="52"/>
          <w:highlight w:val="none"/>
        </w:rPr>
        <w:t>云之龙咨询集团有限公司</w:t>
      </w:r>
    </w:p>
    <w:p w14:paraId="5BD909E6">
      <w:pPr>
        <w:spacing w:before="120" w:beforeLines="50" w:line="360" w:lineRule="auto"/>
        <w:jc w:val="center"/>
        <w:rPr>
          <w:rFonts w:ascii="宋体" w:hAnsi="宋体"/>
          <w:i/>
          <w:color w:val="auto"/>
          <w:sz w:val="52"/>
          <w:szCs w:val="52"/>
          <w:highlight w:val="none"/>
        </w:rPr>
      </w:pPr>
    </w:p>
    <w:p w14:paraId="305D9E43">
      <w:pPr>
        <w:snapToGrid w:val="0"/>
        <w:spacing w:before="120" w:beforeLines="50" w:line="360" w:lineRule="auto"/>
        <w:jc w:val="center"/>
        <w:rPr>
          <w:rFonts w:ascii="华文新魏" w:hAnsi="宋体" w:eastAsia="华文新魏"/>
          <w:color w:val="auto"/>
          <w:sz w:val="120"/>
          <w:szCs w:val="120"/>
          <w:highlight w:val="none"/>
        </w:rPr>
      </w:pPr>
      <w:r>
        <w:rPr>
          <w:rFonts w:hint="eastAsia" w:ascii="华文新魏" w:hAnsi="宋体" w:eastAsia="华文新魏"/>
          <w:color w:val="auto"/>
          <w:sz w:val="120"/>
          <w:szCs w:val="120"/>
          <w:highlight w:val="none"/>
        </w:rPr>
        <w:t>竞争性谈判文件</w:t>
      </w:r>
    </w:p>
    <w:p w14:paraId="128D44CA">
      <w:pPr>
        <w:snapToGrid w:val="0"/>
        <w:spacing w:before="120" w:beforeLines="50" w:line="360" w:lineRule="auto"/>
        <w:jc w:val="center"/>
        <w:rPr>
          <w:rFonts w:ascii="仿宋_GB2312" w:hAnsi="宋体" w:eastAsia="仿宋_GB2312"/>
          <w:b/>
          <w:color w:val="auto"/>
          <w:sz w:val="30"/>
          <w:szCs w:val="72"/>
          <w:highlight w:val="none"/>
        </w:rPr>
      </w:pPr>
      <w:r>
        <w:rPr>
          <w:rFonts w:hint="eastAsia" w:ascii="仿宋_GB2312" w:hAnsi="宋体" w:eastAsia="仿宋_GB2312"/>
          <w:b/>
          <w:color w:val="auto"/>
          <w:sz w:val="48"/>
          <w:szCs w:val="48"/>
          <w:highlight w:val="none"/>
        </w:rPr>
        <w:t>（全流程电子化采购）</w:t>
      </w:r>
    </w:p>
    <w:p w14:paraId="5094A1B2">
      <w:pPr>
        <w:tabs>
          <w:tab w:val="left" w:pos="5157"/>
        </w:tabs>
        <w:snapToGrid w:val="0"/>
        <w:spacing w:line="360" w:lineRule="auto"/>
        <w:rPr>
          <w:rFonts w:ascii="仿宋_GB2312" w:hAnsi="宋体" w:eastAsia="仿宋_GB2312"/>
          <w:color w:val="auto"/>
          <w:sz w:val="30"/>
          <w:szCs w:val="72"/>
          <w:highlight w:val="none"/>
        </w:rPr>
      </w:pPr>
      <w:r>
        <w:rPr>
          <w:rFonts w:ascii="仿宋_GB2312" w:hAnsi="宋体" w:eastAsia="仿宋_GB2312"/>
          <w:color w:val="auto"/>
          <w:sz w:val="30"/>
          <w:szCs w:val="72"/>
          <w:highlight w:val="none"/>
        </w:rPr>
        <w:tab/>
      </w:r>
    </w:p>
    <w:p w14:paraId="710BF8DC">
      <w:pPr>
        <w:pStyle w:val="16"/>
        <w:snapToGrid w:val="0"/>
        <w:spacing w:line="360" w:lineRule="auto"/>
        <w:ind w:firstLine="1205" w:firstLineChars="400"/>
        <w:rPr>
          <w:rFonts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项目名称：桂林理工大学学科建设数智化与成果宣传</w:t>
      </w:r>
    </w:p>
    <w:p w14:paraId="73570FE6">
      <w:pPr>
        <w:pStyle w:val="16"/>
        <w:snapToGrid w:val="0"/>
        <w:spacing w:line="360" w:lineRule="auto"/>
        <w:ind w:firstLine="2711" w:firstLineChars="900"/>
        <w:rPr>
          <w:rFonts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推广平台设备采购</w:t>
      </w:r>
    </w:p>
    <w:p w14:paraId="6E09CDAF">
      <w:pPr>
        <w:pStyle w:val="16"/>
        <w:snapToGrid w:val="0"/>
        <w:spacing w:line="360" w:lineRule="auto"/>
        <w:ind w:firstLine="1193" w:firstLineChars="396"/>
        <w:rPr>
          <w:rFonts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项目编号：GXZC2026-J1-002551-YZLZ</w:t>
      </w:r>
    </w:p>
    <w:p w14:paraId="09249868">
      <w:pPr>
        <w:pStyle w:val="16"/>
        <w:snapToGrid w:val="0"/>
        <w:spacing w:line="360" w:lineRule="auto"/>
        <w:ind w:firstLine="1193" w:firstLineChars="396"/>
        <w:rPr>
          <w:rFonts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代理编号：YZLGL2026-J1-027-GXZC</w:t>
      </w:r>
    </w:p>
    <w:p w14:paraId="5BF77B90">
      <w:pPr>
        <w:pStyle w:val="16"/>
        <w:snapToGrid w:val="0"/>
        <w:spacing w:line="360" w:lineRule="auto"/>
        <w:ind w:firstLine="1193" w:firstLineChars="396"/>
        <w:rPr>
          <w:rFonts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采购人：桂林理工大学</w:t>
      </w:r>
    </w:p>
    <w:p w14:paraId="404C1C7A">
      <w:pPr>
        <w:pStyle w:val="16"/>
        <w:snapToGrid w:val="0"/>
        <w:spacing w:line="360" w:lineRule="auto"/>
        <w:ind w:firstLine="1133" w:firstLineChars="396"/>
        <w:rPr>
          <w:rFonts w:ascii="仿宋_GB2312" w:hAnsi="宋体" w:eastAsia="仿宋_GB2312"/>
          <w:b/>
          <w:bCs/>
          <w:color w:val="auto"/>
          <w:w w:val="95"/>
          <w:sz w:val="30"/>
          <w:szCs w:val="30"/>
          <w:highlight w:val="none"/>
        </w:rPr>
      </w:pPr>
      <w:r>
        <w:rPr>
          <w:rFonts w:hint="eastAsia" w:ascii="仿宋_GB2312" w:hAnsi="宋体" w:eastAsia="仿宋_GB2312"/>
          <w:b/>
          <w:bCs/>
          <w:color w:val="auto"/>
          <w:w w:val="95"/>
          <w:sz w:val="30"/>
          <w:szCs w:val="30"/>
          <w:highlight w:val="none"/>
        </w:rPr>
        <w:t>采购代理机构：</w:t>
      </w:r>
      <w:r>
        <w:rPr>
          <w:rFonts w:hint="eastAsia" w:ascii="仿宋_GB2312" w:hAnsi="宋体" w:eastAsia="仿宋_GB2312"/>
          <w:b/>
          <w:bCs/>
          <w:color w:val="auto"/>
          <w:w w:val="95"/>
          <w:sz w:val="30"/>
          <w:szCs w:val="30"/>
          <w:highlight w:val="none"/>
        </w:rPr>
        <w:t>云之龙咨询集团有限公司</w:t>
      </w:r>
    </w:p>
    <w:p w14:paraId="42ED5401">
      <w:pPr>
        <w:rPr>
          <w:color w:val="auto"/>
          <w:highlight w:val="none"/>
        </w:rPr>
      </w:pPr>
    </w:p>
    <w:p w14:paraId="25BC827B">
      <w:pPr>
        <w:rPr>
          <w:color w:val="auto"/>
          <w:highlight w:val="none"/>
        </w:rPr>
      </w:pPr>
    </w:p>
    <w:p w14:paraId="4BE67389">
      <w:pPr>
        <w:pStyle w:val="16"/>
        <w:snapToGrid w:val="0"/>
        <w:spacing w:line="360" w:lineRule="auto"/>
        <w:jc w:val="center"/>
        <w:rPr>
          <w:rFonts w:ascii="仿宋_GB2312"/>
          <w:color w:val="auto"/>
          <w:highlight w:val="none"/>
        </w:rPr>
      </w:pPr>
      <w:r>
        <w:rPr>
          <w:rFonts w:hint="eastAsia" w:ascii="仿宋_GB2312" w:hAnsi="宋体"/>
          <w:b/>
          <w:color w:val="auto"/>
          <w:w w:val="95"/>
          <w:sz w:val="30"/>
          <w:highlight w:val="none"/>
        </w:rPr>
        <w:t>2026年</w:t>
      </w:r>
      <w:r>
        <w:rPr>
          <w:rFonts w:hint="eastAsia" w:ascii="仿宋_GB2312" w:hAnsi="宋体"/>
          <w:b/>
          <w:color w:val="auto"/>
          <w:w w:val="95"/>
          <w:sz w:val="30"/>
          <w:highlight w:val="none"/>
          <w:lang w:val="en-US" w:eastAsia="zh-CN"/>
        </w:rPr>
        <w:t>8</w:t>
      </w:r>
      <w:r>
        <w:rPr>
          <w:rFonts w:hint="eastAsia" w:ascii="仿宋_GB2312" w:hAnsi="宋体"/>
          <w:b/>
          <w:color w:val="auto"/>
          <w:w w:val="95"/>
          <w:sz w:val="30"/>
          <w:highlight w:val="none"/>
        </w:rPr>
        <w:t>月</w:t>
      </w:r>
      <w:r>
        <w:rPr>
          <w:rFonts w:hint="eastAsia" w:ascii="仿宋_GB2312" w:hAnsi="宋体"/>
          <w:b/>
          <w:color w:val="auto"/>
          <w:w w:val="95"/>
          <w:sz w:val="30"/>
          <w:highlight w:val="none"/>
          <w:lang w:val="en-US" w:eastAsia="zh-CN"/>
        </w:rPr>
        <w:t>6</w:t>
      </w:r>
      <w:r>
        <w:rPr>
          <w:rFonts w:hint="eastAsia" w:ascii="仿宋_GB2312" w:hAnsi="宋体"/>
          <w:b/>
          <w:color w:val="auto"/>
          <w:w w:val="95"/>
          <w:sz w:val="30"/>
          <w:highlight w:val="none"/>
        </w:rPr>
        <w:t>日</w:t>
      </w:r>
      <w:r>
        <w:rPr>
          <w:rFonts w:ascii="仿宋_GB2312" w:hAnsi="宋体" w:eastAsia="仿宋_GB2312"/>
          <w:b/>
          <w:color w:val="auto"/>
          <w:sz w:val="30"/>
          <w:szCs w:val="30"/>
          <w:highlight w:val="none"/>
        </w:rPr>
        <w:br w:type="page"/>
      </w:r>
    </w:p>
    <w:p w14:paraId="62EB3A37">
      <w:pPr>
        <w:spacing w:line="360" w:lineRule="auto"/>
        <w:jc w:val="center"/>
        <w:rPr>
          <w:rFonts w:ascii="宋体" w:hAnsi="宋体"/>
          <w:b/>
          <w:color w:val="auto"/>
          <w:sz w:val="44"/>
          <w:szCs w:val="44"/>
          <w:highlight w:val="none"/>
        </w:rPr>
      </w:pPr>
      <w:r>
        <w:rPr>
          <w:rFonts w:hint="eastAsia" w:ascii="宋体" w:hAnsi="宋体"/>
          <w:b/>
          <w:color w:val="auto"/>
          <w:sz w:val="44"/>
          <w:szCs w:val="44"/>
          <w:highlight w:val="none"/>
        </w:rPr>
        <w:t xml:space="preserve">目 </w:t>
      </w:r>
      <w:r>
        <w:rPr>
          <w:rFonts w:ascii="宋体" w:hAnsi="宋体"/>
          <w:b/>
          <w:color w:val="auto"/>
          <w:sz w:val="44"/>
          <w:szCs w:val="44"/>
          <w:highlight w:val="none"/>
        </w:rPr>
        <w:t xml:space="preserve"> </w:t>
      </w:r>
      <w:r>
        <w:rPr>
          <w:rFonts w:hint="eastAsia" w:ascii="宋体" w:hAnsi="宋体"/>
          <w:b/>
          <w:color w:val="auto"/>
          <w:sz w:val="44"/>
          <w:szCs w:val="44"/>
          <w:highlight w:val="none"/>
        </w:rPr>
        <w:t>录</w:t>
      </w:r>
    </w:p>
    <w:p w14:paraId="75253BF3">
      <w:pPr>
        <w:spacing w:line="400" w:lineRule="exact"/>
        <w:jc w:val="center"/>
        <w:rPr>
          <w:rFonts w:ascii="宋体" w:hAnsi="宋体"/>
          <w:b/>
          <w:color w:val="auto"/>
          <w:sz w:val="44"/>
          <w:szCs w:val="44"/>
          <w:highlight w:val="none"/>
        </w:rPr>
      </w:pPr>
    </w:p>
    <w:p w14:paraId="3079CFAA">
      <w:pPr>
        <w:pStyle w:val="21"/>
        <w:tabs>
          <w:tab w:val="right" w:leader="dot" w:pos="8720"/>
        </w:tabs>
        <w:spacing w:line="360" w:lineRule="auto"/>
        <w:rPr>
          <w:rFonts w:ascii="宋体" w:hAnsi="宋体"/>
          <w:b/>
          <w:color w:val="auto"/>
          <w:sz w:val="28"/>
          <w:szCs w:val="28"/>
          <w:highlight w:val="none"/>
        </w:rPr>
      </w:pPr>
      <w:r>
        <w:rPr>
          <w:rFonts w:ascii="宋体" w:hAnsi="宋体"/>
          <w:b/>
          <w:color w:val="auto"/>
          <w:sz w:val="28"/>
          <w:szCs w:val="28"/>
          <w:highlight w:val="none"/>
        </w:rPr>
        <w:fldChar w:fldCharType="begin"/>
      </w:r>
      <w:r>
        <w:rPr>
          <w:rFonts w:ascii="宋体" w:hAnsi="宋体"/>
          <w:b/>
          <w:color w:val="auto"/>
          <w:sz w:val="28"/>
          <w:szCs w:val="28"/>
          <w:highlight w:val="none"/>
        </w:rPr>
        <w:instrText xml:space="preserve"> TOC \o "1-1" \h \z \u </w:instrText>
      </w:r>
      <w:r>
        <w:rPr>
          <w:rFonts w:ascii="宋体" w:hAnsi="宋体"/>
          <w:b/>
          <w:color w:val="auto"/>
          <w:sz w:val="28"/>
          <w:szCs w:val="28"/>
          <w:highlight w:val="none"/>
        </w:rPr>
        <w:fldChar w:fldCharType="separate"/>
      </w:r>
      <w:r>
        <w:rPr>
          <w:color w:val="auto"/>
          <w:highlight w:val="none"/>
        </w:rPr>
        <w:fldChar w:fldCharType="begin"/>
      </w:r>
      <w:r>
        <w:rPr>
          <w:color w:val="auto"/>
          <w:highlight w:val="none"/>
        </w:rPr>
        <w:instrText xml:space="preserve"> HYPERLINK \l "_Toc196311779" </w:instrText>
      </w:r>
      <w:r>
        <w:rPr>
          <w:color w:val="auto"/>
          <w:highlight w:val="none"/>
        </w:rPr>
        <w:fldChar w:fldCharType="separate"/>
      </w:r>
      <w:r>
        <w:rPr>
          <w:rStyle w:val="30"/>
          <w:rFonts w:ascii="宋体" w:hAnsi="宋体"/>
          <w:b/>
          <w:color w:val="auto"/>
          <w:sz w:val="28"/>
          <w:szCs w:val="28"/>
          <w:highlight w:val="none"/>
        </w:rPr>
        <w:t>第一章 竞争性谈判公告</w:t>
      </w:r>
      <w:r>
        <w:rPr>
          <w:rFonts w:ascii="宋体" w:hAnsi="宋体"/>
          <w:b/>
          <w:color w:val="auto"/>
          <w:sz w:val="28"/>
          <w:szCs w:val="28"/>
          <w:highlight w:val="none"/>
        </w:rPr>
        <w:tab/>
      </w:r>
      <w:r>
        <w:rPr>
          <w:rFonts w:ascii="宋体" w:hAnsi="宋体"/>
          <w:b/>
          <w:color w:val="auto"/>
          <w:sz w:val="28"/>
          <w:szCs w:val="28"/>
          <w:highlight w:val="none"/>
        </w:rPr>
        <w:fldChar w:fldCharType="begin"/>
      </w:r>
      <w:r>
        <w:rPr>
          <w:rFonts w:ascii="宋体" w:hAnsi="宋体"/>
          <w:b/>
          <w:color w:val="auto"/>
          <w:sz w:val="28"/>
          <w:szCs w:val="28"/>
          <w:highlight w:val="none"/>
        </w:rPr>
        <w:instrText xml:space="preserve"> PAGEREF _Toc196311779 \h </w:instrText>
      </w:r>
      <w:r>
        <w:rPr>
          <w:rFonts w:ascii="宋体" w:hAnsi="宋体"/>
          <w:b/>
          <w:color w:val="auto"/>
          <w:sz w:val="28"/>
          <w:szCs w:val="28"/>
          <w:highlight w:val="none"/>
        </w:rPr>
        <w:fldChar w:fldCharType="separate"/>
      </w:r>
      <w:r>
        <w:rPr>
          <w:rFonts w:ascii="宋体" w:hAnsi="宋体"/>
          <w:b/>
          <w:color w:val="auto"/>
          <w:sz w:val="28"/>
          <w:szCs w:val="28"/>
          <w:highlight w:val="none"/>
        </w:rPr>
        <w:t>2</w:t>
      </w:r>
      <w:r>
        <w:rPr>
          <w:rFonts w:ascii="宋体" w:hAnsi="宋体"/>
          <w:b/>
          <w:color w:val="auto"/>
          <w:sz w:val="28"/>
          <w:szCs w:val="28"/>
          <w:highlight w:val="none"/>
        </w:rPr>
        <w:fldChar w:fldCharType="end"/>
      </w:r>
      <w:r>
        <w:rPr>
          <w:rFonts w:ascii="宋体" w:hAnsi="宋体"/>
          <w:b/>
          <w:color w:val="auto"/>
          <w:sz w:val="28"/>
          <w:szCs w:val="28"/>
          <w:highlight w:val="none"/>
        </w:rPr>
        <w:fldChar w:fldCharType="end"/>
      </w:r>
    </w:p>
    <w:p w14:paraId="4C20864C">
      <w:pPr>
        <w:pStyle w:val="21"/>
        <w:tabs>
          <w:tab w:val="right" w:leader="dot" w:pos="8720"/>
        </w:tabs>
        <w:spacing w:line="360" w:lineRule="auto"/>
        <w:rPr>
          <w:rFonts w:ascii="宋体" w:hAnsi="宋体"/>
          <w:b/>
          <w:color w:val="auto"/>
          <w:sz w:val="28"/>
          <w:szCs w:val="28"/>
          <w:highlight w:val="none"/>
        </w:rPr>
      </w:pPr>
      <w:r>
        <w:rPr>
          <w:color w:val="auto"/>
          <w:highlight w:val="none"/>
        </w:rPr>
        <w:fldChar w:fldCharType="begin"/>
      </w:r>
      <w:r>
        <w:rPr>
          <w:color w:val="auto"/>
          <w:highlight w:val="none"/>
        </w:rPr>
        <w:instrText xml:space="preserve"> HYPERLINK \l "_Toc196311780" </w:instrText>
      </w:r>
      <w:r>
        <w:rPr>
          <w:color w:val="auto"/>
          <w:highlight w:val="none"/>
        </w:rPr>
        <w:fldChar w:fldCharType="separate"/>
      </w:r>
      <w:r>
        <w:rPr>
          <w:rStyle w:val="30"/>
          <w:rFonts w:ascii="宋体" w:hAnsi="宋体"/>
          <w:b/>
          <w:color w:val="auto"/>
          <w:sz w:val="28"/>
          <w:szCs w:val="28"/>
          <w:highlight w:val="none"/>
        </w:rPr>
        <w:t>第二章 供应商须知</w:t>
      </w:r>
      <w:r>
        <w:rPr>
          <w:rFonts w:ascii="宋体" w:hAnsi="宋体"/>
          <w:b/>
          <w:color w:val="auto"/>
          <w:sz w:val="28"/>
          <w:szCs w:val="28"/>
          <w:highlight w:val="none"/>
        </w:rPr>
        <w:tab/>
      </w:r>
      <w:r>
        <w:rPr>
          <w:rFonts w:ascii="宋体" w:hAnsi="宋体"/>
          <w:b/>
          <w:color w:val="auto"/>
          <w:sz w:val="28"/>
          <w:szCs w:val="28"/>
          <w:highlight w:val="none"/>
        </w:rPr>
        <w:fldChar w:fldCharType="begin"/>
      </w:r>
      <w:r>
        <w:rPr>
          <w:rFonts w:ascii="宋体" w:hAnsi="宋体"/>
          <w:b/>
          <w:color w:val="auto"/>
          <w:sz w:val="28"/>
          <w:szCs w:val="28"/>
          <w:highlight w:val="none"/>
        </w:rPr>
        <w:instrText xml:space="preserve"> PAGEREF _Toc196311780 \h </w:instrText>
      </w:r>
      <w:r>
        <w:rPr>
          <w:rFonts w:ascii="宋体" w:hAnsi="宋体"/>
          <w:b/>
          <w:color w:val="auto"/>
          <w:sz w:val="28"/>
          <w:szCs w:val="28"/>
          <w:highlight w:val="none"/>
        </w:rPr>
        <w:fldChar w:fldCharType="separate"/>
      </w:r>
      <w:r>
        <w:rPr>
          <w:rFonts w:ascii="宋体" w:hAnsi="宋体"/>
          <w:b/>
          <w:color w:val="auto"/>
          <w:sz w:val="28"/>
          <w:szCs w:val="28"/>
          <w:highlight w:val="none"/>
        </w:rPr>
        <w:t>6</w:t>
      </w:r>
      <w:r>
        <w:rPr>
          <w:rFonts w:ascii="宋体" w:hAnsi="宋体"/>
          <w:b/>
          <w:color w:val="auto"/>
          <w:sz w:val="28"/>
          <w:szCs w:val="28"/>
          <w:highlight w:val="none"/>
        </w:rPr>
        <w:fldChar w:fldCharType="end"/>
      </w:r>
      <w:r>
        <w:rPr>
          <w:rFonts w:ascii="宋体" w:hAnsi="宋体"/>
          <w:b/>
          <w:color w:val="auto"/>
          <w:sz w:val="28"/>
          <w:szCs w:val="28"/>
          <w:highlight w:val="none"/>
        </w:rPr>
        <w:fldChar w:fldCharType="end"/>
      </w:r>
    </w:p>
    <w:p w14:paraId="16CCEDC6">
      <w:pPr>
        <w:pStyle w:val="21"/>
        <w:tabs>
          <w:tab w:val="right" w:leader="dot" w:pos="8720"/>
        </w:tabs>
        <w:spacing w:line="360" w:lineRule="auto"/>
        <w:rPr>
          <w:rFonts w:ascii="宋体" w:hAnsi="宋体"/>
          <w:b/>
          <w:color w:val="auto"/>
          <w:sz w:val="28"/>
          <w:szCs w:val="28"/>
          <w:highlight w:val="none"/>
        </w:rPr>
      </w:pPr>
      <w:r>
        <w:rPr>
          <w:color w:val="auto"/>
          <w:highlight w:val="none"/>
        </w:rPr>
        <w:fldChar w:fldCharType="begin"/>
      </w:r>
      <w:r>
        <w:rPr>
          <w:color w:val="auto"/>
          <w:highlight w:val="none"/>
        </w:rPr>
        <w:instrText xml:space="preserve"> HYPERLINK \l "_Toc196311781" </w:instrText>
      </w:r>
      <w:r>
        <w:rPr>
          <w:color w:val="auto"/>
          <w:highlight w:val="none"/>
        </w:rPr>
        <w:fldChar w:fldCharType="separate"/>
      </w:r>
      <w:r>
        <w:rPr>
          <w:rStyle w:val="30"/>
          <w:rFonts w:ascii="宋体" w:hAnsi="宋体"/>
          <w:b/>
          <w:color w:val="auto"/>
          <w:sz w:val="28"/>
          <w:szCs w:val="28"/>
          <w:highlight w:val="none"/>
        </w:rPr>
        <w:t>第三章 采购需求</w:t>
      </w:r>
      <w:bookmarkStart w:id="0" w:name="_Hlt197631028"/>
      <w:bookmarkStart w:id="1" w:name="_Hlt197631027"/>
      <w:r>
        <w:rPr>
          <w:rFonts w:ascii="宋体" w:hAnsi="宋体"/>
          <w:b/>
          <w:color w:val="auto"/>
          <w:sz w:val="28"/>
          <w:szCs w:val="28"/>
          <w:highlight w:val="none"/>
        </w:rPr>
        <w:tab/>
      </w:r>
      <w:bookmarkEnd w:id="0"/>
      <w:bookmarkEnd w:id="1"/>
      <w:r>
        <w:rPr>
          <w:rFonts w:ascii="宋体" w:hAnsi="宋体"/>
          <w:b/>
          <w:color w:val="auto"/>
          <w:sz w:val="28"/>
          <w:szCs w:val="28"/>
          <w:highlight w:val="none"/>
        </w:rPr>
        <w:fldChar w:fldCharType="begin"/>
      </w:r>
      <w:r>
        <w:rPr>
          <w:rFonts w:ascii="宋体" w:hAnsi="宋体"/>
          <w:b/>
          <w:color w:val="auto"/>
          <w:sz w:val="28"/>
          <w:szCs w:val="28"/>
          <w:highlight w:val="none"/>
        </w:rPr>
        <w:instrText xml:space="preserve"> PAGEREF _Toc196311781 \h </w:instrText>
      </w:r>
      <w:r>
        <w:rPr>
          <w:rFonts w:ascii="宋体" w:hAnsi="宋体"/>
          <w:b/>
          <w:color w:val="auto"/>
          <w:sz w:val="28"/>
          <w:szCs w:val="28"/>
          <w:highlight w:val="none"/>
        </w:rPr>
        <w:fldChar w:fldCharType="separate"/>
      </w:r>
      <w:r>
        <w:rPr>
          <w:rFonts w:ascii="宋体" w:hAnsi="宋体"/>
          <w:b/>
          <w:color w:val="auto"/>
          <w:sz w:val="28"/>
          <w:szCs w:val="28"/>
          <w:highlight w:val="none"/>
        </w:rPr>
        <w:t>25</w:t>
      </w:r>
      <w:r>
        <w:rPr>
          <w:rFonts w:ascii="宋体" w:hAnsi="宋体"/>
          <w:b/>
          <w:color w:val="auto"/>
          <w:sz w:val="28"/>
          <w:szCs w:val="28"/>
          <w:highlight w:val="none"/>
        </w:rPr>
        <w:fldChar w:fldCharType="end"/>
      </w:r>
      <w:r>
        <w:rPr>
          <w:rFonts w:ascii="宋体" w:hAnsi="宋体"/>
          <w:b/>
          <w:color w:val="auto"/>
          <w:sz w:val="28"/>
          <w:szCs w:val="28"/>
          <w:highlight w:val="none"/>
        </w:rPr>
        <w:fldChar w:fldCharType="end"/>
      </w:r>
    </w:p>
    <w:p w14:paraId="4ECA8871">
      <w:pPr>
        <w:pStyle w:val="21"/>
        <w:tabs>
          <w:tab w:val="right" w:leader="dot" w:pos="8720"/>
        </w:tabs>
        <w:spacing w:line="360" w:lineRule="auto"/>
        <w:rPr>
          <w:rFonts w:ascii="宋体" w:hAnsi="宋体"/>
          <w:b/>
          <w:color w:val="auto"/>
          <w:sz w:val="28"/>
          <w:szCs w:val="28"/>
          <w:highlight w:val="none"/>
        </w:rPr>
      </w:pPr>
      <w:r>
        <w:rPr>
          <w:color w:val="auto"/>
          <w:highlight w:val="none"/>
        </w:rPr>
        <w:fldChar w:fldCharType="begin"/>
      </w:r>
      <w:r>
        <w:rPr>
          <w:color w:val="auto"/>
          <w:highlight w:val="none"/>
        </w:rPr>
        <w:instrText xml:space="preserve"> HYPERLINK \l "_Toc196311782" </w:instrText>
      </w:r>
      <w:r>
        <w:rPr>
          <w:color w:val="auto"/>
          <w:highlight w:val="none"/>
        </w:rPr>
        <w:fldChar w:fldCharType="separate"/>
      </w:r>
      <w:r>
        <w:rPr>
          <w:rStyle w:val="30"/>
          <w:rFonts w:ascii="宋体" w:hAnsi="宋体"/>
          <w:b/>
          <w:color w:val="auto"/>
          <w:sz w:val="28"/>
          <w:szCs w:val="28"/>
          <w:highlight w:val="none"/>
        </w:rPr>
        <w:t>第四章 评审程序和评定成交的标准</w:t>
      </w:r>
      <w:bookmarkStart w:id="2" w:name="_Hlt198817874"/>
      <w:bookmarkStart w:id="3" w:name="_Hlt198817875"/>
      <w:r>
        <w:rPr>
          <w:rFonts w:ascii="宋体" w:hAnsi="宋体"/>
          <w:b/>
          <w:color w:val="auto"/>
          <w:sz w:val="28"/>
          <w:szCs w:val="28"/>
          <w:highlight w:val="none"/>
        </w:rPr>
        <w:tab/>
      </w:r>
      <w:bookmarkEnd w:id="2"/>
      <w:bookmarkEnd w:id="3"/>
      <w:r>
        <w:rPr>
          <w:rFonts w:ascii="宋体" w:hAnsi="宋体"/>
          <w:b/>
          <w:color w:val="auto"/>
          <w:sz w:val="28"/>
          <w:szCs w:val="28"/>
          <w:highlight w:val="none"/>
        </w:rPr>
        <w:fldChar w:fldCharType="begin"/>
      </w:r>
      <w:r>
        <w:rPr>
          <w:rFonts w:ascii="宋体" w:hAnsi="宋体"/>
          <w:b/>
          <w:color w:val="auto"/>
          <w:sz w:val="28"/>
          <w:szCs w:val="28"/>
          <w:highlight w:val="none"/>
        </w:rPr>
        <w:instrText xml:space="preserve"> PAGEREF _Toc196311782 \h </w:instrText>
      </w:r>
      <w:r>
        <w:rPr>
          <w:rFonts w:ascii="宋体" w:hAnsi="宋体"/>
          <w:b/>
          <w:color w:val="auto"/>
          <w:sz w:val="28"/>
          <w:szCs w:val="28"/>
          <w:highlight w:val="none"/>
        </w:rPr>
        <w:fldChar w:fldCharType="separate"/>
      </w:r>
      <w:r>
        <w:rPr>
          <w:rFonts w:ascii="宋体" w:hAnsi="宋体"/>
          <w:b/>
          <w:color w:val="auto"/>
          <w:sz w:val="28"/>
          <w:szCs w:val="28"/>
          <w:highlight w:val="none"/>
        </w:rPr>
        <w:t>62</w:t>
      </w:r>
      <w:r>
        <w:rPr>
          <w:rFonts w:ascii="宋体" w:hAnsi="宋体"/>
          <w:b/>
          <w:color w:val="auto"/>
          <w:sz w:val="28"/>
          <w:szCs w:val="28"/>
          <w:highlight w:val="none"/>
        </w:rPr>
        <w:fldChar w:fldCharType="end"/>
      </w:r>
      <w:r>
        <w:rPr>
          <w:rFonts w:ascii="宋体" w:hAnsi="宋体"/>
          <w:b/>
          <w:color w:val="auto"/>
          <w:sz w:val="28"/>
          <w:szCs w:val="28"/>
          <w:highlight w:val="none"/>
        </w:rPr>
        <w:fldChar w:fldCharType="end"/>
      </w:r>
    </w:p>
    <w:p w14:paraId="4AE123C7">
      <w:pPr>
        <w:pStyle w:val="21"/>
        <w:tabs>
          <w:tab w:val="right" w:leader="dot" w:pos="8720"/>
        </w:tabs>
        <w:spacing w:line="360" w:lineRule="auto"/>
        <w:rPr>
          <w:rFonts w:ascii="宋体" w:hAnsi="宋体"/>
          <w:b/>
          <w:color w:val="auto"/>
          <w:sz w:val="28"/>
          <w:szCs w:val="28"/>
          <w:highlight w:val="none"/>
        </w:rPr>
      </w:pPr>
      <w:r>
        <w:rPr>
          <w:color w:val="auto"/>
          <w:highlight w:val="none"/>
        </w:rPr>
        <w:fldChar w:fldCharType="begin"/>
      </w:r>
      <w:r>
        <w:rPr>
          <w:color w:val="auto"/>
          <w:highlight w:val="none"/>
        </w:rPr>
        <w:instrText xml:space="preserve"> HYPERLINK \l "_Toc196311783" </w:instrText>
      </w:r>
      <w:r>
        <w:rPr>
          <w:color w:val="auto"/>
          <w:highlight w:val="none"/>
        </w:rPr>
        <w:fldChar w:fldCharType="separate"/>
      </w:r>
      <w:r>
        <w:rPr>
          <w:rStyle w:val="30"/>
          <w:rFonts w:ascii="宋体" w:hAnsi="宋体"/>
          <w:b/>
          <w:color w:val="auto"/>
          <w:sz w:val="28"/>
          <w:szCs w:val="28"/>
          <w:highlight w:val="none"/>
        </w:rPr>
        <w:t>第五章 响应文件格式</w:t>
      </w:r>
      <w:r>
        <w:rPr>
          <w:rFonts w:ascii="宋体" w:hAnsi="宋体"/>
          <w:b/>
          <w:color w:val="auto"/>
          <w:sz w:val="28"/>
          <w:szCs w:val="28"/>
          <w:highlight w:val="none"/>
        </w:rPr>
        <w:tab/>
      </w:r>
      <w:r>
        <w:rPr>
          <w:rFonts w:ascii="宋体" w:hAnsi="宋体"/>
          <w:b/>
          <w:color w:val="auto"/>
          <w:sz w:val="28"/>
          <w:szCs w:val="28"/>
          <w:highlight w:val="none"/>
        </w:rPr>
        <w:fldChar w:fldCharType="begin"/>
      </w:r>
      <w:r>
        <w:rPr>
          <w:rFonts w:ascii="宋体" w:hAnsi="宋体"/>
          <w:b/>
          <w:color w:val="auto"/>
          <w:sz w:val="28"/>
          <w:szCs w:val="28"/>
          <w:highlight w:val="none"/>
        </w:rPr>
        <w:instrText xml:space="preserve"> PAGEREF _Toc196311783 \h </w:instrText>
      </w:r>
      <w:r>
        <w:rPr>
          <w:rFonts w:ascii="宋体" w:hAnsi="宋体"/>
          <w:b/>
          <w:color w:val="auto"/>
          <w:sz w:val="28"/>
          <w:szCs w:val="28"/>
          <w:highlight w:val="none"/>
        </w:rPr>
        <w:fldChar w:fldCharType="separate"/>
      </w:r>
      <w:r>
        <w:rPr>
          <w:rFonts w:ascii="宋体" w:hAnsi="宋体"/>
          <w:b/>
          <w:color w:val="auto"/>
          <w:sz w:val="28"/>
          <w:szCs w:val="28"/>
          <w:highlight w:val="none"/>
        </w:rPr>
        <w:t>68</w:t>
      </w:r>
      <w:r>
        <w:rPr>
          <w:rFonts w:ascii="宋体" w:hAnsi="宋体"/>
          <w:b/>
          <w:color w:val="auto"/>
          <w:sz w:val="28"/>
          <w:szCs w:val="28"/>
          <w:highlight w:val="none"/>
        </w:rPr>
        <w:fldChar w:fldCharType="end"/>
      </w:r>
      <w:r>
        <w:rPr>
          <w:rFonts w:ascii="宋体" w:hAnsi="宋体"/>
          <w:b/>
          <w:color w:val="auto"/>
          <w:sz w:val="28"/>
          <w:szCs w:val="28"/>
          <w:highlight w:val="none"/>
        </w:rPr>
        <w:fldChar w:fldCharType="end"/>
      </w:r>
    </w:p>
    <w:p w14:paraId="3A266322">
      <w:pPr>
        <w:pStyle w:val="21"/>
        <w:tabs>
          <w:tab w:val="right" w:leader="dot" w:pos="8720"/>
        </w:tabs>
        <w:spacing w:line="360" w:lineRule="auto"/>
        <w:rPr>
          <w:rFonts w:ascii="宋体" w:hAnsi="宋体"/>
          <w:b/>
          <w:color w:val="auto"/>
          <w:sz w:val="28"/>
          <w:szCs w:val="28"/>
          <w:highlight w:val="none"/>
        </w:rPr>
      </w:pPr>
      <w:r>
        <w:rPr>
          <w:color w:val="auto"/>
          <w:highlight w:val="none"/>
        </w:rPr>
        <w:fldChar w:fldCharType="begin"/>
      </w:r>
      <w:r>
        <w:rPr>
          <w:color w:val="auto"/>
          <w:highlight w:val="none"/>
        </w:rPr>
        <w:instrText xml:space="preserve"> HYPERLINK \l "_Toc196311784" </w:instrText>
      </w:r>
      <w:r>
        <w:rPr>
          <w:color w:val="auto"/>
          <w:highlight w:val="none"/>
        </w:rPr>
        <w:fldChar w:fldCharType="separate"/>
      </w:r>
      <w:r>
        <w:rPr>
          <w:rStyle w:val="30"/>
          <w:rFonts w:ascii="宋体" w:hAnsi="宋体"/>
          <w:b/>
          <w:color w:val="auto"/>
          <w:sz w:val="28"/>
          <w:szCs w:val="28"/>
          <w:highlight w:val="none"/>
        </w:rPr>
        <w:t>第六章 合同文本</w:t>
      </w:r>
      <w:r>
        <w:rPr>
          <w:rFonts w:ascii="宋体" w:hAnsi="宋体"/>
          <w:b/>
          <w:color w:val="auto"/>
          <w:sz w:val="28"/>
          <w:szCs w:val="28"/>
          <w:highlight w:val="none"/>
        </w:rPr>
        <w:tab/>
      </w:r>
      <w:r>
        <w:rPr>
          <w:rFonts w:ascii="宋体" w:hAnsi="宋体"/>
          <w:b/>
          <w:color w:val="auto"/>
          <w:sz w:val="28"/>
          <w:szCs w:val="28"/>
          <w:highlight w:val="none"/>
        </w:rPr>
        <w:fldChar w:fldCharType="begin"/>
      </w:r>
      <w:r>
        <w:rPr>
          <w:rFonts w:ascii="宋体" w:hAnsi="宋体"/>
          <w:b/>
          <w:color w:val="auto"/>
          <w:sz w:val="28"/>
          <w:szCs w:val="28"/>
          <w:highlight w:val="none"/>
        </w:rPr>
        <w:instrText xml:space="preserve"> PAGEREF _Toc196311784 \h </w:instrText>
      </w:r>
      <w:r>
        <w:rPr>
          <w:rFonts w:ascii="宋体" w:hAnsi="宋体"/>
          <w:b/>
          <w:color w:val="auto"/>
          <w:sz w:val="28"/>
          <w:szCs w:val="28"/>
          <w:highlight w:val="none"/>
        </w:rPr>
        <w:fldChar w:fldCharType="separate"/>
      </w:r>
      <w:r>
        <w:rPr>
          <w:rFonts w:ascii="宋体" w:hAnsi="宋体"/>
          <w:b/>
          <w:color w:val="auto"/>
          <w:sz w:val="28"/>
          <w:szCs w:val="28"/>
          <w:highlight w:val="none"/>
        </w:rPr>
        <w:t>99</w:t>
      </w:r>
      <w:r>
        <w:rPr>
          <w:rFonts w:ascii="宋体" w:hAnsi="宋体"/>
          <w:b/>
          <w:color w:val="auto"/>
          <w:sz w:val="28"/>
          <w:szCs w:val="28"/>
          <w:highlight w:val="none"/>
        </w:rPr>
        <w:fldChar w:fldCharType="end"/>
      </w:r>
      <w:r>
        <w:rPr>
          <w:rFonts w:ascii="宋体" w:hAnsi="宋体"/>
          <w:b/>
          <w:color w:val="auto"/>
          <w:sz w:val="28"/>
          <w:szCs w:val="28"/>
          <w:highlight w:val="none"/>
        </w:rPr>
        <w:fldChar w:fldCharType="end"/>
      </w:r>
    </w:p>
    <w:p w14:paraId="6DB5E105">
      <w:pPr>
        <w:pStyle w:val="22"/>
        <w:tabs>
          <w:tab w:val="right" w:leader="dot" w:pos="8931"/>
          <w:tab w:val="clear" w:pos="8296"/>
        </w:tabs>
        <w:snapToGrid w:val="0"/>
        <w:spacing w:line="360" w:lineRule="auto"/>
        <w:ind w:left="0" w:leftChars="0"/>
        <w:rPr>
          <w:rFonts w:ascii="宋体" w:hAnsi="宋体"/>
          <w:b/>
          <w:color w:val="auto"/>
          <w:sz w:val="24"/>
          <w:highlight w:val="none"/>
        </w:rPr>
      </w:pPr>
      <w:r>
        <w:rPr>
          <w:rFonts w:ascii="宋体" w:hAnsi="宋体"/>
          <w:b/>
          <w:color w:val="auto"/>
          <w:sz w:val="28"/>
          <w:szCs w:val="28"/>
          <w:highlight w:val="none"/>
        </w:rPr>
        <w:fldChar w:fldCharType="end"/>
      </w:r>
    </w:p>
    <w:p w14:paraId="75867C91">
      <w:pPr>
        <w:spacing w:line="400" w:lineRule="exact"/>
        <w:jc w:val="left"/>
        <w:rPr>
          <w:rFonts w:ascii="宋体" w:hAnsi="宋体"/>
          <w:b/>
          <w:color w:val="auto"/>
          <w:sz w:val="32"/>
          <w:szCs w:val="32"/>
          <w:highlight w:val="none"/>
        </w:rPr>
      </w:pPr>
    </w:p>
    <w:p w14:paraId="4365BB57">
      <w:pPr>
        <w:spacing w:line="400" w:lineRule="exact"/>
        <w:jc w:val="center"/>
        <w:rPr>
          <w:rFonts w:ascii="宋体" w:hAnsi="宋体"/>
          <w:b/>
          <w:color w:val="auto"/>
          <w:sz w:val="32"/>
          <w:szCs w:val="32"/>
          <w:highlight w:val="none"/>
        </w:rPr>
      </w:pPr>
    </w:p>
    <w:p w14:paraId="30D0CB67">
      <w:pPr>
        <w:spacing w:line="400" w:lineRule="exact"/>
        <w:jc w:val="center"/>
        <w:rPr>
          <w:rFonts w:ascii="宋体" w:hAnsi="宋体"/>
          <w:b/>
          <w:color w:val="auto"/>
          <w:sz w:val="32"/>
          <w:szCs w:val="32"/>
          <w:highlight w:val="none"/>
        </w:rPr>
      </w:pPr>
    </w:p>
    <w:p w14:paraId="5517FD3E">
      <w:pPr>
        <w:spacing w:line="400" w:lineRule="exact"/>
        <w:jc w:val="center"/>
        <w:rPr>
          <w:rFonts w:ascii="宋体" w:hAnsi="宋体"/>
          <w:b/>
          <w:color w:val="auto"/>
          <w:sz w:val="32"/>
          <w:szCs w:val="32"/>
          <w:highlight w:val="none"/>
        </w:rPr>
      </w:pPr>
    </w:p>
    <w:p w14:paraId="145B10AA">
      <w:pPr>
        <w:spacing w:line="400" w:lineRule="exact"/>
        <w:jc w:val="center"/>
        <w:rPr>
          <w:rFonts w:ascii="宋体" w:hAnsi="宋体"/>
          <w:b/>
          <w:color w:val="auto"/>
          <w:sz w:val="32"/>
          <w:szCs w:val="32"/>
          <w:highlight w:val="none"/>
        </w:rPr>
      </w:pPr>
    </w:p>
    <w:p w14:paraId="049AF4C5">
      <w:pPr>
        <w:pStyle w:val="2"/>
        <w:spacing w:after="100" w:line="480" w:lineRule="auto"/>
        <w:jc w:val="center"/>
        <w:rPr>
          <w:color w:val="auto"/>
          <w:sz w:val="32"/>
          <w:szCs w:val="32"/>
          <w:highlight w:val="none"/>
        </w:rPr>
      </w:pPr>
      <w:bookmarkStart w:id="4" w:name="_Toc74322008"/>
      <w:r>
        <w:rPr>
          <w:color w:val="auto"/>
          <w:sz w:val="32"/>
          <w:szCs w:val="32"/>
          <w:highlight w:val="none"/>
        </w:rPr>
        <w:br w:type="page"/>
      </w:r>
      <w:bookmarkStart w:id="5" w:name="_Toc196311779"/>
      <w:r>
        <w:rPr>
          <w:rFonts w:hint="eastAsia"/>
          <w:color w:val="auto"/>
          <w:sz w:val="32"/>
          <w:szCs w:val="32"/>
          <w:highlight w:val="none"/>
        </w:rPr>
        <w:t>第一章 竞争性谈判公告</w:t>
      </w:r>
      <w:bookmarkEnd w:id="4"/>
      <w:bookmarkEnd w:id="5"/>
    </w:p>
    <w:p w14:paraId="47ACE715">
      <w:pPr>
        <w:pBdr>
          <w:top w:val="single" w:color="auto" w:sz="4" w:space="1"/>
          <w:left w:val="single" w:color="auto" w:sz="4" w:space="4"/>
          <w:bottom w:val="single" w:color="auto" w:sz="4" w:space="1"/>
          <w:right w:val="single" w:color="auto" w:sz="4" w:space="4"/>
        </w:pBdr>
        <w:spacing w:line="360" w:lineRule="auto"/>
        <w:rPr>
          <w:rFonts w:ascii="宋体" w:hAnsi="宋体"/>
          <w:color w:val="auto"/>
          <w:szCs w:val="21"/>
          <w:highlight w:val="none"/>
        </w:rPr>
      </w:pPr>
      <w:bookmarkStart w:id="6" w:name="_Hlk37430271"/>
      <w:r>
        <w:rPr>
          <w:rFonts w:hint="eastAsia" w:ascii="宋体" w:hAnsi="宋体"/>
          <w:color w:val="auto"/>
          <w:szCs w:val="21"/>
          <w:highlight w:val="none"/>
        </w:rPr>
        <w:t>项目概况</w:t>
      </w:r>
    </w:p>
    <w:p w14:paraId="4F29EF56">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桂林理工大学学科建设数智化与成果宣传推广平台设备采购的潜在供应商应在广西政府采购云平台（www.gcy.zfcg.gxzf.gov.cn）获取（下载）竞争性谈判文件，并于2026年</w:t>
      </w:r>
      <w:r>
        <w:rPr>
          <w:rFonts w:hint="eastAsia" w:ascii="宋体" w:hAnsi="宋体"/>
          <w:color w:val="auto"/>
          <w:szCs w:val="21"/>
          <w:highlight w:val="none"/>
          <w:lang w:val="en-US" w:eastAsia="zh-CN"/>
        </w:rPr>
        <w:t>8</w:t>
      </w:r>
      <w:r>
        <w:rPr>
          <w:rFonts w:hint="eastAsia" w:ascii="宋体" w:hAnsi="宋体"/>
          <w:color w:val="auto"/>
          <w:szCs w:val="21"/>
          <w:highlight w:val="none"/>
        </w:rPr>
        <w:t>月</w:t>
      </w:r>
      <w:r>
        <w:rPr>
          <w:rFonts w:hint="eastAsia" w:ascii="宋体" w:hAnsi="宋体"/>
          <w:color w:val="auto"/>
          <w:szCs w:val="21"/>
          <w:highlight w:val="none"/>
          <w:lang w:val="en-US" w:eastAsia="zh-CN"/>
        </w:rPr>
        <w:t>12</w:t>
      </w:r>
      <w:r>
        <w:rPr>
          <w:rFonts w:hint="eastAsia" w:ascii="宋体" w:hAnsi="宋体"/>
          <w:color w:val="auto"/>
          <w:szCs w:val="21"/>
          <w:highlight w:val="none"/>
        </w:rPr>
        <w:t>日上午9时00分（北京时间）前提交（上传）响应</w:t>
      </w:r>
      <w:r>
        <w:rPr>
          <w:rFonts w:ascii="宋体" w:hAnsi="宋体"/>
          <w:color w:val="auto"/>
          <w:szCs w:val="21"/>
          <w:highlight w:val="none"/>
        </w:rPr>
        <w:t>文件</w:t>
      </w:r>
      <w:r>
        <w:rPr>
          <w:rFonts w:hint="eastAsia" w:ascii="宋体" w:hAnsi="宋体"/>
          <w:color w:val="auto"/>
          <w:szCs w:val="21"/>
          <w:highlight w:val="none"/>
        </w:rPr>
        <w:t>。</w:t>
      </w:r>
    </w:p>
    <w:p w14:paraId="16CFA6DD">
      <w:pPr>
        <w:spacing w:line="400" w:lineRule="exact"/>
        <w:ind w:firstLine="420" w:firstLineChars="200"/>
        <w:rPr>
          <w:rFonts w:ascii="宋体" w:hAnsi="宋体"/>
          <w:color w:val="auto"/>
          <w:szCs w:val="21"/>
          <w:highlight w:val="none"/>
        </w:rPr>
      </w:pPr>
      <w:bookmarkStart w:id="7" w:name="_Toc28359089"/>
      <w:bookmarkStart w:id="8" w:name="_Toc35393798"/>
      <w:bookmarkStart w:id="9" w:name="_Toc71365362"/>
      <w:bookmarkStart w:id="10" w:name="_Toc35393629"/>
      <w:bookmarkStart w:id="11" w:name="_Toc71366040"/>
      <w:bookmarkStart w:id="12" w:name="_Toc28359012"/>
    </w:p>
    <w:p w14:paraId="37411FFD">
      <w:pPr>
        <w:spacing w:line="400" w:lineRule="exact"/>
        <w:ind w:firstLine="480" w:firstLineChars="200"/>
        <w:rPr>
          <w:rFonts w:ascii="黑体" w:hAnsi="黑体" w:eastAsia="黑体"/>
          <w:color w:val="auto"/>
          <w:sz w:val="24"/>
          <w:highlight w:val="none"/>
        </w:rPr>
      </w:pPr>
      <w:r>
        <w:rPr>
          <w:rFonts w:hint="eastAsia" w:ascii="黑体" w:hAnsi="黑体" w:eastAsia="黑体"/>
          <w:color w:val="auto"/>
          <w:sz w:val="24"/>
          <w:highlight w:val="none"/>
        </w:rPr>
        <w:t>一、项目基本情况</w:t>
      </w:r>
      <w:bookmarkEnd w:id="7"/>
      <w:bookmarkEnd w:id="8"/>
      <w:bookmarkEnd w:id="9"/>
      <w:bookmarkEnd w:id="10"/>
      <w:bookmarkEnd w:id="11"/>
      <w:bookmarkEnd w:id="12"/>
    </w:p>
    <w:p w14:paraId="5874ED1F">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项目编号：GXZC2026-J1-002551-YZLZ</w:t>
      </w:r>
    </w:p>
    <w:p w14:paraId="18B9B1A7">
      <w:pPr>
        <w:spacing w:line="400" w:lineRule="exact"/>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rPr>
        <w:t>政府采购计划编号：广西政采[2026]15493号-001</w:t>
      </w:r>
      <w:r>
        <w:rPr>
          <w:rFonts w:hint="eastAsia" w:ascii="宋体" w:hAnsi="宋体"/>
          <w:color w:val="auto"/>
          <w:szCs w:val="21"/>
          <w:highlight w:val="none"/>
          <w:lang w:val="en-US" w:eastAsia="zh-CN"/>
        </w:rPr>
        <w:t>~</w:t>
      </w:r>
      <w:r>
        <w:rPr>
          <w:rFonts w:hint="eastAsia" w:ascii="宋体" w:hAnsi="宋体"/>
          <w:color w:val="auto"/>
          <w:szCs w:val="21"/>
          <w:highlight w:val="none"/>
        </w:rPr>
        <w:t>广西政采[2026]15493号-0</w:t>
      </w:r>
      <w:r>
        <w:rPr>
          <w:rFonts w:hint="eastAsia" w:ascii="宋体" w:hAnsi="宋体"/>
          <w:color w:val="auto"/>
          <w:szCs w:val="21"/>
          <w:highlight w:val="none"/>
          <w:lang w:val="en-US" w:eastAsia="zh-CN"/>
        </w:rPr>
        <w:t>11</w:t>
      </w:r>
    </w:p>
    <w:p w14:paraId="26E12305">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项目名称：桂林理工大学学科建设数智化与成果宣传推广平台设备采购</w:t>
      </w:r>
    </w:p>
    <w:p w14:paraId="26093802">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采购方式：竞争性谈判</w:t>
      </w:r>
    </w:p>
    <w:p w14:paraId="4AB65940">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预算金额：2003500.00元。</w:t>
      </w:r>
    </w:p>
    <w:p w14:paraId="508AD2C0">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最高限价：1899800.00</w:t>
      </w:r>
      <w:r>
        <w:rPr>
          <w:rStyle w:val="31"/>
          <w:rFonts w:hint="eastAsia"/>
          <w:color w:val="auto"/>
          <w:highlight w:val="none"/>
          <w:lang w:eastAsia="zh-CN"/>
        </w:rPr>
        <w:t>元</w:t>
      </w:r>
      <w:r>
        <w:rPr>
          <w:rFonts w:hint="eastAsia" w:ascii="宋体" w:hAnsi="宋体"/>
          <w:color w:val="auto"/>
          <w:szCs w:val="21"/>
          <w:highlight w:val="none"/>
        </w:rPr>
        <w:t>。</w:t>
      </w:r>
    </w:p>
    <w:p w14:paraId="78C3FC2B">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采购需求：</w:t>
      </w:r>
    </w:p>
    <w:p w14:paraId="11ADF775">
      <w:pPr>
        <w:numPr>
          <w:ilvl w:val="0"/>
          <w:numId w:val="1"/>
        </w:numPr>
        <w:spacing w:line="400" w:lineRule="exact"/>
        <w:ind w:firstLine="420" w:firstLineChars="200"/>
        <w:rPr>
          <w:rFonts w:ascii="宋体" w:hAnsi="宋体"/>
          <w:color w:val="auto"/>
          <w:highlight w:val="none"/>
        </w:rPr>
      </w:pPr>
      <w:r>
        <w:rPr>
          <w:rFonts w:hint="eastAsia" w:ascii="宋体" w:hAnsi="宋体"/>
          <w:color w:val="auto"/>
          <w:highlight w:val="none"/>
        </w:rPr>
        <w:t>标的的名称、数量：</w:t>
      </w:r>
      <w:r>
        <w:rPr>
          <w:rFonts w:hint="eastAsia" w:ascii="宋体" w:hAnsi="宋体"/>
          <w:color w:val="auto"/>
          <w:szCs w:val="21"/>
          <w:highlight w:val="none"/>
        </w:rPr>
        <w:t>超高清摄像机3台，无线导播通话系统1套，存储卡-（1）3张，读卡器-（1）3个，电池-（1）3块，摄像机三脚架3套，电池-（2）3块，充电适配器1个，脚轮3组，提词器1台，4K超高清实时制作系统1套，无线图传1套，大屏电视1台，固态硬盘1块，监看电视-（1）3台，电视推车2个，无线领夹</w:t>
      </w:r>
      <w:r>
        <w:rPr>
          <w:rFonts w:hint="eastAsia" w:ascii="宋体" w:hAnsi="宋体"/>
          <w:color w:val="auto"/>
          <w:szCs w:val="21"/>
          <w:highlight w:val="none"/>
          <w:lang w:val="en-US" w:eastAsia="zh-CN"/>
        </w:rPr>
        <w:t>采访麦</w:t>
      </w:r>
      <w:r>
        <w:rPr>
          <w:rFonts w:hint="eastAsia" w:ascii="宋体" w:hAnsi="宋体"/>
          <w:color w:val="auto"/>
          <w:szCs w:val="21"/>
          <w:highlight w:val="none"/>
        </w:rPr>
        <w:t>3套，音频延时器1台，音频工作站1套，外置录音声卡1台，耳机分配器1台，监听耳机3个，有源监听音箱2只，耳分支架1个，话筒支架4套，专业录音话筒2个，话筒放大器2台，耳机放大器1台，配件1组，柔光灯29盏，聚光灯8个，灯钩30个，电源直通箱1台，调光台1台，信号放大器1台，电源分线盒3个，航空自锁电源连接器16个，灯具保险链及号牌42组，灯光配电及线缆接插件1批，灯光葡萄架1项，恒力铰链16个，系统集成线材敷料1批，系统设计安装调试培训1项，影音内容制作工作站1套，虚拟演播室平台1套，超渲染引擎1套，特技切换台1台，智能跟踪单元1套，彩色技术监视器1台，雷电数据线2条，会议平板一体机1台，监看电视-（2）</w:t>
      </w:r>
      <w:r>
        <w:rPr>
          <w:rFonts w:hint="eastAsia" w:ascii="宋体" w:hAnsi="宋体"/>
          <w:color w:val="auto"/>
          <w:szCs w:val="21"/>
          <w:highlight w:val="none"/>
          <w:lang w:val="en-US" w:eastAsia="zh-CN"/>
        </w:rPr>
        <w:t>2</w:t>
      </w:r>
      <w:r>
        <w:rPr>
          <w:rFonts w:hint="eastAsia" w:ascii="宋体" w:hAnsi="宋体"/>
          <w:color w:val="auto"/>
          <w:szCs w:val="21"/>
          <w:highlight w:val="none"/>
        </w:rPr>
        <w:t>台，HDMI分配器1个，HDMI光纤线8条，媒体资源管理器1套，影像调色工作站2套，摄像专用手机2部，存储卡-（2）2张，存储卡-（3）6张，影视补光灯3套，手持云台相机稳定器1套，可调减光镜2个，通用型滤镜转接环2个，可调ND 1个，支架接环1个，双色温补光灯2个，可调便携常亮夜拍灯2个，迷你柔光箱2个，便携灯架三脚架2把，穿戴相机1台，口袋云台相机2台，迷你无线麦克风2套，运动相机1台，存储卡-（4）4张，航拍无人机1台，SSD固态硬盘2个，相机三脚架1个，相机清洁套装 1个，硅胶气吹 2个，相机肩带2条，</w:t>
      </w:r>
      <w:r>
        <w:rPr>
          <w:rFonts w:hint="eastAsia" w:ascii="宋体" w:hAnsi="宋体"/>
          <w:color w:val="auto"/>
          <w:highlight w:val="none"/>
        </w:rPr>
        <w:t>设备防潮柜1个，平板电脑1台，相机提词器</w:t>
      </w:r>
      <w:r>
        <w:rPr>
          <w:rFonts w:hint="eastAsia" w:ascii="宋体" w:hAnsi="宋体"/>
          <w:color w:val="auto"/>
          <w:szCs w:val="21"/>
          <w:highlight w:val="none"/>
        </w:rPr>
        <w:t xml:space="preserve"> 1个，相机电池充电器2个，LP-E6P单块电池4块，访谈区地毯1张，休息区地毯1张，异形标识牌1项，数据可视化平台定制1项。</w:t>
      </w:r>
      <w:r>
        <w:rPr>
          <w:rFonts w:hint="eastAsia" w:ascii="宋体" w:hAnsi="宋体"/>
          <w:color w:val="auto"/>
          <w:highlight w:val="none"/>
        </w:rPr>
        <w:t>（2）简要技术需求或服务要求：按国家有关产品“三包”规定执行“三包”，具体详见竞争性谈判文件。</w:t>
      </w:r>
    </w:p>
    <w:p w14:paraId="59FB0477">
      <w:pPr>
        <w:spacing w:line="400" w:lineRule="exact"/>
        <w:ind w:firstLine="420" w:firstLineChars="200"/>
        <w:rPr>
          <w:rFonts w:ascii="宋体" w:hAnsi="宋体"/>
          <w:color w:val="auto"/>
          <w:highlight w:val="none"/>
        </w:rPr>
      </w:pPr>
      <w:r>
        <w:rPr>
          <w:rFonts w:hint="eastAsia" w:ascii="宋体" w:hAnsi="宋体"/>
          <w:color w:val="auto"/>
          <w:highlight w:val="none"/>
        </w:rPr>
        <w:t>合同履行期限（交付时间）：</w:t>
      </w:r>
      <w:r>
        <w:rPr>
          <w:rFonts w:hint="eastAsia" w:ascii="宋体" w:hAnsi="宋体" w:cs="宋体"/>
          <w:color w:val="auto"/>
          <w:szCs w:val="21"/>
          <w:highlight w:val="none"/>
        </w:rPr>
        <w:t>自签订合同之日起</w:t>
      </w:r>
      <w:r>
        <w:rPr>
          <w:rFonts w:hint="eastAsia" w:ascii="宋体" w:hAnsi="宋体" w:cs="宋体"/>
          <w:color w:val="auto"/>
          <w:szCs w:val="21"/>
          <w:highlight w:val="none"/>
          <w:u w:val="single"/>
        </w:rPr>
        <w:t>30</w:t>
      </w:r>
      <w:r>
        <w:rPr>
          <w:rFonts w:hint="eastAsia" w:ascii="宋体" w:hAnsi="宋体" w:cs="宋体"/>
          <w:b/>
          <w:color w:val="auto"/>
          <w:szCs w:val="21"/>
          <w:highlight w:val="none"/>
          <w:u w:val="single"/>
        </w:rPr>
        <w:t>个</w:t>
      </w:r>
      <w:r>
        <w:rPr>
          <w:rFonts w:hint="eastAsia" w:ascii="宋体" w:hAnsi="宋体" w:cs="宋体"/>
          <w:color w:val="auto"/>
          <w:szCs w:val="21"/>
          <w:highlight w:val="none"/>
        </w:rPr>
        <w:t>工作日内到货并全部安装调试合格完毕</w:t>
      </w:r>
      <w:r>
        <w:rPr>
          <w:rFonts w:hint="eastAsia" w:ascii="宋体" w:hAnsi="宋体"/>
          <w:color w:val="auto"/>
          <w:highlight w:val="none"/>
        </w:rPr>
        <w:t>。</w:t>
      </w:r>
    </w:p>
    <w:p w14:paraId="0DE73595">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本项目（否）接受联合体参与谈判。</w:t>
      </w:r>
      <w:bookmarkStart w:id="13" w:name="_Toc71365363"/>
      <w:bookmarkStart w:id="14" w:name="_Toc28359090"/>
      <w:bookmarkStart w:id="15" w:name="_Toc28359013"/>
      <w:bookmarkStart w:id="16" w:name="_Toc35393799"/>
      <w:bookmarkStart w:id="17" w:name="_Toc71366041"/>
      <w:bookmarkStart w:id="18" w:name="_Toc35393630"/>
    </w:p>
    <w:p w14:paraId="79FF3B44">
      <w:pPr>
        <w:spacing w:line="400" w:lineRule="exact"/>
        <w:ind w:firstLine="480" w:firstLineChars="200"/>
        <w:rPr>
          <w:rFonts w:ascii="黑体" w:hAnsi="黑体" w:eastAsia="黑体"/>
          <w:color w:val="auto"/>
          <w:sz w:val="24"/>
          <w:highlight w:val="none"/>
        </w:rPr>
      </w:pPr>
      <w:r>
        <w:rPr>
          <w:rFonts w:hint="eastAsia" w:ascii="黑体" w:hAnsi="黑体" w:eastAsia="黑体"/>
          <w:color w:val="auto"/>
          <w:sz w:val="24"/>
          <w:highlight w:val="none"/>
        </w:rPr>
        <w:t>二、供应商的资格条件：</w:t>
      </w:r>
      <w:bookmarkEnd w:id="13"/>
      <w:bookmarkEnd w:id="14"/>
      <w:bookmarkEnd w:id="15"/>
      <w:bookmarkEnd w:id="16"/>
      <w:bookmarkEnd w:id="17"/>
      <w:bookmarkEnd w:id="18"/>
      <w:bookmarkStart w:id="19" w:name="_Toc28359091"/>
      <w:bookmarkStart w:id="20" w:name="_Toc28359014"/>
    </w:p>
    <w:p w14:paraId="4F918B00">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1.满足《中华人民共和国政府采购法》第二十二条规定；</w:t>
      </w:r>
    </w:p>
    <w:p w14:paraId="1D8E5D0A">
      <w:pPr>
        <w:spacing w:line="400" w:lineRule="exact"/>
        <w:ind w:firstLine="420" w:firstLineChars="200"/>
        <w:rPr>
          <w:rFonts w:ascii="宋体" w:hAnsi="宋体"/>
          <w:color w:val="auto"/>
          <w:szCs w:val="21"/>
          <w:highlight w:val="none"/>
        </w:rPr>
      </w:pPr>
      <w:r>
        <w:rPr>
          <w:rFonts w:ascii="宋体" w:hAnsi="宋体"/>
          <w:color w:val="auto"/>
          <w:szCs w:val="21"/>
          <w:highlight w:val="none"/>
        </w:rPr>
        <w:t>2</w:t>
      </w:r>
      <w:r>
        <w:rPr>
          <w:rFonts w:hint="eastAsia" w:ascii="宋体" w:hAnsi="宋体"/>
          <w:color w:val="auto"/>
          <w:szCs w:val="21"/>
          <w:highlight w:val="none"/>
        </w:rPr>
        <w:t>.落实政府采购政策需满足的资格要求：无；</w:t>
      </w:r>
    </w:p>
    <w:p w14:paraId="7993FA88">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3.本项目的特定资格要求：无。</w:t>
      </w:r>
    </w:p>
    <w:p w14:paraId="3CFF328F">
      <w:pPr>
        <w:spacing w:line="400" w:lineRule="exact"/>
        <w:ind w:firstLine="480" w:firstLineChars="200"/>
        <w:rPr>
          <w:rFonts w:ascii="黑体" w:hAnsi="黑体" w:eastAsia="黑体"/>
          <w:color w:val="auto"/>
          <w:sz w:val="24"/>
          <w:highlight w:val="none"/>
        </w:rPr>
      </w:pPr>
      <w:bookmarkStart w:id="21" w:name="_Toc71366042"/>
      <w:bookmarkStart w:id="22" w:name="_Toc71365364"/>
      <w:bookmarkStart w:id="23" w:name="_Toc35393800"/>
      <w:bookmarkStart w:id="24" w:name="_Toc35393631"/>
      <w:r>
        <w:rPr>
          <w:rFonts w:hint="eastAsia" w:ascii="黑体" w:hAnsi="黑体" w:eastAsia="黑体"/>
          <w:color w:val="auto"/>
          <w:sz w:val="24"/>
          <w:highlight w:val="none"/>
        </w:rPr>
        <w:t>三、获取竞争性谈判文件</w:t>
      </w:r>
      <w:bookmarkEnd w:id="19"/>
      <w:bookmarkEnd w:id="20"/>
      <w:bookmarkEnd w:id="21"/>
      <w:bookmarkEnd w:id="22"/>
      <w:bookmarkEnd w:id="23"/>
      <w:bookmarkEnd w:id="24"/>
    </w:p>
    <w:p w14:paraId="25437B3B">
      <w:pPr>
        <w:spacing w:line="400" w:lineRule="exact"/>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时间：2026年</w:t>
      </w:r>
      <w:r>
        <w:rPr>
          <w:rFonts w:hint="eastAsia" w:ascii="宋体" w:hAnsi="宋体" w:cs="宋体"/>
          <w:bCs/>
          <w:color w:val="auto"/>
          <w:kern w:val="0"/>
          <w:szCs w:val="21"/>
          <w:highlight w:val="none"/>
          <w:lang w:val="en-US" w:eastAsia="zh-CN"/>
        </w:rPr>
        <w:t>8</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日至2026年</w:t>
      </w:r>
      <w:r>
        <w:rPr>
          <w:rFonts w:hint="eastAsia" w:ascii="宋体" w:hAnsi="宋体" w:cs="宋体"/>
          <w:bCs/>
          <w:color w:val="auto"/>
          <w:kern w:val="0"/>
          <w:szCs w:val="21"/>
          <w:highlight w:val="none"/>
          <w:lang w:val="en-US" w:eastAsia="zh-CN"/>
        </w:rPr>
        <w:t>8</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11</w:t>
      </w:r>
      <w:r>
        <w:rPr>
          <w:rFonts w:hint="eastAsia" w:ascii="宋体" w:hAnsi="宋体" w:cs="宋体"/>
          <w:bCs/>
          <w:color w:val="auto"/>
          <w:kern w:val="0"/>
          <w:szCs w:val="21"/>
          <w:highlight w:val="none"/>
        </w:rPr>
        <w:t>日，每天00：00至11：59，12：00至23：59（北京时间，</w:t>
      </w:r>
      <w:r>
        <w:rPr>
          <w:rFonts w:ascii="宋体" w:hAnsi="宋体" w:cs="宋体"/>
          <w:bCs/>
          <w:color w:val="auto"/>
          <w:kern w:val="0"/>
          <w:szCs w:val="21"/>
          <w:highlight w:val="none"/>
        </w:rPr>
        <w:t>法定节假日</w:t>
      </w:r>
      <w:r>
        <w:rPr>
          <w:rFonts w:hint="eastAsia" w:ascii="宋体" w:hAnsi="宋体" w:cs="宋体"/>
          <w:bCs/>
          <w:color w:val="auto"/>
          <w:kern w:val="0"/>
          <w:szCs w:val="21"/>
          <w:highlight w:val="none"/>
        </w:rPr>
        <w:t>除外）。</w:t>
      </w:r>
    </w:p>
    <w:p w14:paraId="28DB53C3">
      <w:pPr>
        <w:spacing w:line="400" w:lineRule="exact"/>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地点：广西政府采购云平台（www.gcy.zfcg.gxzf.gov.cn）。</w:t>
      </w:r>
    </w:p>
    <w:p w14:paraId="012924B4">
      <w:pPr>
        <w:spacing w:line="400" w:lineRule="exact"/>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方式：网上下载。本项目不提供纸质文件，潜在供应商需使用账号登录或者使用CA登录广西政府采购云平台（</w:t>
      </w:r>
      <w:r>
        <w:rPr>
          <w:rFonts w:ascii="宋体" w:hAnsi="宋体" w:cs="宋体"/>
          <w:bCs/>
          <w:color w:val="auto"/>
          <w:kern w:val="0"/>
          <w:szCs w:val="21"/>
          <w:highlight w:val="none"/>
        </w:rPr>
        <w:t>www.gcy.zfcg.gxzf.gov.cn</w:t>
      </w:r>
      <w:r>
        <w:rPr>
          <w:rFonts w:hint="eastAsia" w:ascii="宋体" w:hAnsi="宋体" w:cs="宋体"/>
          <w:bCs/>
          <w:color w:val="auto"/>
          <w:kern w:val="0"/>
          <w:szCs w:val="21"/>
          <w:highlight w:val="none"/>
        </w:rPr>
        <w:t>）进入“项目采购”应用，在获取采购文件菜单中选择项目，获取竞争性谈判文件。</w:t>
      </w:r>
      <w:r>
        <w:rPr>
          <w:rFonts w:hint="eastAsia" w:ascii="宋体" w:hAnsi="宋体"/>
          <w:color w:val="auto"/>
          <w:szCs w:val="21"/>
          <w:highlight w:val="none"/>
        </w:rPr>
        <w:t>电子</w:t>
      </w:r>
      <w:r>
        <w:rPr>
          <w:rFonts w:hint="eastAsia"/>
          <w:color w:val="auto"/>
          <w:highlight w:val="none"/>
        </w:rPr>
        <w:t>响应文件</w:t>
      </w:r>
      <w:r>
        <w:rPr>
          <w:rFonts w:hint="eastAsia" w:ascii="宋体" w:hAnsi="宋体"/>
          <w:color w:val="auto"/>
          <w:szCs w:val="21"/>
          <w:highlight w:val="none"/>
        </w:rPr>
        <w:t>制作需要基于广西政府采购云平台获取的谈判文件编制，</w:t>
      </w:r>
      <w:r>
        <w:rPr>
          <w:rFonts w:hint="eastAsia" w:ascii="宋体" w:hAnsi="宋体" w:cs="宋体"/>
          <w:bCs/>
          <w:color w:val="auto"/>
          <w:kern w:val="0"/>
          <w:szCs w:val="21"/>
          <w:highlight w:val="none"/>
        </w:rPr>
        <w:t>通过其他方式获取谈判文件的，将有可能导致供应商无法在广西政府采购云平台编制及上传响应文件。</w:t>
      </w:r>
    </w:p>
    <w:p w14:paraId="2271BE19">
      <w:pPr>
        <w:spacing w:line="400" w:lineRule="exact"/>
        <w:ind w:firstLine="420" w:firstLineChars="200"/>
        <w:rPr>
          <w:rFonts w:ascii="宋体" w:hAnsi="宋体" w:cs="宋体"/>
          <w:bCs/>
          <w:color w:val="auto"/>
          <w:kern w:val="0"/>
          <w:szCs w:val="21"/>
          <w:highlight w:val="none"/>
        </w:rPr>
      </w:pPr>
      <w:r>
        <w:rPr>
          <w:rFonts w:hint="eastAsia" w:ascii="宋体" w:hAnsi="宋体" w:cs="宋体"/>
          <w:bCs/>
          <w:color w:val="auto"/>
          <w:kern w:val="0"/>
          <w:szCs w:val="21"/>
          <w:highlight w:val="none"/>
        </w:rPr>
        <w:t>售价：0元。</w:t>
      </w:r>
      <w:bookmarkStart w:id="25" w:name="_Toc35393632"/>
      <w:bookmarkStart w:id="26" w:name="_Toc71366043"/>
      <w:bookmarkStart w:id="27" w:name="_Toc28359092"/>
      <w:bookmarkStart w:id="28" w:name="_Toc35393801"/>
      <w:bookmarkStart w:id="29" w:name="_Toc28359015"/>
      <w:bookmarkStart w:id="30" w:name="_Toc71365365"/>
    </w:p>
    <w:p w14:paraId="00967B1C">
      <w:pPr>
        <w:spacing w:line="400" w:lineRule="exact"/>
        <w:ind w:firstLine="480" w:firstLineChars="200"/>
        <w:rPr>
          <w:rFonts w:ascii="黑体" w:hAnsi="黑体" w:eastAsia="黑体"/>
          <w:color w:val="auto"/>
          <w:sz w:val="24"/>
          <w:highlight w:val="none"/>
        </w:rPr>
      </w:pPr>
      <w:r>
        <w:rPr>
          <w:rFonts w:hint="eastAsia" w:ascii="黑体" w:hAnsi="黑体" w:eastAsia="黑体"/>
          <w:color w:val="auto"/>
          <w:sz w:val="24"/>
          <w:highlight w:val="none"/>
        </w:rPr>
        <w:t>四、响应文件提交</w:t>
      </w:r>
      <w:bookmarkEnd w:id="25"/>
      <w:bookmarkEnd w:id="26"/>
      <w:bookmarkEnd w:id="27"/>
      <w:bookmarkEnd w:id="28"/>
      <w:bookmarkEnd w:id="29"/>
      <w:bookmarkEnd w:id="30"/>
    </w:p>
    <w:p w14:paraId="27FD9EBA">
      <w:pPr>
        <w:spacing w:line="400" w:lineRule="exact"/>
        <w:ind w:firstLine="420" w:firstLineChars="200"/>
        <w:rPr>
          <w:rFonts w:ascii="宋体" w:hAnsi="宋体"/>
          <w:bCs/>
          <w:color w:val="auto"/>
          <w:szCs w:val="21"/>
          <w:highlight w:val="none"/>
        </w:rPr>
      </w:pPr>
      <w:r>
        <w:rPr>
          <w:rFonts w:hint="eastAsia" w:ascii="宋体" w:hAnsi="宋体"/>
          <w:color w:val="auto"/>
          <w:szCs w:val="21"/>
          <w:highlight w:val="none"/>
        </w:rPr>
        <w:t>截止时间：</w:t>
      </w:r>
      <w:r>
        <w:rPr>
          <w:rFonts w:hint="eastAsia" w:ascii="宋体" w:hAnsi="宋体" w:cs="宋体"/>
          <w:bCs/>
          <w:color w:val="auto"/>
          <w:kern w:val="0"/>
          <w:szCs w:val="21"/>
          <w:highlight w:val="none"/>
        </w:rPr>
        <w:t>2026年</w:t>
      </w:r>
      <w:r>
        <w:rPr>
          <w:rFonts w:hint="eastAsia" w:ascii="宋体" w:hAnsi="宋体" w:cs="宋体"/>
          <w:bCs/>
          <w:color w:val="auto"/>
          <w:kern w:val="0"/>
          <w:szCs w:val="21"/>
          <w:highlight w:val="none"/>
          <w:lang w:val="en-US" w:eastAsia="zh-CN"/>
        </w:rPr>
        <w:t>8</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12</w:t>
      </w:r>
      <w:r>
        <w:rPr>
          <w:rFonts w:hint="eastAsia" w:ascii="宋体" w:hAnsi="宋体" w:cs="宋体"/>
          <w:bCs/>
          <w:color w:val="auto"/>
          <w:kern w:val="0"/>
          <w:szCs w:val="21"/>
          <w:highlight w:val="none"/>
        </w:rPr>
        <w:t>日</w:t>
      </w:r>
      <w:r>
        <w:rPr>
          <w:rFonts w:hint="eastAsia" w:ascii="宋体" w:hAnsi="宋体"/>
          <w:bCs/>
          <w:color w:val="auto"/>
          <w:szCs w:val="21"/>
          <w:highlight w:val="none"/>
        </w:rPr>
        <w:t>上午9时00分</w:t>
      </w:r>
      <w:r>
        <w:rPr>
          <w:rFonts w:hint="eastAsia" w:ascii="宋体" w:hAnsi="宋体"/>
          <w:color w:val="auto"/>
          <w:szCs w:val="21"/>
          <w:highlight w:val="none"/>
        </w:rPr>
        <w:t>（北京时间</w:t>
      </w:r>
      <w:r>
        <w:rPr>
          <w:rFonts w:hint="eastAsia" w:ascii="宋体" w:hAnsi="宋体"/>
          <w:bCs/>
          <w:color w:val="auto"/>
          <w:szCs w:val="21"/>
          <w:highlight w:val="none"/>
        </w:rPr>
        <w:t>）</w:t>
      </w:r>
    </w:p>
    <w:p w14:paraId="47BF1495">
      <w:pPr>
        <w:spacing w:line="400" w:lineRule="exact"/>
        <w:ind w:firstLine="420" w:firstLineChars="200"/>
        <w:rPr>
          <w:rFonts w:ascii="宋体" w:hAnsi="宋体" w:cs="宋体"/>
          <w:bCs/>
          <w:color w:val="auto"/>
          <w:kern w:val="0"/>
          <w:szCs w:val="21"/>
          <w:highlight w:val="none"/>
        </w:rPr>
      </w:pPr>
      <w:r>
        <w:rPr>
          <w:rFonts w:hint="eastAsia" w:ascii="宋体" w:hAnsi="宋体"/>
          <w:color w:val="auto"/>
          <w:szCs w:val="21"/>
          <w:highlight w:val="none"/>
        </w:rPr>
        <w:t>地点：广西政府采购云平台</w:t>
      </w:r>
      <w:r>
        <w:rPr>
          <w:rFonts w:hint="eastAsia" w:ascii="宋体" w:hAnsi="宋体" w:cs="宋体"/>
          <w:bCs/>
          <w:color w:val="auto"/>
          <w:kern w:val="0"/>
          <w:szCs w:val="21"/>
          <w:highlight w:val="none"/>
        </w:rPr>
        <w:t>（www.gcy.zfcg.gxzf.gov.cn）</w:t>
      </w:r>
      <w:bookmarkStart w:id="31" w:name="_Toc35393633"/>
      <w:bookmarkStart w:id="32" w:name="_Toc71365366"/>
      <w:bookmarkStart w:id="33" w:name="_Toc71366044"/>
      <w:bookmarkStart w:id="34" w:name="_Toc35393802"/>
      <w:bookmarkStart w:id="35" w:name="_Toc28359093"/>
      <w:bookmarkStart w:id="36" w:name="_Toc28359016"/>
    </w:p>
    <w:p w14:paraId="08857F02">
      <w:pPr>
        <w:spacing w:line="400" w:lineRule="exact"/>
        <w:ind w:firstLine="480" w:firstLineChars="200"/>
        <w:rPr>
          <w:rFonts w:ascii="黑体" w:hAnsi="黑体" w:eastAsia="黑体"/>
          <w:color w:val="auto"/>
          <w:sz w:val="24"/>
          <w:highlight w:val="none"/>
        </w:rPr>
      </w:pPr>
      <w:r>
        <w:rPr>
          <w:rFonts w:hint="eastAsia" w:ascii="黑体" w:hAnsi="黑体" w:eastAsia="黑体"/>
          <w:color w:val="auto"/>
          <w:sz w:val="24"/>
          <w:highlight w:val="none"/>
        </w:rPr>
        <w:t>五、开启</w:t>
      </w:r>
      <w:bookmarkEnd w:id="31"/>
      <w:bookmarkEnd w:id="32"/>
      <w:bookmarkEnd w:id="33"/>
      <w:bookmarkEnd w:id="34"/>
      <w:bookmarkEnd w:id="35"/>
      <w:bookmarkEnd w:id="36"/>
    </w:p>
    <w:p w14:paraId="04663244">
      <w:pPr>
        <w:spacing w:line="400" w:lineRule="exact"/>
        <w:ind w:firstLine="420" w:firstLineChars="200"/>
        <w:rPr>
          <w:rFonts w:ascii="宋体" w:hAnsi="宋体"/>
          <w:bCs/>
          <w:color w:val="auto"/>
          <w:szCs w:val="21"/>
          <w:highlight w:val="none"/>
        </w:rPr>
      </w:pPr>
      <w:r>
        <w:rPr>
          <w:rFonts w:hint="eastAsia" w:ascii="宋体" w:hAnsi="宋体"/>
          <w:color w:val="auto"/>
          <w:szCs w:val="21"/>
          <w:highlight w:val="none"/>
        </w:rPr>
        <w:t>时间：</w:t>
      </w:r>
      <w:r>
        <w:rPr>
          <w:rFonts w:hint="eastAsia" w:ascii="宋体" w:hAnsi="宋体" w:cs="宋体"/>
          <w:bCs/>
          <w:color w:val="auto"/>
          <w:kern w:val="0"/>
          <w:szCs w:val="21"/>
          <w:highlight w:val="none"/>
        </w:rPr>
        <w:t>2026年</w:t>
      </w:r>
      <w:r>
        <w:rPr>
          <w:rFonts w:hint="eastAsia" w:ascii="宋体" w:hAnsi="宋体" w:cs="宋体"/>
          <w:bCs/>
          <w:color w:val="auto"/>
          <w:kern w:val="0"/>
          <w:szCs w:val="21"/>
          <w:highlight w:val="none"/>
          <w:lang w:val="en-US" w:eastAsia="zh-CN"/>
        </w:rPr>
        <w:t>8</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12</w:t>
      </w:r>
      <w:r>
        <w:rPr>
          <w:rFonts w:hint="eastAsia" w:ascii="宋体" w:hAnsi="宋体" w:cs="宋体"/>
          <w:bCs/>
          <w:color w:val="auto"/>
          <w:kern w:val="0"/>
          <w:szCs w:val="21"/>
          <w:highlight w:val="none"/>
        </w:rPr>
        <w:t>日</w:t>
      </w:r>
      <w:r>
        <w:rPr>
          <w:rFonts w:hint="eastAsia" w:ascii="宋体" w:hAnsi="宋体"/>
          <w:bCs/>
          <w:color w:val="auto"/>
          <w:szCs w:val="21"/>
          <w:highlight w:val="none"/>
        </w:rPr>
        <w:t>上午9时00分</w:t>
      </w:r>
      <w:r>
        <w:rPr>
          <w:rFonts w:hint="eastAsia" w:ascii="宋体" w:hAnsi="宋体"/>
          <w:color w:val="auto"/>
          <w:szCs w:val="21"/>
          <w:highlight w:val="none"/>
        </w:rPr>
        <w:t>（北京时间</w:t>
      </w:r>
      <w:r>
        <w:rPr>
          <w:rFonts w:hint="eastAsia" w:ascii="宋体" w:hAnsi="宋体"/>
          <w:bCs/>
          <w:color w:val="auto"/>
          <w:szCs w:val="21"/>
          <w:highlight w:val="none"/>
        </w:rPr>
        <w:t>）</w:t>
      </w:r>
    </w:p>
    <w:p w14:paraId="5FA31991">
      <w:pPr>
        <w:spacing w:line="400" w:lineRule="exact"/>
        <w:ind w:firstLine="420" w:firstLineChars="200"/>
        <w:rPr>
          <w:rFonts w:ascii="宋体" w:hAnsi="宋体" w:cs="宋体"/>
          <w:bCs/>
          <w:color w:val="auto"/>
          <w:kern w:val="0"/>
          <w:szCs w:val="21"/>
          <w:highlight w:val="none"/>
        </w:rPr>
      </w:pPr>
      <w:r>
        <w:rPr>
          <w:rFonts w:hint="eastAsia" w:ascii="宋体" w:hAnsi="宋体"/>
          <w:color w:val="auto"/>
          <w:szCs w:val="21"/>
          <w:highlight w:val="none"/>
        </w:rPr>
        <w:t>地点：广西政府采购云平台</w:t>
      </w:r>
      <w:r>
        <w:rPr>
          <w:rFonts w:hint="eastAsia" w:ascii="宋体" w:hAnsi="宋体" w:cs="宋体"/>
          <w:bCs/>
          <w:color w:val="auto"/>
          <w:kern w:val="0"/>
          <w:szCs w:val="21"/>
          <w:highlight w:val="none"/>
        </w:rPr>
        <w:t>（www.gcy.zfcg.gxzf.gov.cn）</w:t>
      </w:r>
      <w:bookmarkStart w:id="37" w:name="_Toc35393634"/>
      <w:bookmarkStart w:id="38" w:name="_Toc35393803"/>
      <w:bookmarkStart w:id="39" w:name="_Toc71365367"/>
      <w:bookmarkStart w:id="40" w:name="_Toc71366045"/>
      <w:bookmarkStart w:id="41" w:name="_Toc28359094"/>
      <w:bookmarkStart w:id="42" w:name="_Toc28359017"/>
    </w:p>
    <w:p w14:paraId="0F18B8BB">
      <w:pPr>
        <w:spacing w:line="400" w:lineRule="exact"/>
        <w:ind w:firstLine="480" w:firstLineChars="200"/>
        <w:rPr>
          <w:rFonts w:ascii="黑体" w:hAnsi="黑体" w:eastAsia="黑体"/>
          <w:color w:val="auto"/>
          <w:sz w:val="24"/>
          <w:highlight w:val="none"/>
        </w:rPr>
      </w:pPr>
      <w:r>
        <w:rPr>
          <w:rFonts w:hint="eastAsia" w:ascii="黑体" w:hAnsi="黑体" w:eastAsia="黑体"/>
          <w:color w:val="auto"/>
          <w:sz w:val="24"/>
          <w:highlight w:val="none"/>
        </w:rPr>
        <w:t>六、公告期限</w:t>
      </w:r>
      <w:bookmarkEnd w:id="37"/>
      <w:bookmarkEnd w:id="38"/>
      <w:bookmarkEnd w:id="39"/>
      <w:bookmarkEnd w:id="40"/>
      <w:bookmarkEnd w:id="41"/>
      <w:bookmarkEnd w:id="42"/>
    </w:p>
    <w:p w14:paraId="4273845F">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本公告发布之日起3个工作日。</w:t>
      </w:r>
      <w:bookmarkStart w:id="43" w:name="_Toc71366046"/>
      <w:bookmarkStart w:id="44" w:name="_Toc71365368"/>
      <w:bookmarkStart w:id="45" w:name="_Toc35393635"/>
      <w:bookmarkStart w:id="46" w:name="_Toc35393804"/>
    </w:p>
    <w:p w14:paraId="64AA1151">
      <w:pPr>
        <w:spacing w:line="400" w:lineRule="exact"/>
        <w:ind w:firstLine="480" w:firstLineChars="200"/>
        <w:rPr>
          <w:rFonts w:ascii="黑体" w:hAnsi="黑体" w:eastAsia="黑体"/>
          <w:color w:val="auto"/>
          <w:sz w:val="24"/>
          <w:highlight w:val="none"/>
        </w:rPr>
      </w:pPr>
      <w:r>
        <w:rPr>
          <w:rFonts w:hint="eastAsia" w:ascii="黑体" w:hAnsi="黑体" w:eastAsia="黑体"/>
          <w:color w:val="auto"/>
          <w:sz w:val="24"/>
          <w:highlight w:val="none"/>
        </w:rPr>
        <w:t>七、其他补充事宜</w:t>
      </w:r>
      <w:bookmarkEnd w:id="43"/>
      <w:bookmarkEnd w:id="44"/>
      <w:bookmarkEnd w:id="45"/>
      <w:bookmarkEnd w:id="46"/>
    </w:p>
    <w:p w14:paraId="6B674456">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w:t>
      </w:r>
      <w:r>
        <w:rPr>
          <w:rFonts w:ascii="宋体" w:hAnsi="宋体" w:cs="宋体"/>
          <w:color w:val="auto"/>
          <w:kern w:val="0"/>
          <w:szCs w:val="21"/>
          <w:highlight w:val="none"/>
        </w:rPr>
        <w:t>.</w:t>
      </w:r>
      <w:r>
        <w:rPr>
          <w:rFonts w:hint="eastAsia" w:ascii="宋体" w:hAnsi="宋体" w:cs="宋体"/>
          <w:color w:val="auto"/>
          <w:kern w:val="0"/>
          <w:szCs w:val="21"/>
          <w:highlight w:val="none"/>
        </w:rPr>
        <w:t>网上查询地址</w:t>
      </w:r>
      <w:bookmarkStart w:id="47" w:name="_Hlk37429674"/>
      <w:bookmarkStart w:id="48" w:name="_Toc71366047"/>
      <w:bookmarkStart w:id="49" w:name="_Toc28359018"/>
      <w:bookmarkStart w:id="50" w:name="_Toc35393805"/>
      <w:bookmarkStart w:id="51" w:name="_Toc28359095"/>
      <w:bookmarkStart w:id="52" w:name="_Toc71365369"/>
      <w:bookmarkStart w:id="53" w:name="_Toc35393636"/>
    </w:p>
    <w:p w14:paraId="73B5975E">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中国政府采购网（www.ccgp.gov.cn）、广西壮族自治区政府采购网（zfcg.gxzf.gov.cn）。</w:t>
      </w:r>
    </w:p>
    <w:p w14:paraId="187CE25E">
      <w:pPr>
        <w:spacing w:line="400" w:lineRule="exact"/>
        <w:ind w:firstLine="420" w:firstLineChars="200"/>
        <w:rPr>
          <w:rFonts w:ascii="宋体" w:hAnsi="宋体" w:cs="宋体"/>
          <w:color w:val="auto"/>
          <w:kern w:val="0"/>
          <w:szCs w:val="21"/>
          <w:highlight w:val="none"/>
        </w:rPr>
      </w:pPr>
      <w:r>
        <w:rPr>
          <w:rFonts w:hint="eastAsia" w:ascii="宋体" w:hAnsi="宋体"/>
          <w:color w:val="auto"/>
          <w:szCs w:val="21"/>
          <w:highlight w:val="none"/>
        </w:rPr>
        <w:t>2</w:t>
      </w:r>
      <w:r>
        <w:rPr>
          <w:rFonts w:ascii="宋体" w:hAnsi="宋体"/>
          <w:color w:val="auto"/>
          <w:szCs w:val="21"/>
          <w:highlight w:val="none"/>
        </w:rPr>
        <w:t>.</w:t>
      </w:r>
      <w:r>
        <w:rPr>
          <w:rFonts w:hint="eastAsia" w:ascii="宋体" w:hAnsi="宋体" w:cs="宋体"/>
          <w:color w:val="auto"/>
          <w:kern w:val="0"/>
          <w:szCs w:val="21"/>
          <w:highlight w:val="none"/>
        </w:rPr>
        <w:t>本项目需要落实的政府采购政策</w:t>
      </w:r>
    </w:p>
    <w:p w14:paraId="0A04F550">
      <w:pPr>
        <w:spacing w:line="400" w:lineRule="exact"/>
        <w:ind w:firstLine="420" w:firstLineChars="200"/>
        <w:rPr>
          <w:rFonts w:ascii="宋体" w:hAnsi="宋体" w:cs="宋体"/>
          <w:iCs/>
          <w:color w:val="auto"/>
          <w:kern w:val="0"/>
          <w:szCs w:val="21"/>
          <w:highlight w:val="none"/>
        </w:rPr>
      </w:pPr>
      <w:r>
        <w:rPr>
          <w:rFonts w:hint="eastAsia" w:ascii="宋体" w:hAnsi="宋体" w:cs="宋体"/>
          <w:iCs/>
          <w:color w:val="auto"/>
          <w:kern w:val="0"/>
          <w:szCs w:val="21"/>
          <w:highlight w:val="none"/>
        </w:rPr>
        <w:t>（1）政府采购促进中小企业发展（本项目非专门面向中小企业采购）。</w:t>
      </w:r>
    </w:p>
    <w:p w14:paraId="7B43A446">
      <w:pPr>
        <w:spacing w:line="400" w:lineRule="exact"/>
        <w:ind w:firstLine="420" w:firstLineChars="200"/>
        <w:rPr>
          <w:rFonts w:ascii="宋体" w:hAnsi="宋体" w:cs="宋体"/>
          <w:iCs/>
          <w:color w:val="auto"/>
          <w:kern w:val="0"/>
          <w:szCs w:val="21"/>
          <w:highlight w:val="none"/>
        </w:rPr>
      </w:pPr>
      <w:r>
        <w:rPr>
          <w:rFonts w:hint="eastAsia" w:ascii="宋体" w:hAnsi="宋体" w:cs="宋体"/>
          <w:iCs/>
          <w:color w:val="auto"/>
          <w:kern w:val="0"/>
          <w:szCs w:val="21"/>
          <w:highlight w:val="none"/>
        </w:rPr>
        <w:t>（2）政府采购支持采用本国产品的政策。</w:t>
      </w:r>
    </w:p>
    <w:p w14:paraId="6D0203B1">
      <w:pPr>
        <w:spacing w:line="400" w:lineRule="exact"/>
        <w:ind w:firstLine="420" w:firstLineChars="200"/>
        <w:rPr>
          <w:rFonts w:ascii="宋体" w:hAnsi="宋体" w:cs="宋体"/>
          <w:iCs/>
          <w:color w:val="auto"/>
          <w:kern w:val="0"/>
          <w:szCs w:val="21"/>
          <w:highlight w:val="none"/>
        </w:rPr>
      </w:pPr>
      <w:r>
        <w:rPr>
          <w:rFonts w:hint="eastAsia" w:ascii="宋体" w:hAnsi="宋体" w:cs="宋体"/>
          <w:iCs/>
          <w:color w:val="auto"/>
          <w:kern w:val="0"/>
          <w:szCs w:val="21"/>
          <w:highlight w:val="none"/>
        </w:rPr>
        <w:t>（3）强制采购节能产品；优先采购节能产品、环境标志产品。</w:t>
      </w:r>
    </w:p>
    <w:p w14:paraId="01549DA8">
      <w:pPr>
        <w:spacing w:line="400" w:lineRule="exact"/>
        <w:ind w:firstLine="420" w:firstLineChars="200"/>
        <w:rPr>
          <w:rFonts w:ascii="宋体" w:hAnsi="宋体" w:cs="宋体"/>
          <w:iCs/>
          <w:color w:val="auto"/>
          <w:kern w:val="0"/>
          <w:szCs w:val="21"/>
          <w:highlight w:val="none"/>
        </w:rPr>
      </w:pPr>
      <w:r>
        <w:rPr>
          <w:rFonts w:hint="eastAsia" w:ascii="宋体" w:hAnsi="宋体" w:cs="宋体"/>
          <w:iCs/>
          <w:color w:val="auto"/>
          <w:kern w:val="0"/>
          <w:szCs w:val="21"/>
          <w:highlight w:val="none"/>
        </w:rPr>
        <w:t>（4）政府采购促进残疾人就业政策。</w:t>
      </w:r>
    </w:p>
    <w:p w14:paraId="2630EF5A">
      <w:pPr>
        <w:spacing w:line="400" w:lineRule="exact"/>
        <w:ind w:firstLine="420" w:firstLineChars="200"/>
        <w:rPr>
          <w:rFonts w:ascii="宋体" w:hAnsi="宋体" w:cs="宋体"/>
          <w:iCs/>
          <w:color w:val="auto"/>
          <w:kern w:val="0"/>
          <w:szCs w:val="21"/>
          <w:highlight w:val="none"/>
        </w:rPr>
      </w:pPr>
      <w:r>
        <w:rPr>
          <w:rFonts w:hint="eastAsia" w:ascii="宋体" w:hAnsi="宋体" w:cs="宋体"/>
          <w:iCs/>
          <w:color w:val="auto"/>
          <w:kern w:val="0"/>
          <w:szCs w:val="21"/>
          <w:highlight w:val="none"/>
        </w:rPr>
        <w:t>（5）政府采购支持监狱企业发展。</w:t>
      </w:r>
    </w:p>
    <w:p w14:paraId="3E5B27D0">
      <w:pPr>
        <w:spacing w:line="400" w:lineRule="exact"/>
        <w:ind w:firstLine="420" w:firstLineChars="200"/>
        <w:rPr>
          <w:rFonts w:ascii="宋体" w:hAnsi="宋体"/>
          <w:color w:val="auto"/>
          <w:szCs w:val="21"/>
          <w:highlight w:val="none"/>
        </w:rPr>
      </w:pPr>
      <w:r>
        <w:rPr>
          <w:rFonts w:hint="eastAsia" w:ascii="宋体" w:hAnsi="宋体" w:cs="宋体"/>
          <w:color w:val="auto"/>
          <w:kern w:val="0"/>
          <w:szCs w:val="21"/>
          <w:highlight w:val="none"/>
        </w:rPr>
        <w:t>3.供应商</w:t>
      </w:r>
      <w:r>
        <w:rPr>
          <w:rFonts w:hint="eastAsia" w:ascii="宋体" w:hAnsi="宋体"/>
          <w:color w:val="auto"/>
          <w:szCs w:val="21"/>
          <w:highlight w:val="none"/>
        </w:rPr>
        <w:t>竞标注意事项</w:t>
      </w:r>
    </w:p>
    <w:p w14:paraId="4A132CEB">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1）本项目为全流程电子化采购项目，通过广西政府采购云平台（www.gcy.zfcg.gxzf.gov.cn）实行在线电子竞标，供应商应按照本项目竞争性谈判文件和广西政府采购云平台的要求编制、加密后在提交响应文件截止时间前通过网络上传至 广西政府采购云平台（加密的电子响应文件是指后缀名为“jmbs”的文件），供应商在广西政府采购云平台提交电子响应文件时，请填写参加远程采购活动经办人联系方式。供应商登录广西政府采购云平台，依次进入“服务中心-项目采购-操作流程-电子招投标-政府采购项目电子交易管理操作指南-供应商”查看电子竞标具体操作流程。</w:t>
      </w:r>
    </w:p>
    <w:p w14:paraId="5CAF0724">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如在操作过程中遇到问题或者需要技术支持，请致电客服热线：95763或者0771-3381253）。</w:t>
      </w:r>
    </w:p>
    <w:p w14:paraId="41B1CCC4">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5D094921">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注：1）为确保网上操作合法、有效和安全，请供应商确保在电子竞标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48474D3B">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供应商需要在具备有摄像头及语音功能且互联网网络状况良好的电脑登录广西政府采购云平台远程开标大厅参与本次谈判，否则后果自负。</w:t>
      </w:r>
      <w:bookmarkEnd w:id="47"/>
    </w:p>
    <w:p w14:paraId="726AACE4">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lang w:val="en-US" w:eastAsia="zh-CN"/>
        </w:rPr>
        <w:t>4</w:t>
      </w:r>
      <w:r>
        <w:rPr>
          <w:rFonts w:hint="eastAsia" w:ascii="宋体" w:hAnsi="宋体"/>
          <w:color w:val="auto"/>
          <w:szCs w:val="21"/>
          <w:highlight w:val="none"/>
        </w:rPr>
        <w:t>.采购代理服务费：根据本项目委托代理协议，本项目采购代理服务费收取标准详见谈判文件“供应商须知前附表”第32.1条款规定，由成交供应商于获取成交通知书前向采购代理机构一次性付清。</w:t>
      </w:r>
    </w:p>
    <w:p w14:paraId="0177AC94">
      <w:pPr>
        <w:spacing w:line="400" w:lineRule="exact"/>
        <w:ind w:firstLine="480" w:firstLineChars="200"/>
        <w:rPr>
          <w:rFonts w:ascii="黑体" w:hAnsi="黑体" w:eastAsia="黑体"/>
          <w:color w:val="auto"/>
          <w:sz w:val="24"/>
          <w:highlight w:val="none"/>
        </w:rPr>
      </w:pPr>
      <w:r>
        <w:rPr>
          <w:rFonts w:hint="eastAsia" w:ascii="黑体" w:hAnsi="黑体" w:eastAsia="黑体"/>
          <w:color w:val="auto"/>
          <w:sz w:val="24"/>
          <w:highlight w:val="none"/>
        </w:rPr>
        <w:t>八、凡对本次采购提出询问，请按</w:t>
      </w:r>
      <w:r>
        <w:rPr>
          <w:rFonts w:ascii="黑体" w:hAnsi="黑体" w:eastAsia="黑体"/>
          <w:color w:val="auto"/>
          <w:sz w:val="24"/>
          <w:highlight w:val="none"/>
        </w:rPr>
        <w:t>以下方式</w:t>
      </w:r>
      <w:r>
        <w:rPr>
          <w:rFonts w:hint="eastAsia" w:ascii="黑体" w:hAnsi="黑体" w:eastAsia="黑体"/>
          <w:color w:val="auto"/>
          <w:sz w:val="24"/>
          <w:highlight w:val="none"/>
        </w:rPr>
        <w:t>联系。</w:t>
      </w:r>
      <w:bookmarkEnd w:id="48"/>
      <w:bookmarkEnd w:id="49"/>
      <w:bookmarkEnd w:id="50"/>
      <w:bookmarkEnd w:id="51"/>
      <w:bookmarkEnd w:id="52"/>
      <w:bookmarkEnd w:id="53"/>
      <w:bookmarkStart w:id="54" w:name="_Toc35393637"/>
      <w:bookmarkStart w:id="55" w:name="_Toc35393806"/>
      <w:bookmarkStart w:id="56" w:name="_Toc28359019"/>
      <w:bookmarkStart w:id="57" w:name="_Toc28359096"/>
    </w:p>
    <w:bookmarkEnd w:id="54"/>
    <w:bookmarkEnd w:id="55"/>
    <w:bookmarkEnd w:id="56"/>
    <w:bookmarkEnd w:id="57"/>
    <w:p w14:paraId="65C889B9">
      <w:pPr>
        <w:spacing w:line="40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1.采购人信息</w:t>
      </w:r>
    </w:p>
    <w:p w14:paraId="1CA0835A">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名称：桂林理工大学</w:t>
      </w:r>
    </w:p>
    <w:p w14:paraId="756B44E1">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地址：广西桂林市建干路12号</w:t>
      </w:r>
    </w:p>
    <w:p w14:paraId="51CC878B">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联系人：倪兰霞</w:t>
      </w:r>
    </w:p>
    <w:p w14:paraId="70EB7D2F">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联系方式：0773-5895090</w:t>
      </w:r>
    </w:p>
    <w:p w14:paraId="03C1848A">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2.采购代理机构信息</w:t>
      </w:r>
    </w:p>
    <w:p w14:paraId="7E44BAEB">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名称：云之龙咨询集团有限公司</w:t>
      </w:r>
    </w:p>
    <w:p w14:paraId="7F4D8441">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地址：广西桂林市临桂区西城北路2号耀辉•美好家园2幢12层1号房</w:t>
      </w:r>
    </w:p>
    <w:p w14:paraId="4533871E">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联系方式：0773-2887388、2887399</w:t>
      </w:r>
    </w:p>
    <w:p w14:paraId="2A2C5AB0">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3.项目联系方式</w:t>
      </w:r>
    </w:p>
    <w:p w14:paraId="4EE99150">
      <w:pPr>
        <w:spacing w:line="400" w:lineRule="exact"/>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rPr>
        <w:t>项目联系人：</w:t>
      </w:r>
      <w:r>
        <w:rPr>
          <w:rFonts w:hint="eastAsia" w:ascii="宋体" w:hAnsi="宋体"/>
          <w:color w:val="auto"/>
          <w:szCs w:val="21"/>
          <w:highlight w:val="none"/>
          <w:lang w:eastAsia="zh-CN"/>
        </w:rPr>
        <w:t>吕雯</w:t>
      </w:r>
      <w:r>
        <w:rPr>
          <w:rFonts w:hint="eastAsia" w:ascii="宋体" w:hAnsi="宋体"/>
          <w:color w:val="auto"/>
          <w:szCs w:val="21"/>
          <w:highlight w:val="none"/>
          <w:lang w:val="en-US" w:eastAsia="zh-CN"/>
        </w:rPr>
        <w:t xml:space="preserve"> 万紫琳</w:t>
      </w:r>
    </w:p>
    <w:p w14:paraId="76FB0B44">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电话：0773-2887388、2887399</w:t>
      </w:r>
      <w:r>
        <w:rPr>
          <w:rFonts w:hint="eastAsia" w:ascii="宋体" w:hAnsi="宋体"/>
          <w:color w:val="auto"/>
          <w:szCs w:val="21"/>
          <w:highlight w:val="none"/>
        </w:rPr>
        <w:t xml:space="preserve">                           </w:t>
      </w:r>
    </w:p>
    <w:bookmarkEnd w:id="6"/>
    <w:p w14:paraId="17EC24F8">
      <w:pPr>
        <w:spacing w:line="360" w:lineRule="auto"/>
        <w:jc w:val="center"/>
        <w:outlineLvl w:val="0"/>
        <w:rPr>
          <w:rFonts w:ascii="宋体" w:hAnsi="宋体"/>
          <w:b/>
          <w:color w:val="auto"/>
          <w:sz w:val="32"/>
          <w:szCs w:val="32"/>
          <w:highlight w:val="none"/>
        </w:rPr>
      </w:pPr>
      <w:bookmarkStart w:id="58" w:name="_Toc74322009"/>
      <w:r>
        <w:rPr>
          <w:rFonts w:ascii="宋体" w:hAnsi="宋体"/>
          <w:color w:val="auto"/>
          <w:szCs w:val="21"/>
          <w:highlight w:val="none"/>
        </w:rPr>
        <w:br w:type="page"/>
      </w:r>
      <w:bookmarkStart w:id="59" w:name="_Toc196311780"/>
      <w:r>
        <w:rPr>
          <w:rFonts w:hint="eastAsia" w:ascii="宋体" w:hAnsi="宋体"/>
          <w:b/>
          <w:color w:val="auto"/>
          <w:sz w:val="32"/>
          <w:szCs w:val="32"/>
          <w:highlight w:val="none"/>
        </w:rPr>
        <w:t>第二章 供应商须知</w:t>
      </w:r>
      <w:bookmarkEnd w:id="58"/>
      <w:bookmarkEnd w:id="59"/>
    </w:p>
    <w:p w14:paraId="5952FBE9">
      <w:pPr>
        <w:spacing w:line="400" w:lineRule="exact"/>
        <w:jc w:val="center"/>
        <w:rPr>
          <w:rFonts w:ascii="宋体" w:hAnsi="宋体"/>
          <w:b/>
          <w:color w:val="auto"/>
          <w:sz w:val="32"/>
          <w:szCs w:val="32"/>
          <w:highlight w:val="none"/>
        </w:rPr>
      </w:pPr>
      <w:r>
        <w:rPr>
          <w:rFonts w:hint="eastAsia" w:ascii="宋体" w:hAnsi="宋体"/>
          <w:b/>
          <w:color w:val="auto"/>
          <w:sz w:val="32"/>
          <w:szCs w:val="32"/>
          <w:highlight w:val="none"/>
        </w:rPr>
        <w:t>供应商须知前附表</w:t>
      </w:r>
    </w:p>
    <w:p w14:paraId="5F96EDDD">
      <w:pPr>
        <w:spacing w:line="400" w:lineRule="exact"/>
        <w:jc w:val="center"/>
        <w:rPr>
          <w:rFonts w:ascii="宋体" w:hAnsi="宋体"/>
          <w:b/>
          <w:color w:val="auto"/>
          <w:sz w:val="32"/>
          <w:szCs w:val="32"/>
          <w:highlight w:val="none"/>
        </w:rPr>
      </w:pPr>
    </w:p>
    <w:tbl>
      <w:tblPr>
        <w:tblStyle w:val="26"/>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2A315D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14:paraId="3C30176B">
            <w:pPr>
              <w:spacing w:line="400" w:lineRule="exact"/>
              <w:jc w:val="center"/>
              <w:rPr>
                <w:rFonts w:ascii="宋体" w:hAnsi="宋体" w:cs="宋体"/>
                <w:b/>
                <w:bCs/>
                <w:color w:val="auto"/>
                <w:szCs w:val="21"/>
                <w:highlight w:val="none"/>
              </w:rPr>
            </w:pPr>
            <w:r>
              <w:rPr>
                <w:rFonts w:hint="eastAsia" w:ascii="宋体" w:hAnsi="宋体" w:cs="宋体"/>
                <w:b/>
                <w:bCs/>
                <w:color w:val="auto"/>
                <w:szCs w:val="21"/>
                <w:highlight w:val="none"/>
              </w:rPr>
              <w:t>条款号</w:t>
            </w:r>
          </w:p>
        </w:tc>
        <w:tc>
          <w:tcPr>
            <w:tcW w:w="7912" w:type="dxa"/>
          </w:tcPr>
          <w:p w14:paraId="1BFF3F70">
            <w:pPr>
              <w:spacing w:line="400" w:lineRule="exact"/>
              <w:jc w:val="center"/>
              <w:rPr>
                <w:rFonts w:ascii="宋体" w:hAnsi="宋体" w:cs="宋体"/>
                <w:b/>
                <w:bCs/>
                <w:color w:val="auto"/>
                <w:szCs w:val="21"/>
                <w:highlight w:val="none"/>
              </w:rPr>
            </w:pPr>
            <w:r>
              <w:rPr>
                <w:rFonts w:hint="eastAsia" w:ascii="宋体" w:hAnsi="宋体" w:cs="宋体"/>
                <w:b/>
                <w:bCs/>
                <w:color w:val="auto"/>
                <w:szCs w:val="21"/>
                <w:highlight w:val="none"/>
              </w:rPr>
              <w:t>内容</w:t>
            </w:r>
          </w:p>
        </w:tc>
      </w:tr>
      <w:tr w14:paraId="05E0C4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2E8E242">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3</w:t>
            </w:r>
          </w:p>
        </w:tc>
        <w:tc>
          <w:tcPr>
            <w:tcW w:w="7912" w:type="dxa"/>
            <w:vAlign w:val="center"/>
          </w:tcPr>
          <w:p w14:paraId="7B3CD4D1">
            <w:pPr>
              <w:spacing w:line="400" w:lineRule="exact"/>
              <w:rPr>
                <w:rFonts w:ascii="宋体" w:hAnsi="宋体" w:cs="宋体"/>
                <w:color w:val="auto"/>
                <w:szCs w:val="21"/>
                <w:highlight w:val="none"/>
              </w:rPr>
            </w:pPr>
            <w:r>
              <w:rPr>
                <w:rFonts w:hint="eastAsia" w:ascii="宋体" w:hAnsi="宋体" w:cs="宋体"/>
                <w:color w:val="auto"/>
                <w:szCs w:val="21"/>
                <w:highlight w:val="none"/>
              </w:rPr>
              <w:t>1.供应商的资格条件：详见竞争性谈判公告或者竞标邀请函</w:t>
            </w:r>
          </w:p>
          <w:p w14:paraId="67BD43C5">
            <w:pPr>
              <w:spacing w:line="400" w:lineRule="exac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Cs/>
                <w:color w:val="auto"/>
                <w:szCs w:val="21"/>
                <w:highlight w:val="none"/>
              </w:rPr>
              <w:t>供应商</w:t>
            </w:r>
            <w:r>
              <w:rPr>
                <w:rFonts w:hint="eastAsia" w:ascii="宋体" w:hAnsi="宋体" w:cs="宋体"/>
                <w:color w:val="auto"/>
                <w:szCs w:val="21"/>
                <w:highlight w:val="none"/>
              </w:rPr>
              <w:t>出现下列情形之一的，不得参加政府采购活动：</w:t>
            </w:r>
          </w:p>
          <w:p w14:paraId="62DDC17E">
            <w:pPr>
              <w:spacing w:line="400" w:lineRule="exact"/>
              <w:rPr>
                <w:rFonts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054F24F">
            <w:pPr>
              <w:spacing w:line="400" w:lineRule="exact"/>
              <w:rPr>
                <w:rFonts w:ascii="宋体" w:hAnsi="宋体" w:cs="宋体"/>
                <w:color w:val="auto"/>
                <w:szCs w:val="21"/>
                <w:highlight w:val="none"/>
              </w:rPr>
            </w:pPr>
            <w:r>
              <w:rPr>
                <w:rFonts w:hint="eastAsia" w:ascii="宋体" w:hAnsi="宋体" w:cs="宋体"/>
                <w:color w:val="auto"/>
                <w:szCs w:val="21"/>
                <w:highlight w:val="none"/>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62A74B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jc w:val="center"/>
        </w:trPr>
        <w:tc>
          <w:tcPr>
            <w:tcW w:w="992" w:type="dxa"/>
            <w:vAlign w:val="center"/>
          </w:tcPr>
          <w:p w14:paraId="1AD969B8">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5.1</w:t>
            </w:r>
          </w:p>
        </w:tc>
        <w:tc>
          <w:tcPr>
            <w:tcW w:w="7912" w:type="dxa"/>
            <w:vAlign w:val="center"/>
          </w:tcPr>
          <w:p w14:paraId="21B97417">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是否接受联合体竞标：详见竞争性谈判公告。</w:t>
            </w:r>
          </w:p>
        </w:tc>
      </w:tr>
      <w:tr w14:paraId="2525C9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701BF77">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.2</w:t>
            </w:r>
          </w:p>
        </w:tc>
        <w:tc>
          <w:tcPr>
            <w:tcW w:w="7912" w:type="dxa"/>
            <w:vAlign w:val="center"/>
          </w:tcPr>
          <w:p w14:paraId="291B0BED">
            <w:pPr>
              <w:spacing w:line="400" w:lineRule="exact"/>
              <w:rPr>
                <w:rFonts w:ascii="宋体" w:hAnsi="宋体" w:cs="宋体"/>
                <w:color w:val="auto"/>
                <w:szCs w:val="21"/>
                <w:highlight w:val="none"/>
              </w:rPr>
            </w:pPr>
            <w:r>
              <w:rPr>
                <w:rFonts w:hint="eastAsia" w:ascii="宋体" w:hAnsi="宋体"/>
                <w:color w:val="auto"/>
                <w:szCs w:val="21"/>
                <w:highlight w:val="none"/>
              </w:rPr>
              <w:t>如接受联合体竞标，联合体竞标要求如下（如不接受联合体竞标的，此条忽略）：</w:t>
            </w:r>
          </w:p>
          <w:p w14:paraId="0DA558D2">
            <w:pPr>
              <w:spacing w:line="400" w:lineRule="exact"/>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两个以上供应商可以组成一个竞标联合体，以一个供应商的身份共同参加竞标。联合体竞标的，须提供《联合体竞标协议书》（格式后附）。</w:t>
            </w:r>
          </w:p>
          <w:p w14:paraId="1B4D1BFA">
            <w:pPr>
              <w:spacing w:line="400" w:lineRule="exact"/>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w:t>
            </w:r>
            <w:r>
              <w:rPr>
                <w:rFonts w:hint="eastAsia" w:ascii="宋体" w:hAnsi="宋体" w:cs="宋体"/>
                <w:color w:val="auto"/>
                <w:szCs w:val="21"/>
                <w:highlight w:val="none"/>
              </w:rPr>
              <w:t>以联合体形式参加竞标的，联合体各方均须具备《中华人民共和国政府采购法》第二十二条第一款规定的基本条件（涉及行政许可范围的内容，联合体各方均应具备相应资质）。本项目有特殊要求规定供应商特定条件的，联合体各方中至少有一方必须符合谈判文件规定的特定条件。</w:t>
            </w:r>
          </w:p>
          <w:p w14:paraId="7836F552">
            <w:pPr>
              <w:spacing w:line="400" w:lineRule="exact"/>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w:t>
            </w:r>
            <w:r>
              <w:rPr>
                <w:rFonts w:hint="eastAsia" w:ascii="宋体" w:hAnsi="宋体" w:cs="宋体"/>
                <w:color w:val="auto"/>
                <w:szCs w:val="21"/>
                <w:highlight w:val="none"/>
              </w:rPr>
              <w:t>联合体各方之间必须签订联合竞标协议，协议书必须明确主体方（或者牵头方）并明确约定联合体各方承担的工作和相应的责任（各方承担责任与义务的分工必须符合采购需求，否则，联合体竞标无效），并将联合竞标协议连同响应文件一并提交采购代理机构。联合体各方必须共同与采购人签订采购合同，就采购合同约定的事项对采购人承担连带责任。</w:t>
            </w:r>
          </w:p>
          <w:p w14:paraId="6F6E5122">
            <w:pPr>
              <w:spacing w:line="400" w:lineRule="exact"/>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以联合体形式参加政府采购活动的，联合体各方不得再单独参加或者与其他供应商另外组成联合体参加同一合同项下的政府采购活动。</w:t>
            </w:r>
          </w:p>
          <w:p w14:paraId="762B796A">
            <w:pPr>
              <w:spacing w:line="400" w:lineRule="exact"/>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w:t>
            </w:r>
            <w:r>
              <w:rPr>
                <w:rFonts w:hint="eastAsia" w:ascii="宋体" w:hAnsi="宋体" w:cs="宋体"/>
                <w:color w:val="auto"/>
                <w:szCs w:val="21"/>
                <w:highlight w:val="none"/>
              </w:rPr>
              <w:t>联合体中有同类资质的供应商按照联合体分工承担相同工作的，应当按照资质等级较低的供应商确定资质等级。</w:t>
            </w:r>
          </w:p>
          <w:p w14:paraId="7CDDBF48">
            <w:pPr>
              <w:spacing w:line="400" w:lineRule="exact"/>
              <w:rPr>
                <w:rFonts w:ascii="宋体" w:hAnsi="宋体" w:cs="宋体"/>
                <w:color w:val="auto"/>
                <w:szCs w:val="21"/>
                <w:highlight w:val="none"/>
              </w:rPr>
            </w:pPr>
            <w:r>
              <w:rPr>
                <w:rFonts w:hint="eastAsia" w:ascii="宋体" w:hAnsi="宋体" w:cs="宋体"/>
                <w:color w:val="auto"/>
                <w:szCs w:val="21"/>
                <w:highlight w:val="none"/>
              </w:rPr>
              <w:t>6</w:t>
            </w:r>
            <w:r>
              <w:rPr>
                <w:rFonts w:ascii="宋体" w:hAnsi="宋体" w:cs="宋体"/>
                <w:color w:val="auto"/>
                <w:szCs w:val="21"/>
                <w:highlight w:val="none"/>
              </w:rPr>
              <w:t>.</w:t>
            </w:r>
            <w:r>
              <w:rPr>
                <w:rFonts w:hint="eastAsia" w:ascii="宋体" w:hAnsi="宋体" w:cs="宋体"/>
                <w:color w:val="auto"/>
                <w:szCs w:val="21"/>
                <w:highlight w:val="none"/>
              </w:rPr>
              <w:t>联合体竞标业绩、履约能力按照联合体各方中较高的一方认定并计算。</w:t>
            </w:r>
          </w:p>
          <w:p w14:paraId="62001D06">
            <w:pPr>
              <w:spacing w:line="400" w:lineRule="exact"/>
              <w:rPr>
                <w:rFonts w:ascii="宋体" w:hAnsi="宋体" w:cs="宋体"/>
                <w:color w:val="auto"/>
                <w:szCs w:val="21"/>
                <w:highlight w:val="none"/>
              </w:rPr>
            </w:pPr>
            <w:r>
              <w:rPr>
                <w:rFonts w:hint="eastAsia" w:ascii="宋体" w:hAnsi="宋体" w:cs="宋体"/>
                <w:color w:val="auto"/>
                <w:szCs w:val="21"/>
                <w:highlight w:val="none"/>
              </w:rPr>
              <w:t>7</w:t>
            </w:r>
            <w:r>
              <w:rPr>
                <w:rFonts w:ascii="宋体" w:hAnsi="宋体" w:cs="宋体"/>
                <w:color w:val="auto"/>
                <w:szCs w:val="21"/>
                <w:highlight w:val="none"/>
              </w:rPr>
              <w:t>.</w:t>
            </w:r>
            <w:r>
              <w:rPr>
                <w:rFonts w:hint="eastAsia" w:ascii="宋体" w:hAnsi="宋体" w:cs="宋体"/>
                <w:color w:val="auto"/>
                <w:szCs w:val="21"/>
                <w:highlight w:val="none"/>
              </w:rPr>
              <w:t>供应商为联合体的，可以由联合体中的一方或者多方共同交纳保证金，其交纳的保证金对联合体各方均具有约束力。</w:t>
            </w:r>
          </w:p>
          <w:p w14:paraId="3966505D">
            <w:pPr>
              <w:spacing w:line="400" w:lineRule="exact"/>
              <w:rPr>
                <w:rFonts w:ascii="宋体" w:hAnsi="宋体" w:cs="宋体"/>
                <w:color w:val="auto"/>
                <w:szCs w:val="21"/>
                <w:highlight w:val="none"/>
              </w:rPr>
            </w:pPr>
            <w:r>
              <w:rPr>
                <w:rFonts w:hint="eastAsia" w:ascii="宋体" w:hAnsi="宋体" w:cs="宋体"/>
                <w:color w:val="auto"/>
                <w:szCs w:val="21"/>
                <w:highlight w:val="none"/>
              </w:rPr>
              <w:t>8</w:t>
            </w:r>
            <w:r>
              <w:rPr>
                <w:rFonts w:ascii="宋体" w:hAnsi="宋体" w:cs="宋体"/>
                <w:color w:val="auto"/>
                <w:szCs w:val="21"/>
                <w:highlight w:val="none"/>
              </w:rPr>
              <w:t>.</w:t>
            </w:r>
            <w:r>
              <w:rPr>
                <w:rFonts w:hint="eastAsia" w:ascii="宋体" w:hAnsi="宋体" w:cs="宋体"/>
                <w:color w:val="auto"/>
                <w:szCs w:val="21"/>
                <w:highlight w:val="none"/>
              </w:rPr>
              <w:t>联合体各方均应按照谈判文件的规定分别提交资格证明文件。</w:t>
            </w:r>
          </w:p>
        </w:tc>
      </w:tr>
      <w:tr w14:paraId="2647E0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5BC1C16">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6.2</w:t>
            </w:r>
          </w:p>
        </w:tc>
        <w:tc>
          <w:tcPr>
            <w:tcW w:w="7912" w:type="dxa"/>
            <w:vAlign w:val="center"/>
          </w:tcPr>
          <w:p w14:paraId="0C8E4493">
            <w:pPr>
              <w:pStyle w:val="10"/>
              <w:spacing w:line="400" w:lineRule="exact"/>
              <w:rPr>
                <w:color w:val="auto"/>
                <w:highlight w:val="none"/>
              </w:rPr>
            </w:pPr>
            <w:r>
              <w:rPr>
                <w:rFonts w:ascii="Wingdings 2" w:hAnsi="Wingdings 2"/>
                <w:color w:val="auto"/>
                <w:highlight w:val="none"/>
              </w:rPr>
              <w:sym w:font="Wingdings" w:char="F0FE"/>
            </w:r>
            <w:r>
              <w:rPr>
                <w:rFonts w:hint="eastAsia"/>
                <w:color w:val="auto"/>
                <w:highlight w:val="none"/>
              </w:rPr>
              <w:t>不允许分包</w:t>
            </w:r>
          </w:p>
          <w:p w14:paraId="48E960F1">
            <w:pPr>
              <w:pStyle w:val="10"/>
              <w:spacing w:line="400" w:lineRule="exact"/>
              <w:rPr>
                <w:color w:val="auto"/>
                <w:highlight w:val="none"/>
              </w:rPr>
            </w:pPr>
            <w:r>
              <w:rPr>
                <w:rFonts w:hint="eastAsia"/>
                <w:color w:val="auto"/>
                <w:highlight w:val="none"/>
              </w:rPr>
              <w:t>□允许分包</w:t>
            </w:r>
          </w:p>
          <w:p w14:paraId="3C38D777">
            <w:pPr>
              <w:pStyle w:val="10"/>
              <w:spacing w:line="400" w:lineRule="exact"/>
              <w:rPr>
                <w:color w:val="auto"/>
                <w:highlight w:val="none"/>
                <w:u w:val="single"/>
              </w:rPr>
            </w:pPr>
            <w:r>
              <w:rPr>
                <w:rFonts w:hint="eastAsia"/>
                <w:color w:val="auto"/>
                <w:highlight w:val="none"/>
              </w:rPr>
              <w:t>分包内容：</w:t>
            </w:r>
            <w:r>
              <w:rPr>
                <w:rFonts w:hint="eastAsia"/>
                <w:color w:val="auto"/>
                <w:highlight w:val="none"/>
                <w:u w:val="single"/>
              </w:rPr>
              <w:t xml:space="preserve">       \        </w:t>
            </w:r>
            <w:r>
              <w:rPr>
                <w:rFonts w:hint="eastAsia"/>
                <w:color w:val="auto"/>
                <w:highlight w:val="none"/>
              </w:rPr>
              <w:t>。</w:t>
            </w:r>
          </w:p>
          <w:p w14:paraId="6BAEC8DE">
            <w:pPr>
              <w:pStyle w:val="10"/>
              <w:spacing w:line="400" w:lineRule="exact"/>
              <w:rPr>
                <w:color w:val="auto"/>
                <w:highlight w:val="none"/>
                <w:u w:val="single"/>
              </w:rPr>
            </w:pPr>
            <w:r>
              <w:rPr>
                <w:rFonts w:hint="eastAsia"/>
                <w:color w:val="auto"/>
                <w:highlight w:val="none"/>
              </w:rPr>
              <w:t>分包金额或者比例：</w:t>
            </w:r>
            <w:r>
              <w:rPr>
                <w:rFonts w:hint="eastAsia"/>
                <w:color w:val="auto"/>
                <w:highlight w:val="none"/>
                <w:u w:val="single"/>
              </w:rPr>
              <w:t xml:space="preserve">      \     </w:t>
            </w:r>
          </w:p>
          <w:p w14:paraId="2B5CE848">
            <w:pPr>
              <w:pStyle w:val="10"/>
              <w:spacing w:line="400" w:lineRule="exact"/>
              <w:rPr>
                <w:color w:val="auto"/>
                <w:highlight w:val="none"/>
                <w:u w:val="single"/>
              </w:rPr>
            </w:pPr>
            <w:r>
              <w:rPr>
                <w:rFonts w:hint="eastAsia" w:ascii="宋体" w:hAnsi="宋体"/>
                <w:color w:val="auto"/>
                <w:highlight w:val="none"/>
              </w:rPr>
              <w:t>分包供应商必须具备的资质：</w:t>
            </w:r>
            <w:r>
              <w:rPr>
                <w:rFonts w:hint="eastAsia"/>
                <w:color w:val="auto"/>
                <w:highlight w:val="none"/>
                <w:u w:val="single"/>
              </w:rPr>
              <w:t xml:space="preserve">      \     </w:t>
            </w:r>
          </w:p>
        </w:tc>
      </w:tr>
      <w:tr w14:paraId="6A7405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E8BFA73">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7.1</w:t>
            </w:r>
          </w:p>
        </w:tc>
        <w:tc>
          <w:tcPr>
            <w:tcW w:w="7912" w:type="dxa"/>
            <w:vAlign w:val="center"/>
          </w:tcPr>
          <w:p w14:paraId="4B13E345">
            <w:pPr>
              <w:autoSpaceDE w:val="0"/>
              <w:autoSpaceDN w:val="0"/>
              <w:snapToGrid w:val="0"/>
              <w:spacing w:line="400" w:lineRule="exact"/>
              <w:textAlignment w:val="bottom"/>
              <w:rPr>
                <w:rFonts w:ascii="宋体" w:hAnsi="宋体"/>
                <w:color w:val="auto"/>
                <w:szCs w:val="21"/>
                <w:highlight w:val="none"/>
              </w:rPr>
            </w:pPr>
            <w:r>
              <w:rPr>
                <w:rFonts w:hint="eastAsia" w:ascii="宋体" w:hAnsi="宋体"/>
                <w:color w:val="auto"/>
                <w:szCs w:val="21"/>
                <w:highlight w:val="none"/>
              </w:rPr>
              <w:t>提供相同品牌产品（非单一产品采购项目的，指核心产品）的不同供应商最后报价相同时，按照下列方式确定一个供应商获得成交人推荐资格：</w:t>
            </w:r>
          </w:p>
          <w:p w14:paraId="5502B192">
            <w:pPr>
              <w:autoSpaceDE w:val="0"/>
              <w:autoSpaceDN w:val="0"/>
              <w:snapToGrid w:val="0"/>
              <w:spacing w:line="400" w:lineRule="exact"/>
              <w:textAlignment w:val="bottom"/>
              <w:rPr>
                <w:rFonts w:ascii="宋体" w:hAnsi="宋体"/>
                <w:color w:val="auto"/>
                <w:szCs w:val="21"/>
                <w:highlight w:val="none"/>
              </w:rPr>
            </w:pPr>
            <w:r>
              <w:rPr>
                <w:rFonts w:hint="eastAsia"/>
                <w:color w:val="auto"/>
                <w:highlight w:val="none"/>
              </w:rPr>
              <w:t>□</w:t>
            </w:r>
            <w:r>
              <w:rPr>
                <w:rFonts w:hint="eastAsia" w:ascii="宋体" w:hAnsi="宋体"/>
                <w:color w:val="auto"/>
                <w:szCs w:val="21"/>
                <w:highlight w:val="none"/>
              </w:rPr>
              <w:t>随机抽取；</w:t>
            </w:r>
          </w:p>
          <w:p w14:paraId="63631045">
            <w:pPr>
              <w:pStyle w:val="10"/>
              <w:spacing w:line="400" w:lineRule="exact"/>
              <w:rPr>
                <w:rFonts w:ascii="宋体" w:hAnsi="宋体"/>
                <w:color w:val="auto"/>
                <w:highlight w:val="none"/>
              </w:rPr>
            </w:pPr>
            <w:r>
              <w:rPr>
                <w:rFonts w:ascii="Wingdings 2" w:hAnsi="Wingdings 2"/>
                <w:color w:val="auto"/>
                <w:highlight w:val="none"/>
              </w:rPr>
              <w:sym w:font="Wingdings" w:char="00FE"/>
            </w:r>
            <w:r>
              <w:rPr>
                <w:color w:val="auto"/>
                <w:highlight w:val="none"/>
              </w:rPr>
              <w:t>依次按</w:t>
            </w:r>
            <w:r>
              <w:rPr>
                <w:rFonts w:hint="eastAsia"/>
                <w:color w:val="auto"/>
                <w:highlight w:val="none"/>
              </w:rPr>
              <w:t>最后</w:t>
            </w:r>
            <w:r>
              <w:rPr>
                <w:color w:val="auto"/>
                <w:highlight w:val="none"/>
              </w:rPr>
              <w:t>报价低的优先、节能、环保产品累计金额高的优先、正偏离项数多的优先、</w:t>
            </w:r>
            <w:r>
              <w:rPr>
                <w:rFonts w:hint="eastAsia"/>
                <w:color w:val="auto"/>
                <w:highlight w:val="none"/>
              </w:rPr>
              <w:t>保修期</w:t>
            </w:r>
            <w:r>
              <w:rPr>
                <w:color w:val="auto"/>
                <w:highlight w:val="none"/>
              </w:rPr>
              <w:t>长优先、</w:t>
            </w:r>
            <w:r>
              <w:rPr>
                <w:rFonts w:hint="eastAsia"/>
                <w:color w:val="auto"/>
                <w:highlight w:val="none"/>
              </w:rPr>
              <w:t>交付时间</w:t>
            </w:r>
            <w:r>
              <w:rPr>
                <w:color w:val="auto"/>
                <w:highlight w:val="none"/>
              </w:rPr>
              <w:t>短优先、故障响应时间短优先的顺序推荐。</w:t>
            </w:r>
          </w:p>
        </w:tc>
      </w:tr>
      <w:tr w14:paraId="58D34E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0142D4B">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12.1</w:t>
            </w:r>
            <w:r>
              <w:rPr>
                <w:rFonts w:ascii="宋体" w:hAnsi="宋体" w:cs="宋体"/>
                <w:color w:val="auto"/>
                <w:szCs w:val="21"/>
                <w:highlight w:val="none"/>
              </w:rPr>
              <w:t>.1</w:t>
            </w:r>
          </w:p>
        </w:tc>
        <w:tc>
          <w:tcPr>
            <w:tcW w:w="7912" w:type="dxa"/>
            <w:vAlign w:val="center"/>
          </w:tcPr>
          <w:p w14:paraId="211A41B5">
            <w:pPr>
              <w:snapToGrid w:val="0"/>
              <w:spacing w:line="400" w:lineRule="exact"/>
              <w:rPr>
                <w:rFonts w:ascii="宋体" w:hAnsi="宋体" w:cs="宋体"/>
                <w:b/>
                <w:color w:val="auto"/>
                <w:szCs w:val="21"/>
                <w:highlight w:val="none"/>
              </w:rPr>
            </w:pPr>
            <w:r>
              <w:rPr>
                <w:rFonts w:hint="eastAsia" w:ascii="宋体" w:hAnsi="宋体" w:cs="宋体"/>
                <w:b/>
                <w:color w:val="auto"/>
                <w:szCs w:val="21"/>
                <w:highlight w:val="none"/>
              </w:rPr>
              <w:t>资格证明文件</w:t>
            </w:r>
          </w:p>
          <w:p w14:paraId="07577DB9">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1.供应商为法人或者其他组织的提供其营业执照等证明文件【</w:t>
            </w:r>
            <w:r>
              <w:rPr>
                <w:rFonts w:hint="eastAsia" w:ascii="宋体" w:hAnsi="宋体"/>
                <w:color w:val="auto"/>
                <w:highlight w:val="none"/>
              </w:rPr>
              <w:t>供应商为企业法人的，应当提供其有效的营业执照复印件；供应商为企业法人的分支机构</w:t>
            </w:r>
            <w:r>
              <w:rPr>
                <w:color w:val="auto"/>
                <w:highlight w:val="none"/>
              </w:rPr>
              <w:t>(</w:t>
            </w:r>
            <w:r>
              <w:rPr>
                <w:rFonts w:hint="eastAsia" w:ascii="宋体" w:hAnsi="宋体"/>
                <w:color w:val="auto"/>
                <w:highlight w:val="none"/>
              </w:rPr>
              <w:t>分公司</w:t>
            </w:r>
            <w:r>
              <w:rPr>
                <w:color w:val="auto"/>
                <w:highlight w:val="none"/>
              </w:rPr>
              <w:t>)</w:t>
            </w:r>
            <w:r>
              <w:rPr>
                <w:rFonts w:hint="eastAsia" w:ascii="宋体" w:hAnsi="宋体"/>
                <w:color w:val="auto"/>
                <w:highlight w:val="none"/>
              </w:rPr>
              <w:t>的，应当提供其有效的分支机构</w:t>
            </w:r>
            <w:r>
              <w:rPr>
                <w:rFonts w:hint="eastAsia"/>
                <w:color w:val="auto"/>
                <w:highlight w:val="none"/>
              </w:rPr>
              <w:t>（</w:t>
            </w:r>
            <w:r>
              <w:rPr>
                <w:rFonts w:hint="eastAsia" w:ascii="宋体" w:hAnsi="宋体"/>
                <w:color w:val="auto"/>
                <w:highlight w:val="none"/>
              </w:rPr>
              <w:t>分公司</w:t>
            </w:r>
            <w:r>
              <w:rPr>
                <w:rFonts w:hint="eastAsia"/>
                <w:color w:val="auto"/>
                <w:highlight w:val="none"/>
              </w:rPr>
              <w:t>）</w:t>
            </w:r>
            <w:r>
              <w:rPr>
                <w:rFonts w:hint="eastAsia" w:ascii="宋体" w:hAnsi="宋体"/>
                <w:color w:val="auto"/>
                <w:highlight w:val="none"/>
              </w:rPr>
              <w:t>营业执照复印件和总部</w:t>
            </w:r>
            <w:r>
              <w:rPr>
                <w:color w:val="auto"/>
                <w:highlight w:val="none"/>
              </w:rPr>
              <w:t>/</w:t>
            </w:r>
            <w:r>
              <w:rPr>
                <w:rFonts w:hint="eastAsia" w:ascii="宋体" w:hAnsi="宋体"/>
                <w:color w:val="auto"/>
                <w:highlight w:val="none"/>
              </w:rPr>
              <w:t>总公司的授权书原件（格式自拟）；供应商为事业单位的，应当提供其有效的事业单位法人证书。供应商为自然人的，应当提供其有效身份证复印件</w:t>
            </w:r>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27ECF77">
            <w:pPr>
              <w:spacing w:line="400" w:lineRule="exact"/>
              <w:contextualSpacing/>
              <w:rPr>
                <w:rFonts w:ascii="宋体" w:hAnsi="宋体" w:cs="宋体"/>
                <w:color w:val="auto"/>
                <w:szCs w:val="21"/>
                <w:highlight w:val="none"/>
              </w:rPr>
            </w:pPr>
            <w:r>
              <w:rPr>
                <w:rFonts w:hint="eastAsia" w:ascii="宋体" w:hAnsi="宋体" w:cs="宋体"/>
                <w:color w:val="auto"/>
                <w:szCs w:val="21"/>
                <w:highlight w:val="none"/>
              </w:rPr>
              <w:t>2.供应商依法缴纳税收的相关材料（</w:t>
            </w:r>
            <w:r>
              <w:rPr>
                <w:rFonts w:hint="eastAsia" w:ascii="宋体" w:hAnsi="宋体" w:cs="宋体"/>
                <w:color w:val="auto"/>
                <w:szCs w:val="21"/>
                <w:highlight w:val="none"/>
                <w:u w:val="single"/>
              </w:rPr>
              <w:t>20</w:t>
            </w:r>
            <w:r>
              <w:rPr>
                <w:rFonts w:ascii="宋体" w:hAnsi="宋体" w:cs="宋体"/>
                <w:color w:val="auto"/>
                <w:szCs w:val="21"/>
                <w:highlight w:val="none"/>
                <w:u w:val="single"/>
              </w:rPr>
              <w:t>2</w:t>
            </w:r>
            <w:r>
              <w:rPr>
                <w:rFonts w:hint="eastAsia" w:ascii="宋体" w:hAnsi="宋体" w:cs="宋体"/>
                <w:color w:val="auto"/>
                <w:szCs w:val="21"/>
                <w:highlight w:val="none"/>
                <w:u w:val="single"/>
              </w:rPr>
              <w:t>6</w:t>
            </w:r>
            <w:r>
              <w:rPr>
                <w:rFonts w:hint="eastAsia" w:ascii="宋体" w:hAnsi="宋体" w:cs="宋体"/>
                <w:color w:val="auto"/>
                <w:szCs w:val="21"/>
                <w:highlight w:val="none"/>
              </w:rPr>
              <w:t>年</w:t>
            </w:r>
            <w:r>
              <w:rPr>
                <w:rFonts w:hint="eastAsia" w:ascii="宋体" w:hAnsi="宋体" w:cs="宋体"/>
                <w:color w:val="auto"/>
                <w:szCs w:val="21"/>
                <w:highlight w:val="none"/>
                <w:u w:val="single"/>
              </w:rPr>
              <w:t>1</w:t>
            </w:r>
            <w:r>
              <w:rPr>
                <w:rFonts w:hint="eastAsia" w:ascii="宋体" w:hAnsi="宋体" w:cs="宋体"/>
                <w:color w:val="auto"/>
                <w:szCs w:val="21"/>
                <w:highlight w:val="none"/>
              </w:rPr>
              <w:t>月以来任意</w:t>
            </w:r>
            <w:r>
              <w:rPr>
                <w:rFonts w:hint="eastAsia" w:ascii="宋体" w:hAnsi="宋体" w:cs="宋体"/>
                <w:color w:val="auto"/>
                <w:szCs w:val="21"/>
                <w:highlight w:val="none"/>
                <w:u w:val="single"/>
              </w:rPr>
              <w:t>1</w:t>
            </w:r>
            <w:r>
              <w:rPr>
                <w:rFonts w:hint="eastAsia" w:ascii="宋体" w:hAnsi="宋体" w:cs="宋体"/>
                <w:color w:val="auto"/>
                <w:szCs w:val="21"/>
                <w:highlight w:val="none"/>
              </w:rPr>
              <w:t>个月的依法缴纳税收的凭据复印件；</w:t>
            </w:r>
            <w:r>
              <w:rPr>
                <w:rFonts w:hint="eastAsia"/>
                <w:color w:val="auto"/>
                <w:highlight w:val="none"/>
              </w:rPr>
              <w:t>依法免税的，必须提供相应文件证明其依法免税。</w:t>
            </w:r>
            <w:r>
              <w:rPr>
                <w:rFonts w:hint="eastAsia" w:ascii="宋体" w:hAnsi="宋体" w:cs="宋体"/>
                <w:color w:val="auto"/>
                <w:szCs w:val="21"/>
                <w:highlight w:val="none"/>
              </w:rPr>
              <w:t>从</w:t>
            </w:r>
            <w:r>
              <w:rPr>
                <w:color w:val="auto"/>
                <w:szCs w:val="21"/>
                <w:highlight w:val="none"/>
              </w:rPr>
              <w:t>成立</w:t>
            </w:r>
            <w:r>
              <w:rPr>
                <w:rFonts w:hint="eastAsia"/>
                <w:color w:val="auto"/>
                <w:szCs w:val="21"/>
                <w:highlight w:val="none"/>
              </w:rPr>
              <w:t>之日起</w:t>
            </w:r>
            <w:r>
              <w:rPr>
                <w:rFonts w:hint="eastAsia" w:ascii="宋体" w:hAnsi="宋体" w:cs="宋体"/>
                <w:color w:val="auto"/>
                <w:szCs w:val="21"/>
                <w:highlight w:val="none"/>
              </w:rPr>
              <w:t>到响应文件提交截止时间止不足1个月的，无需提供）；（</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15E9D6FC">
            <w:pPr>
              <w:spacing w:line="400" w:lineRule="exact"/>
              <w:contextualSpacing/>
              <w:rPr>
                <w:rFonts w:ascii="宋体" w:hAnsi="宋体" w:cs="宋体"/>
                <w:color w:val="auto"/>
                <w:szCs w:val="21"/>
                <w:highlight w:val="none"/>
              </w:rPr>
            </w:pPr>
            <w:r>
              <w:rPr>
                <w:rFonts w:hint="eastAsia" w:ascii="宋体" w:hAnsi="宋体" w:cs="宋体"/>
                <w:color w:val="auto"/>
                <w:szCs w:val="21"/>
                <w:highlight w:val="none"/>
              </w:rPr>
              <w:t>3.</w:t>
            </w:r>
            <w:bookmarkStart w:id="60" w:name="OLE_LINK47"/>
            <w:bookmarkStart w:id="61" w:name="OLE_LINK46"/>
            <w:r>
              <w:rPr>
                <w:rFonts w:hint="eastAsia" w:ascii="宋体" w:hAnsi="宋体" w:cs="宋体"/>
                <w:color w:val="auto"/>
                <w:szCs w:val="21"/>
                <w:highlight w:val="none"/>
              </w:rPr>
              <w:t>供应商依法缴纳社会保障资金的相关材料【</w:t>
            </w:r>
            <w:r>
              <w:rPr>
                <w:rFonts w:hint="eastAsia" w:ascii="宋体" w:hAnsi="宋体" w:cs="宋体"/>
                <w:color w:val="auto"/>
                <w:szCs w:val="21"/>
                <w:highlight w:val="none"/>
                <w:u w:val="single"/>
              </w:rPr>
              <w:t>2026</w:t>
            </w:r>
            <w:r>
              <w:rPr>
                <w:rFonts w:hint="eastAsia" w:ascii="宋体" w:hAnsi="宋体" w:cs="宋体"/>
                <w:color w:val="auto"/>
                <w:szCs w:val="21"/>
                <w:highlight w:val="none"/>
              </w:rPr>
              <w:t>年</w:t>
            </w:r>
            <w:r>
              <w:rPr>
                <w:rFonts w:hint="eastAsia" w:ascii="宋体" w:hAnsi="宋体" w:cs="宋体"/>
                <w:color w:val="auto"/>
                <w:szCs w:val="21"/>
                <w:highlight w:val="none"/>
                <w:u w:val="single"/>
              </w:rPr>
              <w:t>1</w:t>
            </w:r>
            <w:r>
              <w:rPr>
                <w:rFonts w:hint="eastAsia" w:ascii="宋体" w:hAnsi="宋体" w:cs="宋体"/>
                <w:color w:val="auto"/>
                <w:szCs w:val="21"/>
                <w:highlight w:val="none"/>
              </w:rPr>
              <w:t>月以来任意1个月的依法缴纳社会保障资金的缴费证明材料（</w:t>
            </w:r>
            <w:r>
              <w:rPr>
                <w:rFonts w:hint="eastAsia"/>
                <w:color w:val="auto"/>
                <w:highlight w:val="none"/>
              </w:rPr>
              <w:t>如：</w:t>
            </w:r>
            <w:r>
              <w:rPr>
                <w:rFonts w:hint="eastAsia" w:ascii="宋体" w:hAnsi="宋体" w:cs="宋体"/>
                <w:color w:val="auto"/>
                <w:szCs w:val="21"/>
                <w:highlight w:val="none"/>
              </w:rPr>
              <w:t>专用收据、社保部门出具的社会保险缴费证明或者税务部门出具的完税证明）复印件；</w:t>
            </w:r>
            <w:r>
              <w:rPr>
                <w:rFonts w:hint="eastAsia"/>
                <w:color w:val="auto"/>
                <w:highlight w:val="none"/>
              </w:rPr>
              <w:t>依法不需要缴纳社会保障资金的供应商，必须提供相应文件证明不需要缴纳社会保障资金。</w:t>
            </w:r>
            <w:r>
              <w:rPr>
                <w:rFonts w:hint="eastAsia" w:ascii="宋体" w:hAnsi="宋体" w:cs="宋体"/>
                <w:color w:val="auto"/>
                <w:szCs w:val="21"/>
                <w:highlight w:val="none"/>
              </w:rPr>
              <w:t>从</w:t>
            </w:r>
            <w:r>
              <w:rPr>
                <w:rFonts w:hint="eastAsia"/>
                <w:color w:val="auto"/>
                <w:szCs w:val="21"/>
                <w:highlight w:val="none"/>
              </w:rPr>
              <w:t>成立之日起</w:t>
            </w:r>
            <w:r>
              <w:rPr>
                <w:rFonts w:hint="eastAsia" w:ascii="宋体" w:hAnsi="宋体" w:cs="宋体"/>
                <w:color w:val="auto"/>
                <w:szCs w:val="21"/>
                <w:highlight w:val="none"/>
              </w:rPr>
              <w:t>到响应文件提交截止时间止不足要求月数的，则无需提供】</w:t>
            </w:r>
            <w:bookmarkEnd w:id="60"/>
            <w:bookmarkEnd w:id="61"/>
            <w:r>
              <w:rPr>
                <w:rFonts w:hint="eastAsia" w:ascii="宋体" w:hAnsi="宋体" w:cs="宋体"/>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6E9315A">
            <w:pPr>
              <w:snapToGrid w:val="0"/>
              <w:spacing w:line="400" w:lineRule="exact"/>
              <w:rPr>
                <w:rFonts w:ascii="宋体" w:hAnsi="宋体" w:cs="宋体"/>
                <w:b/>
                <w:bCs/>
                <w:color w:val="auto"/>
                <w:szCs w:val="21"/>
                <w:highlight w:val="none"/>
              </w:rPr>
            </w:pPr>
            <w:r>
              <w:rPr>
                <w:rFonts w:hint="eastAsia" w:ascii="宋体" w:hAnsi="宋体" w:cs="宋体"/>
                <w:color w:val="auto"/>
                <w:szCs w:val="21"/>
                <w:highlight w:val="none"/>
              </w:rPr>
              <w:t>4.供应商的财务状况报告[20</w:t>
            </w:r>
            <w:r>
              <w:rPr>
                <w:rFonts w:ascii="宋体" w:hAnsi="宋体" w:cs="宋体"/>
                <w:color w:val="auto"/>
                <w:szCs w:val="21"/>
                <w:highlight w:val="none"/>
              </w:rPr>
              <w:t>2</w:t>
            </w:r>
            <w:r>
              <w:rPr>
                <w:rFonts w:hint="eastAsia" w:ascii="宋体" w:hAnsi="宋体" w:cs="宋体"/>
                <w:color w:val="auto"/>
                <w:szCs w:val="21"/>
                <w:highlight w:val="none"/>
              </w:rPr>
              <w:t>4或2</w:t>
            </w:r>
            <w:r>
              <w:rPr>
                <w:rFonts w:ascii="宋体" w:hAnsi="宋体" w:cs="宋体"/>
                <w:color w:val="auto"/>
                <w:szCs w:val="21"/>
                <w:highlight w:val="none"/>
              </w:rPr>
              <w:t>02</w:t>
            </w:r>
            <w:r>
              <w:rPr>
                <w:rFonts w:hint="eastAsia" w:ascii="宋体" w:hAnsi="宋体" w:cs="宋体"/>
                <w:color w:val="auto"/>
                <w:szCs w:val="21"/>
                <w:highlight w:val="none"/>
              </w:rPr>
              <w:t>5年度的财务报表复印件，或者20</w:t>
            </w:r>
            <w:r>
              <w:rPr>
                <w:rFonts w:ascii="宋体" w:hAnsi="宋体" w:cs="宋体"/>
                <w:color w:val="auto"/>
                <w:szCs w:val="21"/>
                <w:highlight w:val="none"/>
              </w:rPr>
              <w:t>2</w:t>
            </w:r>
            <w:r>
              <w:rPr>
                <w:rFonts w:hint="eastAsia" w:ascii="宋体" w:hAnsi="宋体" w:cs="宋体"/>
                <w:color w:val="auto"/>
                <w:szCs w:val="21"/>
                <w:highlight w:val="none"/>
              </w:rPr>
              <w:t>5年以来银行出具的资信证明，或者20</w:t>
            </w:r>
            <w:r>
              <w:rPr>
                <w:rFonts w:ascii="宋体" w:hAnsi="宋体" w:cs="宋体"/>
                <w:color w:val="auto"/>
                <w:szCs w:val="21"/>
                <w:highlight w:val="none"/>
              </w:rPr>
              <w:t>2</w:t>
            </w:r>
            <w:r>
              <w:rPr>
                <w:rFonts w:hint="eastAsia" w:ascii="宋体" w:hAnsi="宋体" w:cs="宋体"/>
                <w:color w:val="auto"/>
                <w:szCs w:val="21"/>
                <w:highlight w:val="none"/>
              </w:rPr>
              <w:t>5年以来中国人民银行征信中心出具的信用报告（企业竞标的提供企业信用报告，自然人竞标的提供个人信用报告)。供应商属于成立时间在规定年度之后的法人或其他组织，需提供成立之日起至响应文件提交截止时间前的月财务报表复印件，或者银行出具的资信证明，或者中国人民银行征信中心出具的企业信用报告。</w:t>
            </w:r>
            <w:r>
              <w:rPr>
                <w:rFonts w:hint="eastAsia" w:ascii="宋体" w:hAnsi="宋体"/>
                <w:color w:val="auto"/>
                <w:szCs w:val="21"/>
                <w:highlight w:val="none"/>
              </w:rPr>
              <w:t>资信证明应在有效期内，未注明有效期的，银行出具时间至响应文件递交截止时间不超过一年</w:t>
            </w:r>
            <w:r>
              <w:rPr>
                <w:rFonts w:hint="eastAsia" w:ascii="宋体" w:hAnsi="宋体" w:cs="宋体"/>
                <w:color w:val="auto"/>
                <w:szCs w:val="21"/>
                <w:highlight w:val="none"/>
              </w:rPr>
              <w:t>]；</w:t>
            </w:r>
            <w:r>
              <w:rPr>
                <w:rFonts w:hint="eastAsia" w:ascii="宋体" w:hAnsi="宋体" w:cs="宋体"/>
                <w:b/>
                <w:bCs/>
                <w:color w:val="auto"/>
                <w:szCs w:val="21"/>
                <w:highlight w:val="none"/>
              </w:rPr>
              <w:t>（必须提供，否则响应文件作无效处理）</w:t>
            </w:r>
          </w:p>
          <w:p w14:paraId="7B171F2F">
            <w:pPr>
              <w:snapToGrid w:val="0"/>
              <w:spacing w:line="400" w:lineRule="exact"/>
              <w:jc w:val="left"/>
              <w:rPr>
                <w:rFonts w:ascii="宋体" w:hAnsi="宋体" w:cs="宋体"/>
                <w:color w:val="auto"/>
                <w:szCs w:val="21"/>
                <w:highlight w:val="none"/>
              </w:rPr>
            </w:pPr>
            <w:r>
              <w:rPr>
                <w:rFonts w:hint="eastAsia" w:ascii="宋体" w:hAnsi="宋体" w:cs="宋体"/>
                <w:color w:val="auto"/>
                <w:szCs w:val="21"/>
                <w:highlight w:val="none"/>
              </w:rPr>
              <w:t>5.供应商直接控股</w:t>
            </w:r>
            <w:r>
              <w:rPr>
                <w:rStyle w:val="31"/>
                <w:rFonts w:hint="eastAsia"/>
                <w:color w:val="auto"/>
                <w:highlight w:val="none"/>
                <w:lang w:eastAsia="zh-CN"/>
              </w:rPr>
              <w:t>股东</w:t>
            </w:r>
            <w:r>
              <w:rPr>
                <w:rFonts w:hint="eastAsia" w:ascii="宋体" w:hAnsi="宋体" w:cs="宋体"/>
                <w:color w:val="auto"/>
                <w:szCs w:val="21"/>
                <w:highlight w:val="none"/>
              </w:rPr>
              <w:t>信息表（格式后附）；（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11457F1">
            <w:pPr>
              <w:snapToGrid w:val="0"/>
              <w:spacing w:line="400" w:lineRule="exact"/>
              <w:jc w:val="left"/>
              <w:rPr>
                <w:rFonts w:ascii="宋体" w:hAnsi="宋体" w:cs="宋体"/>
                <w:color w:val="auto"/>
                <w:szCs w:val="21"/>
                <w:highlight w:val="none"/>
              </w:rPr>
            </w:pPr>
            <w:r>
              <w:rPr>
                <w:rFonts w:hint="eastAsia" w:ascii="宋体" w:hAnsi="宋体" w:cs="宋体"/>
                <w:color w:val="auto"/>
                <w:szCs w:val="21"/>
                <w:highlight w:val="none"/>
              </w:rPr>
              <w:t>6.供应商直接管理关系信息表（格式后附）；（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47E9AC8">
            <w:pPr>
              <w:snapToGrid w:val="0"/>
              <w:spacing w:line="400" w:lineRule="exact"/>
              <w:rPr>
                <w:rFonts w:ascii="宋体" w:hAnsi="宋体" w:cs="宋体"/>
                <w:color w:val="auto"/>
                <w:szCs w:val="21"/>
                <w:highlight w:val="none"/>
              </w:rPr>
            </w:pPr>
            <w:r>
              <w:rPr>
                <w:rFonts w:ascii="宋体" w:hAnsi="宋体" w:cs="宋体"/>
                <w:color w:val="auto"/>
                <w:szCs w:val="21"/>
                <w:highlight w:val="none"/>
              </w:rPr>
              <w:t>7</w:t>
            </w:r>
            <w:r>
              <w:rPr>
                <w:rFonts w:hint="eastAsia" w:ascii="宋体" w:hAnsi="宋体" w:cs="宋体"/>
                <w:color w:val="auto"/>
                <w:szCs w:val="21"/>
                <w:highlight w:val="none"/>
              </w:rPr>
              <w:t>.竞标声明（格式后附）；（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4804C984">
            <w:pPr>
              <w:snapToGrid w:val="0"/>
              <w:spacing w:line="400" w:lineRule="exact"/>
              <w:rPr>
                <w:rFonts w:ascii="宋体" w:hAnsi="宋体"/>
                <w:i/>
                <w:color w:val="auto"/>
                <w:szCs w:val="21"/>
                <w:highlight w:val="none"/>
              </w:rPr>
            </w:pPr>
            <w:r>
              <w:rPr>
                <w:rFonts w:ascii="宋体" w:hAnsi="宋体" w:cs="宋体"/>
                <w:color w:val="auto"/>
                <w:szCs w:val="21"/>
                <w:highlight w:val="none"/>
              </w:rPr>
              <w:t>8</w:t>
            </w:r>
            <w:r>
              <w:rPr>
                <w:rFonts w:hint="eastAsia" w:ascii="宋体" w:hAnsi="宋体" w:cs="宋体"/>
                <w:color w:val="auto"/>
                <w:szCs w:val="21"/>
                <w:highlight w:val="none"/>
              </w:rPr>
              <w:t>.除谈判文件规定必须提供以外，供应商认为需要提供的其他证明材料；</w:t>
            </w:r>
          </w:p>
          <w:p w14:paraId="7AB3A524">
            <w:pPr>
              <w:snapToGrid w:val="0"/>
              <w:spacing w:line="400" w:lineRule="exact"/>
              <w:rPr>
                <w:rFonts w:ascii="宋体" w:hAnsi="宋体" w:cs="宋体"/>
                <w:b/>
                <w:color w:val="auto"/>
                <w:szCs w:val="21"/>
                <w:highlight w:val="none"/>
              </w:rPr>
            </w:pPr>
            <w:r>
              <w:rPr>
                <w:rFonts w:hint="eastAsia" w:ascii="宋体" w:hAnsi="宋体" w:cs="宋体"/>
                <w:b/>
                <w:color w:val="auto"/>
                <w:szCs w:val="21"/>
                <w:highlight w:val="none"/>
                <w:lang w:bidi="ar"/>
              </w:rPr>
              <w:t>注：以上标明“必须提供”的材料，必须加盖供应商电子签章，必须提供的材料在第五章“响应文件格式”中有要求法定代表人或委托代理人签字的，必须由法定代表人或委托代理人签字（或者电子签名）；其中，“竞标声明”必须由法定代表人签字（或签章或电子签名）；否则响应文件按无效处理。</w:t>
            </w:r>
          </w:p>
        </w:tc>
      </w:tr>
      <w:tr w14:paraId="3ABF15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D6E47AB">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12.1.2</w:t>
            </w:r>
          </w:p>
        </w:tc>
        <w:tc>
          <w:tcPr>
            <w:tcW w:w="7912" w:type="dxa"/>
            <w:vAlign w:val="center"/>
          </w:tcPr>
          <w:p w14:paraId="4AC0311B">
            <w:pPr>
              <w:spacing w:line="400" w:lineRule="exact"/>
              <w:rPr>
                <w:rFonts w:ascii="宋体" w:hAnsi="宋体" w:cs="宋体"/>
                <w:b/>
                <w:color w:val="auto"/>
                <w:szCs w:val="21"/>
                <w:highlight w:val="none"/>
              </w:rPr>
            </w:pPr>
            <w:r>
              <w:rPr>
                <w:rFonts w:hint="eastAsia" w:ascii="宋体" w:hAnsi="宋体" w:cs="宋体"/>
                <w:b/>
                <w:color w:val="auto"/>
                <w:szCs w:val="21"/>
                <w:highlight w:val="none"/>
              </w:rPr>
              <w:t>报价文件</w:t>
            </w:r>
          </w:p>
          <w:p w14:paraId="4A28A54F">
            <w:pPr>
              <w:spacing w:line="400" w:lineRule="exact"/>
              <w:rPr>
                <w:rFonts w:ascii="宋体" w:hAnsi="宋体" w:cs="宋体"/>
                <w:color w:val="auto"/>
                <w:szCs w:val="21"/>
                <w:highlight w:val="none"/>
              </w:rPr>
            </w:pPr>
            <w:r>
              <w:rPr>
                <w:rFonts w:hint="eastAsia" w:ascii="宋体" w:hAnsi="宋体" w:cs="宋体"/>
                <w:color w:val="auto"/>
                <w:szCs w:val="21"/>
                <w:highlight w:val="none"/>
              </w:rPr>
              <w:t>1.竞标报价表（格式后附）；（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145AB300">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2.供应商享受中小企业扶持政策的材料（供应商根据自身响应情况，提供以下任意一项材料以证明自身可享受中小企业扶持政策）：</w:t>
            </w:r>
          </w:p>
          <w:p w14:paraId="7691BEAB">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（1）《中小企业声明函》（格式后附）；</w:t>
            </w:r>
          </w:p>
          <w:p w14:paraId="504CA4C0">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（2）《残疾人福利性单位声明函》（格式后附）</w:t>
            </w:r>
          </w:p>
          <w:p w14:paraId="275932B1">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（3）省级以上监狱管理局、戒毒管理局(含新疆生产建设兵团)出具的属于监狱企业的证明文件； </w:t>
            </w:r>
          </w:p>
          <w:p w14:paraId="23FA7B15">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3.《关于符合本国产品标准的声明函》或者财政部会同有关部门规定的有关证明文件；（供应商根据自身响应情况出具）</w:t>
            </w:r>
          </w:p>
          <w:p w14:paraId="5B5092BE">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4.供应商认为需要提供的其他有关资料。</w:t>
            </w:r>
          </w:p>
          <w:p w14:paraId="3D1A731E">
            <w:pPr>
              <w:snapToGrid w:val="0"/>
              <w:spacing w:line="400" w:lineRule="exact"/>
              <w:rPr>
                <w:rFonts w:ascii="宋体" w:hAnsi="宋体" w:cs="宋体"/>
                <w:b/>
                <w:color w:val="auto"/>
                <w:szCs w:val="21"/>
                <w:highlight w:val="none"/>
              </w:rPr>
            </w:pPr>
            <w:r>
              <w:rPr>
                <w:rFonts w:hint="eastAsia" w:ascii="宋体" w:hAnsi="宋体" w:cs="宋体"/>
                <w:b/>
                <w:color w:val="auto"/>
                <w:szCs w:val="21"/>
                <w:highlight w:val="none"/>
              </w:rPr>
              <w:t>注：以上标明“必须提供”的材料，必须加盖供应商电子签章，必须提供的材料在第五章“响应文件格式”中有要求法定代表人或委托代理人签字的，必须由法定代表人或委托代理人签字（或者电子签名），否则响应文件按无效处理。</w:t>
            </w:r>
          </w:p>
        </w:tc>
      </w:tr>
      <w:tr w14:paraId="1802D0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FAA78EB">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1.</w:t>
            </w:r>
            <w:r>
              <w:rPr>
                <w:rFonts w:hint="eastAsia" w:ascii="宋体" w:hAnsi="宋体" w:cs="宋体"/>
                <w:color w:val="auto"/>
                <w:szCs w:val="21"/>
                <w:highlight w:val="none"/>
              </w:rPr>
              <w:t>3</w:t>
            </w:r>
          </w:p>
        </w:tc>
        <w:tc>
          <w:tcPr>
            <w:tcW w:w="7912" w:type="dxa"/>
            <w:vAlign w:val="center"/>
          </w:tcPr>
          <w:p w14:paraId="59EDC023">
            <w:pPr>
              <w:spacing w:line="400" w:lineRule="exact"/>
              <w:rPr>
                <w:rFonts w:ascii="宋体" w:hAnsi="宋体" w:cs="宋体"/>
                <w:b/>
                <w:color w:val="auto"/>
                <w:szCs w:val="21"/>
                <w:highlight w:val="none"/>
              </w:rPr>
            </w:pPr>
            <w:r>
              <w:rPr>
                <w:rFonts w:hint="eastAsia" w:ascii="宋体" w:hAnsi="宋体" w:cs="宋体"/>
                <w:b/>
                <w:color w:val="auto"/>
                <w:szCs w:val="21"/>
                <w:highlight w:val="none"/>
              </w:rPr>
              <w:t>商务技术文件</w:t>
            </w:r>
          </w:p>
          <w:p w14:paraId="10F0E6B8">
            <w:pPr>
              <w:spacing w:line="400" w:lineRule="exact"/>
              <w:rPr>
                <w:rFonts w:ascii="宋体" w:hAnsi="宋体" w:cs="宋体"/>
                <w:color w:val="auto"/>
                <w:szCs w:val="21"/>
                <w:highlight w:val="none"/>
              </w:rPr>
            </w:pPr>
            <w:r>
              <w:rPr>
                <w:rFonts w:hint="eastAsia" w:ascii="宋体" w:hAnsi="宋体" w:cs="宋体"/>
                <w:color w:val="auto"/>
                <w:szCs w:val="21"/>
                <w:highlight w:val="none"/>
              </w:rPr>
              <w:t>1.无串通竞标行为的承诺函（格式后附）；（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04CFD8D2">
            <w:pPr>
              <w:snapToGrid w:val="0"/>
              <w:spacing w:line="400" w:lineRule="exact"/>
              <w:rPr>
                <w:rFonts w:ascii="宋体" w:hAnsi="宋体" w:cs="宋体"/>
                <w:b/>
                <w:bCs/>
                <w:color w:val="auto"/>
                <w:szCs w:val="21"/>
                <w:highlight w:val="none"/>
              </w:rPr>
            </w:pPr>
            <w:r>
              <w:rPr>
                <w:rFonts w:hint="eastAsia" w:ascii="宋体" w:hAnsi="宋体" w:cs="宋体"/>
                <w:color w:val="auto"/>
                <w:szCs w:val="21"/>
                <w:highlight w:val="none"/>
              </w:rPr>
              <w:t>2.供应商参加本项目无回避事项的承诺函（格式后附）；</w:t>
            </w:r>
            <w:r>
              <w:rPr>
                <w:rFonts w:hint="eastAsia" w:ascii="宋体" w:hAnsi="宋体" w:cs="宋体"/>
                <w:b/>
                <w:bCs/>
                <w:color w:val="auto"/>
                <w:szCs w:val="21"/>
                <w:highlight w:val="none"/>
              </w:rPr>
              <w:t>（必须提供，否则响应文件按无效响应处理）</w:t>
            </w:r>
          </w:p>
          <w:p w14:paraId="34BD97B4">
            <w:pPr>
              <w:snapToGrid w:val="0"/>
              <w:spacing w:line="400" w:lineRule="exact"/>
              <w:jc w:val="left"/>
              <w:rPr>
                <w:rFonts w:ascii="宋体" w:hAnsi="宋体" w:cs="宋体"/>
                <w:color w:val="auto"/>
                <w:szCs w:val="21"/>
                <w:highlight w:val="none"/>
              </w:rPr>
            </w:pPr>
            <w:r>
              <w:rPr>
                <w:rFonts w:hint="eastAsia" w:ascii="宋体" w:hAnsi="宋体" w:cs="宋体"/>
                <w:color w:val="auto"/>
                <w:szCs w:val="21"/>
                <w:highlight w:val="none"/>
              </w:rPr>
              <w:t>3.法定代表人身份证明书及法定代表人有效身份证正反面复印件（格式后附）；（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68719CB2">
            <w:pPr>
              <w:spacing w:line="400" w:lineRule="exact"/>
              <w:rPr>
                <w:rFonts w:ascii="宋体" w:hAnsi="宋体" w:cs="宋体"/>
                <w:b/>
                <w:color w:val="auto"/>
                <w:szCs w:val="21"/>
                <w:highlight w:val="none"/>
              </w:rPr>
            </w:pPr>
            <w:r>
              <w:rPr>
                <w:rFonts w:hint="eastAsia" w:ascii="宋体" w:hAnsi="宋体" w:cs="宋体"/>
                <w:color w:val="auto"/>
                <w:szCs w:val="21"/>
                <w:highlight w:val="none"/>
              </w:rPr>
              <w:t>4.授权委托书及委托代理人有效身份证正反面复印件（格式后附）；（</w:t>
            </w:r>
            <w:r>
              <w:rPr>
                <w:rFonts w:hint="eastAsia" w:ascii="宋体" w:hAnsi="宋体" w:cs="宋体"/>
                <w:b/>
                <w:color w:val="auto"/>
                <w:szCs w:val="21"/>
                <w:highlight w:val="none"/>
              </w:rPr>
              <w:t>委托时必须提供，否则响应文件按无效处理</w:t>
            </w:r>
            <w:r>
              <w:rPr>
                <w:rFonts w:hint="eastAsia" w:ascii="宋体" w:hAnsi="宋体" w:cs="宋体"/>
                <w:color w:val="auto"/>
                <w:szCs w:val="21"/>
                <w:highlight w:val="none"/>
              </w:rPr>
              <w:t>）</w:t>
            </w:r>
          </w:p>
          <w:p w14:paraId="69953D5E">
            <w:pPr>
              <w:spacing w:line="400" w:lineRule="exact"/>
              <w:rPr>
                <w:rFonts w:ascii="宋体" w:hAnsi="宋体" w:cs="宋体"/>
                <w:color w:val="auto"/>
                <w:szCs w:val="21"/>
                <w:highlight w:val="none"/>
              </w:rPr>
            </w:pPr>
            <w:r>
              <w:rPr>
                <w:rFonts w:hint="eastAsia" w:ascii="宋体" w:hAnsi="宋体" w:cs="宋体"/>
                <w:color w:val="auto"/>
                <w:szCs w:val="21"/>
                <w:highlight w:val="none"/>
              </w:rPr>
              <w:t>5.竞标保证金提交凭证；（</w:t>
            </w:r>
            <w:r>
              <w:rPr>
                <w:rFonts w:hint="eastAsia"/>
                <w:b/>
                <w:bCs/>
                <w:color w:val="auto"/>
                <w:highlight w:val="none"/>
              </w:rPr>
              <w:t>必须提供</w:t>
            </w:r>
            <w:r>
              <w:rPr>
                <w:rFonts w:hint="eastAsia" w:ascii="宋体" w:hAnsi="宋体" w:cs="宋体"/>
                <w:b/>
                <w:color w:val="auto"/>
                <w:szCs w:val="21"/>
                <w:highlight w:val="none"/>
              </w:rPr>
              <w:t>，否则响应文件按无效处理</w:t>
            </w:r>
            <w:r>
              <w:rPr>
                <w:rFonts w:hint="eastAsia" w:ascii="宋体" w:hAnsi="宋体" w:cs="宋体"/>
                <w:color w:val="auto"/>
                <w:szCs w:val="21"/>
                <w:highlight w:val="none"/>
              </w:rPr>
              <w:t>）</w:t>
            </w:r>
          </w:p>
          <w:p w14:paraId="1D601DC9">
            <w:pPr>
              <w:spacing w:line="400" w:lineRule="exact"/>
              <w:rPr>
                <w:rFonts w:ascii="宋体" w:hAnsi="宋体" w:cs="宋体"/>
                <w:color w:val="auto"/>
                <w:szCs w:val="21"/>
                <w:highlight w:val="none"/>
              </w:rPr>
            </w:pPr>
            <w:r>
              <w:rPr>
                <w:rFonts w:hint="eastAsia" w:ascii="宋体" w:hAnsi="宋体" w:cs="宋体"/>
                <w:color w:val="auto"/>
                <w:szCs w:val="21"/>
                <w:highlight w:val="none"/>
              </w:rPr>
              <w:t>6.商务要求响应表（格式后附）；（</w:t>
            </w:r>
            <w:r>
              <w:rPr>
                <w:rFonts w:hint="eastAsia" w:ascii="宋体" w:hAnsi="宋体" w:cs="宋体"/>
                <w:b/>
                <w:color w:val="auto"/>
                <w:szCs w:val="21"/>
                <w:highlight w:val="none"/>
              </w:rPr>
              <w:t>必须提供，否则响应文件按无效处理</w:t>
            </w:r>
            <w:r>
              <w:rPr>
                <w:rFonts w:hint="eastAsia" w:ascii="宋体" w:hAnsi="宋体" w:cs="宋体"/>
                <w:color w:val="auto"/>
                <w:szCs w:val="21"/>
                <w:highlight w:val="none"/>
              </w:rPr>
              <w:t>）</w:t>
            </w:r>
          </w:p>
          <w:p w14:paraId="0B636B4F">
            <w:pPr>
              <w:spacing w:line="400" w:lineRule="exact"/>
              <w:rPr>
                <w:rFonts w:ascii="宋体" w:hAnsi="宋体" w:cs="宋体"/>
                <w:b/>
                <w:bCs/>
                <w:color w:val="auto"/>
                <w:szCs w:val="21"/>
                <w:highlight w:val="none"/>
              </w:rPr>
            </w:pPr>
            <w:r>
              <w:rPr>
                <w:rFonts w:hint="eastAsia" w:ascii="宋体" w:hAnsi="宋体" w:cs="宋体"/>
                <w:color w:val="auto"/>
                <w:szCs w:val="21"/>
                <w:highlight w:val="none"/>
              </w:rPr>
              <w:t>7.技术要求响应表（格式后附）；</w:t>
            </w:r>
            <w:r>
              <w:rPr>
                <w:rFonts w:hint="eastAsia" w:ascii="宋体" w:hAnsi="宋体" w:cs="宋体"/>
                <w:b/>
                <w:bCs/>
                <w:color w:val="auto"/>
                <w:szCs w:val="21"/>
                <w:highlight w:val="none"/>
              </w:rPr>
              <w:t>（必须提供，否则响应文件按无效处理）</w:t>
            </w:r>
          </w:p>
          <w:p w14:paraId="00186D86">
            <w:pPr>
              <w:spacing w:line="400" w:lineRule="exact"/>
              <w:rPr>
                <w:rFonts w:ascii="宋体" w:hAnsi="宋体" w:cs="宋体"/>
                <w:color w:val="auto"/>
                <w:szCs w:val="21"/>
                <w:highlight w:val="none"/>
              </w:rPr>
            </w:pPr>
            <w:r>
              <w:rPr>
                <w:rFonts w:hint="eastAsia" w:ascii="宋体" w:hAnsi="宋体" w:cs="宋体"/>
                <w:color w:val="auto"/>
                <w:szCs w:val="21"/>
                <w:highlight w:val="none"/>
              </w:rPr>
              <w:t>8.响应材料真实</w:t>
            </w:r>
            <w:r>
              <w:rPr>
                <w:rFonts w:ascii="宋体" w:hAnsi="宋体" w:cs="宋体"/>
                <w:color w:val="auto"/>
                <w:szCs w:val="21"/>
                <w:highlight w:val="none"/>
              </w:rPr>
              <w:t>性</w:t>
            </w:r>
            <w:r>
              <w:rPr>
                <w:rFonts w:hint="eastAsia" w:ascii="宋体" w:hAnsi="宋体" w:cs="宋体"/>
                <w:color w:val="auto"/>
                <w:szCs w:val="21"/>
                <w:highlight w:val="none"/>
              </w:rPr>
              <w:t>承诺函（格式后附）；（</w:t>
            </w:r>
            <w:bookmarkStart w:id="62" w:name="OLE_LINK58"/>
            <w:bookmarkStart w:id="63" w:name="OLE_LINK57"/>
            <w:r>
              <w:rPr>
                <w:rFonts w:hint="eastAsia" w:ascii="宋体" w:hAnsi="宋体" w:cs="宋体"/>
                <w:b/>
                <w:color w:val="auto"/>
                <w:szCs w:val="21"/>
                <w:highlight w:val="none"/>
              </w:rPr>
              <w:t>必须提供，否则响应文件按无效响应处理</w:t>
            </w:r>
            <w:bookmarkEnd w:id="62"/>
            <w:bookmarkEnd w:id="63"/>
            <w:r>
              <w:rPr>
                <w:rFonts w:hint="eastAsia" w:ascii="宋体" w:hAnsi="宋体" w:cs="宋体"/>
                <w:color w:val="auto"/>
                <w:szCs w:val="21"/>
                <w:highlight w:val="none"/>
              </w:rPr>
              <w:t>）</w:t>
            </w:r>
          </w:p>
          <w:p w14:paraId="442E6D85">
            <w:pPr>
              <w:spacing w:line="400" w:lineRule="exact"/>
              <w:rPr>
                <w:rFonts w:ascii="宋体" w:hAnsi="宋体" w:cs="宋体"/>
                <w:color w:val="auto"/>
                <w:szCs w:val="21"/>
                <w:highlight w:val="none"/>
              </w:rPr>
            </w:pPr>
            <w:r>
              <w:rPr>
                <w:rFonts w:hint="eastAsia" w:ascii="宋体" w:hAnsi="宋体" w:cs="宋体"/>
                <w:color w:val="auto"/>
                <w:szCs w:val="21"/>
                <w:highlight w:val="none"/>
              </w:rPr>
              <w:t>9.货物配置清单（格式后附）；</w:t>
            </w:r>
          </w:p>
          <w:p w14:paraId="442C57DE">
            <w:pPr>
              <w:spacing w:line="400" w:lineRule="exact"/>
              <w:rPr>
                <w:rFonts w:ascii="宋体" w:hAnsi="宋体" w:cs="宋体"/>
                <w:color w:val="auto"/>
                <w:szCs w:val="21"/>
                <w:highlight w:val="none"/>
              </w:rPr>
            </w:pPr>
            <w:r>
              <w:rPr>
                <w:rFonts w:hint="eastAsia" w:ascii="宋体" w:hAnsi="宋体" w:cs="宋体"/>
                <w:color w:val="auto"/>
                <w:szCs w:val="21"/>
                <w:highlight w:val="none"/>
              </w:rPr>
              <w:t>10.对应采购需求的技术要求、商务要求提供的其他文件资料（格式自拟）；</w:t>
            </w:r>
          </w:p>
          <w:p w14:paraId="7433AAE0">
            <w:pPr>
              <w:spacing w:line="400" w:lineRule="exact"/>
              <w:rPr>
                <w:rFonts w:ascii="宋体" w:hAnsi="宋体" w:cs="宋体"/>
                <w:color w:val="auto"/>
                <w:szCs w:val="21"/>
                <w:highlight w:val="none"/>
              </w:rPr>
            </w:pPr>
            <w:r>
              <w:rPr>
                <w:rFonts w:hint="eastAsia" w:ascii="宋体" w:hAnsi="宋体" w:cs="宋体"/>
                <w:color w:val="auto"/>
                <w:szCs w:val="21"/>
                <w:highlight w:val="none"/>
              </w:rPr>
              <w:t>11.供应商认为需要提供的其他有关资料。</w:t>
            </w:r>
          </w:p>
          <w:p w14:paraId="7D2F3B4C">
            <w:pPr>
              <w:snapToGrid w:val="0"/>
              <w:spacing w:line="400" w:lineRule="exact"/>
              <w:rPr>
                <w:rFonts w:ascii="宋体" w:hAnsi="宋体" w:cs="宋体"/>
                <w:b/>
                <w:color w:val="auto"/>
                <w:szCs w:val="21"/>
                <w:highlight w:val="none"/>
              </w:rPr>
            </w:pPr>
            <w:r>
              <w:rPr>
                <w:rFonts w:hint="eastAsia" w:ascii="宋体" w:hAnsi="宋体" w:cs="宋体"/>
                <w:b/>
                <w:color w:val="auto"/>
                <w:szCs w:val="21"/>
                <w:highlight w:val="none"/>
              </w:rPr>
              <w:t>注：以上标明“必须提供”的材料，必须加盖供应商电子签章，必须提供的材料在第五章“响应文件格式”中有要求法定代表人或委托代理人签字的，必须由法定代表人或委托代理人签字（或者电子签名）；</w:t>
            </w:r>
            <w:r>
              <w:rPr>
                <w:rFonts w:hint="eastAsia" w:ascii="宋体" w:hAnsi="宋体" w:cs="宋体"/>
                <w:b/>
                <w:color w:val="auto"/>
                <w:spacing w:val="-6"/>
                <w:szCs w:val="21"/>
                <w:highlight w:val="none"/>
              </w:rPr>
              <w:t>其中，“授权委托书”必须由法定代表人签字（或签章或电子签名）及由授权委托人签字（或电子签名），“供应商参加本项目无回避事项的承诺函”必须由法定代表人签字（或签章或电子签名）；否则响应文件按无效处理。</w:t>
            </w:r>
          </w:p>
        </w:tc>
      </w:tr>
      <w:tr w14:paraId="091A3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F024B73">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15.2</w:t>
            </w:r>
          </w:p>
        </w:tc>
        <w:tc>
          <w:tcPr>
            <w:tcW w:w="7912" w:type="dxa"/>
            <w:vAlign w:val="center"/>
          </w:tcPr>
          <w:p w14:paraId="5615458E">
            <w:pPr>
              <w:snapToGrid w:val="0"/>
              <w:spacing w:line="400" w:lineRule="exact"/>
              <w:jc w:val="left"/>
              <w:rPr>
                <w:rFonts w:ascii="宋体" w:hAnsi="宋体" w:cs="宋体"/>
                <w:color w:val="auto"/>
                <w:szCs w:val="21"/>
                <w:highlight w:val="none"/>
              </w:rPr>
            </w:pPr>
            <w:r>
              <w:rPr>
                <w:rFonts w:hint="eastAsia" w:hAnsi="宋体"/>
                <w:color w:val="auto"/>
                <w:highlight w:val="none"/>
              </w:rPr>
              <w:t>本次采购范围内</w:t>
            </w:r>
            <w:r>
              <w:rPr>
                <w:rFonts w:hint="eastAsia" w:ascii="宋体" w:hAnsi="宋体"/>
                <w:color w:val="auto"/>
                <w:highlight w:val="none"/>
              </w:rPr>
              <w:t>货物价款、标准附件、备品备件、专用工具、辅材、安装调试及改造、包装、运输、装卸、保险费、各类税费、产品检测、检验费、验收费、售后服务、技术培训费（包括但不限于场地费、教材费用等）、技术资料、涉及的人工、差旅以及其他与本项目有关的未列明的一切费用，报价为人民币报价。</w:t>
            </w:r>
          </w:p>
        </w:tc>
      </w:tr>
      <w:tr w14:paraId="7B40DC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992" w:type="dxa"/>
            <w:vAlign w:val="center"/>
          </w:tcPr>
          <w:p w14:paraId="4EA57EE8">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16.2</w:t>
            </w:r>
          </w:p>
        </w:tc>
        <w:tc>
          <w:tcPr>
            <w:tcW w:w="7912" w:type="dxa"/>
            <w:vAlign w:val="center"/>
          </w:tcPr>
          <w:p w14:paraId="3E0259EE">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竞标有效期：自首次响应文件提交截止之日起90日。</w:t>
            </w:r>
          </w:p>
        </w:tc>
      </w:tr>
      <w:tr w14:paraId="03A4F2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258CB16">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17.1</w:t>
            </w:r>
          </w:p>
        </w:tc>
        <w:tc>
          <w:tcPr>
            <w:tcW w:w="7912" w:type="dxa"/>
            <w:vAlign w:val="center"/>
          </w:tcPr>
          <w:p w14:paraId="2373CCB5">
            <w:pPr>
              <w:keepNext w:val="0"/>
              <w:keepLines w:val="0"/>
              <w:pageBreakBefore w:val="0"/>
              <w:widowControl w:val="0"/>
              <w:kinsoku/>
              <w:wordWrap/>
              <w:overflowPunct/>
              <w:topLinePunct w:val="0"/>
              <w:autoSpaceDE w:val="0"/>
              <w:autoSpaceDN w:val="0"/>
              <w:bidi w:val="0"/>
              <w:adjustRightInd/>
              <w:snapToGrid w:val="0"/>
              <w:spacing w:line="360" w:lineRule="auto"/>
              <w:textAlignment w:val="bottom"/>
              <w:rPr>
                <w:rFonts w:ascii="宋体" w:hAnsi="宋体"/>
                <w:color w:val="auto"/>
                <w:szCs w:val="21"/>
                <w:highlight w:val="none"/>
              </w:rPr>
            </w:pPr>
            <w:r>
              <w:rPr>
                <w:rFonts w:hint="eastAsia" w:ascii="宋体" w:hAnsi="宋体"/>
                <w:color w:val="auto"/>
                <w:szCs w:val="21"/>
                <w:highlight w:val="none"/>
              </w:rPr>
              <w:t>□本项目不收取竞标保证金。</w:t>
            </w:r>
          </w:p>
          <w:p w14:paraId="2C80FAB3">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宋体" w:hAnsi="宋体"/>
                <w:color w:val="auto"/>
                <w:szCs w:val="21"/>
                <w:highlight w:val="none"/>
              </w:rPr>
            </w:pPr>
            <w:r>
              <w:rPr>
                <w:rFonts w:ascii="Wingdings 2" w:hAnsi="Wingdings 2"/>
                <w:color w:val="auto"/>
                <w:highlight w:val="none"/>
              </w:rPr>
              <w:sym w:font="Wingdings" w:char="F0FE"/>
            </w:r>
            <w:r>
              <w:rPr>
                <w:rFonts w:hint="eastAsia" w:ascii="宋体" w:hAnsi="宋体"/>
                <w:color w:val="auto"/>
                <w:szCs w:val="21"/>
                <w:highlight w:val="none"/>
              </w:rPr>
              <w:t>本项目收取竞标保证金，具体规定如下：</w:t>
            </w:r>
          </w:p>
          <w:p w14:paraId="6B1E5F52">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宋体" w:hAnsi="宋体" w:cs="宋体"/>
                <w:color w:val="auto"/>
                <w:kern w:val="0"/>
                <w:szCs w:val="21"/>
                <w:highlight w:val="none"/>
              </w:rPr>
            </w:pPr>
            <w:r>
              <w:rPr>
                <w:rFonts w:hint="eastAsia" w:ascii="宋体" w:hAnsi="宋体" w:cs="宋体"/>
                <w:color w:val="auto"/>
                <w:kern w:val="0"/>
                <w:szCs w:val="21"/>
                <w:highlight w:val="none"/>
              </w:rPr>
              <w:t>竞标保证金：人民币壹万捌仟元整（¥18000.00）。</w:t>
            </w:r>
          </w:p>
          <w:p w14:paraId="073BB2C5">
            <w:pPr>
              <w:keepNext w:val="0"/>
              <w:keepLines w:val="0"/>
              <w:pageBreakBefore w:val="0"/>
              <w:widowControl w:val="0"/>
              <w:kinsoku/>
              <w:wordWrap/>
              <w:overflowPunct/>
              <w:topLinePunct w:val="0"/>
              <w:autoSpaceDE/>
              <w:autoSpaceDN/>
              <w:bidi w:val="0"/>
              <w:adjustRightInd/>
              <w:snapToGrid w:val="0"/>
              <w:spacing w:line="360" w:lineRule="auto"/>
              <w:textAlignment w:val="auto"/>
              <w:rPr>
                <w:rFonts w:ascii="宋体" w:hAnsi="宋体" w:cs="宋体"/>
                <w:color w:val="auto"/>
                <w:kern w:val="0"/>
                <w:szCs w:val="21"/>
                <w:highlight w:val="none"/>
              </w:rPr>
            </w:pPr>
            <w:r>
              <w:rPr>
                <w:rFonts w:hint="eastAsia" w:ascii="宋体" w:hAnsi="宋体" w:cs="宋体"/>
                <w:color w:val="auto"/>
                <w:kern w:val="0"/>
                <w:szCs w:val="21"/>
                <w:highlight w:val="none"/>
              </w:rPr>
              <w:t>竞标保证金的交纳方式：银行转账、支票、汇票、本票或者金融机构、担保机构出具的保函（包含电子保函），禁止采用现钞方式。采用银行转账方式的，在响应文件提交截止时间前交至指定账户并且到账</w:t>
            </w:r>
            <w:r>
              <w:rPr>
                <w:rFonts w:hint="eastAsia" w:ascii="宋体" w:hAnsi="宋体" w:cs="宋体"/>
                <w:b/>
                <w:color w:val="auto"/>
                <w:kern w:val="0"/>
                <w:szCs w:val="21"/>
                <w:highlight w:val="none"/>
              </w:rPr>
              <w:t>（开户名称：云之龙咨询集团有限公司桂林分公司；银行账号：8113001013100074449；开户银行：中信银行股份有限公司南宁</w:t>
            </w:r>
            <w:r>
              <w:rPr>
                <w:rFonts w:hint="eastAsia" w:ascii="宋体" w:hAnsi="宋体" w:cs="宋体"/>
                <w:b/>
                <w:color w:val="auto"/>
                <w:kern w:val="0"/>
                <w:szCs w:val="21"/>
                <w:highlight w:val="none"/>
                <w:lang w:eastAsia="zh-CN"/>
              </w:rPr>
              <w:t>园湖</w:t>
            </w:r>
            <w:r>
              <w:rPr>
                <w:rFonts w:hint="eastAsia" w:ascii="宋体" w:hAnsi="宋体" w:cs="宋体"/>
                <w:b/>
                <w:color w:val="auto"/>
                <w:kern w:val="0"/>
                <w:szCs w:val="21"/>
                <w:highlight w:val="none"/>
              </w:rPr>
              <w:t>支行）</w:t>
            </w:r>
            <w:r>
              <w:rPr>
                <w:rFonts w:hint="eastAsia" w:ascii="宋体" w:hAnsi="宋体" w:cs="宋体"/>
                <w:color w:val="auto"/>
                <w:kern w:val="0"/>
                <w:szCs w:val="21"/>
                <w:highlight w:val="none"/>
              </w:rPr>
              <w:t>；采用支票、汇票、本票或者保函等方式的，在响应文件提交截止时间前，供应商必须提交单独密封的支票、汇票、本票或者保函原件</w:t>
            </w:r>
            <w:r>
              <w:rPr>
                <w:rFonts w:hint="eastAsia" w:ascii="宋体" w:hAnsi="宋体"/>
                <w:color w:val="auto"/>
                <w:szCs w:val="21"/>
                <w:highlight w:val="none"/>
              </w:rPr>
              <w:t>（电子保函无需提供原件）</w:t>
            </w:r>
            <w:r>
              <w:rPr>
                <w:rFonts w:hint="eastAsia" w:ascii="宋体" w:hAnsi="宋体" w:cs="宋体"/>
                <w:color w:val="auto"/>
                <w:kern w:val="0"/>
                <w:szCs w:val="21"/>
                <w:highlight w:val="none"/>
              </w:rPr>
              <w:t>。否则视为无效竞标保证金。</w:t>
            </w:r>
          </w:p>
          <w:p w14:paraId="1845EB49">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相关要求：</w:t>
            </w:r>
          </w:p>
          <w:p w14:paraId="4D602071">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1.竞标保证金采用银行转账交纳方式的，在响应文件提交截止时间前交至指定账户并且到账，供应商应将银行转账底单的复印件作为竞标保证金提交凭证，放置于商务技术文件中，</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0CAA053E">
            <w:pPr>
              <w:snapToGrid w:val="0"/>
              <w:spacing w:line="360" w:lineRule="auto"/>
              <w:rPr>
                <w:rFonts w:ascii="宋体" w:hAnsi="宋体"/>
                <w:color w:val="auto"/>
                <w:szCs w:val="21"/>
                <w:highlight w:val="none"/>
              </w:rPr>
            </w:pPr>
            <w:r>
              <w:rPr>
                <w:rFonts w:hint="eastAsia" w:ascii="宋体" w:hAnsi="宋体"/>
                <w:color w:val="auto"/>
                <w:szCs w:val="21"/>
                <w:highlight w:val="none"/>
              </w:rPr>
              <w:t>2.竞标保证金采用支票、汇票、本票或者金融机构、担保机构出具的保函</w:t>
            </w:r>
            <w:r>
              <w:rPr>
                <w:rFonts w:hint="eastAsia"/>
                <w:color w:val="auto"/>
                <w:highlight w:val="none"/>
              </w:rPr>
              <w:t>（包含电子保函）</w:t>
            </w:r>
            <w:r>
              <w:rPr>
                <w:rFonts w:hint="eastAsia" w:ascii="宋体" w:hAnsi="宋体"/>
                <w:color w:val="auto"/>
                <w:szCs w:val="21"/>
                <w:highlight w:val="none"/>
              </w:rPr>
              <w:t>交纳方式的，供应商应将支票、汇票、本票或者金融机构、担保机构出具的保函</w:t>
            </w:r>
            <w:r>
              <w:rPr>
                <w:rFonts w:hint="eastAsia"/>
                <w:color w:val="auto"/>
                <w:highlight w:val="none"/>
              </w:rPr>
              <w:t>（包含电子保函）</w:t>
            </w:r>
            <w:r>
              <w:rPr>
                <w:rFonts w:hint="eastAsia" w:ascii="宋体" w:hAnsi="宋体"/>
                <w:color w:val="auto"/>
                <w:szCs w:val="21"/>
                <w:highlight w:val="none"/>
              </w:rPr>
              <w:t>的复印件作为竞标保证金提交凭证，放置于</w:t>
            </w:r>
            <w:r>
              <w:rPr>
                <w:rFonts w:hint="eastAsia" w:ascii="宋体" w:hAnsi="宋体" w:cs="宋体"/>
                <w:color w:val="auto"/>
                <w:szCs w:val="21"/>
                <w:highlight w:val="none"/>
              </w:rPr>
              <w:t>商务技术文件</w:t>
            </w:r>
            <w:r>
              <w:rPr>
                <w:rFonts w:hint="eastAsia" w:ascii="宋体" w:hAnsi="宋体"/>
                <w:color w:val="auto"/>
                <w:szCs w:val="21"/>
                <w:highlight w:val="none"/>
              </w:rPr>
              <w:t>中，</w:t>
            </w:r>
            <w:r>
              <w:rPr>
                <w:rFonts w:hint="eastAsia" w:ascii="宋体" w:hAnsi="宋体" w:cs="宋体"/>
                <w:b/>
                <w:color w:val="auto"/>
                <w:szCs w:val="21"/>
                <w:highlight w:val="none"/>
              </w:rPr>
              <w:t>否则响应文件按无效处理</w:t>
            </w:r>
            <w:r>
              <w:rPr>
                <w:rFonts w:hint="eastAsia" w:ascii="宋体" w:hAnsi="宋体"/>
                <w:color w:val="auto"/>
                <w:szCs w:val="21"/>
                <w:highlight w:val="none"/>
              </w:rPr>
              <w:t>。供应商必须</w:t>
            </w:r>
            <w:r>
              <w:rPr>
                <w:rFonts w:hint="eastAsia"/>
                <w:color w:val="auto"/>
                <w:highlight w:val="none"/>
              </w:rPr>
              <w:t>在响应文件提交截止时间前采用现场提交或邮寄方式（现场提交地址：</w:t>
            </w:r>
            <w:r>
              <w:rPr>
                <w:rFonts w:hint="eastAsia" w:ascii="宋体" w:hAnsi="宋体"/>
                <w:color w:val="auto"/>
                <w:highlight w:val="none"/>
                <w:u w:val="single"/>
              </w:rPr>
              <w:t>广西壮族自治区桂林市临桂区西城北路2号耀辉•美好家园2幢12层1号房</w:t>
            </w:r>
            <w:r>
              <w:rPr>
                <w:rFonts w:hint="eastAsia"/>
                <w:color w:val="auto"/>
                <w:highlight w:val="none"/>
              </w:rPr>
              <w:t>；邮寄地址：</w:t>
            </w:r>
            <w:r>
              <w:rPr>
                <w:rFonts w:hint="eastAsia"/>
                <w:color w:val="auto"/>
                <w:highlight w:val="none"/>
                <w:u w:val="single"/>
              </w:rPr>
              <w:t>广西壮族自治区桂林市临桂区西城北路2号耀辉•美好家园</w:t>
            </w:r>
            <w:r>
              <w:rPr>
                <w:rFonts w:hint="eastAsia" w:ascii="宋体" w:hAnsi="宋体" w:cs="宋体"/>
                <w:color w:val="auto"/>
                <w:highlight w:val="none"/>
                <w:u w:val="single"/>
              </w:rPr>
              <w:t>2</w:t>
            </w:r>
            <w:r>
              <w:rPr>
                <w:rFonts w:hint="eastAsia"/>
                <w:color w:val="auto"/>
                <w:highlight w:val="none"/>
                <w:u w:val="single"/>
              </w:rPr>
              <w:t>幢</w:t>
            </w:r>
            <w:r>
              <w:rPr>
                <w:rFonts w:hint="eastAsia" w:ascii="宋体" w:hAnsi="宋体"/>
                <w:color w:val="auto"/>
                <w:highlight w:val="none"/>
                <w:u w:val="single"/>
              </w:rPr>
              <w:t>12层1号</w:t>
            </w:r>
            <w:r>
              <w:rPr>
                <w:rFonts w:hint="eastAsia"/>
                <w:color w:val="auto"/>
                <w:highlight w:val="none"/>
                <w:u w:val="single"/>
              </w:rPr>
              <w:t>房</w:t>
            </w:r>
            <w:r>
              <w:rPr>
                <w:rFonts w:hint="eastAsia"/>
                <w:color w:val="auto"/>
                <w:highlight w:val="none"/>
              </w:rPr>
              <w:t>，收件人：</w:t>
            </w:r>
            <w:r>
              <w:rPr>
                <w:rFonts w:hint="eastAsia"/>
                <w:color w:val="auto"/>
                <w:highlight w:val="none"/>
                <w:u w:val="single"/>
                <w:lang w:val="en-US" w:eastAsia="zh-CN"/>
              </w:rPr>
              <w:t>吕雯 万紫琳</w:t>
            </w:r>
            <w:r>
              <w:rPr>
                <w:rFonts w:hint="eastAsia"/>
                <w:color w:val="auto"/>
                <w:highlight w:val="none"/>
              </w:rPr>
              <w:t>，联系方式：</w:t>
            </w:r>
            <w:r>
              <w:rPr>
                <w:rFonts w:ascii="宋体" w:hAnsi="宋体"/>
                <w:color w:val="auto"/>
                <w:highlight w:val="none"/>
                <w:u w:val="single"/>
              </w:rPr>
              <w:t>0773-2887388</w:t>
            </w:r>
            <w:r>
              <w:rPr>
                <w:rFonts w:hint="eastAsia" w:ascii="宋体" w:hAnsi="宋体"/>
                <w:color w:val="auto"/>
                <w:highlight w:val="none"/>
                <w:u w:val="single"/>
              </w:rPr>
              <w:t>、2</w:t>
            </w:r>
            <w:r>
              <w:rPr>
                <w:rFonts w:ascii="宋体" w:hAnsi="宋体"/>
                <w:color w:val="auto"/>
                <w:highlight w:val="none"/>
                <w:u w:val="single"/>
              </w:rPr>
              <w:t>887399</w:t>
            </w:r>
            <w:r>
              <w:rPr>
                <w:rFonts w:hint="eastAsia"/>
                <w:color w:val="auto"/>
                <w:highlight w:val="none"/>
                <w:u w:val="single"/>
              </w:rPr>
              <w:t xml:space="preserve"> </w:t>
            </w:r>
            <w:r>
              <w:rPr>
                <w:rFonts w:hint="eastAsia"/>
                <w:color w:val="auto"/>
                <w:highlight w:val="none"/>
              </w:rPr>
              <w:t>）</w:t>
            </w:r>
            <w:r>
              <w:rPr>
                <w:rFonts w:hint="eastAsia" w:ascii="宋体" w:hAnsi="宋体"/>
                <w:color w:val="auto"/>
                <w:szCs w:val="21"/>
                <w:highlight w:val="none"/>
              </w:rPr>
              <w:t>将</w:t>
            </w:r>
            <w:r>
              <w:rPr>
                <w:rFonts w:hint="eastAsia" w:ascii="宋体" w:hAnsi="宋体" w:cs="宋体"/>
                <w:color w:val="auto"/>
                <w:kern w:val="0"/>
                <w:szCs w:val="21"/>
                <w:highlight w:val="none"/>
              </w:rPr>
              <w:t>单独密封的</w:t>
            </w:r>
            <w:r>
              <w:rPr>
                <w:rFonts w:hint="eastAsia" w:ascii="宋体" w:hAnsi="宋体"/>
                <w:color w:val="auto"/>
                <w:szCs w:val="21"/>
                <w:highlight w:val="none"/>
              </w:rPr>
              <w:t>支票、汇票、本票或者金融机构、担保机构出具的保函原件（电子保函无需提供原件）提交给采购人或者采购代理机构，由采购人或者采购代理机构向供应商出具回执（邮寄方式的除外），并妥善保管。</w:t>
            </w:r>
          </w:p>
          <w:p w14:paraId="79C6B91E">
            <w:pPr>
              <w:snapToGrid w:val="0"/>
              <w:spacing w:line="360" w:lineRule="auto"/>
              <w:rPr>
                <w:rFonts w:ascii="宋体" w:hAnsi="宋体" w:cs="宋体"/>
                <w:b/>
                <w:color w:val="auto"/>
                <w:szCs w:val="21"/>
                <w:highlight w:val="none"/>
              </w:rPr>
            </w:pPr>
            <w:r>
              <w:rPr>
                <w:rFonts w:hint="eastAsia" w:ascii="宋体" w:hAnsi="宋体" w:cs="宋体"/>
                <w:color w:val="auto"/>
                <w:szCs w:val="21"/>
                <w:highlight w:val="none"/>
              </w:rPr>
              <w:t>3.供应商为联合体的，可以由联合体中的一方或者多方共同交纳竞标保证金，其交纳的保证金对联合体各方均具有约束力。</w:t>
            </w:r>
          </w:p>
          <w:p w14:paraId="57B8A26B">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 xml:space="preserve">备注： </w:t>
            </w:r>
          </w:p>
          <w:p w14:paraId="613BB9B6">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（1）竞标保证金在响应文件提交截止时间后提交的，或者不按规定交纳方式交纳的，或者未足额交纳的（包含保函额度不足的），视为无效竞标保证金。</w:t>
            </w:r>
          </w:p>
          <w:p w14:paraId="4B5068F6">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（2）供应商采用现钞方式或者从个人账户（自然人竞标除外）转出的竞标保证金，视为无效竞标保证金。</w:t>
            </w:r>
          </w:p>
          <w:p w14:paraId="66D78A25">
            <w:pPr>
              <w:snapToGrid w:val="0"/>
              <w:spacing w:line="360" w:lineRule="auto"/>
              <w:rPr>
                <w:rFonts w:ascii="宋体" w:hAnsi="宋体" w:cs="宋体"/>
                <w:b/>
                <w:color w:val="auto"/>
                <w:szCs w:val="21"/>
                <w:highlight w:val="none"/>
              </w:rPr>
            </w:pPr>
            <w:r>
              <w:rPr>
                <w:rFonts w:hint="eastAsia" w:ascii="宋体" w:hAnsi="宋体" w:cs="宋体"/>
                <w:b/>
                <w:color w:val="auto"/>
                <w:szCs w:val="21"/>
                <w:highlight w:val="none"/>
              </w:rPr>
              <w:t>（3）支票、汇票或者本票出现无效或者背书情形的，视为无效竞标保证金。</w:t>
            </w:r>
          </w:p>
          <w:p w14:paraId="75DB930B">
            <w:pPr>
              <w:snapToGrid w:val="0"/>
              <w:spacing w:line="400" w:lineRule="exact"/>
              <w:rPr>
                <w:rFonts w:ascii="宋体" w:hAnsi="宋体" w:cs="宋体"/>
                <w:b/>
                <w:color w:val="auto"/>
                <w:szCs w:val="21"/>
                <w:highlight w:val="none"/>
              </w:rPr>
            </w:pPr>
            <w:r>
              <w:rPr>
                <w:rFonts w:hint="eastAsia" w:ascii="宋体" w:hAnsi="宋体" w:cs="宋体"/>
                <w:b/>
                <w:color w:val="auto"/>
                <w:szCs w:val="21"/>
                <w:highlight w:val="none"/>
              </w:rPr>
              <w:t>（4）保函（包含电子保函）有效期低于竞标有效期的，视为无效竞标保证金。</w:t>
            </w:r>
          </w:p>
        </w:tc>
      </w:tr>
      <w:tr w14:paraId="77E637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jc w:val="center"/>
        </w:trPr>
        <w:tc>
          <w:tcPr>
            <w:tcW w:w="992" w:type="dxa"/>
            <w:vAlign w:val="center"/>
          </w:tcPr>
          <w:p w14:paraId="69F8DD50">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19</w:t>
            </w:r>
          </w:p>
        </w:tc>
        <w:tc>
          <w:tcPr>
            <w:tcW w:w="7912" w:type="dxa"/>
            <w:vAlign w:val="center"/>
          </w:tcPr>
          <w:p w14:paraId="0B4F2FB7">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本项目不接受电子备份响应文件。</w:t>
            </w:r>
          </w:p>
        </w:tc>
      </w:tr>
      <w:tr w14:paraId="73554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5E46B2D">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20.1</w:t>
            </w:r>
          </w:p>
        </w:tc>
        <w:tc>
          <w:tcPr>
            <w:tcW w:w="7912" w:type="dxa"/>
            <w:vAlign w:val="center"/>
          </w:tcPr>
          <w:p w14:paraId="36F06DE5">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响应文件提交截止时间：详见竞争性谈判公告。</w:t>
            </w:r>
          </w:p>
          <w:p w14:paraId="40B4CE25">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响应文件提交地点：详见竞争性谈判公告。</w:t>
            </w:r>
          </w:p>
        </w:tc>
      </w:tr>
      <w:tr w14:paraId="729924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jc w:val="center"/>
        </w:trPr>
        <w:tc>
          <w:tcPr>
            <w:tcW w:w="992" w:type="dxa"/>
            <w:vAlign w:val="center"/>
          </w:tcPr>
          <w:p w14:paraId="29963665">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24.1</w:t>
            </w:r>
          </w:p>
        </w:tc>
        <w:tc>
          <w:tcPr>
            <w:tcW w:w="7912" w:type="dxa"/>
            <w:vAlign w:val="center"/>
          </w:tcPr>
          <w:p w14:paraId="02B19B22">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谈判小组的人数：3人。</w:t>
            </w:r>
          </w:p>
        </w:tc>
      </w:tr>
      <w:tr w14:paraId="5B59D8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80898C8">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25</w:t>
            </w:r>
          </w:p>
        </w:tc>
        <w:tc>
          <w:tcPr>
            <w:tcW w:w="7912" w:type="dxa"/>
            <w:vAlign w:val="center"/>
          </w:tcPr>
          <w:p w14:paraId="7CDA18E1">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首次响应文件开启时间详见“竞争性谈判公告”</w:t>
            </w:r>
          </w:p>
          <w:p w14:paraId="55F9630D">
            <w:pPr>
              <w:spacing w:line="400" w:lineRule="exact"/>
              <w:jc w:val="left"/>
              <w:rPr>
                <w:rFonts w:ascii="宋体" w:hAnsi="宋体" w:cs="宋体"/>
                <w:color w:val="auto"/>
                <w:szCs w:val="21"/>
                <w:highlight w:val="none"/>
              </w:rPr>
            </w:pPr>
            <w:r>
              <w:rPr>
                <w:rFonts w:hint="eastAsia" w:ascii="宋体" w:hAnsi="宋体" w:cs="宋体"/>
                <w:color w:val="auto"/>
                <w:szCs w:val="21"/>
                <w:highlight w:val="none"/>
              </w:rPr>
              <w:t>首次响应文件解密时间：30分钟</w:t>
            </w:r>
          </w:p>
        </w:tc>
      </w:tr>
      <w:tr w14:paraId="06CCE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Merge w:val="restart"/>
            <w:vAlign w:val="center"/>
          </w:tcPr>
          <w:p w14:paraId="20D518C6">
            <w:pPr>
              <w:spacing w:line="400" w:lineRule="exact"/>
              <w:jc w:val="center"/>
              <w:rPr>
                <w:rFonts w:ascii="宋体" w:hAnsi="宋体" w:cs="宋体"/>
                <w:color w:val="auto"/>
                <w:szCs w:val="21"/>
                <w:highlight w:val="none"/>
              </w:rPr>
            </w:pPr>
            <w:r>
              <w:rPr>
                <w:rFonts w:ascii="宋体" w:hAnsi="宋体" w:cs="宋体"/>
                <w:color w:val="auto"/>
                <w:szCs w:val="21"/>
                <w:highlight w:val="none"/>
              </w:rPr>
              <w:t>26</w:t>
            </w:r>
          </w:p>
        </w:tc>
        <w:tc>
          <w:tcPr>
            <w:tcW w:w="7912" w:type="dxa"/>
            <w:vAlign w:val="center"/>
          </w:tcPr>
          <w:p w14:paraId="2A243A53">
            <w:pPr>
              <w:spacing w:line="400" w:lineRule="exact"/>
              <w:contextualSpacing/>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6.1</w:t>
            </w:r>
            <w:r>
              <w:rPr>
                <w:rFonts w:hint="eastAsia" w:ascii="宋体" w:hAnsi="宋体" w:cs="宋体"/>
                <w:color w:val="auto"/>
                <w:szCs w:val="21"/>
                <w:highlight w:val="none"/>
              </w:rPr>
              <w:t>最后报价相同时，按节能、环保产品累计金额由高到低顺序依次推荐；节能、环保产品累计金额也相同时，按以下原则确定成交候选人的顺序：</w:t>
            </w:r>
          </w:p>
          <w:p w14:paraId="4ADE4630">
            <w:pPr>
              <w:spacing w:line="400" w:lineRule="exact"/>
              <w:contextualSpacing/>
              <w:rPr>
                <w:rFonts w:ascii="宋体" w:hAnsi="宋体" w:cs="宋体"/>
                <w:color w:val="auto"/>
                <w:szCs w:val="21"/>
                <w:highlight w:val="none"/>
              </w:rPr>
            </w:pPr>
            <w:r>
              <w:rPr>
                <w:rFonts w:ascii="Wingdings 2" w:hAnsi="Wingdings 2"/>
                <w:color w:val="auto"/>
                <w:highlight w:val="none"/>
              </w:rPr>
              <w:sym w:font="Wingdings" w:char="F0FE"/>
            </w:r>
            <w:r>
              <w:rPr>
                <w:rFonts w:hint="eastAsia" w:ascii="宋体" w:hAnsi="宋体" w:cs="宋体"/>
                <w:color w:val="auto"/>
                <w:szCs w:val="21"/>
                <w:highlight w:val="none"/>
              </w:rPr>
              <w:t>实质性要求正偏离项数多的优先、保修期长优先、交货时间短优先、故障响应时间短优先的顺序推荐。</w:t>
            </w:r>
          </w:p>
          <w:p w14:paraId="4C377694">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□由谈判小组推荐代表随机抽取。</w:t>
            </w:r>
          </w:p>
        </w:tc>
      </w:tr>
      <w:tr w14:paraId="70A7F7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14:paraId="7EFE4C8D">
            <w:pPr>
              <w:spacing w:line="400" w:lineRule="exact"/>
              <w:jc w:val="center"/>
              <w:rPr>
                <w:rFonts w:ascii="宋体" w:hAnsi="宋体" w:cs="宋体"/>
                <w:color w:val="auto"/>
                <w:szCs w:val="21"/>
                <w:highlight w:val="none"/>
              </w:rPr>
            </w:pPr>
          </w:p>
        </w:tc>
        <w:tc>
          <w:tcPr>
            <w:tcW w:w="7912" w:type="dxa"/>
            <w:vAlign w:val="center"/>
          </w:tcPr>
          <w:p w14:paraId="7CCBCAAF">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6.2</w:t>
            </w:r>
            <w:r>
              <w:rPr>
                <w:rFonts w:hint="eastAsia" w:ascii="宋体" w:hAnsi="宋体" w:cs="宋体"/>
                <w:color w:val="auto"/>
                <w:szCs w:val="21"/>
                <w:highlight w:val="none"/>
              </w:rPr>
              <w:t>商务要求评审中允许负偏离的条款数为</w:t>
            </w:r>
            <w:r>
              <w:rPr>
                <w:rFonts w:hint="eastAsia" w:ascii="宋体" w:hAnsi="宋体" w:cs="宋体"/>
                <w:color w:val="auto"/>
                <w:szCs w:val="21"/>
                <w:highlight w:val="none"/>
                <w:u w:val="single"/>
              </w:rPr>
              <w:t>0</w:t>
            </w:r>
            <w:r>
              <w:rPr>
                <w:rFonts w:hint="eastAsia" w:ascii="宋体" w:hAnsi="宋体" w:cs="宋体"/>
                <w:color w:val="auto"/>
                <w:szCs w:val="21"/>
                <w:highlight w:val="none"/>
              </w:rPr>
              <w:t>项。</w:t>
            </w:r>
          </w:p>
          <w:p w14:paraId="312B9961">
            <w:pPr>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技术要求评审中允许负偏离的条款数为</w:t>
            </w:r>
            <w:r>
              <w:rPr>
                <w:rFonts w:hint="eastAsia" w:ascii="宋体" w:hAnsi="宋体" w:cs="宋体"/>
                <w:color w:val="auto"/>
                <w:szCs w:val="21"/>
                <w:highlight w:val="none"/>
                <w:u w:val="single"/>
              </w:rPr>
              <w:t>0</w:t>
            </w:r>
            <w:r>
              <w:rPr>
                <w:rFonts w:hint="eastAsia" w:ascii="宋体" w:hAnsi="宋体" w:cs="宋体"/>
                <w:color w:val="auto"/>
                <w:szCs w:val="21"/>
                <w:highlight w:val="none"/>
              </w:rPr>
              <w:t>项。</w:t>
            </w:r>
          </w:p>
        </w:tc>
      </w:tr>
      <w:tr w14:paraId="4D5506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76C26A7D">
            <w:pPr>
              <w:spacing w:line="400" w:lineRule="exact"/>
              <w:jc w:val="center"/>
              <w:rPr>
                <w:rFonts w:ascii="宋体" w:hAnsi="宋体" w:cs="宋体"/>
                <w:color w:val="auto"/>
                <w:szCs w:val="21"/>
                <w:highlight w:val="none"/>
              </w:rPr>
            </w:pPr>
            <w:r>
              <w:rPr>
                <w:rFonts w:ascii="宋体" w:hAnsi="宋体" w:cs="宋体"/>
                <w:color w:val="auto"/>
                <w:szCs w:val="21"/>
                <w:highlight w:val="none"/>
              </w:rPr>
              <w:t>28.1</w:t>
            </w:r>
          </w:p>
        </w:tc>
        <w:tc>
          <w:tcPr>
            <w:tcW w:w="7912" w:type="dxa"/>
            <w:vAlign w:val="center"/>
          </w:tcPr>
          <w:p w14:paraId="1B7C220B">
            <w:pPr>
              <w:autoSpaceDE w:val="0"/>
              <w:autoSpaceDN w:val="0"/>
              <w:snapToGrid w:val="0"/>
              <w:spacing w:line="400" w:lineRule="exact"/>
              <w:textAlignment w:val="bottom"/>
              <w:rPr>
                <w:rFonts w:ascii="宋体" w:hAnsi="宋体"/>
                <w:color w:val="auto"/>
                <w:szCs w:val="21"/>
                <w:highlight w:val="none"/>
              </w:rPr>
            </w:pPr>
            <w:r>
              <w:rPr>
                <w:rFonts w:hint="eastAsia" w:ascii="宋体" w:hAnsi="宋体"/>
                <w:color w:val="auto"/>
                <w:szCs w:val="21"/>
                <w:highlight w:val="none"/>
              </w:rPr>
              <w:t>□本项目不收取履约保证金。</w:t>
            </w:r>
          </w:p>
          <w:p w14:paraId="0432B161">
            <w:pPr>
              <w:autoSpaceDE w:val="0"/>
              <w:autoSpaceDN w:val="0"/>
              <w:snapToGrid w:val="0"/>
              <w:spacing w:line="400" w:lineRule="exact"/>
              <w:textAlignment w:val="bottom"/>
              <w:rPr>
                <w:rFonts w:ascii="宋体" w:hAnsi="宋体"/>
                <w:color w:val="auto"/>
                <w:szCs w:val="21"/>
                <w:highlight w:val="none"/>
              </w:rPr>
            </w:pPr>
            <w:r>
              <w:rPr>
                <w:rFonts w:ascii="Wingdings 2" w:hAnsi="Wingdings 2"/>
                <w:color w:val="auto"/>
                <w:highlight w:val="none"/>
              </w:rPr>
              <w:sym w:font="Wingdings" w:char="F0FE"/>
            </w:r>
            <w:r>
              <w:rPr>
                <w:rFonts w:hint="eastAsia" w:ascii="宋体" w:hAnsi="宋体"/>
                <w:color w:val="auto"/>
                <w:szCs w:val="21"/>
                <w:highlight w:val="none"/>
              </w:rPr>
              <w:t>本项目收取履约保证金，具体规定如下：</w:t>
            </w:r>
          </w:p>
          <w:p w14:paraId="27CB7E40">
            <w:pPr>
              <w:snapToGrid w:val="0"/>
              <w:spacing w:line="400" w:lineRule="exact"/>
              <w:rPr>
                <w:rFonts w:ascii="宋体" w:hAnsi="宋体"/>
                <w:color w:val="auto"/>
                <w:szCs w:val="21"/>
                <w:highlight w:val="none"/>
              </w:rPr>
            </w:pPr>
            <w:r>
              <w:rPr>
                <w:rFonts w:hint="eastAsia" w:ascii="宋体" w:hAnsi="宋体"/>
                <w:color w:val="auto"/>
                <w:szCs w:val="21"/>
                <w:highlight w:val="none"/>
              </w:rPr>
              <w:t>履约保证金金额：按成交金额的5%提交（如成交供应商为中小微企业的，按成交金额的2%提交）。由成交供应商在成交通知书发出之日起25日内(但必须在签订合同前)，向采购人交纳履约保证金。</w:t>
            </w:r>
          </w:p>
          <w:p w14:paraId="44B736F0">
            <w:pPr>
              <w:snapToGrid w:val="0"/>
              <w:spacing w:line="400" w:lineRule="exact"/>
              <w:rPr>
                <w:rFonts w:ascii="宋体" w:hAnsi="宋体"/>
                <w:color w:val="auto"/>
                <w:szCs w:val="21"/>
                <w:highlight w:val="none"/>
              </w:rPr>
            </w:pPr>
            <w:r>
              <w:rPr>
                <w:rFonts w:hint="eastAsia" w:ascii="宋体" w:hAnsi="宋体"/>
                <w:color w:val="auto"/>
                <w:szCs w:val="21"/>
                <w:highlight w:val="none"/>
              </w:rPr>
              <w:t>履约保证金提交方式：转账或电汇等非现金形式。</w:t>
            </w:r>
          </w:p>
          <w:p w14:paraId="43C37F49">
            <w:pPr>
              <w:snapToGrid w:val="0"/>
              <w:spacing w:line="400" w:lineRule="exact"/>
              <w:rPr>
                <w:rFonts w:ascii="宋体" w:hAnsi="宋体"/>
                <w:color w:val="auto"/>
                <w:szCs w:val="21"/>
                <w:highlight w:val="none"/>
              </w:rPr>
            </w:pPr>
            <w:r>
              <w:rPr>
                <w:rFonts w:hint="eastAsia" w:ascii="宋体" w:hAnsi="宋体"/>
                <w:color w:val="auto"/>
                <w:szCs w:val="21"/>
                <w:highlight w:val="none"/>
              </w:rPr>
              <w:t>履约保证金指定账户：</w:t>
            </w:r>
          </w:p>
          <w:p w14:paraId="3DF6F527">
            <w:pPr>
              <w:snapToGrid w:val="0"/>
              <w:spacing w:line="400" w:lineRule="exact"/>
              <w:rPr>
                <w:rFonts w:ascii="宋体" w:hAnsi="宋体"/>
                <w:color w:val="auto"/>
                <w:szCs w:val="21"/>
                <w:highlight w:val="none"/>
              </w:rPr>
            </w:pPr>
            <w:r>
              <w:rPr>
                <w:rFonts w:hint="eastAsia" w:ascii="宋体" w:hAnsi="宋体"/>
                <w:color w:val="auto"/>
                <w:szCs w:val="21"/>
                <w:highlight w:val="none"/>
              </w:rPr>
              <w:t>开户名称：桂林理工大学；</w:t>
            </w:r>
          </w:p>
          <w:p w14:paraId="4627A6A5">
            <w:pPr>
              <w:snapToGrid w:val="0"/>
              <w:spacing w:line="400" w:lineRule="exact"/>
              <w:rPr>
                <w:rFonts w:ascii="宋体" w:hAnsi="宋体"/>
                <w:color w:val="auto"/>
                <w:szCs w:val="21"/>
                <w:highlight w:val="none"/>
              </w:rPr>
            </w:pPr>
            <w:r>
              <w:rPr>
                <w:rFonts w:hint="eastAsia" w:ascii="宋体" w:hAnsi="宋体"/>
                <w:color w:val="auto"/>
                <w:szCs w:val="21"/>
                <w:highlight w:val="none"/>
              </w:rPr>
              <w:t>开户银行：中国银行桂林分行；</w:t>
            </w:r>
          </w:p>
          <w:p w14:paraId="7A30DABC">
            <w:pPr>
              <w:snapToGrid w:val="0"/>
              <w:spacing w:line="400" w:lineRule="exact"/>
              <w:rPr>
                <w:rFonts w:ascii="宋体" w:hAnsi="宋体"/>
                <w:color w:val="auto"/>
                <w:szCs w:val="21"/>
                <w:highlight w:val="none"/>
              </w:rPr>
            </w:pPr>
            <w:r>
              <w:rPr>
                <w:rFonts w:hint="eastAsia" w:ascii="宋体" w:hAnsi="宋体"/>
                <w:color w:val="auto"/>
                <w:szCs w:val="21"/>
                <w:highlight w:val="none"/>
              </w:rPr>
              <w:t>账号：613257488744。</w:t>
            </w:r>
          </w:p>
          <w:p w14:paraId="3F44537C">
            <w:pPr>
              <w:snapToGrid w:val="0"/>
              <w:spacing w:line="400" w:lineRule="exact"/>
              <w:rPr>
                <w:rFonts w:ascii="宋体" w:hAnsi="宋体"/>
                <w:color w:val="auto"/>
                <w:szCs w:val="21"/>
                <w:highlight w:val="none"/>
              </w:rPr>
            </w:pPr>
            <w:r>
              <w:rPr>
                <w:rFonts w:hint="eastAsia" w:ascii="宋体" w:hAnsi="宋体"/>
                <w:color w:val="auto"/>
                <w:szCs w:val="21"/>
                <w:highlight w:val="none"/>
              </w:rPr>
              <w:t>履约保证金退付方式、时间及条件：</w:t>
            </w:r>
          </w:p>
          <w:p w14:paraId="3B43992F">
            <w:pPr>
              <w:snapToGrid w:val="0"/>
              <w:spacing w:line="400" w:lineRule="exact"/>
              <w:rPr>
                <w:rFonts w:ascii="宋体" w:hAnsi="宋体"/>
                <w:color w:val="auto"/>
                <w:szCs w:val="21"/>
                <w:highlight w:val="none"/>
              </w:rPr>
            </w:pPr>
            <w:r>
              <w:rPr>
                <w:rFonts w:hint="eastAsia" w:ascii="宋体" w:hAnsi="宋体"/>
                <w:color w:val="auto"/>
                <w:szCs w:val="21"/>
                <w:highlight w:val="none"/>
              </w:rPr>
              <w:t>（1）履约保证金在成交供应商履行完合同约定的权利义务（包括保修服务等）事项后7个工作日内，由成交供应商凭履约保证金的申请表及合同向采购人申请办理履约保证金退还手续，采购人在收到合格材料后5个工作日内以银行转账方式如数退还（不计利息）。</w:t>
            </w:r>
          </w:p>
          <w:p w14:paraId="2B587173">
            <w:pPr>
              <w:snapToGrid w:val="0"/>
              <w:spacing w:line="400" w:lineRule="exact"/>
              <w:rPr>
                <w:rFonts w:ascii="宋体" w:hAnsi="宋体"/>
                <w:color w:val="auto"/>
                <w:szCs w:val="21"/>
                <w:highlight w:val="none"/>
              </w:rPr>
            </w:pPr>
            <w:r>
              <w:rPr>
                <w:rFonts w:hint="eastAsia" w:ascii="宋体" w:hAnsi="宋体"/>
                <w:color w:val="auto"/>
                <w:szCs w:val="21"/>
                <w:highlight w:val="none"/>
              </w:rPr>
              <w:t>（2）在履约保证金退还日期前，若成交供应商的开户名称、开户银行、账号有变动的，请以书面形式通知履约保证金收取单位，否则由此产生的后果由成交供应商自负。</w:t>
            </w:r>
          </w:p>
          <w:p w14:paraId="7B05064A">
            <w:pPr>
              <w:snapToGrid w:val="0"/>
              <w:spacing w:line="400" w:lineRule="exact"/>
              <w:rPr>
                <w:rFonts w:ascii="宋体" w:hAnsi="宋体"/>
                <w:color w:val="auto"/>
                <w:szCs w:val="21"/>
                <w:highlight w:val="none"/>
              </w:rPr>
            </w:pPr>
            <w:r>
              <w:rPr>
                <w:rFonts w:hint="eastAsia" w:ascii="宋体" w:hAnsi="宋体"/>
                <w:color w:val="auto"/>
                <w:szCs w:val="21"/>
                <w:highlight w:val="none"/>
              </w:rPr>
              <w:t>（3）成交供应商在签订合同后存在违约情形的，履约保证金不予退还。履约保证金不足以赔偿损失的，按实际损失赔偿。</w:t>
            </w:r>
          </w:p>
          <w:p w14:paraId="0ACF49F6">
            <w:pPr>
              <w:snapToGrid w:val="0"/>
              <w:spacing w:line="400" w:lineRule="exact"/>
              <w:rPr>
                <w:rFonts w:ascii="宋体" w:hAnsi="宋体" w:cs="宋体"/>
                <w:b/>
                <w:color w:val="auto"/>
                <w:szCs w:val="21"/>
                <w:highlight w:val="none"/>
              </w:rPr>
            </w:pPr>
            <w:r>
              <w:rPr>
                <w:rFonts w:hint="eastAsia" w:ascii="宋体" w:hAnsi="宋体"/>
                <w:b/>
                <w:color w:val="auto"/>
                <w:szCs w:val="21"/>
                <w:highlight w:val="none"/>
              </w:rPr>
              <w:t>备注：</w:t>
            </w:r>
            <w:r>
              <w:rPr>
                <w:rFonts w:hint="eastAsia" w:ascii="宋体" w:hAnsi="宋体" w:cs="宋体"/>
                <w:b/>
                <w:color w:val="auto"/>
                <w:szCs w:val="21"/>
                <w:highlight w:val="none"/>
              </w:rPr>
              <w:t>履约保证金不足额缴纳的（包含保函额度不足的），或者不按规定提交方式提交的，或者</w:t>
            </w:r>
            <w:r>
              <w:rPr>
                <w:rFonts w:ascii="宋体" w:hAnsi="宋体" w:cs="宋体"/>
                <w:b/>
                <w:color w:val="auto"/>
                <w:szCs w:val="21"/>
                <w:highlight w:val="none"/>
              </w:rPr>
              <w:t>未在规定</w:t>
            </w:r>
            <w:r>
              <w:rPr>
                <w:rFonts w:hint="eastAsia" w:ascii="宋体" w:hAnsi="宋体" w:cs="宋体"/>
                <w:b/>
                <w:color w:val="auto"/>
                <w:szCs w:val="21"/>
                <w:highlight w:val="none"/>
              </w:rPr>
              <w:t>提交期限缴纳</w:t>
            </w:r>
            <w:r>
              <w:rPr>
                <w:rFonts w:ascii="宋体" w:hAnsi="宋体" w:cs="宋体"/>
                <w:b/>
                <w:color w:val="auto"/>
                <w:szCs w:val="21"/>
                <w:highlight w:val="none"/>
              </w:rPr>
              <w:t>的，</w:t>
            </w:r>
            <w:r>
              <w:rPr>
                <w:rFonts w:hint="eastAsia" w:ascii="宋体" w:hAnsi="宋体" w:cs="宋体"/>
                <w:b/>
                <w:color w:val="auto"/>
                <w:szCs w:val="21"/>
                <w:highlight w:val="none"/>
              </w:rPr>
              <w:t>或者保函有效期低于合同履行期限（即合同中规定的当事人履行自己的义务，如交付标的物、价款或者报酬，履行劳务、完成工作的时间界限）的，不予签订合同。</w:t>
            </w:r>
          </w:p>
        </w:tc>
      </w:tr>
      <w:tr w14:paraId="4EE571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1DDEC0A">
            <w:pPr>
              <w:spacing w:line="400" w:lineRule="exact"/>
              <w:jc w:val="center"/>
              <w:rPr>
                <w:rFonts w:ascii="宋体" w:hAnsi="宋体" w:cs="宋体"/>
                <w:color w:val="auto"/>
                <w:szCs w:val="21"/>
                <w:highlight w:val="none"/>
              </w:rPr>
            </w:pPr>
            <w:r>
              <w:rPr>
                <w:rFonts w:ascii="宋体" w:hAnsi="宋体" w:cs="宋体"/>
                <w:color w:val="auto"/>
                <w:szCs w:val="21"/>
                <w:highlight w:val="none"/>
              </w:rPr>
              <w:t>29</w:t>
            </w:r>
            <w:r>
              <w:rPr>
                <w:rFonts w:hint="eastAsia" w:ascii="宋体" w:hAnsi="宋体" w:cs="宋体"/>
                <w:color w:val="auto"/>
                <w:szCs w:val="21"/>
                <w:highlight w:val="none"/>
              </w:rPr>
              <w:t>.1</w:t>
            </w:r>
          </w:p>
        </w:tc>
        <w:tc>
          <w:tcPr>
            <w:tcW w:w="7912" w:type="dxa"/>
            <w:vAlign w:val="center"/>
          </w:tcPr>
          <w:p w14:paraId="49B52236">
            <w:pPr>
              <w:autoSpaceDE w:val="0"/>
              <w:autoSpaceDN w:val="0"/>
              <w:snapToGrid w:val="0"/>
              <w:spacing w:line="400" w:lineRule="exact"/>
              <w:textAlignment w:val="bottom"/>
              <w:rPr>
                <w:rFonts w:ascii="宋体" w:hAnsi="宋体"/>
                <w:color w:val="auto"/>
                <w:szCs w:val="21"/>
                <w:highlight w:val="none"/>
              </w:rPr>
            </w:pPr>
            <w:r>
              <w:rPr>
                <w:rFonts w:hint="eastAsia" w:ascii="宋体" w:hAnsi="宋体"/>
                <w:color w:val="auto"/>
                <w:szCs w:val="21"/>
                <w:highlight w:val="none"/>
              </w:rPr>
              <w:t>签订合同携带的证明材料：</w:t>
            </w:r>
          </w:p>
          <w:p w14:paraId="44EE3EA5">
            <w:pPr>
              <w:autoSpaceDE w:val="0"/>
              <w:autoSpaceDN w:val="0"/>
              <w:snapToGrid w:val="0"/>
              <w:spacing w:line="400" w:lineRule="exact"/>
              <w:textAlignment w:val="bottom"/>
              <w:rPr>
                <w:rFonts w:ascii="宋体" w:hAnsi="宋体"/>
                <w:color w:val="auto"/>
                <w:szCs w:val="21"/>
                <w:highlight w:val="none"/>
              </w:rPr>
            </w:pPr>
            <w:r>
              <w:rPr>
                <w:rFonts w:hint="eastAsia" w:ascii="宋体" w:hAnsi="宋体"/>
                <w:color w:val="auto"/>
                <w:szCs w:val="21"/>
                <w:highlight w:val="none"/>
              </w:rPr>
              <w:t>委托代理人负责签订合同的，须携带授权委托书及委托代理人身份证原件等其他资格证件。</w:t>
            </w:r>
          </w:p>
          <w:p w14:paraId="02E60F4B">
            <w:pPr>
              <w:snapToGrid w:val="0"/>
              <w:spacing w:line="400" w:lineRule="exact"/>
              <w:rPr>
                <w:rFonts w:ascii="宋体" w:hAnsi="宋体" w:cs="宋体"/>
                <w:color w:val="auto"/>
                <w:szCs w:val="21"/>
                <w:highlight w:val="none"/>
              </w:rPr>
            </w:pPr>
            <w:r>
              <w:rPr>
                <w:rFonts w:hint="eastAsia" w:ascii="宋体" w:hAnsi="宋体"/>
                <w:color w:val="auto"/>
                <w:szCs w:val="21"/>
                <w:highlight w:val="none"/>
              </w:rPr>
              <w:t>法定代表人负责签订合同的，须携带法定代表人</w:t>
            </w:r>
            <w:r>
              <w:rPr>
                <w:rFonts w:ascii="宋体" w:hAnsi="宋体"/>
                <w:color w:val="auto"/>
                <w:szCs w:val="21"/>
                <w:highlight w:val="none"/>
              </w:rPr>
              <w:t>身份证明原件</w:t>
            </w:r>
            <w:r>
              <w:rPr>
                <w:rFonts w:hint="eastAsia" w:ascii="宋体" w:hAnsi="宋体"/>
                <w:color w:val="auto"/>
                <w:szCs w:val="21"/>
                <w:highlight w:val="none"/>
              </w:rPr>
              <w:t>及</w:t>
            </w:r>
            <w:r>
              <w:rPr>
                <w:rFonts w:ascii="宋体" w:hAnsi="宋体"/>
                <w:color w:val="auto"/>
                <w:szCs w:val="21"/>
                <w:highlight w:val="none"/>
              </w:rPr>
              <w:t>身份证原件</w:t>
            </w:r>
            <w:r>
              <w:rPr>
                <w:rFonts w:hint="eastAsia" w:ascii="宋体" w:hAnsi="宋体"/>
                <w:color w:val="auto"/>
                <w:szCs w:val="21"/>
                <w:highlight w:val="none"/>
              </w:rPr>
              <w:t>等其他证明材料。</w:t>
            </w:r>
          </w:p>
        </w:tc>
      </w:tr>
      <w:tr w14:paraId="5356E5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33D8A37">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1.2</w:t>
            </w:r>
          </w:p>
        </w:tc>
        <w:tc>
          <w:tcPr>
            <w:tcW w:w="7912" w:type="dxa"/>
            <w:vAlign w:val="center"/>
          </w:tcPr>
          <w:p w14:paraId="7AEC371E">
            <w:pPr>
              <w:autoSpaceDE w:val="0"/>
              <w:autoSpaceDN w:val="0"/>
              <w:snapToGrid w:val="0"/>
              <w:spacing w:line="400" w:lineRule="exact"/>
              <w:textAlignment w:val="bottom"/>
              <w:rPr>
                <w:rFonts w:ascii="宋体" w:hAnsi="宋体"/>
                <w:color w:val="auto"/>
                <w:szCs w:val="21"/>
                <w:highlight w:val="none"/>
              </w:rPr>
            </w:pPr>
            <w:r>
              <w:rPr>
                <w:rFonts w:hint="eastAsia" w:ascii="宋体" w:hAnsi="宋体"/>
                <w:color w:val="auto"/>
                <w:szCs w:val="21"/>
                <w:highlight w:val="none"/>
              </w:rPr>
              <w:t>接收质疑函方式：以书面形式。</w:t>
            </w:r>
          </w:p>
          <w:p w14:paraId="530B839E">
            <w:pPr>
              <w:autoSpaceDE w:val="0"/>
              <w:autoSpaceDN w:val="0"/>
              <w:snapToGrid w:val="0"/>
              <w:spacing w:line="400" w:lineRule="exact"/>
              <w:textAlignment w:val="bottom"/>
              <w:rPr>
                <w:rFonts w:ascii="宋体" w:hAnsi="宋体"/>
                <w:color w:val="auto"/>
                <w:szCs w:val="21"/>
                <w:highlight w:val="none"/>
              </w:rPr>
            </w:pPr>
            <w:r>
              <w:rPr>
                <w:rFonts w:hint="eastAsia" w:ascii="宋体" w:hAnsi="宋体"/>
                <w:color w:val="auto"/>
                <w:szCs w:val="21"/>
                <w:highlight w:val="none"/>
              </w:rPr>
              <w:t>质疑联系部门及联系方式：云之龙咨询集团有限公司桂林分公司，联系电话：</w:t>
            </w:r>
            <w:r>
              <w:rPr>
                <w:rFonts w:hint="eastAsia" w:ascii="宋体" w:hAnsi="宋体"/>
                <w:color w:val="auto"/>
                <w:szCs w:val="21"/>
                <w:highlight w:val="none"/>
                <w:lang w:eastAsia="zh-CN"/>
              </w:rPr>
              <w:t>吕雯</w:t>
            </w:r>
            <w:r>
              <w:rPr>
                <w:rFonts w:hint="eastAsia" w:ascii="宋体" w:hAnsi="宋体"/>
                <w:color w:val="auto"/>
                <w:szCs w:val="21"/>
                <w:highlight w:val="none"/>
                <w:lang w:val="en-US" w:eastAsia="zh-CN"/>
              </w:rPr>
              <w:t xml:space="preserve"> 万紫琳</w:t>
            </w:r>
            <w:r>
              <w:rPr>
                <w:rFonts w:hint="eastAsia" w:ascii="宋体" w:hAnsi="宋体"/>
                <w:color w:val="auto"/>
                <w:szCs w:val="21"/>
                <w:highlight w:val="none"/>
              </w:rPr>
              <w:t>，通讯地址：云之龙咨询集团有限公司（广西桂林市临桂区西城北路2号耀辉•美好家园2幢12层1号房）</w:t>
            </w:r>
          </w:p>
          <w:p w14:paraId="7BC518D7">
            <w:pPr>
              <w:autoSpaceDE w:val="0"/>
              <w:autoSpaceDN w:val="0"/>
              <w:snapToGrid w:val="0"/>
              <w:spacing w:line="400" w:lineRule="exact"/>
              <w:textAlignment w:val="bottom"/>
              <w:rPr>
                <w:rFonts w:hAnsi="宋体" w:cs="宋体"/>
                <w:color w:val="auto"/>
                <w:highlight w:val="none"/>
              </w:rPr>
            </w:pPr>
            <w:r>
              <w:rPr>
                <w:rFonts w:hint="eastAsia" w:ascii="宋体" w:hAnsi="宋体"/>
                <w:color w:val="auto"/>
                <w:szCs w:val="21"/>
                <w:highlight w:val="none"/>
              </w:rPr>
              <w:t>业务时间：</w:t>
            </w:r>
            <w:r>
              <w:rPr>
                <w:rFonts w:hint="eastAsia" w:hAnsi="宋体" w:cs="宋体"/>
                <w:color w:val="auto"/>
                <w:highlight w:val="none"/>
              </w:rPr>
              <w:t>工作日每天上午8时00分到12时00分，下午3时00分到6时00分</w:t>
            </w:r>
            <w:r>
              <w:rPr>
                <w:rFonts w:hint="eastAsia" w:ascii="宋体" w:hAnsi="宋体"/>
                <w:color w:val="auto"/>
                <w:szCs w:val="21"/>
                <w:highlight w:val="none"/>
              </w:rPr>
              <w:t>。</w:t>
            </w:r>
          </w:p>
        </w:tc>
      </w:tr>
      <w:tr w14:paraId="3023A3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7A18BCA">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2</w:t>
            </w:r>
            <w:r>
              <w:rPr>
                <w:rFonts w:hint="eastAsia" w:ascii="宋体" w:hAnsi="宋体" w:cs="宋体"/>
                <w:color w:val="auto"/>
                <w:szCs w:val="21"/>
                <w:highlight w:val="none"/>
              </w:rPr>
              <w:t>.1</w:t>
            </w:r>
          </w:p>
        </w:tc>
        <w:tc>
          <w:tcPr>
            <w:tcW w:w="7912" w:type="dxa"/>
            <w:vAlign w:val="center"/>
          </w:tcPr>
          <w:p w14:paraId="1B7CABF0">
            <w:pPr>
              <w:pStyle w:val="16"/>
              <w:snapToGrid w:val="0"/>
              <w:spacing w:line="400" w:lineRule="exact"/>
              <w:rPr>
                <w:rFonts w:hAnsi="宋体"/>
                <w:color w:val="auto"/>
                <w:sz w:val="21"/>
                <w:highlight w:val="none"/>
              </w:rPr>
            </w:pPr>
            <w:r>
              <w:rPr>
                <w:rFonts w:hint="eastAsia" w:hAnsi="宋体"/>
                <w:color w:val="auto"/>
                <w:sz w:val="21"/>
                <w:highlight w:val="none"/>
              </w:rPr>
              <w:t>1.采购代理服务费支付方式：</w:t>
            </w:r>
          </w:p>
          <w:p w14:paraId="18DCCAB7">
            <w:pPr>
              <w:pStyle w:val="16"/>
              <w:snapToGrid w:val="0"/>
              <w:spacing w:line="400" w:lineRule="exact"/>
              <w:rPr>
                <w:rFonts w:hAnsi="宋体"/>
                <w:color w:val="auto"/>
                <w:sz w:val="21"/>
                <w:highlight w:val="none"/>
              </w:rPr>
            </w:pPr>
            <w:r>
              <w:rPr>
                <w:rFonts w:ascii="Wingdings 2" w:hAnsi="Wingdings 2"/>
                <w:color w:val="auto"/>
                <w:highlight w:val="none"/>
              </w:rPr>
              <w:sym w:font="Wingdings" w:char="F0FE"/>
            </w:r>
            <w:r>
              <w:rPr>
                <w:rFonts w:hint="eastAsia" w:hAnsi="宋体"/>
                <w:color w:val="auto"/>
                <w:sz w:val="21"/>
                <w:highlight w:val="none"/>
              </w:rPr>
              <w:t>本项目</w:t>
            </w:r>
            <w:r>
              <w:rPr>
                <w:rFonts w:hint="eastAsia" w:hAnsi="宋体"/>
                <w:color w:val="auto"/>
                <w:sz w:val="21"/>
                <w:highlight w:val="none"/>
                <w:lang w:val="en-US" w:eastAsia="zh-CN"/>
              </w:rPr>
              <w:t>采购</w:t>
            </w:r>
            <w:r>
              <w:rPr>
                <w:rFonts w:hint="eastAsia" w:hAnsi="宋体"/>
                <w:color w:val="auto"/>
                <w:sz w:val="21"/>
                <w:highlight w:val="none"/>
              </w:rPr>
              <w:t>代理服务费由</w:t>
            </w:r>
            <w:r>
              <w:rPr>
                <w:rFonts w:hint="eastAsia" w:hAnsi="宋体"/>
                <w:color w:val="auto"/>
                <w:sz w:val="21"/>
                <w:highlight w:val="none"/>
                <w:u w:val="single"/>
              </w:rPr>
              <w:t>成交供应商</w:t>
            </w:r>
            <w:r>
              <w:rPr>
                <w:rFonts w:hint="eastAsia" w:hAnsi="宋体"/>
                <w:color w:val="auto"/>
                <w:sz w:val="21"/>
                <w:highlight w:val="none"/>
              </w:rPr>
              <w:t>在获取成交通知书前一次性向采购代理机构支付。</w:t>
            </w:r>
          </w:p>
          <w:p w14:paraId="69598E9E">
            <w:pPr>
              <w:pStyle w:val="16"/>
              <w:snapToGrid w:val="0"/>
              <w:spacing w:line="400" w:lineRule="exact"/>
              <w:rPr>
                <w:rFonts w:hAnsi="宋体"/>
                <w:color w:val="auto"/>
                <w:sz w:val="21"/>
                <w:highlight w:val="none"/>
              </w:rPr>
            </w:pPr>
            <w:r>
              <w:rPr>
                <w:rFonts w:hint="eastAsia" w:hAnsi="宋体"/>
                <w:color w:val="auto"/>
                <w:sz w:val="21"/>
                <w:highlight w:val="none"/>
              </w:rPr>
              <w:t>□采购人支付。</w:t>
            </w:r>
          </w:p>
          <w:p w14:paraId="2BC12FD2">
            <w:pPr>
              <w:pStyle w:val="16"/>
              <w:snapToGrid w:val="0"/>
              <w:spacing w:line="400" w:lineRule="exact"/>
              <w:rPr>
                <w:rFonts w:hAnsi="宋体"/>
                <w:color w:val="auto"/>
                <w:sz w:val="21"/>
                <w:highlight w:val="none"/>
              </w:rPr>
            </w:pPr>
            <w:r>
              <w:rPr>
                <w:rFonts w:hint="eastAsia" w:hAnsi="宋体"/>
                <w:color w:val="auto"/>
                <w:sz w:val="21"/>
                <w:highlight w:val="none"/>
              </w:rPr>
              <w:t>2.采购代理服务费收取标准：</w:t>
            </w:r>
          </w:p>
          <w:p w14:paraId="2D545EC3">
            <w:pPr>
              <w:pStyle w:val="16"/>
              <w:snapToGrid w:val="0"/>
              <w:spacing w:line="400" w:lineRule="exact"/>
              <w:rPr>
                <w:rFonts w:hAnsi="宋体"/>
                <w:color w:val="auto"/>
                <w:sz w:val="21"/>
                <w:highlight w:val="none"/>
              </w:rPr>
            </w:pPr>
            <w:r>
              <w:rPr>
                <w:rFonts w:ascii="Wingdings 2" w:hAnsi="Wingdings 2"/>
                <w:color w:val="auto"/>
                <w:highlight w:val="none"/>
              </w:rPr>
              <w:sym w:font="Wingdings" w:char="F0FE"/>
            </w:r>
            <w:r>
              <w:rPr>
                <w:rFonts w:hint="eastAsia" w:hAnsi="宋体"/>
                <w:color w:val="auto"/>
                <w:sz w:val="21"/>
                <w:highlight w:val="none"/>
              </w:rPr>
              <w:t>以成交金额为计费额，按本须知正文第32.2条规定的货物类标准采用差额定率累进法计算出收费基准价格，采购代理收费以收费基准价格下浮50%收取。</w:t>
            </w:r>
          </w:p>
          <w:p w14:paraId="18C41FA8">
            <w:pPr>
              <w:pStyle w:val="16"/>
              <w:snapToGrid w:val="0"/>
              <w:spacing w:line="400" w:lineRule="exact"/>
              <w:rPr>
                <w:rFonts w:hAnsi="宋体"/>
                <w:color w:val="auto"/>
                <w:sz w:val="21"/>
                <w:highlight w:val="none"/>
              </w:rPr>
            </w:pPr>
            <w:r>
              <w:rPr>
                <w:rFonts w:hint="eastAsia" w:hAnsi="宋体"/>
                <w:color w:val="auto"/>
                <w:sz w:val="21"/>
                <w:highlight w:val="none"/>
              </w:rPr>
              <w:t>□固定采购代理收费</w:t>
            </w:r>
            <w:r>
              <w:rPr>
                <w:rFonts w:hint="eastAsia" w:hAnsi="宋体"/>
                <w:color w:val="auto"/>
                <w:sz w:val="21"/>
                <w:highlight w:val="none"/>
                <w:u w:val="single"/>
              </w:rPr>
              <w:t xml:space="preserve">              。</w:t>
            </w:r>
          </w:p>
          <w:p w14:paraId="36FF2814">
            <w:pPr>
              <w:pStyle w:val="16"/>
              <w:snapToGrid w:val="0"/>
              <w:spacing w:line="400" w:lineRule="exact"/>
              <w:rPr>
                <w:rFonts w:hAnsi="宋体"/>
                <w:color w:val="auto"/>
                <w:sz w:val="21"/>
                <w:highlight w:val="none"/>
              </w:rPr>
            </w:pPr>
            <w:r>
              <w:rPr>
                <w:rFonts w:hint="eastAsia" w:hAnsi="宋体"/>
                <w:color w:val="auto"/>
                <w:sz w:val="21"/>
                <w:highlight w:val="none"/>
              </w:rPr>
              <w:t>3.采购代理服务费收取银行账户</w:t>
            </w:r>
          </w:p>
          <w:p w14:paraId="35299A4F">
            <w:pPr>
              <w:pStyle w:val="16"/>
              <w:snapToGrid w:val="0"/>
              <w:spacing w:line="400" w:lineRule="exact"/>
              <w:rPr>
                <w:rFonts w:hAnsi="宋体"/>
                <w:color w:val="auto"/>
                <w:sz w:val="21"/>
                <w:highlight w:val="none"/>
                <w:lang w:val="en-US" w:eastAsia="zh-CN"/>
              </w:rPr>
            </w:pPr>
            <w:r>
              <w:rPr>
                <w:rFonts w:hint="eastAsia" w:hAnsi="宋体"/>
                <w:color w:val="auto"/>
                <w:sz w:val="21"/>
                <w:highlight w:val="none"/>
                <w:lang w:val="en-US" w:eastAsia="zh-CN"/>
              </w:rPr>
              <w:t>开户名称：云之龙咨询集团有限公司桂林分公司</w:t>
            </w:r>
          </w:p>
          <w:p w14:paraId="50B6818C">
            <w:pPr>
              <w:pStyle w:val="16"/>
              <w:snapToGrid w:val="0"/>
              <w:spacing w:line="400" w:lineRule="exact"/>
              <w:rPr>
                <w:rFonts w:hAnsi="宋体"/>
                <w:color w:val="auto"/>
                <w:sz w:val="21"/>
                <w:highlight w:val="none"/>
                <w:lang w:val="en-US" w:eastAsia="zh-CN"/>
              </w:rPr>
            </w:pPr>
            <w:r>
              <w:rPr>
                <w:rFonts w:hint="eastAsia" w:hAnsi="宋体"/>
                <w:color w:val="auto"/>
                <w:sz w:val="21"/>
                <w:highlight w:val="none"/>
                <w:lang w:val="en-US" w:eastAsia="zh-CN"/>
              </w:rPr>
              <w:t>开户银行：中信银行股份有限公司南宁园湖支行</w:t>
            </w:r>
          </w:p>
          <w:p w14:paraId="6848DF68">
            <w:pPr>
              <w:pStyle w:val="16"/>
              <w:snapToGrid w:val="0"/>
              <w:spacing w:line="400" w:lineRule="exact"/>
              <w:rPr>
                <w:rFonts w:hAnsi="宋体"/>
                <w:color w:val="auto"/>
                <w:sz w:val="21"/>
                <w:highlight w:val="none"/>
                <w:u w:val="single"/>
              </w:rPr>
            </w:pPr>
            <w:r>
              <w:rPr>
                <w:rFonts w:hint="eastAsia" w:hAnsi="宋体"/>
                <w:color w:val="auto"/>
                <w:sz w:val="21"/>
                <w:highlight w:val="none"/>
                <w:lang w:val="en-US" w:eastAsia="zh-CN"/>
              </w:rPr>
              <w:t>银行账号：8113001014300158041</w:t>
            </w:r>
          </w:p>
        </w:tc>
      </w:tr>
      <w:tr w14:paraId="66EA1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23B99A8">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3.1</w:t>
            </w:r>
          </w:p>
        </w:tc>
        <w:tc>
          <w:tcPr>
            <w:tcW w:w="7912" w:type="dxa"/>
            <w:vAlign w:val="center"/>
          </w:tcPr>
          <w:p w14:paraId="2382AB15">
            <w:pPr>
              <w:pStyle w:val="16"/>
              <w:snapToGrid w:val="0"/>
              <w:spacing w:line="360" w:lineRule="auto"/>
              <w:rPr>
                <w:rFonts w:hAnsi="宋体"/>
                <w:color w:val="auto"/>
                <w:sz w:val="21"/>
                <w:highlight w:val="none"/>
              </w:rPr>
            </w:pPr>
            <w:r>
              <w:rPr>
                <w:rFonts w:hint="eastAsia" w:hAnsi="宋体" w:cs="宋体"/>
                <w:color w:val="auto"/>
                <w:sz w:val="21"/>
                <w:highlight w:val="none"/>
              </w:rPr>
              <w:t>解释：</w:t>
            </w:r>
            <w:r>
              <w:rPr>
                <w:rFonts w:hAnsi="宋体" w:cs="宋体"/>
                <w:color w:val="auto"/>
                <w:sz w:val="21"/>
                <w:highlight w:val="none"/>
              </w:rPr>
              <w:t>构成本</w:t>
            </w:r>
            <w:r>
              <w:rPr>
                <w:rFonts w:hint="eastAsia" w:hAnsi="宋体" w:cs="宋体"/>
                <w:color w:val="auto"/>
                <w:sz w:val="21"/>
                <w:highlight w:val="none"/>
              </w:rPr>
              <w:t>谈判文件</w:t>
            </w:r>
            <w:r>
              <w:rPr>
                <w:rFonts w:hAnsi="宋体" w:cs="宋体"/>
                <w:color w:val="auto"/>
                <w:sz w:val="21"/>
                <w:highlight w:val="none"/>
              </w:rPr>
              <w:t>的各个组成文件应互为解释，互为说明；除</w:t>
            </w:r>
            <w:r>
              <w:rPr>
                <w:rFonts w:hint="eastAsia" w:hAnsi="宋体" w:cs="宋体"/>
                <w:color w:val="auto"/>
                <w:sz w:val="21"/>
                <w:highlight w:val="none"/>
              </w:rPr>
              <w:t>谈判文件</w:t>
            </w:r>
            <w:r>
              <w:rPr>
                <w:rFonts w:hAnsi="宋体" w:cs="宋体"/>
                <w:color w:val="auto"/>
                <w:sz w:val="21"/>
                <w:highlight w:val="none"/>
              </w:rPr>
              <w:t>中有特别规定外，仅适用于</w:t>
            </w:r>
            <w:r>
              <w:rPr>
                <w:rFonts w:hint="eastAsia" w:hAnsi="宋体" w:cs="宋体"/>
                <w:color w:val="auto"/>
                <w:sz w:val="21"/>
                <w:highlight w:val="none"/>
              </w:rPr>
              <w:t>竞标</w:t>
            </w:r>
            <w:r>
              <w:rPr>
                <w:rFonts w:hAnsi="宋体" w:cs="宋体"/>
                <w:color w:val="auto"/>
                <w:sz w:val="21"/>
                <w:highlight w:val="none"/>
              </w:rPr>
              <w:t>阶段的规定，按</w:t>
            </w:r>
            <w:r>
              <w:rPr>
                <w:rFonts w:hint="eastAsia" w:hAnsi="宋体" w:cs="宋体"/>
                <w:color w:val="auto"/>
                <w:sz w:val="21"/>
                <w:highlight w:val="none"/>
              </w:rPr>
              <w:t>更正公告（澄清公告）</w:t>
            </w:r>
            <w:r>
              <w:rPr>
                <w:rFonts w:hAnsi="宋体" w:cs="宋体"/>
                <w:color w:val="auto"/>
                <w:sz w:val="21"/>
                <w:highlight w:val="none"/>
              </w:rPr>
              <w:t>、</w:t>
            </w:r>
            <w:r>
              <w:rPr>
                <w:rFonts w:hint="eastAsia" w:hAnsi="宋体" w:cs="宋体"/>
                <w:color w:val="auto"/>
                <w:sz w:val="21"/>
                <w:highlight w:val="none"/>
              </w:rPr>
              <w:t>竞争性谈判</w:t>
            </w:r>
            <w:r>
              <w:rPr>
                <w:rFonts w:hAnsi="宋体" w:cs="宋体"/>
                <w:color w:val="auto"/>
                <w:sz w:val="21"/>
                <w:highlight w:val="none"/>
              </w:rPr>
              <w:t>公告、</w:t>
            </w:r>
            <w:r>
              <w:rPr>
                <w:rFonts w:hint="eastAsia" w:hAnsi="宋体" w:cs="宋体"/>
                <w:color w:val="auto"/>
                <w:sz w:val="21"/>
                <w:highlight w:val="none"/>
              </w:rPr>
              <w:t>供应商</w:t>
            </w:r>
            <w:r>
              <w:rPr>
                <w:rFonts w:hAnsi="宋体" w:cs="宋体"/>
                <w:color w:val="auto"/>
                <w:sz w:val="21"/>
                <w:highlight w:val="none"/>
              </w:rPr>
              <w:t>须知</w:t>
            </w:r>
            <w:r>
              <w:rPr>
                <w:rFonts w:hint="eastAsia" w:hAnsi="宋体" w:cs="宋体"/>
                <w:color w:val="auto"/>
                <w:sz w:val="21"/>
                <w:highlight w:val="none"/>
              </w:rPr>
              <w:t>、采购需求</w:t>
            </w:r>
            <w:r>
              <w:rPr>
                <w:rFonts w:hAnsi="宋体" w:cs="宋体"/>
                <w:color w:val="auto"/>
                <w:sz w:val="21"/>
                <w:highlight w:val="none"/>
              </w:rPr>
              <w:t>、</w:t>
            </w:r>
            <w:r>
              <w:rPr>
                <w:rFonts w:hint="eastAsia" w:hAnsi="宋体" w:cs="宋体"/>
                <w:color w:val="auto"/>
                <w:sz w:val="21"/>
                <w:highlight w:val="none"/>
              </w:rPr>
              <w:t>评审程序和评定成交的标准</w:t>
            </w:r>
            <w:r>
              <w:rPr>
                <w:rFonts w:hAnsi="宋体" w:cs="宋体"/>
                <w:color w:val="auto"/>
                <w:sz w:val="21"/>
                <w:highlight w:val="none"/>
              </w:rPr>
              <w:t>、</w:t>
            </w:r>
            <w:r>
              <w:rPr>
                <w:rFonts w:hint="eastAsia" w:hAnsi="宋体" w:cs="宋体"/>
                <w:color w:val="auto"/>
                <w:sz w:val="21"/>
                <w:highlight w:val="none"/>
              </w:rPr>
              <w:t>响应</w:t>
            </w:r>
            <w:r>
              <w:rPr>
                <w:rFonts w:hAnsi="宋体" w:cs="宋体"/>
                <w:color w:val="auto"/>
                <w:sz w:val="21"/>
                <w:highlight w:val="none"/>
              </w:rPr>
              <w:t>文件格式</w:t>
            </w:r>
            <w:r>
              <w:rPr>
                <w:rFonts w:hint="eastAsia" w:hAnsi="宋体" w:cs="宋体"/>
                <w:color w:val="auto"/>
                <w:sz w:val="21"/>
                <w:highlight w:val="none"/>
              </w:rPr>
              <w:t>、合同文本</w:t>
            </w:r>
            <w:r>
              <w:rPr>
                <w:rFonts w:hAnsi="宋体" w:cs="宋体"/>
                <w:color w:val="auto"/>
                <w:sz w:val="21"/>
                <w:highlight w:val="none"/>
              </w:rPr>
              <w:t>的先后顺序解释；同一组成文件中就同一事项的规定或约定不一致的，以编排顺序在后者为准；同一组成文件不同版本之间有不一致的，以形成时间在后者为准；</w:t>
            </w:r>
            <w:r>
              <w:rPr>
                <w:rFonts w:hint="eastAsia" w:hAnsi="宋体" w:cs="宋体"/>
                <w:color w:val="auto"/>
                <w:sz w:val="21"/>
                <w:highlight w:val="none"/>
              </w:rPr>
              <w:t>更正公告（澄清公告）</w:t>
            </w:r>
            <w:r>
              <w:rPr>
                <w:rFonts w:hAnsi="宋体" w:cs="宋体"/>
                <w:color w:val="auto"/>
                <w:sz w:val="21"/>
                <w:highlight w:val="none"/>
              </w:rPr>
              <w:t>与同步更新的</w:t>
            </w:r>
            <w:r>
              <w:rPr>
                <w:rFonts w:hint="eastAsia" w:hAnsi="宋体" w:cs="宋体"/>
                <w:color w:val="auto"/>
                <w:sz w:val="21"/>
                <w:highlight w:val="none"/>
              </w:rPr>
              <w:t>谈判文件</w:t>
            </w:r>
            <w:r>
              <w:rPr>
                <w:rFonts w:hAnsi="宋体" w:cs="宋体"/>
                <w:color w:val="auto"/>
                <w:sz w:val="21"/>
                <w:highlight w:val="none"/>
              </w:rPr>
              <w:t>不一致时以</w:t>
            </w:r>
            <w:r>
              <w:rPr>
                <w:rFonts w:hint="eastAsia" w:hAnsi="宋体" w:cs="宋体"/>
                <w:color w:val="auto"/>
                <w:sz w:val="21"/>
                <w:highlight w:val="none"/>
              </w:rPr>
              <w:t>更正公告（澄清公告）</w:t>
            </w:r>
            <w:r>
              <w:rPr>
                <w:rFonts w:hAnsi="宋体" w:cs="宋体"/>
                <w:color w:val="auto"/>
                <w:sz w:val="21"/>
                <w:highlight w:val="none"/>
              </w:rPr>
              <w:t>为准。按本款前述规定仍不能形成结论的，由</w:t>
            </w:r>
            <w:r>
              <w:rPr>
                <w:rFonts w:hint="eastAsia" w:hAnsi="宋体" w:cs="宋体"/>
                <w:color w:val="auto"/>
                <w:sz w:val="21"/>
                <w:highlight w:val="none"/>
              </w:rPr>
              <w:t>采购</w:t>
            </w:r>
            <w:r>
              <w:rPr>
                <w:rFonts w:hAnsi="宋体" w:cs="宋体"/>
                <w:color w:val="auto"/>
                <w:sz w:val="21"/>
                <w:highlight w:val="none"/>
              </w:rPr>
              <w:t>人</w:t>
            </w:r>
            <w:r>
              <w:rPr>
                <w:rFonts w:hint="eastAsia" w:hAnsi="宋体" w:cs="宋体"/>
                <w:color w:val="auto"/>
                <w:sz w:val="21"/>
                <w:highlight w:val="none"/>
              </w:rPr>
              <w:t>或者采购代理机构</w:t>
            </w:r>
            <w:r>
              <w:rPr>
                <w:rFonts w:hAnsi="宋体" w:cs="宋体"/>
                <w:color w:val="auto"/>
                <w:sz w:val="21"/>
                <w:highlight w:val="none"/>
              </w:rPr>
              <w:t>负责解释。</w:t>
            </w:r>
          </w:p>
        </w:tc>
      </w:tr>
      <w:tr w14:paraId="79E42C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CAB89C5">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3.2</w:t>
            </w:r>
          </w:p>
        </w:tc>
        <w:tc>
          <w:tcPr>
            <w:tcW w:w="7912" w:type="dxa"/>
            <w:vAlign w:val="center"/>
          </w:tcPr>
          <w:p w14:paraId="1BD1181F">
            <w:pPr>
              <w:pStyle w:val="16"/>
              <w:snapToGrid w:val="0"/>
              <w:spacing w:line="360" w:lineRule="auto"/>
              <w:rPr>
                <w:rFonts w:hAnsi="宋体" w:cs="宋体"/>
                <w:color w:val="auto"/>
                <w:sz w:val="21"/>
                <w:highlight w:val="none"/>
              </w:rPr>
            </w:pPr>
            <w:r>
              <w:rPr>
                <w:rFonts w:hint="eastAsia" w:hAnsi="宋体" w:cs="宋体"/>
                <w:color w:val="auto"/>
                <w:sz w:val="21"/>
                <w:highlight w:val="none"/>
              </w:rPr>
              <w:t>1.本谈判文件中描述供应商的“公章”是指根据我国对公章的管理规定，使用供应商法定主体行为名称制作的印章，除本谈判文件有特殊规定外，供应商其他形式印章均不能代替公章。</w:t>
            </w:r>
          </w:p>
          <w:p w14:paraId="3F9710AA">
            <w:pPr>
              <w:pStyle w:val="16"/>
              <w:snapToGrid w:val="0"/>
              <w:spacing w:line="360" w:lineRule="auto"/>
              <w:rPr>
                <w:rFonts w:hAnsi="宋体" w:cs="宋体"/>
                <w:bCs/>
                <w:color w:val="auto"/>
                <w:sz w:val="21"/>
                <w:highlight w:val="none"/>
              </w:rPr>
            </w:pPr>
            <w:r>
              <w:rPr>
                <w:rFonts w:hint="eastAsia" w:hAnsi="宋体" w:cs="宋体"/>
                <w:bCs/>
                <w:color w:val="auto"/>
                <w:sz w:val="21"/>
                <w:highlight w:val="none"/>
              </w:rPr>
              <w:t>2.本谈判文件所称的“</w:t>
            </w:r>
            <w:r>
              <w:rPr>
                <w:rFonts w:hint="eastAsia" w:hAnsi="宋体"/>
                <w:color w:val="auto"/>
                <w:sz w:val="21"/>
                <w:highlight w:val="none"/>
              </w:rPr>
              <w:t>电子签章</w:t>
            </w:r>
            <w:r>
              <w:rPr>
                <w:rFonts w:hint="eastAsia" w:hAnsi="宋体" w:cs="宋体"/>
                <w:bCs/>
                <w:color w:val="auto"/>
                <w:sz w:val="21"/>
                <w:highlight w:val="none"/>
              </w:rPr>
              <w:t>”、“电子签名”</w:t>
            </w:r>
            <w:r>
              <w:rPr>
                <w:rFonts w:hint="eastAsia" w:hAnsi="宋体"/>
                <w:color w:val="auto"/>
                <w:sz w:val="21"/>
                <w:highlight w:val="none"/>
              </w:rPr>
              <w:t>，是指经广西政府采购云平台认可的CA认证的电子签名数据为表现形式的印章，可用于签署电子响应文件，电子印章与实物印章具有同等法律效力，不因其采用电子化表现形式而否定其法律效力。</w:t>
            </w:r>
          </w:p>
          <w:p w14:paraId="21671477">
            <w:pPr>
              <w:pStyle w:val="16"/>
              <w:snapToGrid w:val="0"/>
              <w:spacing w:line="360" w:lineRule="auto"/>
              <w:rPr>
                <w:rFonts w:hAnsi="宋体" w:cs="宋体"/>
                <w:bCs/>
                <w:color w:val="auto"/>
                <w:sz w:val="21"/>
                <w:highlight w:val="none"/>
              </w:rPr>
            </w:pPr>
            <w:r>
              <w:rPr>
                <w:rFonts w:hint="eastAsia" w:hAnsi="宋体" w:cs="宋体"/>
                <w:color w:val="auto"/>
                <w:sz w:val="21"/>
                <w:highlight w:val="none"/>
              </w:rPr>
              <w:t>3.供应商为其他组织或者自然人时，本谈判文件规定的法定代表人指负责人或者自然人。本谈判文件所称负责人是指参加竞标的其他组织</w:t>
            </w:r>
            <w:r>
              <w:rPr>
                <w:rFonts w:hint="eastAsia" w:hAnsi="宋体" w:cs="宋体"/>
                <w:bCs/>
                <w:color w:val="auto"/>
                <w:sz w:val="21"/>
                <w:highlight w:val="none"/>
              </w:rPr>
              <w:t>营业执照或者执业许可证等证照上</w:t>
            </w:r>
            <w:r>
              <w:rPr>
                <w:rFonts w:hint="eastAsia" w:hAnsi="宋体" w:cs="宋体"/>
                <w:color w:val="auto"/>
                <w:sz w:val="21"/>
                <w:highlight w:val="none"/>
              </w:rPr>
              <w:t>的负责人，本谈判文件所称自然人指参与竞标的自然人本人，</w:t>
            </w:r>
            <w:r>
              <w:rPr>
                <w:rFonts w:hint="eastAsia" w:hAnsi="宋体" w:cs="宋体"/>
                <w:bCs/>
                <w:color w:val="auto"/>
                <w:sz w:val="21"/>
                <w:highlight w:val="none"/>
              </w:rPr>
              <w:t>且应具备独立承担民事责任能力，自然人应当为年满18岁以上成年人（十六周岁以上的未成年人，以自己的劳动收入为主要生活来源的，视为完全民事行为能力人）。</w:t>
            </w:r>
          </w:p>
          <w:p w14:paraId="0A88D062">
            <w:pPr>
              <w:pStyle w:val="16"/>
              <w:snapToGrid w:val="0"/>
              <w:spacing w:line="360" w:lineRule="auto"/>
              <w:rPr>
                <w:rFonts w:hAnsi="宋体" w:cs="宋体"/>
                <w:color w:val="auto"/>
                <w:sz w:val="21"/>
                <w:highlight w:val="none"/>
              </w:rPr>
            </w:pPr>
            <w:r>
              <w:rPr>
                <w:rFonts w:hint="eastAsia" w:hAnsi="宋体" w:cs="宋体"/>
                <w:color w:val="auto"/>
                <w:sz w:val="21"/>
                <w:highlight w:val="none"/>
              </w:rPr>
              <w:t>4.本谈判文件中描述供应商的“签字”是指供应商的法定代表人或者委托代理人亲自在文件规定签署处亲笔写上个人的名字的行为，私章、签字章、印鉴、影印等其他形式均不能代替亲笔签字。</w:t>
            </w:r>
          </w:p>
          <w:p w14:paraId="3DAEE717">
            <w:pPr>
              <w:pStyle w:val="16"/>
              <w:snapToGrid w:val="0"/>
              <w:spacing w:line="360" w:lineRule="auto"/>
              <w:rPr>
                <w:rFonts w:hAnsi="宋体"/>
                <w:color w:val="auto"/>
                <w:sz w:val="21"/>
                <w:highlight w:val="none"/>
              </w:rPr>
            </w:pPr>
            <w:r>
              <w:rPr>
                <w:rFonts w:hAnsi="宋体" w:cs="宋体"/>
                <w:color w:val="auto"/>
                <w:sz w:val="21"/>
                <w:highlight w:val="none"/>
              </w:rPr>
              <w:t>5.</w:t>
            </w:r>
            <w:r>
              <w:rPr>
                <w:rFonts w:hint="eastAsia" w:hAnsi="宋体" w:cs="宋体"/>
                <w:color w:val="auto"/>
                <w:sz w:val="21"/>
                <w:highlight w:val="none"/>
              </w:rPr>
              <w:t>本谈判文件所称的“以上”“以下”“以内”“届满”，包括本数；所称的“不满”“超过”“以外”，不包括本数。</w:t>
            </w:r>
          </w:p>
        </w:tc>
      </w:tr>
    </w:tbl>
    <w:p w14:paraId="4190FD12">
      <w:pPr>
        <w:spacing w:line="400" w:lineRule="exact"/>
        <w:jc w:val="center"/>
        <w:rPr>
          <w:rFonts w:ascii="宋体" w:hAnsi="宋体"/>
          <w:b/>
          <w:color w:val="auto"/>
          <w:sz w:val="32"/>
          <w:szCs w:val="32"/>
          <w:highlight w:val="none"/>
        </w:rPr>
      </w:pPr>
      <w:r>
        <w:rPr>
          <w:rFonts w:ascii="宋体" w:hAnsi="宋体"/>
          <w:b/>
          <w:color w:val="auto"/>
          <w:sz w:val="32"/>
          <w:szCs w:val="32"/>
          <w:highlight w:val="none"/>
        </w:rPr>
        <w:br w:type="page"/>
      </w:r>
    </w:p>
    <w:p w14:paraId="72497A9F">
      <w:pPr>
        <w:spacing w:line="400" w:lineRule="exact"/>
        <w:jc w:val="center"/>
        <w:rPr>
          <w:rFonts w:ascii="宋体" w:hAnsi="宋体"/>
          <w:b/>
          <w:color w:val="auto"/>
          <w:sz w:val="32"/>
          <w:szCs w:val="32"/>
          <w:highlight w:val="none"/>
        </w:rPr>
      </w:pPr>
      <w:r>
        <w:rPr>
          <w:rFonts w:hint="eastAsia" w:ascii="宋体" w:hAnsi="宋体"/>
          <w:b/>
          <w:color w:val="auto"/>
          <w:sz w:val="32"/>
          <w:szCs w:val="32"/>
          <w:highlight w:val="none"/>
        </w:rPr>
        <w:t>供应商须知正文</w:t>
      </w:r>
    </w:p>
    <w:p w14:paraId="07F212DC">
      <w:pPr>
        <w:spacing w:line="400" w:lineRule="exact"/>
        <w:jc w:val="center"/>
        <w:rPr>
          <w:rFonts w:ascii="宋体" w:hAnsi="宋体"/>
          <w:b/>
          <w:color w:val="auto"/>
          <w:sz w:val="32"/>
          <w:szCs w:val="32"/>
          <w:highlight w:val="none"/>
        </w:rPr>
      </w:pPr>
    </w:p>
    <w:p w14:paraId="6CCA4761">
      <w:pPr>
        <w:spacing w:line="400" w:lineRule="exact"/>
        <w:jc w:val="center"/>
        <w:rPr>
          <w:rFonts w:ascii="宋体" w:hAnsi="宋体"/>
          <w:b/>
          <w:color w:val="auto"/>
          <w:sz w:val="32"/>
          <w:szCs w:val="32"/>
          <w:highlight w:val="none"/>
        </w:rPr>
      </w:pPr>
      <w:r>
        <w:rPr>
          <w:rFonts w:hint="eastAsia" w:ascii="宋体" w:hAnsi="宋体"/>
          <w:b/>
          <w:color w:val="auto"/>
          <w:sz w:val="32"/>
          <w:szCs w:val="32"/>
          <w:highlight w:val="none"/>
        </w:rPr>
        <w:t>一、总则</w:t>
      </w:r>
    </w:p>
    <w:p w14:paraId="27213CB1">
      <w:pPr>
        <w:spacing w:line="400" w:lineRule="exact"/>
        <w:rPr>
          <w:rFonts w:ascii="黑体" w:hAnsi="黑体" w:eastAsia="黑体" w:cs="宋体"/>
          <w:b/>
          <w:bCs/>
          <w:color w:val="auto"/>
          <w:sz w:val="24"/>
          <w:highlight w:val="none"/>
        </w:rPr>
      </w:pPr>
    </w:p>
    <w:p w14:paraId="41220DDE">
      <w:pPr>
        <w:spacing w:line="400" w:lineRule="exact"/>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1.适用范围</w:t>
      </w:r>
    </w:p>
    <w:p w14:paraId="527AE6FF">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4FFCAD50">
      <w:pPr>
        <w:spacing w:line="400" w:lineRule="exact"/>
        <w:ind w:firstLine="420" w:firstLineChars="200"/>
        <w:rPr>
          <w:rFonts w:ascii="宋体" w:hAnsi="宋体" w:cs="宋体"/>
          <w:color w:val="auto"/>
          <w:spacing w:val="-6"/>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本竞争性谈判文件（以下简称谈判文件）适用于本项目的所有采购程序和环节（法律、法规另有规定的，从其规定）。</w:t>
      </w:r>
    </w:p>
    <w:p w14:paraId="2B91A663">
      <w:pPr>
        <w:spacing w:line="400" w:lineRule="exact"/>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2.定义</w:t>
      </w:r>
    </w:p>
    <w:p w14:paraId="0DA8F305">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2.1“采购人”是指依法进行采购的国家机关、事业单位、团体组织。</w:t>
      </w:r>
    </w:p>
    <w:p w14:paraId="257FAC22">
      <w:pPr>
        <w:spacing w:line="400" w:lineRule="exact"/>
        <w:ind w:firstLine="420" w:firstLineChars="200"/>
        <w:rPr>
          <w:rFonts w:ascii="宋体" w:hAnsi="宋体"/>
          <w:b/>
          <w:color w:val="auto"/>
          <w:szCs w:val="21"/>
          <w:highlight w:val="none"/>
        </w:rPr>
      </w:pPr>
      <w:r>
        <w:rPr>
          <w:rFonts w:hint="eastAsia" w:ascii="宋体" w:hAnsi="宋体" w:cs="宋体"/>
          <w:color w:val="auto"/>
          <w:szCs w:val="21"/>
          <w:highlight w:val="none"/>
        </w:rPr>
        <w:t>2.2“采购代理机构”</w:t>
      </w:r>
      <w:r>
        <w:rPr>
          <w:rFonts w:hint="eastAsia" w:ascii="宋体" w:hAnsi="宋体"/>
          <w:color w:val="auto"/>
          <w:szCs w:val="21"/>
          <w:highlight w:val="none"/>
        </w:rPr>
        <w:t>是指政府采购集中采购机构和集中采购机构以外的采购代理机构。</w:t>
      </w:r>
    </w:p>
    <w:p w14:paraId="2DFB595D">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1EA0036D">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2.4“货物”是指各种形态和种类的物品，包括原材料、燃料、设备、产品等。</w:t>
      </w:r>
    </w:p>
    <w:p w14:paraId="7BB040BD">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2.5“竞标”是指按照本项目竞争性谈判公告或者邀请函规定的方式供应商获取谈判文件、提交响应文件并希望获得标的的行为。</w:t>
      </w:r>
    </w:p>
    <w:p w14:paraId="33B09230">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2.6“售后服务”是指包含但不限于供应商须承担的备品备件、包装、运输、装卸、保险、货到就位以及安装、调试、培训、保修和其他类似的义务。</w:t>
      </w:r>
    </w:p>
    <w:p w14:paraId="17E51B46">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2.7“书面形式”是指合同书、信件和数据电文（包括电报、电传、传真、电子数据交换和电子邮件）等可以有形地表现所载内容的形式。</w:t>
      </w:r>
    </w:p>
    <w:p w14:paraId="4B540C1E">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2.8“响应文件”</w:t>
      </w:r>
      <w:r>
        <w:rPr>
          <w:rFonts w:hint="eastAsia" w:ascii="宋体" w:hAnsi="宋体" w:cs="宋体"/>
          <w:color w:val="auto"/>
          <w:spacing w:val="-6"/>
          <w:szCs w:val="21"/>
          <w:highlight w:val="none"/>
        </w:rPr>
        <w:t>是指：供应商根据本谈判文件要求，编制包含资格证明、报价、商务技术等所有内容的文件。</w:t>
      </w:r>
    </w:p>
    <w:p w14:paraId="7261C3DF">
      <w:pPr>
        <w:spacing w:line="400" w:lineRule="exact"/>
        <w:ind w:firstLine="420" w:firstLineChars="200"/>
        <w:rPr>
          <w:rFonts w:ascii="宋体" w:hAnsi="宋体" w:cs="宋体"/>
          <w:b/>
          <w:bCs/>
          <w:color w:val="auto"/>
          <w:szCs w:val="21"/>
          <w:highlight w:val="none"/>
        </w:rPr>
      </w:pPr>
      <w:r>
        <w:rPr>
          <w:rFonts w:hint="eastAsia" w:ascii="宋体" w:hAnsi="宋体" w:cs="宋体"/>
          <w:color w:val="auto"/>
          <w:szCs w:val="21"/>
          <w:highlight w:val="none"/>
        </w:rPr>
        <w:t>2.9</w:t>
      </w:r>
      <w:r>
        <w:rPr>
          <w:rFonts w:hint="eastAsia" w:ascii="宋体" w:hAnsi="宋体" w:cs="宋体"/>
          <w:b/>
          <w:bCs/>
          <w:color w:val="auto"/>
          <w:szCs w:val="21"/>
          <w:highlight w:val="none"/>
        </w:rPr>
        <w:t>“实质性要求”是指采购需求所有条款或者不能负偏离的条款或者已经指明不满足按响应文件按无效处理的条款。供应商对实质性要求若有任意一项不满足，响应文件按无效处理。</w:t>
      </w:r>
    </w:p>
    <w:p w14:paraId="2BA42E36">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2.10“正偏离”，是指响应文件对谈判文件“采购需求”中有关条款作出优于条款要求并有利于采购人的响应情形。</w:t>
      </w:r>
    </w:p>
    <w:p w14:paraId="548D8C2E">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2.11“负偏离”，是指响应文件对谈判文件“采购需求”中有关条款作出的响应不满足条款要求，导致采购人要求不能得到满足的情形。</w:t>
      </w:r>
    </w:p>
    <w:p w14:paraId="5547B440">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2.12“允许负偏离的条款”是指采购需求中的不属于“实质性要求”的条款。</w:t>
      </w:r>
    </w:p>
    <w:p w14:paraId="3ADAD889">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2.13“首次报价”是指供应商提交的首次响应文件中的竞标报价。</w:t>
      </w:r>
    </w:p>
    <w:p w14:paraId="78B1DF13">
      <w:pPr>
        <w:spacing w:line="400" w:lineRule="exact"/>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3.供应商的资格条件</w:t>
      </w:r>
    </w:p>
    <w:p w14:paraId="5AC7DDE7">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4098C674">
      <w:pPr>
        <w:spacing w:line="400" w:lineRule="exact"/>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4.竞标费用</w:t>
      </w:r>
    </w:p>
    <w:p w14:paraId="40021A52">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竞标费用：供应商应承担参与本次采购活动有关的所有费用，包括但不限于获取谈判文件、勘查现场、编制和提交响应文件、参加谈判与应答、签订合同等，不论竞标结果如何，均应自行承担。</w:t>
      </w:r>
    </w:p>
    <w:p w14:paraId="2BB88EE3">
      <w:pPr>
        <w:spacing w:line="400" w:lineRule="exact"/>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5.联合体竞标</w:t>
      </w:r>
    </w:p>
    <w:p w14:paraId="624E5ECC">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5.1本项目是否接受联合体竞标，详见“供应商须知前附表”。</w:t>
      </w:r>
    </w:p>
    <w:p w14:paraId="7397AB1F">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5.2</w:t>
      </w:r>
      <w:r>
        <w:rPr>
          <w:rFonts w:hint="eastAsia" w:ascii="宋体" w:hAnsi="宋体"/>
          <w:bCs/>
          <w:color w:val="auto"/>
          <w:szCs w:val="21"/>
          <w:highlight w:val="none"/>
        </w:rPr>
        <w:t>如接受联合体竞标，</w:t>
      </w:r>
      <w:r>
        <w:rPr>
          <w:rFonts w:hint="eastAsia" w:ascii="宋体" w:hAnsi="宋体" w:cs="宋体"/>
          <w:color w:val="auto"/>
          <w:szCs w:val="21"/>
          <w:highlight w:val="none"/>
        </w:rPr>
        <w:t>联合体竞标要求详见“供应商须知前附表”。</w:t>
      </w:r>
    </w:p>
    <w:p w14:paraId="1C8CBD80">
      <w:pPr>
        <w:spacing w:line="400" w:lineRule="exact"/>
        <w:ind w:firstLine="420" w:firstLineChars="200"/>
        <w:rPr>
          <w:rFonts w:ascii="宋体" w:hAnsi="宋体"/>
          <w:color w:val="auto"/>
          <w:szCs w:val="21"/>
          <w:highlight w:val="none"/>
        </w:rPr>
      </w:pPr>
      <w:r>
        <w:rPr>
          <w:rFonts w:hint="eastAsia" w:ascii="宋体" w:hAnsi="宋体" w:cs="宋体"/>
          <w:color w:val="auto"/>
          <w:szCs w:val="21"/>
          <w:highlight w:val="none"/>
        </w:rPr>
        <w:t>5.3</w:t>
      </w:r>
      <w:bookmarkStart w:id="64" w:name="_Hlk65857072"/>
      <w:r>
        <w:rPr>
          <w:rFonts w:hint="eastAsia" w:ascii="宋体" w:hAnsi="宋体"/>
          <w:color w:val="auto"/>
          <w:szCs w:val="21"/>
          <w:highlight w:val="none"/>
        </w:rPr>
        <w:t>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bookmarkEnd w:id="64"/>
    </w:p>
    <w:p w14:paraId="5E4E8714">
      <w:pPr>
        <w:spacing w:line="400" w:lineRule="exact"/>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6.转包与分包</w:t>
      </w:r>
      <w:bookmarkStart w:id="65" w:name="_Toc254970673"/>
      <w:bookmarkStart w:id="66" w:name="_Toc254970532"/>
    </w:p>
    <w:p w14:paraId="05A0F139">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6.1本项目不允许转包。</w:t>
      </w:r>
    </w:p>
    <w:p w14:paraId="0A52BADA">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22D6F7F1">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6.3供应商根据谈判文件的规定和采购项目的实际情况，拟在成交后将成交项目的非主体、非关键性工作分包的，应当在响应文件中载明分包承担主体，分包承担主体应当具备相应资质条件且不得再次分包。</w:t>
      </w:r>
    </w:p>
    <w:p w14:paraId="2BF29B9D">
      <w:pPr>
        <w:spacing w:line="400" w:lineRule="exact"/>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7.特别说明</w:t>
      </w:r>
      <w:bookmarkEnd w:id="65"/>
      <w:bookmarkEnd w:id="66"/>
      <w:bookmarkStart w:id="67" w:name="_8.1提供相同品牌产品且通过资格审查、符合性审查的不同投标人参加同一合"/>
      <w:bookmarkEnd w:id="67"/>
    </w:p>
    <w:p w14:paraId="15489F51">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7.1提供相同品牌产品的不同供应商参加同一合同项下竞标的，以其中通过资格审查、符合性审查、谈判且最后报价最低的参加报价评审；最后报价相同的，由采购人或者采购人委托谈判小组按照“供应商须知前附表”规定的方式确定一个供应商获得成交人推荐资格，其他响应文件按无效处理。</w:t>
      </w:r>
    </w:p>
    <w:p w14:paraId="1E14B2A1">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非单一产品采购项目，多家供应商提供的核心产品品牌相同的，按前款规定处理。</w:t>
      </w:r>
    </w:p>
    <w:p w14:paraId="1B1599EA">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w:t>
      </w:r>
      <w:r>
        <w:rPr>
          <w:rFonts w:hint="eastAsia" w:ascii="宋体" w:hAnsi="宋体"/>
          <w:color w:val="auto"/>
          <w:szCs w:val="21"/>
          <w:highlight w:val="none"/>
        </w:rPr>
        <w:t>如果本谈判文件要求提供供应商或制造商的资格、信誉、荣誉、业绩与企业认证等材料的，资格、信誉、荣誉、业绩与企业认证等必须为供应商或者制造商所拥有或自身获得</w:t>
      </w:r>
      <w:r>
        <w:rPr>
          <w:rFonts w:hint="eastAsia" w:ascii="宋体" w:hAnsi="宋体" w:cs="宋体"/>
          <w:color w:val="auto"/>
          <w:szCs w:val="21"/>
          <w:highlight w:val="none"/>
        </w:rPr>
        <w:t>。</w:t>
      </w:r>
    </w:p>
    <w:p w14:paraId="26BE6E2A">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7.3供应商应仔细阅读谈判文件的所有内容，按照谈判文件的要求提交响应文件，并对所提供的全部资料的真实性承担法律责任。</w:t>
      </w:r>
    </w:p>
    <w:p w14:paraId="72951806">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7.4供应商在竞标活动中提供任何虚假材料，其响应文件按无效处理，并报监管部门查处；签订合同后发现的，成交供应商须依照《中华人民共和国消费者权益保护法》规定赔偿采购人，且民事赔偿并不免除违法供应商的行政与刑事责任。</w:t>
      </w:r>
    </w:p>
    <w:p w14:paraId="5CC7850E">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7.5在政府采购活动中，采购人员及相关人员与供应商有下列利害关系之一的，应当回避：</w:t>
      </w:r>
    </w:p>
    <w:p w14:paraId="6D48530F">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0AA752A6">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501A68DF">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20360031">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52B20EB9">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13EBAE85">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5392D997">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7.6有下列情形之一的视为供应商相互串通竞标，响应文件将被视为无效：</w:t>
      </w:r>
    </w:p>
    <w:p w14:paraId="43B25550">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w:t>
      </w:r>
    </w:p>
    <w:p w14:paraId="2B7FC7A3">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601A8F6E">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75FD5948">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135715B2">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0EE80EEE">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（6）不同供应商的竞标保证金从同一单位或者个人账户转出。</w:t>
      </w:r>
    </w:p>
    <w:p w14:paraId="77917BF3">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7.7供应商有下列情形之一的，属于恶意串通行为</w:t>
      </w:r>
      <w:bookmarkStart w:id="68" w:name="_Hlk54682620"/>
      <w:r>
        <w:rPr>
          <w:rFonts w:hint="eastAsia" w:ascii="宋体" w:hAnsi="宋体" w:cs="宋体"/>
          <w:color w:val="auto"/>
          <w:szCs w:val="21"/>
          <w:highlight w:val="none"/>
        </w:rPr>
        <w:t>，将报同级监督管理部门</w:t>
      </w:r>
      <w:bookmarkEnd w:id="68"/>
      <w:r>
        <w:rPr>
          <w:rFonts w:hint="eastAsia" w:ascii="宋体" w:hAnsi="宋体" w:cs="宋体"/>
          <w:color w:val="auto"/>
          <w:szCs w:val="21"/>
          <w:highlight w:val="none"/>
        </w:rPr>
        <w:t>：</w:t>
      </w:r>
    </w:p>
    <w:p w14:paraId="234D2206">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611F06AF">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7E5064DA">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6D39F402">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6352D175">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7B3A6285">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09E29389">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5442B520">
      <w:pPr>
        <w:spacing w:line="400" w:lineRule="exact"/>
        <w:ind w:firstLine="420" w:firstLineChars="200"/>
        <w:rPr>
          <w:rFonts w:ascii="宋体" w:hAnsi="宋体" w:cs="宋体"/>
          <w:color w:val="auto"/>
          <w:szCs w:val="21"/>
          <w:highlight w:val="none"/>
        </w:rPr>
      </w:pPr>
      <w:bookmarkStart w:id="69" w:name="_Toc254970675"/>
      <w:bookmarkStart w:id="70" w:name="_Toc254970534"/>
      <w:r>
        <w:rPr>
          <w:rFonts w:hint="eastAsia" w:ascii="宋体" w:hAnsi="宋体" w:cs="宋体"/>
          <w:color w:val="auto"/>
          <w:szCs w:val="21"/>
          <w:highlight w:val="none"/>
        </w:rPr>
        <w:t>7.8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E2B7BF9">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产品在中国境内生产的组件成本占比应当达到规定比例，计算公式为：</w:t>
      </w:r>
    </w:p>
    <w:p w14:paraId="053FAFCA">
      <w:pPr>
        <w:widowControl/>
        <w:shd w:val="clear" w:color="auto" w:fill="FFFFFF"/>
        <w:spacing w:before="30" w:after="30" w:line="360" w:lineRule="auto"/>
        <w:jc w:val="center"/>
        <w:rPr>
          <w:rFonts w:ascii="宋体" w:hAnsi="宋体" w:cs="宋体"/>
          <w:color w:val="auto"/>
          <w:kern w:val="0"/>
          <w:sz w:val="24"/>
          <w:highlight w:val="none"/>
        </w:rPr>
      </w:pPr>
      <w:r>
        <w:rPr>
          <w:rFonts w:ascii="宋体" w:hAnsi="宋体" w:cs="宋体"/>
          <w:color w:val="auto"/>
          <w:kern w:val="0"/>
          <w:sz w:val="24"/>
          <w:highlight w:val="none"/>
        </w:rPr>
        <w:drawing>
          <wp:inline distT="0" distB="0" distL="114300" distR="114300">
            <wp:extent cx="4827905" cy="762635"/>
            <wp:effectExtent l="0" t="0" r="3175" b="14605"/>
            <wp:docPr id="1" name="图片 1" descr="https://www.gov.cn/zhengce/content/202509/W0202509306452459476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https://www.gov.cn/zhengce/content/202509/W020250930645245947614.png"/>
                    <pic:cNvPicPr>
                      <a:picLocks noChangeAspect="1"/>
                    </pic:cNvPicPr>
                  </pic:nvPicPr>
                  <pic:blipFill>
                    <a:blip r:embed="rId9" r:link="rId10"/>
                    <a:stretch>
                      <a:fillRect/>
                    </a:stretch>
                  </pic:blipFill>
                  <pic:spPr>
                    <a:xfrm>
                      <a:off x="0" y="0"/>
                      <a:ext cx="4827905" cy="762635"/>
                    </a:xfrm>
                    <a:prstGeom prst="rect">
                      <a:avLst/>
                    </a:prstGeom>
                    <a:noFill/>
                    <a:ln>
                      <a:noFill/>
                    </a:ln>
                  </pic:spPr>
                </pic:pic>
              </a:graphicData>
            </a:graphic>
          </wp:inline>
        </w:drawing>
      </w:r>
    </w:p>
    <w:p w14:paraId="774791ED">
      <w:pPr>
        <w:pStyle w:val="9"/>
        <w:spacing w:line="360" w:lineRule="auto"/>
        <w:rPr>
          <w:rFonts w:ascii="宋体" w:hAnsi="宋体"/>
          <w:color w:val="auto"/>
          <w:highlight w:val="none"/>
        </w:rPr>
      </w:pPr>
      <w:r>
        <w:rPr>
          <w:rFonts w:hint="eastAsia" w:ascii="宋体" w:hAnsi="宋体"/>
          <w:color w:val="auto"/>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0FB61E1F">
      <w:pPr>
        <w:pStyle w:val="9"/>
        <w:spacing w:line="360" w:lineRule="auto"/>
        <w:rPr>
          <w:rFonts w:ascii="宋体" w:hAnsi="宋体"/>
          <w:color w:val="auto"/>
          <w:highlight w:val="none"/>
        </w:rPr>
      </w:pPr>
      <w:r>
        <w:rPr>
          <w:rFonts w:hint="eastAsia" w:ascii="宋体" w:hAnsi="宋体"/>
          <w:color w:val="auto"/>
          <w:highlight w:val="none"/>
        </w:rPr>
        <w:t>政府采购活动中既有本国产品又有非本国产品参与竞争的，依法对本国产品给予价格评审优惠，对本国产品的报价给予20%的价格扣除，用扣除后的价格参与评审。</w:t>
      </w:r>
    </w:p>
    <w:p w14:paraId="58AE49D3">
      <w:pPr>
        <w:pStyle w:val="9"/>
        <w:spacing w:line="360" w:lineRule="auto"/>
        <w:rPr>
          <w:rFonts w:ascii="宋体" w:hAnsi="宋体"/>
          <w:color w:val="auto"/>
          <w:highlight w:val="none"/>
        </w:rPr>
      </w:pPr>
      <w:r>
        <w:rPr>
          <w:rFonts w:hint="eastAsia" w:ascii="宋体" w:hAnsi="宋体"/>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1531731">
      <w:pPr>
        <w:spacing w:line="400" w:lineRule="exact"/>
        <w:ind w:firstLine="420" w:firstLineChars="200"/>
        <w:jc w:val="center"/>
        <w:rPr>
          <w:rFonts w:ascii="宋体" w:hAnsi="宋体"/>
          <w:color w:val="auto"/>
          <w:highlight w:val="none"/>
        </w:rPr>
      </w:pPr>
    </w:p>
    <w:p w14:paraId="5BAD9016">
      <w:pPr>
        <w:spacing w:line="400" w:lineRule="exact"/>
        <w:ind w:firstLine="643" w:firstLineChars="200"/>
        <w:jc w:val="center"/>
        <w:rPr>
          <w:rFonts w:ascii="宋体" w:hAnsi="宋体"/>
          <w:b/>
          <w:color w:val="auto"/>
          <w:sz w:val="32"/>
          <w:szCs w:val="32"/>
          <w:highlight w:val="none"/>
        </w:rPr>
      </w:pPr>
      <w:r>
        <w:rPr>
          <w:rFonts w:hint="eastAsia" w:ascii="宋体" w:hAnsi="宋体"/>
          <w:b/>
          <w:color w:val="auto"/>
          <w:sz w:val="32"/>
          <w:szCs w:val="32"/>
          <w:highlight w:val="none"/>
        </w:rPr>
        <w:t>二、谈判文件</w:t>
      </w:r>
      <w:bookmarkEnd w:id="69"/>
      <w:bookmarkEnd w:id="70"/>
    </w:p>
    <w:p w14:paraId="2C7D7B4D">
      <w:pPr>
        <w:spacing w:line="400" w:lineRule="exact"/>
        <w:ind w:firstLine="420" w:firstLineChars="200"/>
        <w:jc w:val="center"/>
        <w:rPr>
          <w:rFonts w:ascii="宋体" w:hAnsi="宋体"/>
          <w:color w:val="auto"/>
          <w:szCs w:val="21"/>
          <w:highlight w:val="none"/>
        </w:rPr>
      </w:pPr>
    </w:p>
    <w:p w14:paraId="64F0149C">
      <w:pPr>
        <w:spacing w:line="400" w:lineRule="exact"/>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8.谈判文件的构成</w:t>
      </w:r>
    </w:p>
    <w:p w14:paraId="69538421">
      <w:pPr>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（1）竞争性谈判公告；</w:t>
      </w:r>
    </w:p>
    <w:p w14:paraId="4400CF90">
      <w:pPr>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（2）供应商须知；</w:t>
      </w:r>
    </w:p>
    <w:p w14:paraId="6E279E87">
      <w:pPr>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（3）采购需求；</w:t>
      </w:r>
    </w:p>
    <w:p w14:paraId="00F98B5F">
      <w:pPr>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（4）评审程序和评定成交的标准；</w:t>
      </w:r>
    </w:p>
    <w:p w14:paraId="00646567">
      <w:pPr>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（5）响应文件格式；</w:t>
      </w:r>
    </w:p>
    <w:p w14:paraId="2692C224">
      <w:pPr>
        <w:spacing w:line="400" w:lineRule="exact"/>
        <w:ind w:firstLine="420" w:firstLineChars="200"/>
        <w:jc w:val="left"/>
        <w:rPr>
          <w:rFonts w:ascii="宋体" w:hAnsi="宋体"/>
          <w:color w:val="auto"/>
          <w:szCs w:val="21"/>
          <w:highlight w:val="none"/>
        </w:rPr>
      </w:pPr>
      <w:r>
        <w:rPr>
          <w:rFonts w:hint="eastAsia" w:ascii="宋体" w:hAnsi="宋体"/>
          <w:color w:val="auto"/>
          <w:szCs w:val="21"/>
          <w:highlight w:val="none"/>
        </w:rPr>
        <w:t>（6）合同文本。</w:t>
      </w:r>
    </w:p>
    <w:p w14:paraId="672E9403">
      <w:pPr>
        <w:spacing w:line="400" w:lineRule="exact"/>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9.供应商的询问</w:t>
      </w:r>
    </w:p>
    <w:p w14:paraId="00F11C9F">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供应商应认真阅读谈判文件的采购需求，如供应商对谈判文件有疑问的，如要求采购人作出澄清或者修改的，供应商尽可能在</w:t>
      </w:r>
      <w:r>
        <w:rPr>
          <w:rFonts w:ascii="宋体" w:hAnsi="宋体"/>
          <w:color w:val="auto"/>
          <w:szCs w:val="21"/>
          <w:highlight w:val="none"/>
        </w:rPr>
        <w:t>提交首次响应文件截止之日前</w:t>
      </w:r>
      <w:r>
        <w:rPr>
          <w:rFonts w:hint="eastAsia" w:ascii="宋体" w:hAnsi="宋体"/>
          <w:color w:val="auto"/>
          <w:szCs w:val="21"/>
          <w:highlight w:val="none"/>
        </w:rPr>
        <w:t>，以书面形式向</w:t>
      </w:r>
      <w:r>
        <w:rPr>
          <w:rFonts w:ascii="宋体" w:hAnsi="宋体"/>
          <w:color w:val="auto"/>
          <w:szCs w:val="21"/>
          <w:highlight w:val="none"/>
        </w:rPr>
        <w:t>采购人、采购代理机构</w:t>
      </w:r>
      <w:r>
        <w:rPr>
          <w:rFonts w:hint="eastAsia" w:ascii="宋体" w:hAnsi="宋体"/>
          <w:color w:val="auto"/>
          <w:szCs w:val="21"/>
          <w:highlight w:val="none"/>
        </w:rPr>
        <w:t>提出。</w:t>
      </w:r>
    </w:p>
    <w:p w14:paraId="3CE3B7F5">
      <w:pPr>
        <w:spacing w:line="400" w:lineRule="exact"/>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10.谈判文件的澄清和修改</w:t>
      </w:r>
    </w:p>
    <w:p w14:paraId="071514B0">
      <w:pPr>
        <w:spacing w:line="400" w:lineRule="exact"/>
        <w:ind w:firstLine="420" w:firstLineChars="200"/>
        <w:rPr>
          <w:rFonts w:ascii="宋体" w:hAnsi="宋体"/>
          <w:color w:val="auto"/>
          <w:szCs w:val="21"/>
          <w:highlight w:val="none"/>
        </w:rPr>
      </w:pPr>
      <w:r>
        <w:rPr>
          <w:rFonts w:ascii="宋体" w:hAnsi="宋体"/>
          <w:color w:val="auto"/>
          <w:szCs w:val="21"/>
          <w:highlight w:val="none"/>
        </w:rPr>
        <w:t>提交首次响应文件截止之日前，采购人、采购代理机构或者谈判小组可以对已发出的谈判文件进行必要的澄清或者修改，澄清或者修改的内容作为谈判文件的组成部分。澄清或者修改的内容可能影响响应文件编制的，采购人、采购代理机构或者谈判小组应当在提交首次响应文件截止之日3个工作日前，以书面形式通知所有接收谈判文件的供应商，不足3个工作日的，应当顺延提交首次响应文件截止之日。</w:t>
      </w:r>
    </w:p>
    <w:p w14:paraId="4EC76B58">
      <w:pPr>
        <w:spacing w:line="400" w:lineRule="exact"/>
        <w:ind w:firstLine="420" w:firstLineChars="200"/>
        <w:rPr>
          <w:rFonts w:ascii="宋体" w:hAnsi="宋体"/>
          <w:color w:val="auto"/>
          <w:szCs w:val="21"/>
          <w:highlight w:val="none"/>
        </w:rPr>
      </w:pPr>
    </w:p>
    <w:p w14:paraId="536DECC7">
      <w:pPr>
        <w:spacing w:line="400" w:lineRule="exact"/>
        <w:ind w:firstLine="643" w:firstLineChars="200"/>
        <w:jc w:val="center"/>
        <w:rPr>
          <w:rFonts w:ascii="宋体" w:hAnsi="宋体"/>
          <w:b/>
          <w:color w:val="auto"/>
          <w:szCs w:val="21"/>
          <w:highlight w:val="none"/>
        </w:rPr>
      </w:pPr>
      <w:r>
        <w:rPr>
          <w:rFonts w:hint="eastAsia" w:ascii="宋体" w:hAnsi="宋体"/>
          <w:b/>
          <w:color w:val="auto"/>
          <w:sz w:val="32"/>
          <w:szCs w:val="32"/>
          <w:highlight w:val="none"/>
        </w:rPr>
        <w:t>三、响应文件的编制</w:t>
      </w:r>
    </w:p>
    <w:p w14:paraId="3B217804">
      <w:pPr>
        <w:spacing w:line="400" w:lineRule="exact"/>
        <w:ind w:firstLine="420" w:firstLineChars="200"/>
        <w:rPr>
          <w:rFonts w:ascii="宋体" w:hAnsi="宋体"/>
          <w:color w:val="auto"/>
          <w:szCs w:val="21"/>
          <w:highlight w:val="none"/>
        </w:rPr>
      </w:pPr>
    </w:p>
    <w:p w14:paraId="0E06169C">
      <w:pPr>
        <w:spacing w:line="400" w:lineRule="exact"/>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11.响应文件的编制原则</w:t>
      </w:r>
    </w:p>
    <w:p w14:paraId="1A9E1A64">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供应商必须按照谈判文件的要求编制响应文件，并对其提交的响应文件的真实性、合法性承担法律责任。响应文件必须对谈判文件作出实质性响应。</w:t>
      </w:r>
    </w:p>
    <w:p w14:paraId="3E673F40">
      <w:pPr>
        <w:spacing w:line="400" w:lineRule="exact"/>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12.响应文件的组成</w:t>
      </w:r>
    </w:p>
    <w:p w14:paraId="19F25AAF">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2.1</w:t>
      </w:r>
      <w:r>
        <w:rPr>
          <w:rFonts w:hint="eastAsia" w:ascii="宋体" w:hAnsi="宋体" w:cs="宋体"/>
          <w:color w:val="auto"/>
          <w:szCs w:val="21"/>
          <w:highlight w:val="none"/>
        </w:rPr>
        <w:t>响应文件由资格证明文件、报价文件、商务技术文件三部分组成。</w:t>
      </w:r>
    </w:p>
    <w:p w14:paraId="018DBCA7">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12.1</w:t>
      </w:r>
      <w:r>
        <w:rPr>
          <w:rFonts w:ascii="宋体" w:hAnsi="宋体" w:cs="宋体"/>
          <w:color w:val="auto"/>
          <w:szCs w:val="21"/>
          <w:highlight w:val="none"/>
        </w:rPr>
        <w:t>.1</w:t>
      </w:r>
      <w:r>
        <w:rPr>
          <w:rFonts w:hint="eastAsia" w:ascii="宋体" w:hAnsi="宋体" w:cs="宋体"/>
          <w:color w:val="auto"/>
          <w:szCs w:val="21"/>
          <w:highlight w:val="none"/>
        </w:rPr>
        <w:t>资格证明文件：详见“供应商须知前附表”</w:t>
      </w:r>
    </w:p>
    <w:p w14:paraId="358AF450">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12.</w:t>
      </w:r>
      <w:r>
        <w:rPr>
          <w:rFonts w:ascii="宋体" w:hAnsi="宋体" w:cs="宋体"/>
          <w:color w:val="auto"/>
          <w:szCs w:val="21"/>
          <w:highlight w:val="none"/>
        </w:rPr>
        <w:t>1.</w:t>
      </w:r>
      <w:r>
        <w:rPr>
          <w:rFonts w:hint="eastAsia" w:ascii="宋体" w:hAnsi="宋体" w:cs="宋体"/>
          <w:color w:val="auto"/>
          <w:szCs w:val="21"/>
          <w:highlight w:val="none"/>
        </w:rPr>
        <w:t>2报价文件：详见“供应商须知前附表”</w:t>
      </w:r>
    </w:p>
    <w:p w14:paraId="2ECB69E5">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12.1.3商务技术文件：详见“供应商须知前附表”</w:t>
      </w:r>
    </w:p>
    <w:p w14:paraId="4CAA4A69">
      <w:pPr>
        <w:spacing w:line="400" w:lineRule="exact"/>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13.计量单位</w:t>
      </w:r>
    </w:p>
    <w:p w14:paraId="3BF57E47">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谈判文件已有明确规定的，使用谈判文件规定的计量单位；谈判文件没有规定的，应采用中华人民共和国法定计量单位，货币种类为人民币，否则视同未响应。</w:t>
      </w:r>
    </w:p>
    <w:p w14:paraId="53FA455B">
      <w:pPr>
        <w:spacing w:line="400" w:lineRule="exact"/>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14.竞标的风险</w:t>
      </w:r>
    </w:p>
    <w:p w14:paraId="43438C8D">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供应商没有按照谈判文件要求提供全部资料，或者供应商没有对谈判文件在各方面作出实质性响应可能导致其响应文件按无效处理，是供应商应当考虑的风险。</w:t>
      </w:r>
    </w:p>
    <w:p w14:paraId="1173C48F">
      <w:pPr>
        <w:spacing w:line="400" w:lineRule="exact"/>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15.竞标报价</w:t>
      </w:r>
    </w:p>
    <w:p w14:paraId="2148526E">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15.1竞标报价应按谈判文件中“竞标报价表”格式填写。</w:t>
      </w:r>
    </w:p>
    <w:p w14:paraId="6E8F0D71">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15.2竞标报价的内容详见“供应商须知前附表”。</w:t>
      </w:r>
    </w:p>
    <w:p w14:paraId="01038CD5">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15.3竞标报价要求</w:t>
      </w:r>
    </w:p>
    <w:p w14:paraId="003E86B3">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5.3.1</w:t>
      </w:r>
      <w:r>
        <w:rPr>
          <w:rFonts w:hint="eastAsia" w:ascii="宋体" w:hAnsi="宋体" w:cs="宋体"/>
          <w:color w:val="auto"/>
          <w:szCs w:val="21"/>
          <w:highlight w:val="none"/>
        </w:rPr>
        <w:t>供应商的竞标报价应符合以下要求，否则响应文件按无效响应处理：</w:t>
      </w:r>
    </w:p>
    <w:p w14:paraId="79C220CB">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（1）供应商必须就“采购需求”中全部内容分别作完整唯一总价报价方案，不得存在漏项报价；</w:t>
      </w:r>
    </w:p>
    <w:p w14:paraId="2771180D">
      <w:pPr>
        <w:spacing w:line="400" w:lineRule="exact"/>
        <w:ind w:firstLine="420" w:firstLineChars="20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）供应商必须就本项目单项内容作唯一报价。</w:t>
      </w:r>
    </w:p>
    <w:p w14:paraId="38B461F2">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15.3.</w:t>
      </w:r>
      <w:r>
        <w:rPr>
          <w:rFonts w:ascii="宋体" w:hAnsi="宋体" w:cs="宋体"/>
          <w:color w:val="auto"/>
          <w:szCs w:val="21"/>
          <w:highlight w:val="none"/>
        </w:rPr>
        <w:t>2</w:t>
      </w:r>
      <w:r>
        <w:rPr>
          <w:rFonts w:hint="eastAsia" w:ascii="宋体" w:hAnsi="宋体" w:cs="宋体"/>
          <w:color w:val="auto"/>
          <w:szCs w:val="21"/>
          <w:highlight w:val="none"/>
        </w:rPr>
        <w:t>竞标报价（包含首次报价、最后报价）超过规定的采购预算金额或者最高限价（如有）的，其响应文件将按无效处理。</w:t>
      </w:r>
    </w:p>
    <w:p w14:paraId="7B1E55BB">
      <w:pPr>
        <w:spacing w:line="400" w:lineRule="exact"/>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16.竞标有效期</w:t>
      </w:r>
    </w:p>
    <w:p w14:paraId="55CBD873">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083B94D0">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16.2竞标有效期应由供应商按“供应商须知前附表”规定的期限作出响应。承诺的竞标有效期低于采购文件规定期限的，供应商的响应文件作无效处理。</w:t>
      </w:r>
    </w:p>
    <w:p w14:paraId="70C8ABA7">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5D6E196E">
      <w:pPr>
        <w:spacing w:line="400" w:lineRule="exact"/>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17.竞标保证金</w:t>
      </w:r>
    </w:p>
    <w:p w14:paraId="63D2833A">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17.1供应商须按“供应商须知前附表”的规定提交竞标保证金。</w:t>
      </w:r>
    </w:p>
    <w:p w14:paraId="1E0121FD">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17.2竞标保证金的退还</w:t>
      </w:r>
    </w:p>
    <w:p w14:paraId="2C819930">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未</w:t>
      </w:r>
      <w:r>
        <w:rPr>
          <w:rFonts w:hint="eastAsia" w:ascii="宋体" w:hAnsi="宋体" w:cs="宋体"/>
          <w:color w:val="auto"/>
          <w:spacing w:val="-6"/>
          <w:szCs w:val="21"/>
          <w:highlight w:val="none"/>
        </w:rPr>
        <w:t>成交供应商的竞标保证金自成交通知书发出之日起5个工作日内退还</w:t>
      </w:r>
      <w:r>
        <w:rPr>
          <w:rFonts w:hint="eastAsia" w:ascii="宋体" w:hAnsi="宋体"/>
          <w:color w:val="auto"/>
          <w:szCs w:val="21"/>
          <w:highlight w:val="none"/>
        </w:rPr>
        <w:t>；</w:t>
      </w:r>
      <w:r>
        <w:rPr>
          <w:rFonts w:hint="eastAsia" w:ascii="宋体" w:hAnsi="宋体" w:cs="宋体"/>
          <w:color w:val="auto"/>
          <w:szCs w:val="21"/>
          <w:highlight w:val="none"/>
        </w:rPr>
        <w:t>成交供应商的竞标保证金自签订合同之日起5个工作日内退还。</w:t>
      </w:r>
    </w:p>
    <w:p w14:paraId="02DE9BB6">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17.3竞标保证金不计息。</w:t>
      </w:r>
    </w:p>
    <w:p w14:paraId="31083D5B">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17.4供应商有下列情形之一的，竞标保证金将不予退还：</w:t>
      </w:r>
    </w:p>
    <w:p w14:paraId="2426944B">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（1）供应商在提交响应文件截止时间后撤回响应文件的；</w:t>
      </w:r>
    </w:p>
    <w:p w14:paraId="7713CF9E">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（2）未按规定提交履约保证金的；</w:t>
      </w:r>
    </w:p>
    <w:p w14:paraId="4E10E073">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（3）供应商在响应文件中提供虚假材料的；</w:t>
      </w:r>
    </w:p>
    <w:p w14:paraId="787F85F3">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（4）除因不可抗力或者谈判文件认可的情形以外，成交供应商不与采购人签订合同的；</w:t>
      </w:r>
    </w:p>
    <w:p w14:paraId="4F42A3E0">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（5）供应商与采购人、其他供应商或者采购代理机构恶意串通的；</w:t>
      </w:r>
    </w:p>
    <w:p w14:paraId="4A95B818">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（6）法律法规规定的其他情形。</w:t>
      </w:r>
    </w:p>
    <w:p w14:paraId="6CC443E3">
      <w:pPr>
        <w:spacing w:line="400" w:lineRule="exact"/>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18.响应文件编制的要求</w:t>
      </w:r>
    </w:p>
    <w:p w14:paraId="406D4D22">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18.1供应商应按照本项目谈判文件规定的格式和顺序和广西政府采购云平台的要求编制并加密。响应文件内容不完整、编排混乱导致响应文件被误读、漏读或者查找不到相关内容的，由此引发的后果由供应商承担。</w:t>
      </w:r>
    </w:p>
    <w:p w14:paraId="3C34D9F5">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18.2为确保网上操作合法、有效和安全，供应商应当在提交响应文件截止时间前完成在广西政府采购云平台的身份认证，确保在电子竞标过程中能够对相关数据电文进行加密和使用电子签章。</w:t>
      </w:r>
    </w:p>
    <w:p w14:paraId="529A6637">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18.3响应文件须由供应商在规定位置签字、盖章（具体以供应商须知前附表或响应文件格式规定为准），否则按无效响应处理。</w:t>
      </w:r>
    </w:p>
    <w:p w14:paraId="0850407F">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18.4响应文件中标注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14:paraId="09C70CED">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电子签名）或者加盖电子签章。响应文件因涂改、行间插字或者删除导致字迹潦草或者表达不清所引起的后果由供应商承担。</w:t>
      </w:r>
    </w:p>
    <w:p w14:paraId="344789D5">
      <w:pPr>
        <w:spacing w:line="400" w:lineRule="exact"/>
        <w:ind w:firstLine="482" w:firstLineChars="200"/>
        <w:rPr>
          <w:rFonts w:ascii="黑体" w:hAnsi="黑体" w:eastAsia="黑体"/>
          <w:b/>
          <w:color w:val="auto"/>
          <w:sz w:val="24"/>
          <w:highlight w:val="none"/>
        </w:rPr>
      </w:pPr>
      <w:r>
        <w:rPr>
          <w:rFonts w:hint="eastAsia" w:ascii="黑体" w:hAnsi="黑体" w:eastAsia="黑体" w:cs="宋体"/>
          <w:b/>
          <w:bCs/>
          <w:color w:val="auto"/>
          <w:sz w:val="24"/>
          <w:highlight w:val="none"/>
        </w:rPr>
        <w:t>19.电子</w:t>
      </w:r>
      <w:r>
        <w:rPr>
          <w:rFonts w:hint="eastAsia" w:ascii="黑体" w:hAnsi="黑体" w:eastAsia="黑体"/>
          <w:b/>
          <w:color w:val="auto"/>
          <w:sz w:val="24"/>
          <w:highlight w:val="none"/>
        </w:rPr>
        <w:t>备份响应文件</w:t>
      </w:r>
    </w:p>
    <w:p w14:paraId="377F90E3">
      <w:pPr>
        <w:spacing w:line="400" w:lineRule="exact"/>
        <w:ind w:firstLine="420" w:firstLineChars="200"/>
        <w:rPr>
          <w:color w:val="auto"/>
          <w:highlight w:val="none"/>
        </w:rPr>
      </w:pPr>
      <w:r>
        <w:rPr>
          <w:rFonts w:hint="eastAsia"/>
          <w:color w:val="auto"/>
          <w:highlight w:val="none"/>
        </w:rPr>
        <w:t>电子备份响应文件是指通过在线编制生成且后缀名为“bfbs”的文件，是否接受电子备份响应文件详见“供应商须知前附表”。</w:t>
      </w:r>
    </w:p>
    <w:p w14:paraId="33E62C82">
      <w:pPr>
        <w:spacing w:line="400" w:lineRule="exact"/>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20.响应文件的提交</w:t>
      </w:r>
    </w:p>
    <w:p w14:paraId="20463B1D">
      <w:pPr>
        <w:spacing w:line="400" w:lineRule="exact"/>
        <w:ind w:firstLine="420" w:firstLineChars="200"/>
        <w:rPr>
          <w:rFonts w:ascii="宋体" w:hAnsi="宋体"/>
          <w:bCs/>
          <w:color w:val="auto"/>
          <w:szCs w:val="21"/>
          <w:highlight w:val="none"/>
        </w:rPr>
      </w:pPr>
      <w:r>
        <w:rPr>
          <w:rFonts w:hint="eastAsia" w:ascii="宋体" w:hAnsi="宋体"/>
          <w:bCs/>
          <w:color w:val="auto"/>
          <w:szCs w:val="21"/>
          <w:highlight w:val="none"/>
        </w:rPr>
        <w:t>20.1供应商必须按“供应商须知前附表”规定的</w:t>
      </w:r>
      <w:r>
        <w:rPr>
          <w:rFonts w:hint="eastAsia" w:ascii="宋体" w:hAnsi="宋体" w:cs="宋体"/>
          <w:color w:val="auto"/>
          <w:szCs w:val="21"/>
          <w:highlight w:val="none"/>
        </w:rPr>
        <w:t>时间</w:t>
      </w:r>
      <w:r>
        <w:rPr>
          <w:rFonts w:hint="eastAsia" w:ascii="宋体" w:hAnsi="宋体"/>
          <w:color w:val="auto"/>
          <w:szCs w:val="21"/>
          <w:highlight w:val="none"/>
        </w:rPr>
        <w:t>及</w:t>
      </w:r>
      <w:r>
        <w:rPr>
          <w:rFonts w:hint="eastAsia" w:ascii="宋体" w:hAnsi="宋体"/>
          <w:bCs/>
          <w:color w:val="auto"/>
          <w:szCs w:val="21"/>
          <w:highlight w:val="none"/>
        </w:rPr>
        <w:t>地点提交响应文件。电子响应文件应在制作完成后，</w:t>
      </w:r>
      <w:r>
        <w:rPr>
          <w:rFonts w:ascii="宋体" w:hAnsi="宋体"/>
          <w:bCs/>
          <w:color w:val="auto"/>
          <w:szCs w:val="21"/>
          <w:highlight w:val="none"/>
        </w:rPr>
        <w:t>在</w:t>
      </w:r>
      <w:r>
        <w:rPr>
          <w:rFonts w:hint="eastAsia" w:ascii="宋体" w:hAnsi="宋体"/>
          <w:bCs/>
          <w:color w:val="auto"/>
          <w:szCs w:val="21"/>
          <w:highlight w:val="none"/>
        </w:rPr>
        <w:t>提交响应文件截止</w:t>
      </w:r>
      <w:r>
        <w:rPr>
          <w:rFonts w:ascii="宋体" w:hAnsi="宋体"/>
          <w:bCs/>
          <w:color w:val="auto"/>
          <w:szCs w:val="21"/>
          <w:highlight w:val="none"/>
        </w:rPr>
        <w:t>时间前</w:t>
      </w:r>
      <w:r>
        <w:rPr>
          <w:rFonts w:hint="eastAsia" w:ascii="宋体" w:hAnsi="宋体"/>
          <w:bCs/>
          <w:color w:val="auto"/>
          <w:szCs w:val="21"/>
          <w:highlight w:val="none"/>
        </w:rPr>
        <w:t>通过有效数字证书（CA认证锁）进行电子签章、加密，然后通过网络将加密的电子响应文件提交至</w:t>
      </w:r>
      <w:r>
        <w:rPr>
          <w:rFonts w:hint="eastAsia" w:ascii="宋体" w:hAnsi="宋体"/>
          <w:color w:val="auto"/>
          <w:szCs w:val="21"/>
          <w:highlight w:val="none"/>
        </w:rPr>
        <w:t>广西政府采购云平台</w:t>
      </w:r>
      <w:r>
        <w:rPr>
          <w:rFonts w:hint="eastAsia" w:ascii="宋体" w:hAnsi="宋体"/>
          <w:bCs/>
          <w:color w:val="auto"/>
          <w:szCs w:val="21"/>
          <w:highlight w:val="none"/>
        </w:rPr>
        <w:t>。</w:t>
      </w:r>
    </w:p>
    <w:p w14:paraId="415690BE">
      <w:pPr>
        <w:spacing w:line="400" w:lineRule="exact"/>
        <w:ind w:firstLine="422" w:firstLineChars="200"/>
        <w:rPr>
          <w:rFonts w:ascii="宋体" w:hAnsi="宋体"/>
          <w:b/>
          <w:color w:val="auto"/>
          <w:szCs w:val="21"/>
          <w:highlight w:val="none"/>
        </w:rPr>
      </w:pPr>
      <w:r>
        <w:rPr>
          <w:rFonts w:hint="eastAsia" w:ascii="宋体" w:hAnsi="宋体"/>
          <w:b/>
          <w:color w:val="auto"/>
          <w:szCs w:val="21"/>
          <w:highlight w:val="none"/>
        </w:rPr>
        <w:t>20.</w:t>
      </w:r>
      <w:r>
        <w:rPr>
          <w:rFonts w:ascii="宋体" w:hAnsi="宋体"/>
          <w:b/>
          <w:color w:val="auto"/>
          <w:szCs w:val="21"/>
          <w:highlight w:val="none"/>
        </w:rPr>
        <w:t>2</w:t>
      </w:r>
      <w:r>
        <w:rPr>
          <w:rFonts w:hint="eastAsia" w:ascii="宋体" w:hAnsi="宋体"/>
          <w:b/>
          <w:color w:val="auto"/>
          <w:szCs w:val="21"/>
          <w:highlight w:val="none"/>
        </w:rPr>
        <w:t>未在规定时间内提交或者未按照谈判文件要求加密的电子响应文件，广西政府采购云平台将拒收。</w:t>
      </w:r>
    </w:p>
    <w:p w14:paraId="30FB8E42">
      <w:pPr>
        <w:spacing w:line="400" w:lineRule="exact"/>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21.首次响应文件的补充、修改与撤回</w:t>
      </w:r>
      <w:bookmarkStart w:id="71" w:name="_Toc254970684"/>
      <w:bookmarkStart w:id="72" w:name="_Toc254970543"/>
    </w:p>
    <w:p w14:paraId="3D8D4D86">
      <w:pPr>
        <w:spacing w:line="400" w:lineRule="exact"/>
        <w:ind w:firstLine="420" w:firstLineChars="20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1.1</w:t>
      </w:r>
      <w:r>
        <w:rPr>
          <w:rFonts w:hint="eastAsia" w:ascii="宋体" w:hAnsi="宋体"/>
          <w:bCs/>
          <w:color w:val="auto"/>
          <w:szCs w:val="21"/>
          <w:highlight w:val="none"/>
        </w:rPr>
        <w:t>供应商应当在</w:t>
      </w:r>
      <w:r>
        <w:rPr>
          <w:rFonts w:hint="eastAsia" w:hAnsi="宋体"/>
          <w:bCs/>
          <w:color w:val="auto"/>
          <w:szCs w:val="21"/>
          <w:highlight w:val="none"/>
        </w:rPr>
        <w:t>提交响应文件截止</w:t>
      </w:r>
      <w:r>
        <w:rPr>
          <w:rFonts w:hAnsi="宋体"/>
          <w:bCs/>
          <w:color w:val="auto"/>
          <w:szCs w:val="21"/>
          <w:highlight w:val="none"/>
        </w:rPr>
        <w:t>时间</w:t>
      </w:r>
      <w:r>
        <w:rPr>
          <w:rFonts w:hint="eastAsia" w:ascii="宋体" w:hAnsi="宋体"/>
          <w:bCs/>
          <w:color w:val="auto"/>
          <w:szCs w:val="21"/>
          <w:highlight w:val="none"/>
        </w:rPr>
        <w:t>前完成电子响应文件的提交（上传），</w:t>
      </w:r>
      <w:r>
        <w:rPr>
          <w:rFonts w:hint="eastAsia" w:hAnsi="宋体"/>
          <w:bCs/>
          <w:color w:val="auto"/>
          <w:szCs w:val="21"/>
          <w:highlight w:val="none"/>
        </w:rPr>
        <w:t>提交响应文件截止</w:t>
      </w:r>
      <w:r>
        <w:rPr>
          <w:rFonts w:hAnsi="宋体"/>
          <w:bCs/>
          <w:color w:val="auto"/>
          <w:szCs w:val="21"/>
          <w:highlight w:val="none"/>
        </w:rPr>
        <w:t>时间</w:t>
      </w:r>
      <w:r>
        <w:rPr>
          <w:rFonts w:hint="eastAsia" w:hAnsi="宋体"/>
          <w:bCs/>
          <w:color w:val="auto"/>
          <w:szCs w:val="21"/>
          <w:highlight w:val="none"/>
        </w:rPr>
        <w:t>前</w:t>
      </w:r>
      <w:r>
        <w:rPr>
          <w:rFonts w:hint="eastAsia" w:ascii="宋体" w:hAnsi="宋体"/>
          <w:bCs/>
          <w:color w:val="auto"/>
          <w:szCs w:val="21"/>
          <w:highlight w:val="none"/>
        </w:rPr>
        <w:t>可以补充、修改或者撤回响应文件。补充或者修改响应文件的，应当先行撤回原响应文件，补充、修改后重新提交（上传），</w:t>
      </w:r>
      <w:r>
        <w:rPr>
          <w:rFonts w:hint="eastAsia" w:hAnsi="宋体"/>
          <w:bCs/>
          <w:color w:val="auto"/>
          <w:szCs w:val="21"/>
          <w:highlight w:val="none"/>
        </w:rPr>
        <w:t>提交响应文件截止</w:t>
      </w:r>
      <w:r>
        <w:rPr>
          <w:rFonts w:hAnsi="宋体"/>
          <w:bCs/>
          <w:color w:val="auto"/>
          <w:szCs w:val="21"/>
          <w:highlight w:val="none"/>
        </w:rPr>
        <w:t>时间</w:t>
      </w:r>
      <w:r>
        <w:rPr>
          <w:rFonts w:hint="eastAsia" w:hAnsi="宋体"/>
          <w:bCs/>
          <w:color w:val="auto"/>
          <w:szCs w:val="21"/>
          <w:highlight w:val="none"/>
        </w:rPr>
        <w:t>止</w:t>
      </w:r>
      <w:r>
        <w:rPr>
          <w:rFonts w:hint="eastAsia" w:ascii="宋体" w:hAnsi="宋体"/>
          <w:bCs/>
          <w:color w:val="auto"/>
          <w:szCs w:val="21"/>
          <w:highlight w:val="none"/>
        </w:rPr>
        <w:t>未完成提交（上传）的，视为撤回响应文件。</w:t>
      </w:r>
      <w:r>
        <w:rPr>
          <w:rFonts w:hint="eastAsia" w:hAnsi="宋体"/>
          <w:bCs/>
          <w:color w:val="auto"/>
          <w:szCs w:val="21"/>
          <w:highlight w:val="none"/>
        </w:rPr>
        <w:t>提交响应文件截止</w:t>
      </w:r>
      <w:r>
        <w:rPr>
          <w:rFonts w:hAnsi="宋体"/>
          <w:bCs/>
          <w:color w:val="auto"/>
          <w:szCs w:val="21"/>
          <w:highlight w:val="none"/>
        </w:rPr>
        <w:t>时间</w:t>
      </w:r>
      <w:r>
        <w:rPr>
          <w:rFonts w:hint="eastAsia" w:ascii="宋体" w:hAnsi="宋体"/>
          <w:bCs/>
          <w:color w:val="auto"/>
          <w:szCs w:val="21"/>
          <w:highlight w:val="none"/>
        </w:rPr>
        <w:t>以后提交（上传）的响应文件，广西政府采购云平台将予以拒收。</w:t>
      </w:r>
      <w:r>
        <w:rPr>
          <w:rFonts w:hint="eastAsia" w:ascii="宋体" w:hAnsi="宋体" w:cs="宋体"/>
          <w:color w:val="auto"/>
          <w:szCs w:val="21"/>
          <w:highlight w:val="none"/>
        </w:rPr>
        <w:t>（补充、修改或者撤回方式可</w:t>
      </w:r>
      <w:r>
        <w:rPr>
          <w:rFonts w:hint="eastAsia" w:ascii="宋体" w:hAnsi="宋体"/>
          <w:color w:val="auto"/>
          <w:szCs w:val="21"/>
          <w:highlight w:val="none"/>
        </w:rPr>
        <w:t>登录</w:t>
      </w:r>
      <w:r>
        <w:rPr>
          <w:rFonts w:hint="eastAsia" w:ascii="宋体" w:hAnsi="宋体" w:cs="宋体"/>
          <w:color w:val="auto"/>
          <w:kern w:val="0"/>
          <w:szCs w:val="21"/>
          <w:highlight w:val="none"/>
        </w:rPr>
        <w:t>广西政府采购云平台，</w:t>
      </w:r>
      <w:r>
        <w:rPr>
          <w:rFonts w:hint="eastAsia" w:ascii="宋体" w:hAnsi="宋体"/>
          <w:color w:val="auto"/>
          <w:szCs w:val="21"/>
          <w:highlight w:val="none"/>
        </w:rPr>
        <w:t>进入“服务中心”中查看</w:t>
      </w:r>
      <w:r>
        <w:rPr>
          <w:rFonts w:hint="eastAsia" w:ascii="宋体" w:hAnsi="宋体" w:cs="宋体"/>
          <w:color w:val="auto"/>
          <w:szCs w:val="21"/>
          <w:highlight w:val="none"/>
        </w:rPr>
        <w:t>“电子响应文件制作与投送教程”）</w:t>
      </w:r>
      <w:bookmarkEnd w:id="71"/>
      <w:bookmarkEnd w:id="72"/>
    </w:p>
    <w:p w14:paraId="70E3D575">
      <w:pPr>
        <w:spacing w:line="400" w:lineRule="exact"/>
        <w:ind w:firstLine="420" w:firstLineChars="20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2在提交响应文件截止时间前，除供应商补充、修改或者撤回响应文件外，任何单位和个人不得解密或提取响应文件。</w:t>
      </w:r>
    </w:p>
    <w:p w14:paraId="6F80EA27">
      <w:pPr>
        <w:spacing w:line="400" w:lineRule="exact"/>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22.响应文件的退回</w:t>
      </w:r>
    </w:p>
    <w:p w14:paraId="3FA3D5BA">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采购人和采购代理机构对已提交的响应文件概不退回。</w:t>
      </w:r>
    </w:p>
    <w:p w14:paraId="0B4B0848">
      <w:pPr>
        <w:spacing w:line="400" w:lineRule="exact"/>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23.截止时间后的撤回</w:t>
      </w:r>
    </w:p>
    <w:p w14:paraId="58895F1D">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供应商在响应文件提交截止时间后向采购人、采购代理机构书面申请撤回响应文件的，将根据本须知正文第17.4条的规定不予退还其竞标保证金。</w:t>
      </w:r>
    </w:p>
    <w:p w14:paraId="2912B4C7">
      <w:pPr>
        <w:spacing w:line="400" w:lineRule="exact"/>
        <w:jc w:val="center"/>
        <w:rPr>
          <w:rFonts w:ascii="宋体" w:hAnsi="宋体" w:cs="宋体"/>
          <w:color w:val="auto"/>
          <w:szCs w:val="21"/>
          <w:highlight w:val="none"/>
        </w:rPr>
      </w:pPr>
    </w:p>
    <w:p w14:paraId="4DADF695">
      <w:pPr>
        <w:spacing w:line="400" w:lineRule="exact"/>
        <w:jc w:val="center"/>
        <w:rPr>
          <w:rFonts w:ascii="宋体" w:hAnsi="宋体"/>
          <w:b/>
          <w:color w:val="auto"/>
          <w:sz w:val="32"/>
          <w:szCs w:val="32"/>
          <w:highlight w:val="none"/>
        </w:rPr>
      </w:pPr>
      <w:r>
        <w:rPr>
          <w:rFonts w:hint="eastAsia" w:ascii="宋体" w:hAnsi="宋体"/>
          <w:b/>
          <w:color w:val="auto"/>
          <w:sz w:val="32"/>
          <w:szCs w:val="32"/>
          <w:highlight w:val="none"/>
        </w:rPr>
        <w:t>四、评审及谈判</w:t>
      </w:r>
    </w:p>
    <w:p w14:paraId="25D98620">
      <w:pPr>
        <w:spacing w:line="400" w:lineRule="exact"/>
        <w:ind w:firstLine="482" w:firstLineChars="200"/>
        <w:rPr>
          <w:rFonts w:ascii="黑体" w:hAnsi="黑体" w:eastAsia="黑体" w:cs="宋体"/>
          <w:b/>
          <w:bCs/>
          <w:color w:val="auto"/>
          <w:sz w:val="24"/>
          <w:highlight w:val="none"/>
        </w:rPr>
      </w:pPr>
    </w:p>
    <w:p w14:paraId="24FB44DB">
      <w:pPr>
        <w:spacing w:line="400" w:lineRule="exact"/>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24.谈判小组成立</w:t>
      </w:r>
    </w:p>
    <w:p w14:paraId="568D471F">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24.1谈判小组由采购人代表和评审专家共3人以上单数组成，具体人数详见“供应商须知前附表”，其中评审专家人数不得少于竞争性谈判小组成员总数的2/3。采购人不得以评审专家身份参加本部门或者本单位采购项目的评审。采购代理机构人员不得参加本机构代理的采购项目的评审。达到公开招标数额标准的货物或者服务采购项目，或者达到招标规模标准的政府采购工程，竞争性谈判小组应当由5人以上单数组成。</w:t>
      </w:r>
    </w:p>
    <w:p w14:paraId="04EE47A2">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14:paraId="443EBD63">
      <w:pPr>
        <w:spacing w:line="400" w:lineRule="exact"/>
        <w:ind w:firstLine="420" w:firstLineChars="200"/>
        <w:rPr>
          <w:rFonts w:hAnsi="宋体"/>
          <w:bCs/>
          <w:color w:val="auto"/>
          <w:szCs w:val="21"/>
          <w:highlight w:val="none"/>
        </w:rPr>
      </w:pPr>
      <w:r>
        <w:rPr>
          <w:rFonts w:hint="eastAsia" w:ascii="宋体" w:hAnsi="宋体" w:cs="宋体"/>
          <w:color w:val="auto"/>
          <w:szCs w:val="21"/>
          <w:highlight w:val="none"/>
        </w:rPr>
        <w:t>24.3</w:t>
      </w:r>
      <w:r>
        <w:rPr>
          <w:rFonts w:hint="eastAsia" w:hAnsi="宋体"/>
          <w:bCs/>
          <w:color w:val="auto"/>
          <w:szCs w:val="21"/>
          <w:highlight w:val="none"/>
        </w:rPr>
        <w:t>采购代理机构</w:t>
      </w:r>
      <w:r>
        <w:rPr>
          <w:rFonts w:hint="eastAsia" w:hAnsi="宋体"/>
          <w:bCs/>
          <w:color w:val="auto"/>
          <w:highlight w:val="none"/>
        </w:rPr>
        <w:t>应当</w:t>
      </w:r>
      <w:r>
        <w:rPr>
          <w:rFonts w:hint="eastAsia" w:hAnsi="宋体"/>
          <w:bCs/>
          <w:color w:val="auto"/>
          <w:szCs w:val="21"/>
          <w:highlight w:val="none"/>
        </w:rPr>
        <w:t>基于广西政府采购云平台</w:t>
      </w:r>
      <w:r>
        <w:rPr>
          <w:rFonts w:hint="eastAsia" w:hAnsi="宋体"/>
          <w:bCs/>
          <w:color w:val="auto"/>
          <w:highlight w:val="none"/>
        </w:rPr>
        <w:t>抽（选）取</w:t>
      </w:r>
      <w:r>
        <w:rPr>
          <w:rFonts w:hint="eastAsia" w:hAnsi="宋体"/>
          <w:bCs/>
          <w:color w:val="auto"/>
          <w:szCs w:val="21"/>
          <w:highlight w:val="none"/>
        </w:rPr>
        <w:t>评审专家。</w:t>
      </w:r>
    </w:p>
    <w:p w14:paraId="35F446E6">
      <w:pPr>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24.4参加过采购项目前期咨询论证的专家，不得参加该采购项目的评审活动。</w:t>
      </w:r>
    </w:p>
    <w:p w14:paraId="7750A76A">
      <w:pPr>
        <w:spacing w:line="400" w:lineRule="exact"/>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25.</w:t>
      </w:r>
      <w:r>
        <w:rPr>
          <w:rFonts w:hint="eastAsia" w:ascii="黑体" w:hAnsi="黑体" w:eastAsia="黑体" w:cs="宋体"/>
          <w:b/>
          <w:bCs/>
          <w:color w:val="auto"/>
          <w:sz w:val="24"/>
          <w:highlight w:val="none"/>
        </w:rPr>
        <w:t>首次响应文件的开启和解密</w:t>
      </w:r>
    </w:p>
    <w:p w14:paraId="6C3380BF">
      <w:pPr>
        <w:spacing w:line="400" w:lineRule="exact"/>
        <w:ind w:firstLine="420" w:firstLineChars="200"/>
        <w:rPr>
          <w:b/>
          <w:color w:val="auto"/>
          <w:highlight w:val="none"/>
        </w:rPr>
      </w:pPr>
      <w:r>
        <w:rPr>
          <w:rFonts w:hint="eastAsia" w:hAnsi="宋体"/>
          <w:bCs/>
          <w:color w:val="auto"/>
          <w:highlight w:val="none"/>
        </w:rPr>
        <w:t>采购代理机构将在“供应商</w:t>
      </w:r>
      <w:r>
        <w:rPr>
          <w:rFonts w:hint="eastAsia" w:ascii="宋体" w:hAnsi="宋体"/>
          <w:bCs/>
          <w:color w:val="auto"/>
          <w:highlight w:val="none"/>
        </w:rPr>
        <w:t>须知前附表”规定的时</w:t>
      </w:r>
      <w:r>
        <w:rPr>
          <w:rFonts w:hint="eastAsia" w:ascii="宋体" w:hAnsi="宋体"/>
          <w:color w:val="auto"/>
          <w:highlight w:val="none"/>
        </w:rPr>
        <w:t>间通过电子交易平台组织响应文件开启，供应商的法定代表人或其委托代理人须携带加密时所用的CA锁，按平台提示和谈判文件的规定登录到广西政府采购云平台电子开标大厅签到，采购代理机构依托广西政府采购云平台向各</w:t>
      </w:r>
      <w:r>
        <w:rPr>
          <w:rFonts w:hint="eastAsia"/>
          <w:color w:val="auto"/>
          <w:highlight w:val="none"/>
        </w:rPr>
        <w:t>供应商发出电子加密响应文件【开始解密】通知，由供应商按</w:t>
      </w:r>
      <w:r>
        <w:rPr>
          <w:rFonts w:hint="eastAsia" w:hAnsi="宋体"/>
          <w:bCs/>
          <w:color w:val="auto"/>
          <w:szCs w:val="21"/>
          <w:highlight w:val="none"/>
        </w:rPr>
        <w:t>“供应商须知前附表”</w:t>
      </w:r>
      <w:r>
        <w:rPr>
          <w:rFonts w:hint="eastAsia"/>
          <w:color w:val="auto"/>
          <w:highlight w:val="none"/>
        </w:rPr>
        <w:t>规定的时间内自行进行响应文件解密</w:t>
      </w:r>
      <w:r>
        <w:rPr>
          <w:rFonts w:hint="eastAsia" w:hAnsi="宋体"/>
          <w:color w:val="auto"/>
          <w:highlight w:val="none"/>
        </w:rPr>
        <w:t>。</w:t>
      </w:r>
      <w:r>
        <w:rPr>
          <w:rFonts w:hint="eastAsia"/>
          <w:b/>
          <w:color w:val="auto"/>
          <w:highlight w:val="none"/>
        </w:rPr>
        <w:t>供应商未在</w:t>
      </w:r>
      <w:r>
        <w:rPr>
          <w:b/>
          <w:color w:val="auto"/>
          <w:highlight w:val="none"/>
        </w:rPr>
        <w:t>规定的时间内解密</w:t>
      </w:r>
      <w:r>
        <w:rPr>
          <w:rFonts w:hint="eastAsia"/>
          <w:b/>
          <w:color w:val="auto"/>
          <w:highlight w:val="none"/>
        </w:rPr>
        <w:t>响应文件</w:t>
      </w:r>
      <w:r>
        <w:rPr>
          <w:b/>
          <w:color w:val="auto"/>
          <w:highlight w:val="none"/>
        </w:rPr>
        <w:t>或</w:t>
      </w:r>
      <w:r>
        <w:rPr>
          <w:rFonts w:hint="eastAsia"/>
          <w:b/>
          <w:color w:val="auto"/>
          <w:highlight w:val="none"/>
        </w:rPr>
        <w:t>者</w:t>
      </w:r>
      <w:r>
        <w:rPr>
          <w:b/>
          <w:color w:val="auto"/>
          <w:highlight w:val="none"/>
        </w:rPr>
        <w:t>解密失败的</w:t>
      </w:r>
      <w:r>
        <w:rPr>
          <w:rFonts w:hint="eastAsia"/>
          <w:b/>
          <w:color w:val="auto"/>
          <w:highlight w:val="none"/>
        </w:rPr>
        <w:t>，供应商</w:t>
      </w:r>
      <w:r>
        <w:rPr>
          <w:rFonts w:hint="eastAsia" w:ascii="宋体" w:hAnsi="宋体"/>
          <w:b/>
          <w:color w:val="auto"/>
          <w:szCs w:val="21"/>
          <w:highlight w:val="none"/>
        </w:rPr>
        <w:t>的响应文件作无效处理</w:t>
      </w:r>
      <w:r>
        <w:rPr>
          <w:b/>
          <w:color w:val="auto"/>
          <w:highlight w:val="none"/>
        </w:rPr>
        <w:t>。</w:t>
      </w:r>
    </w:p>
    <w:p w14:paraId="0EDF0751">
      <w:pPr>
        <w:spacing w:line="400" w:lineRule="exact"/>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26</w:t>
      </w:r>
      <w:r>
        <w:rPr>
          <w:rFonts w:hint="eastAsia" w:ascii="黑体" w:hAnsi="黑体" w:eastAsia="黑体" w:cs="宋体"/>
          <w:b/>
          <w:bCs/>
          <w:color w:val="auto"/>
          <w:sz w:val="24"/>
          <w:highlight w:val="none"/>
        </w:rPr>
        <w:t>.评审程序和评定成交的标准</w:t>
      </w:r>
    </w:p>
    <w:p w14:paraId="1D285F82">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26.1谈判小组按照“第四章  评审程序和评定成交的标准”规定的评审程序对响应文件进行评审，并按照评定成交的标准推荐成交候选人。评审价相同时，成交候选人推荐顺序见“供应商须知前附表”。</w:t>
      </w:r>
    </w:p>
    <w:p w14:paraId="30E4B0BB">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2</w:t>
      </w:r>
      <w:r>
        <w:rPr>
          <w:rFonts w:ascii="宋体" w:hAnsi="宋体"/>
          <w:color w:val="auto"/>
          <w:szCs w:val="21"/>
          <w:highlight w:val="none"/>
        </w:rPr>
        <w:t xml:space="preserve">6.2 </w:t>
      </w:r>
      <w:r>
        <w:rPr>
          <w:rFonts w:hint="eastAsia" w:ascii="宋体" w:hAnsi="宋体"/>
          <w:color w:val="auto"/>
          <w:szCs w:val="21"/>
          <w:highlight w:val="none"/>
        </w:rPr>
        <w:t>商务/技术要求允许负偏离的条款数详见“供应商须知前附表”。</w:t>
      </w:r>
    </w:p>
    <w:p w14:paraId="505CB9BE">
      <w:pPr>
        <w:spacing w:line="400" w:lineRule="exact"/>
        <w:ind w:firstLine="420" w:firstLineChars="200"/>
        <w:rPr>
          <w:rFonts w:ascii="宋体" w:hAnsi="宋体" w:cs="宋体"/>
          <w:color w:val="auto"/>
          <w:highlight w:val="none"/>
        </w:rPr>
      </w:pPr>
      <w:r>
        <w:rPr>
          <w:rFonts w:hint="eastAsia" w:ascii="宋体" w:hAnsi="宋体" w:cs="宋体"/>
          <w:color w:val="auto"/>
          <w:highlight w:val="none"/>
        </w:rPr>
        <w:t>26.3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14:paraId="104E96A0">
      <w:pPr>
        <w:spacing w:line="400" w:lineRule="exact"/>
        <w:ind w:firstLine="420" w:firstLineChars="200"/>
        <w:rPr>
          <w:rFonts w:ascii="宋体" w:hAnsi="宋体"/>
          <w:color w:val="auto"/>
          <w:highlight w:val="none"/>
        </w:rPr>
      </w:pPr>
      <w:r>
        <w:rPr>
          <w:rFonts w:hint="eastAsia" w:ascii="宋体" w:hAnsi="宋体"/>
          <w:color w:val="auto"/>
          <w:highlight w:val="none"/>
        </w:rPr>
        <w:t>2</w:t>
      </w:r>
      <w:r>
        <w:rPr>
          <w:rFonts w:ascii="宋体" w:hAnsi="宋体"/>
          <w:color w:val="auto"/>
          <w:highlight w:val="none"/>
        </w:rPr>
        <w:t>6.</w:t>
      </w:r>
      <w:r>
        <w:rPr>
          <w:rFonts w:hint="eastAsia" w:ascii="宋体" w:hAnsi="宋体"/>
          <w:color w:val="auto"/>
          <w:highlight w:val="none"/>
        </w:rPr>
        <w:t>4电子交易活动的中止。采购过程中出现以下情形，导致电子交易平台无法正常运行，或者无法保证电子交易的公平、公正和安全时，采购机构可中止电子交易活动：</w:t>
      </w:r>
    </w:p>
    <w:p w14:paraId="31F5417B">
      <w:pPr>
        <w:spacing w:line="400" w:lineRule="exact"/>
        <w:ind w:firstLine="420" w:firstLineChars="200"/>
        <w:rPr>
          <w:rFonts w:ascii="宋体" w:hAnsi="宋体"/>
          <w:color w:val="auto"/>
          <w:highlight w:val="none"/>
        </w:rPr>
      </w:pPr>
      <w:r>
        <w:rPr>
          <w:rFonts w:hint="eastAsia" w:ascii="宋体" w:hAnsi="宋体"/>
          <w:color w:val="auto"/>
          <w:highlight w:val="none"/>
        </w:rPr>
        <w:t>（1）电子交易平台发生故障而无法登录访问的；</w:t>
      </w:r>
    </w:p>
    <w:p w14:paraId="28DDDEDB">
      <w:pPr>
        <w:spacing w:line="400" w:lineRule="exact"/>
        <w:ind w:firstLine="420" w:firstLineChars="200"/>
        <w:rPr>
          <w:rFonts w:ascii="宋体" w:hAnsi="宋体"/>
          <w:color w:val="auto"/>
          <w:highlight w:val="none"/>
        </w:rPr>
      </w:pPr>
      <w:r>
        <w:rPr>
          <w:rFonts w:hint="eastAsia" w:ascii="宋体" w:hAnsi="宋体"/>
          <w:color w:val="auto"/>
          <w:highlight w:val="none"/>
        </w:rPr>
        <w:t>（2）电子交易平台应用或数据库出现错误，不能进行正常操作的；</w:t>
      </w:r>
    </w:p>
    <w:p w14:paraId="62BB42DC">
      <w:pPr>
        <w:spacing w:line="400" w:lineRule="exact"/>
        <w:ind w:firstLine="420" w:firstLineChars="200"/>
        <w:rPr>
          <w:rFonts w:ascii="宋体" w:hAnsi="宋体"/>
          <w:color w:val="auto"/>
          <w:highlight w:val="none"/>
        </w:rPr>
      </w:pPr>
      <w:r>
        <w:rPr>
          <w:rFonts w:hint="eastAsia" w:ascii="宋体" w:hAnsi="宋体"/>
          <w:color w:val="auto"/>
          <w:highlight w:val="none"/>
        </w:rPr>
        <w:t>（3）电子交易平台发现严重安全漏洞，有潜在泄密危险的；</w:t>
      </w:r>
    </w:p>
    <w:p w14:paraId="4500E0D1">
      <w:pPr>
        <w:spacing w:line="400" w:lineRule="exact"/>
        <w:ind w:firstLine="420" w:firstLineChars="200"/>
        <w:rPr>
          <w:rFonts w:ascii="宋体" w:hAnsi="宋体"/>
          <w:color w:val="auto"/>
          <w:highlight w:val="none"/>
        </w:rPr>
      </w:pPr>
      <w:r>
        <w:rPr>
          <w:rFonts w:hint="eastAsia" w:ascii="宋体" w:hAnsi="宋体"/>
          <w:color w:val="auto"/>
          <w:highlight w:val="none"/>
        </w:rPr>
        <w:t>（4）病毒发作导致不能进行正常操作的；</w:t>
      </w:r>
    </w:p>
    <w:p w14:paraId="4DBD852C">
      <w:pPr>
        <w:spacing w:line="400" w:lineRule="exact"/>
        <w:ind w:firstLine="420" w:firstLineChars="200"/>
        <w:rPr>
          <w:rFonts w:hAnsi="宋体"/>
          <w:color w:val="auto"/>
          <w:highlight w:val="none"/>
        </w:rPr>
      </w:pPr>
      <w:r>
        <w:rPr>
          <w:rFonts w:hint="eastAsia" w:ascii="宋体" w:hAnsi="宋体"/>
          <w:color w:val="auto"/>
          <w:highlight w:val="none"/>
        </w:rPr>
        <w:t>（5）其他无法保</w:t>
      </w:r>
      <w:r>
        <w:rPr>
          <w:rFonts w:hint="eastAsia" w:hAnsi="宋体"/>
          <w:color w:val="auto"/>
          <w:highlight w:val="none"/>
        </w:rPr>
        <w:t>证电子交易的公平、公正和安全的情况。</w:t>
      </w:r>
    </w:p>
    <w:p w14:paraId="7AAABB41">
      <w:pPr>
        <w:spacing w:line="400" w:lineRule="exact"/>
        <w:ind w:firstLine="420" w:firstLineChars="200"/>
        <w:rPr>
          <w:rFonts w:hAnsi="宋体"/>
          <w:color w:val="auto"/>
          <w:highlight w:val="none"/>
        </w:rPr>
      </w:pPr>
      <w:r>
        <w:rPr>
          <w:rFonts w:hint="eastAsia" w:ascii="宋体" w:hAnsi="宋体"/>
          <w:color w:val="auto"/>
          <w:highlight w:val="none"/>
        </w:rPr>
        <w:t>26.</w:t>
      </w:r>
      <w:r>
        <w:rPr>
          <w:rFonts w:ascii="宋体" w:hAnsi="宋体"/>
          <w:color w:val="auto"/>
          <w:highlight w:val="none"/>
        </w:rPr>
        <w:t>5</w:t>
      </w:r>
      <w:r>
        <w:rPr>
          <w:rFonts w:hint="eastAsia" w:hAnsi="宋体"/>
          <w:color w:val="auto"/>
          <w:highlight w:val="none"/>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02DE9764">
      <w:pPr>
        <w:spacing w:line="400" w:lineRule="exact"/>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27</w:t>
      </w:r>
      <w:r>
        <w:rPr>
          <w:rFonts w:hint="eastAsia" w:ascii="黑体" w:hAnsi="黑体" w:eastAsia="黑体" w:cs="宋体"/>
          <w:b/>
          <w:bCs/>
          <w:color w:val="auto"/>
          <w:sz w:val="24"/>
          <w:highlight w:val="none"/>
        </w:rPr>
        <w:t>.确定成交供应商及结果公告</w:t>
      </w:r>
    </w:p>
    <w:p w14:paraId="306284A9">
      <w:pPr>
        <w:spacing w:line="400" w:lineRule="exact"/>
        <w:ind w:firstLine="420" w:firstLineChars="200"/>
        <w:rPr>
          <w:rFonts w:ascii="宋体" w:hAnsi="宋体" w:cs="宋体"/>
          <w:color w:val="auto"/>
          <w:kern w:val="0"/>
          <w:szCs w:val="21"/>
          <w:highlight w:val="none"/>
        </w:rPr>
      </w:pPr>
      <w:r>
        <w:rPr>
          <w:rFonts w:ascii="宋体" w:hAnsi="宋体" w:cs="宋体"/>
          <w:color w:val="auto"/>
          <w:szCs w:val="21"/>
          <w:highlight w:val="none"/>
        </w:rPr>
        <w:t>27</w:t>
      </w:r>
      <w:r>
        <w:rPr>
          <w:rFonts w:hint="eastAsia" w:ascii="宋体" w:hAnsi="宋体" w:cs="宋体"/>
          <w:color w:val="auto"/>
          <w:szCs w:val="21"/>
          <w:highlight w:val="none"/>
        </w:rPr>
        <w:t>.1</w:t>
      </w:r>
      <w:r>
        <w:rPr>
          <w:rFonts w:hint="eastAsia" w:ascii="宋体" w:hAnsi="宋体" w:cs="宋体"/>
          <w:color w:val="auto"/>
          <w:kern w:val="0"/>
          <w:szCs w:val="21"/>
          <w:highlight w:val="none"/>
        </w:rPr>
        <w:t>采购</w:t>
      </w:r>
      <w:r>
        <w:rPr>
          <w:rFonts w:hint="eastAsia" w:ascii="宋体" w:hAnsi="宋体" w:cs="宋体"/>
          <w:color w:val="auto"/>
          <w:szCs w:val="21"/>
          <w:highlight w:val="none"/>
        </w:rPr>
        <w:t>代理</w:t>
      </w:r>
      <w:r>
        <w:rPr>
          <w:rFonts w:hint="eastAsia" w:ascii="宋体" w:hAnsi="宋体" w:cs="宋体"/>
          <w:color w:val="auto"/>
          <w:kern w:val="0"/>
          <w:szCs w:val="21"/>
          <w:highlight w:val="none"/>
        </w:rPr>
        <w:t>机构应当在评审结束后2个工作日内将评审报告送采购人确认。采购人应当在收到评审报告后5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p>
    <w:p w14:paraId="4E881D1D">
      <w:pPr>
        <w:spacing w:line="400" w:lineRule="exact"/>
        <w:ind w:firstLine="420" w:firstLineChars="200"/>
        <w:rPr>
          <w:rFonts w:ascii="宋体" w:hAnsi="宋体" w:cs="Courier New"/>
          <w:color w:val="auto"/>
          <w:szCs w:val="21"/>
          <w:highlight w:val="none"/>
        </w:rPr>
      </w:pPr>
      <w:r>
        <w:rPr>
          <w:rFonts w:ascii="宋体" w:hAnsi="宋体" w:cs="宋体"/>
          <w:color w:val="auto"/>
          <w:kern w:val="0"/>
          <w:szCs w:val="21"/>
          <w:highlight w:val="none"/>
        </w:rPr>
        <w:t>27</w:t>
      </w:r>
      <w:r>
        <w:rPr>
          <w:rFonts w:hint="eastAsia" w:ascii="宋体" w:hAnsi="宋体" w:cs="宋体"/>
          <w:color w:val="auto"/>
          <w:kern w:val="0"/>
          <w:szCs w:val="21"/>
          <w:highlight w:val="none"/>
        </w:rPr>
        <w:t>.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w:t>
      </w:r>
      <w:r>
        <w:rPr>
          <w:rFonts w:hint="eastAsia" w:ascii="宋体" w:hAnsi="宋体" w:cs="宋体"/>
          <w:color w:val="auto"/>
          <w:szCs w:val="21"/>
          <w:highlight w:val="none"/>
        </w:rPr>
        <w:t>失信主体</w:t>
      </w:r>
      <w:r>
        <w:rPr>
          <w:rFonts w:hint="eastAsia" w:ascii="宋体" w:hAnsi="宋体" w:cs="宋体"/>
          <w:color w:val="auto"/>
          <w:kern w:val="0"/>
          <w:szCs w:val="21"/>
          <w:highlight w:val="none"/>
        </w:rPr>
        <w:t>、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上信息查询记录及相关证据与谈判文件一并保存。</w:t>
      </w:r>
      <w:r>
        <w:rPr>
          <w:rFonts w:hint="eastAsia" w:ascii="宋体" w:hAnsi="宋体" w:cs="Courier New"/>
          <w:color w:val="auto"/>
          <w:szCs w:val="21"/>
          <w:highlight w:val="none"/>
        </w:rPr>
        <w:t>成交供应商享受《政府采购促进中小企业发展管理办法》（财库〔2020〕46号）规定的中小企业扶持政策的，采购人、采购代理机构应当随成交结果公开成交供应商的《中小企业声明函》。</w:t>
      </w:r>
    </w:p>
    <w:p w14:paraId="56D1CA95">
      <w:pPr>
        <w:spacing w:line="400" w:lineRule="exact"/>
        <w:ind w:firstLine="420" w:firstLineChars="200"/>
        <w:rPr>
          <w:rFonts w:ascii="宋体" w:hAnsi="宋体"/>
          <w:bCs/>
          <w:color w:val="auto"/>
          <w:szCs w:val="21"/>
          <w:highlight w:val="none"/>
        </w:rPr>
      </w:pPr>
      <w:r>
        <w:rPr>
          <w:rFonts w:hint="eastAsia" w:ascii="宋体" w:hAnsi="宋体"/>
          <w:bCs/>
          <w:color w:val="auto"/>
          <w:szCs w:val="21"/>
          <w:highlight w:val="none"/>
        </w:rPr>
        <w:t>27.3出现下列情形之一的，采购人或者采购代理机构应当终止竞争性谈判采购活动，发布项目终止公告并说明原因，重新开展采购活动：</w:t>
      </w:r>
    </w:p>
    <w:p w14:paraId="4955A94B">
      <w:pPr>
        <w:spacing w:line="400" w:lineRule="exact"/>
        <w:ind w:firstLine="420" w:firstLineChars="200"/>
        <w:rPr>
          <w:rFonts w:ascii="宋体" w:hAnsi="宋体"/>
          <w:bCs/>
          <w:color w:val="auto"/>
          <w:szCs w:val="21"/>
          <w:highlight w:val="none"/>
        </w:rPr>
      </w:pPr>
      <w:r>
        <w:rPr>
          <w:rFonts w:hint="eastAsia" w:ascii="宋体" w:hAnsi="宋体"/>
          <w:bCs/>
          <w:color w:val="auto"/>
          <w:szCs w:val="21"/>
          <w:highlight w:val="none"/>
        </w:rPr>
        <w:t>（1）因情况变化，不再符合规定的竞争性谈判采购方式适用情形的；</w:t>
      </w:r>
    </w:p>
    <w:p w14:paraId="764C830D">
      <w:pPr>
        <w:pStyle w:val="10"/>
        <w:spacing w:line="400" w:lineRule="exact"/>
        <w:ind w:firstLine="420" w:firstLineChars="200"/>
        <w:rPr>
          <w:rFonts w:ascii="宋体" w:hAnsi="宋体"/>
          <w:bCs/>
          <w:color w:val="auto"/>
          <w:szCs w:val="21"/>
          <w:highlight w:val="none"/>
        </w:rPr>
      </w:pPr>
      <w:r>
        <w:rPr>
          <w:rFonts w:hint="eastAsia" w:ascii="宋体" w:hAnsi="宋体"/>
          <w:bCs/>
          <w:color w:val="auto"/>
          <w:szCs w:val="21"/>
          <w:highlight w:val="none"/>
        </w:rPr>
        <w:t>（2）出现影响采购公正的违法、违规行为的；</w:t>
      </w:r>
    </w:p>
    <w:p w14:paraId="704C7DA2">
      <w:pPr>
        <w:pStyle w:val="10"/>
        <w:spacing w:line="400" w:lineRule="exact"/>
        <w:ind w:firstLine="420" w:firstLineChars="200"/>
        <w:rPr>
          <w:rFonts w:ascii="宋体" w:hAnsi="宋体"/>
          <w:bCs/>
          <w:color w:val="auto"/>
          <w:szCs w:val="21"/>
          <w:highlight w:val="none"/>
        </w:rPr>
      </w:pPr>
      <w:r>
        <w:rPr>
          <w:rFonts w:hint="eastAsia" w:ascii="宋体" w:hAnsi="宋体"/>
          <w:bCs/>
          <w:color w:val="auto"/>
          <w:szCs w:val="21"/>
          <w:highlight w:val="none"/>
        </w:rPr>
        <w:t xml:space="preserve">（3）在采购过程中符合竞争要求的供应商或者报价未超过采购预算或最高限价（如有）的供应商不足3家的，但“第四章 </w:t>
      </w:r>
      <w:r>
        <w:rPr>
          <w:rFonts w:ascii="宋体" w:hAnsi="宋体"/>
          <w:bCs/>
          <w:color w:val="auto"/>
          <w:szCs w:val="21"/>
          <w:highlight w:val="none"/>
        </w:rPr>
        <w:t xml:space="preserve"> </w:t>
      </w:r>
      <w:r>
        <w:rPr>
          <w:rFonts w:hint="eastAsia" w:ascii="宋体" w:hAnsi="宋体"/>
          <w:bCs/>
          <w:color w:val="auto"/>
          <w:szCs w:val="21"/>
          <w:highlight w:val="none"/>
        </w:rPr>
        <w:t>评审程序和评定成交的标准”第3.7条规定的情形除外。</w:t>
      </w:r>
    </w:p>
    <w:p w14:paraId="417CB00E">
      <w:pPr>
        <w:pStyle w:val="10"/>
        <w:spacing w:line="400" w:lineRule="exact"/>
        <w:ind w:firstLine="420" w:firstLineChars="200"/>
        <w:rPr>
          <w:rFonts w:ascii="宋体" w:hAnsi="宋体"/>
          <w:bCs/>
          <w:color w:val="auto"/>
          <w:szCs w:val="21"/>
          <w:highlight w:val="none"/>
        </w:rPr>
      </w:pPr>
      <w:r>
        <w:rPr>
          <w:rFonts w:hint="eastAsia" w:ascii="宋体" w:hAnsi="宋体"/>
          <w:bCs/>
          <w:color w:val="auto"/>
          <w:szCs w:val="21"/>
          <w:highlight w:val="none"/>
        </w:rPr>
        <w:t>27.4在采购活动中因重大变故，采购任务取消的，采购人或者采购代理机构应当终止采购活动，通知所有参加采购活动的供应商，并将项目实施情况和采购任务取消原因报送本级财政部门。</w:t>
      </w:r>
    </w:p>
    <w:p w14:paraId="677ADAD5">
      <w:pPr>
        <w:pStyle w:val="10"/>
        <w:spacing w:line="400" w:lineRule="exact"/>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28</w:t>
      </w:r>
      <w:r>
        <w:rPr>
          <w:rFonts w:hint="eastAsia" w:ascii="黑体" w:hAnsi="黑体" w:eastAsia="黑体" w:cs="宋体"/>
          <w:b/>
          <w:bCs/>
          <w:color w:val="auto"/>
          <w:sz w:val="24"/>
          <w:highlight w:val="none"/>
        </w:rPr>
        <w:t>.履约保证金</w:t>
      </w:r>
    </w:p>
    <w:p w14:paraId="6F29FDBC">
      <w:pPr>
        <w:pStyle w:val="10"/>
        <w:spacing w:line="400" w:lineRule="exact"/>
        <w:ind w:firstLine="420" w:firstLineChars="200"/>
        <w:rPr>
          <w:rFonts w:ascii="宋体" w:hAnsi="宋体" w:cs="宋体"/>
          <w:color w:val="auto"/>
          <w:szCs w:val="21"/>
          <w:highlight w:val="none"/>
        </w:rPr>
      </w:pPr>
      <w:r>
        <w:rPr>
          <w:rFonts w:ascii="宋体" w:hAnsi="宋体" w:cs="宋体"/>
          <w:color w:val="auto"/>
          <w:szCs w:val="21"/>
          <w:highlight w:val="none"/>
        </w:rPr>
        <w:t>28</w:t>
      </w:r>
      <w:r>
        <w:rPr>
          <w:rFonts w:hint="eastAsia" w:ascii="宋体" w:hAnsi="宋体" w:cs="宋体"/>
          <w:color w:val="auto"/>
          <w:szCs w:val="21"/>
          <w:highlight w:val="none"/>
        </w:rPr>
        <w:t>.1履约保证金的金额、提交方式、退付的时间和条件详见“供应商须知前附表”。成交供应商未按规定提交履约保证金的，视为拒绝</w:t>
      </w:r>
      <w:r>
        <w:rPr>
          <w:color w:val="auto"/>
          <w:highlight w:val="none"/>
        </w:rPr>
        <w:t>与采购人</w:t>
      </w:r>
      <w:r>
        <w:rPr>
          <w:rFonts w:hint="eastAsia" w:ascii="宋体" w:hAnsi="宋体" w:cs="宋体"/>
          <w:color w:val="auto"/>
          <w:szCs w:val="21"/>
          <w:highlight w:val="none"/>
        </w:rPr>
        <w:t>签订合同。</w:t>
      </w:r>
    </w:p>
    <w:p w14:paraId="38F805C4">
      <w:pPr>
        <w:pStyle w:val="10"/>
        <w:spacing w:line="400" w:lineRule="exact"/>
        <w:ind w:firstLine="420" w:firstLineChars="200"/>
        <w:rPr>
          <w:rFonts w:ascii="宋体" w:hAnsi="宋体" w:cs="宋体"/>
          <w:color w:val="auto"/>
          <w:szCs w:val="21"/>
          <w:highlight w:val="none"/>
        </w:rPr>
      </w:pPr>
      <w:r>
        <w:rPr>
          <w:rFonts w:ascii="宋体" w:hAnsi="宋体" w:cs="宋体"/>
          <w:color w:val="auto"/>
          <w:szCs w:val="21"/>
          <w:highlight w:val="none"/>
        </w:rPr>
        <w:t>28</w:t>
      </w:r>
      <w:r>
        <w:rPr>
          <w:rFonts w:hint="eastAsia" w:ascii="宋体" w:hAnsi="宋体" w:cs="宋体"/>
          <w:color w:val="auto"/>
          <w:szCs w:val="21"/>
          <w:highlight w:val="none"/>
        </w:rPr>
        <w:t>.2在履约保证金退还日期前，若成交供应商的开户名称、开户银行、账号有变动，请以书面形式通知履约保证金收取单位，否则由此产生的后果由成交供应商自负。</w:t>
      </w:r>
    </w:p>
    <w:p w14:paraId="1E01FC68">
      <w:pPr>
        <w:pStyle w:val="10"/>
        <w:spacing w:line="400" w:lineRule="exact"/>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29</w:t>
      </w:r>
      <w:r>
        <w:rPr>
          <w:rFonts w:hint="eastAsia" w:ascii="黑体" w:hAnsi="黑体" w:eastAsia="黑体" w:cs="宋体"/>
          <w:b/>
          <w:bCs/>
          <w:color w:val="auto"/>
          <w:sz w:val="24"/>
          <w:highlight w:val="none"/>
        </w:rPr>
        <w:t>.签订合同</w:t>
      </w:r>
    </w:p>
    <w:p w14:paraId="4D3CF134">
      <w:pPr>
        <w:pStyle w:val="10"/>
        <w:spacing w:line="400" w:lineRule="exact"/>
        <w:ind w:firstLine="420" w:firstLineChars="200"/>
        <w:rPr>
          <w:rFonts w:ascii="宋体" w:hAnsi="宋体" w:cs="宋体"/>
          <w:color w:val="auto"/>
          <w:szCs w:val="21"/>
          <w:highlight w:val="none"/>
          <w:lang w:val="zh-CN"/>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35FE4669">
      <w:pPr>
        <w:pStyle w:val="1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线下签订纸质合同：供应商领取成交通知书后，按“供应商须知前附表”规定向采购人出示相关证明材料，经采购人核验合格后方可签订合同。</w:t>
      </w:r>
    </w:p>
    <w:p w14:paraId="76E000E9">
      <w:pPr>
        <w:pStyle w:val="1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14:paraId="0A8FD186">
      <w:pPr>
        <w:pStyle w:val="1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29.</w:t>
      </w:r>
      <w:r>
        <w:rPr>
          <w:rFonts w:ascii="宋体" w:hAnsi="宋体" w:cs="宋体"/>
          <w:color w:val="auto"/>
          <w:szCs w:val="21"/>
          <w:highlight w:val="none"/>
        </w:rPr>
        <w:t>3</w:t>
      </w:r>
      <w:r>
        <w:rPr>
          <w:rFonts w:hint="eastAsia" w:ascii="宋体" w:hAnsi="宋体" w:cs="宋体"/>
          <w:color w:val="auto"/>
          <w:szCs w:val="21"/>
          <w:highlight w:val="none"/>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4A65C44A">
      <w:pPr>
        <w:pStyle w:val="1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3D283714">
      <w:pPr>
        <w:pStyle w:val="1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29.5采购人或成交供应商不得单方面向合同另一方提出任何谈判文件没有约定的条件或不合理的要求，作为签订合同的条件；也不得协商另行订立背离谈判文件和合同实质性内容的协议。</w:t>
      </w:r>
    </w:p>
    <w:p w14:paraId="4AD5DF32">
      <w:pPr>
        <w:pStyle w:val="1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14:paraId="09E04E58">
      <w:pPr>
        <w:pStyle w:val="10"/>
        <w:spacing w:line="400" w:lineRule="exact"/>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30</w:t>
      </w:r>
      <w:r>
        <w:rPr>
          <w:rFonts w:hint="eastAsia" w:ascii="黑体" w:hAnsi="黑体" w:eastAsia="黑体" w:cs="宋体"/>
          <w:b/>
          <w:bCs/>
          <w:color w:val="auto"/>
          <w:sz w:val="24"/>
          <w:highlight w:val="none"/>
        </w:rPr>
        <w:t>.政府采购合同公告</w:t>
      </w:r>
    </w:p>
    <w:p w14:paraId="7D2A3CE3">
      <w:pPr>
        <w:pStyle w:val="1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586ED623">
      <w:pPr>
        <w:pStyle w:val="10"/>
        <w:spacing w:line="400" w:lineRule="exact"/>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31</w:t>
      </w:r>
      <w:r>
        <w:rPr>
          <w:rFonts w:hint="eastAsia" w:ascii="黑体" w:hAnsi="黑体" w:eastAsia="黑体" w:cs="宋体"/>
          <w:b/>
          <w:bCs/>
          <w:color w:val="auto"/>
          <w:sz w:val="24"/>
          <w:highlight w:val="none"/>
        </w:rPr>
        <w:t>.询问、质疑和投诉</w:t>
      </w:r>
    </w:p>
    <w:p w14:paraId="2F19D85A">
      <w:pPr>
        <w:pStyle w:val="10"/>
        <w:spacing w:line="400" w:lineRule="exact"/>
        <w:ind w:firstLine="420" w:firstLineChars="200"/>
        <w:rPr>
          <w:rFonts w:ascii="宋体" w:hAnsi="宋体"/>
          <w:color w:val="auto"/>
          <w:szCs w:val="21"/>
          <w:highlight w:val="none"/>
        </w:rPr>
      </w:pPr>
      <w:r>
        <w:rPr>
          <w:rFonts w:ascii="宋体" w:hAnsi="宋体" w:cs="宋体"/>
          <w:color w:val="auto"/>
          <w:highlight w:val="none"/>
        </w:rPr>
        <w:t>31</w:t>
      </w:r>
      <w:r>
        <w:rPr>
          <w:rFonts w:hint="eastAsia" w:ascii="宋体" w:hAnsi="宋体" w:cs="宋体"/>
          <w:color w:val="auto"/>
          <w:highlight w:val="none"/>
        </w:rPr>
        <w:t>.1供应商对政府采购活动事项有疑问的，可以向采购人、采购代理机构提出询问，采购人或者采购代理机构应当在3个工作日内对供应商依法提出的询问作出答复，</w:t>
      </w:r>
      <w:r>
        <w:rPr>
          <w:rFonts w:hint="eastAsia" w:ascii="宋体" w:hAnsi="宋体"/>
          <w:color w:val="auto"/>
          <w:szCs w:val="21"/>
          <w:highlight w:val="none"/>
        </w:rPr>
        <w:t>但答复的内容不得涉及商业秘密。</w:t>
      </w:r>
    </w:p>
    <w:p w14:paraId="0D8DD428">
      <w:pPr>
        <w:pStyle w:val="10"/>
        <w:spacing w:line="400" w:lineRule="exact"/>
        <w:ind w:firstLine="420" w:firstLineChars="200"/>
        <w:rPr>
          <w:rFonts w:ascii="宋体" w:hAnsi="宋体" w:cs="宋体"/>
          <w:color w:val="auto"/>
          <w:highlight w:val="none"/>
        </w:rPr>
      </w:pPr>
      <w:r>
        <w:rPr>
          <w:rFonts w:ascii="宋体" w:hAnsi="宋体" w:cs="宋体"/>
          <w:color w:val="auto"/>
          <w:highlight w:val="none"/>
        </w:rPr>
        <w:t>31</w:t>
      </w:r>
      <w:r>
        <w:rPr>
          <w:rFonts w:hint="eastAsia" w:ascii="宋体" w:hAnsi="宋体" w:cs="宋体"/>
          <w:color w:val="auto"/>
          <w:highlight w:val="none"/>
        </w:rPr>
        <w:t>.2供应商认为谈判文件、采购过程或者成交结果使自己的合法权益受到损害的，应当在知道或者应知其权益受到损害之日起7个工作日内，以书面形式向采购人、采购代理机构提出质疑，</w:t>
      </w:r>
      <w:r>
        <w:rPr>
          <w:rFonts w:ascii="Arial" w:hAnsi="Arial" w:cs="Arial"/>
          <w:color w:val="auto"/>
          <w:highlight w:val="none"/>
          <w:shd w:val="clear" w:color="auto" w:fill="FFFFFF"/>
        </w:rPr>
        <w:t>接收质疑函的方式、联系部门、联系电话和通讯地址等信息</w:t>
      </w:r>
      <w:r>
        <w:rPr>
          <w:rFonts w:hint="eastAsia" w:ascii="宋体" w:hAnsi="宋体" w:cs="宋体"/>
          <w:color w:val="auto"/>
          <w:szCs w:val="21"/>
          <w:highlight w:val="none"/>
        </w:rPr>
        <w:t>详见“供应商须知前附表”</w:t>
      </w:r>
      <w:r>
        <w:rPr>
          <w:rFonts w:hint="eastAsia" w:ascii="宋体" w:hAnsi="宋体" w:cs="宋体"/>
          <w:color w:val="auto"/>
          <w:highlight w:val="none"/>
        </w:rPr>
        <w:t>。具体质疑起算时间如下：</w:t>
      </w:r>
    </w:p>
    <w:p w14:paraId="1510C5BF">
      <w:pPr>
        <w:pStyle w:val="10"/>
        <w:spacing w:line="400" w:lineRule="exact"/>
        <w:ind w:firstLine="420" w:firstLineChars="200"/>
        <w:rPr>
          <w:rFonts w:ascii="宋体" w:hAnsi="宋体" w:cs="宋体"/>
          <w:color w:val="auto"/>
          <w:highlight w:val="none"/>
        </w:rPr>
      </w:pPr>
      <w:r>
        <w:rPr>
          <w:rFonts w:hint="eastAsia" w:ascii="宋体" w:hAnsi="宋体" w:cs="宋体"/>
          <w:color w:val="auto"/>
          <w:highlight w:val="none"/>
        </w:rPr>
        <w:t>（1）对可以质疑的谈判文件提出质疑的，为获取谈判文件之日；</w:t>
      </w:r>
    </w:p>
    <w:p w14:paraId="3F7EE13E">
      <w:pPr>
        <w:pStyle w:val="10"/>
        <w:spacing w:line="400" w:lineRule="exact"/>
        <w:ind w:firstLine="420" w:firstLineChars="200"/>
        <w:rPr>
          <w:rFonts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0193CB7D">
      <w:pPr>
        <w:pStyle w:val="10"/>
        <w:spacing w:line="400" w:lineRule="exact"/>
        <w:ind w:firstLine="420" w:firstLineChars="200"/>
        <w:rPr>
          <w:rFonts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1DF22439">
      <w:pPr>
        <w:pStyle w:val="10"/>
        <w:spacing w:line="400" w:lineRule="exact"/>
        <w:ind w:firstLine="420" w:firstLineChars="200"/>
        <w:rPr>
          <w:rFonts w:ascii="宋体" w:hAnsi="宋体" w:cs="宋体"/>
          <w:color w:val="auto"/>
          <w:highlight w:val="none"/>
        </w:rPr>
      </w:pPr>
      <w:r>
        <w:rPr>
          <w:rFonts w:ascii="宋体" w:hAnsi="宋体" w:cs="宋体"/>
          <w:color w:val="auto"/>
          <w:highlight w:val="none"/>
        </w:rPr>
        <w:t>31</w:t>
      </w:r>
      <w:r>
        <w:rPr>
          <w:rFonts w:hint="eastAsia" w:ascii="宋体" w:hAnsi="宋体" w:cs="宋体"/>
          <w:color w:val="auto"/>
          <w:highlight w:val="none"/>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6D645FD2">
      <w:pPr>
        <w:pStyle w:val="10"/>
        <w:spacing w:line="400" w:lineRule="exact"/>
        <w:ind w:firstLine="420" w:firstLineChars="200"/>
        <w:rPr>
          <w:rFonts w:ascii="宋体" w:hAnsi="宋体" w:cs="宋体"/>
          <w:color w:val="auto"/>
          <w:highlight w:val="none"/>
        </w:rPr>
      </w:pPr>
      <w:r>
        <w:rPr>
          <w:rFonts w:ascii="宋体" w:hAnsi="宋体" w:cs="宋体"/>
          <w:color w:val="auto"/>
          <w:highlight w:val="none"/>
        </w:rPr>
        <w:t>31</w:t>
      </w:r>
      <w:r>
        <w:rPr>
          <w:rFonts w:hint="eastAsia" w:ascii="宋体" w:hAnsi="宋体" w:cs="宋体"/>
          <w:color w:val="auto"/>
          <w:highlight w:val="none"/>
        </w:rPr>
        <w:t>.4供应商提出质疑应当提交质疑函和必要的证明材料，针对同一采购程序环节的质疑必须在法定质疑期内一次性提出。质疑函应当包括下列内容</w:t>
      </w:r>
      <w:r>
        <w:rPr>
          <w:rFonts w:hint="eastAsia" w:hAnsi="宋体"/>
          <w:bCs/>
          <w:color w:val="auto"/>
          <w:highlight w:val="none"/>
        </w:rPr>
        <w:t>（质疑函格式后附）</w:t>
      </w:r>
      <w:r>
        <w:rPr>
          <w:rFonts w:hint="eastAsia" w:ascii="宋体" w:hAnsi="宋体" w:cs="宋体"/>
          <w:color w:val="auto"/>
          <w:highlight w:val="none"/>
        </w:rPr>
        <w:t>：</w:t>
      </w:r>
    </w:p>
    <w:p w14:paraId="3EBCDAB6">
      <w:pPr>
        <w:pStyle w:val="10"/>
        <w:spacing w:line="400" w:lineRule="exact"/>
        <w:ind w:firstLine="420" w:firstLineChars="200"/>
        <w:rPr>
          <w:rFonts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6E1F4B0F">
      <w:pPr>
        <w:pStyle w:val="10"/>
        <w:spacing w:line="400" w:lineRule="exact"/>
        <w:ind w:firstLine="420" w:firstLineChars="200"/>
        <w:rPr>
          <w:rFonts w:ascii="宋体" w:hAnsi="宋体" w:cs="宋体"/>
          <w:color w:val="auto"/>
          <w:highlight w:val="none"/>
        </w:rPr>
      </w:pPr>
      <w:r>
        <w:rPr>
          <w:rFonts w:hint="eastAsia" w:ascii="宋体" w:hAnsi="宋体" w:cs="宋体"/>
          <w:color w:val="auto"/>
          <w:highlight w:val="none"/>
        </w:rPr>
        <w:t>（2）质疑项目的名称、编号；</w:t>
      </w:r>
    </w:p>
    <w:p w14:paraId="418F8193">
      <w:pPr>
        <w:pStyle w:val="10"/>
        <w:spacing w:line="400" w:lineRule="exact"/>
        <w:ind w:firstLine="420" w:firstLineChars="200"/>
        <w:rPr>
          <w:rFonts w:ascii="宋体" w:hAnsi="宋体" w:cs="宋体"/>
          <w:color w:val="auto"/>
          <w:highlight w:val="none"/>
        </w:rPr>
      </w:pPr>
      <w:r>
        <w:rPr>
          <w:rFonts w:hint="eastAsia" w:ascii="宋体" w:hAnsi="宋体" w:cs="宋体"/>
          <w:color w:val="auto"/>
          <w:highlight w:val="none"/>
        </w:rPr>
        <w:t>（3）具体、明确的质疑事项和与质疑事项相关的请求；</w:t>
      </w:r>
    </w:p>
    <w:p w14:paraId="396AB972">
      <w:pPr>
        <w:pStyle w:val="10"/>
        <w:spacing w:line="400" w:lineRule="exact"/>
        <w:ind w:firstLine="420" w:firstLineChars="200"/>
        <w:rPr>
          <w:rFonts w:ascii="宋体" w:hAnsi="宋体" w:cs="宋体"/>
          <w:color w:val="auto"/>
          <w:highlight w:val="none"/>
        </w:rPr>
      </w:pPr>
      <w:r>
        <w:rPr>
          <w:rFonts w:hint="eastAsia" w:ascii="宋体" w:hAnsi="宋体" w:cs="宋体"/>
          <w:color w:val="auto"/>
          <w:highlight w:val="none"/>
        </w:rPr>
        <w:t>（4）事实依据；</w:t>
      </w:r>
    </w:p>
    <w:p w14:paraId="4E592A79">
      <w:pPr>
        <w:pStyle w:val="10"/>
        <w:spacing w:line="400" w:lineRule="exact"/>
        <w:ind w:firstLine="420" w:firstLineChars="200"/>
        <w:rPr>
          <w:rFonts w:ascii="宋体" w:hAnsi="宋体" w:cs="宋体"/>
          <w:color w:val="auto"/>
          <w:highlight w:val="none"/>
        </w:rPr>
      </w:pPr>
      <w:r>
        <w:rPr>
          <w:rFonts w:hint="eastAsia" w:ascii="宋体" w:hAnsi="宋体" w:cs="宋体"/>
          <w:color w:val="auto"/>
          <w:highlight w:val="none"/>
        </w:rPr>
        <w:t>（5）必要的法律依据；</w:t>
      </w:r>
    </w:p>
    <w:p w14:paraId="4DBF388D">
      <w:pPr>
        <w:pStyle w:val="10"/>
        <w:spacing w:line="400" w:lineRule="exact"/>
        <w:ind w:firstLine="420" w:firstLineChars="200"/>
        <w:rPr>
          <w:rFonts w:ascii="宋体" w:hAnsi="宋体" w:cs="宋体"/>
          <w:color w:val="auto"/>
          <w:highlight w:val="none"/>
        </w:rPr>
      </w:pPr>
      <w:r>
        <w:rPr>
          <w:rFonts w:hint="eastAsia" w:ascii="宋体" w:hAnsi="宋体" w:cs="宋体"/>
          <w:color w:val="auto"/>
          <w:highlight w:val="none"/>
        </w:rPr>
        <w:t>（6）提出质疑的日期。</w:t>
      </w:r>
    </w:p>
    <w:p w14:paraId="3BE955D6">
      <w:pPr>
        <w:pStyle w:val="10"/>
        <w:spacing w:line="400" w:lineRule="exact"/>
        <w:ind w:firstLine="420" w:firstLineChars="200"/>
        <w:rPr>
          <w:rFonts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018EB9B4">
      <w:pPr>
        <w:pStyle w:val="10"/>
        <w:spacing w:line="400" w:lineRule="exact"/>
        <w:ind w:firstLine="420" w:firstLineChars="200"/>
        <w:rPr>
          <w:rFonts w:ascii="宋体" w:hAnsi="宋体" w:cs="宋体"/>
          <w:color w:val="auto"/>
          <w:highlight w:val="none"/>
        </w:rPr>
      </w:pPr>
      <w:r>
        <w:rPr>
          <w:rFonts w:hint="eastAsia" w:ascii="宋体" w:hAnsi="宋体" w:cs="宋体"/>
          <w:color w:val="auto"/>
          <w:highlight w:val="none"/>
        </w:rPr>
        <w:t>3</w:t>
      </w:r>
      <w:r>
        <w:rPr>
          <w:rFonts w:ascii="宋体" w:hAnsi="宋体" w:cs="宋体"/>
          <w:color w:val="auto"/>
          <w:highlight w:val="none"/>
        </w:rPr>
        <w:t>1.5</w:t>
      </w:r>
      <w:r>
        <w:rPr>
          <w:rFonts w:hint="eastAsia" w:ascii="宋体" w:hAnsi="宋体" w:cs="宋体"/>
          <w:color w:val="auto"/>
          <w:highlight w:val="none"/>
        </w:rPr>
        <w:t>采购人、采购代理机构认为供应商质疑不成立，或者成立但未对成交结果构成影响的，继续开展采购活动；认为供应商质疑成立且影响或者可能影响成交结果的，按照下列情况处理：</w:t>
      </w:r>
    </w:p>
    <w:p w14:paraId="5B76E264">
      <w:pPr>
        <w:pStyle w:val="10"/>
        <w:spacing w:line="400" w:lineRule="exact"/>
        <w:ind w:firstLine="420" w:firstLineChars="200"/>
        <w:rPr>
          <w:rFonts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7AD7F26A">
      <w:pPr>
        <w:pStyle w:val="10"/>
        <w:spacing w:line="400" w:lineRule="exact"/>
        <w:ind w:firstLine="420" w:firstLineChars="200"/>
        <w:rPr>
          <w:rFonts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（二）对采购过程或者成交结果提出的质疑，合格供应商符合法定数量时，可以从合格的成交候选人另行确定成交供应商的，应当依法另行确定成交供应商；否则应当重新开展采购活动。</w:t>
      </w:r>
    </w:p>
    <w:p w14:paraId="497BBAE0">
      <w:pPr>
        <w:pStyle w:val="10"/>
        <w:spacing w:line="400" w:lineRule="exact"/>
        <w:ind w:firstLine="420" w:firstLineChars="200"/>
        <w:rPr>
          <w:rFonts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2ABD12A5">
      <w:pPr>
        <w:pStyle w:val="10"/>
        <w:spacing w:line="400" w:lineRule="exact"/>
        <w:ind w:firstLine="420" w:firstLineChars="200"/>
        <w:rPr>
          <w:rFonts w:ascii="宋体" w:hAnsi="宋体" w:cs="宋体"/>
          <w:color w:val="auto"/>
          <w:highlight w:val="none"/>
        </w:rPr>
      </w:pPr>
      <w:r>
        <w:rPr>
          <w:rFonts w:ascii="宋体" w:hAnsi="宋体" w:cs="宋体"/>
          <w:color w:val="auto"/>
          <w:highlight w:val="none"/>
        </w:rPr>
        <w:t>31</w:t>
      </w:r>
      <w:r>
        <w:rPr>
          <w:rFonts w:hint="eastAsia" w:ascii="宋体" w:hAnsi="宋体" w:cs="宋体"/>
          <w:color w:val="auto"/>
          <w:highlight w:val="none"/>
        </w:rPr>
        <w:t>.</w:t>
      </w:r>
      <w:r>
        <w:rPr>
          <w:rFonts w:ascii="宋体" w:hAnsi="宋体" w:cs="宋体"/>
          <w:color w:val="auto"/>
          <w:highlight w:val="none"/>
        </w:rPr>
        <w:t>6</w:t>
      </w:r>
      <w:r>
        <w:rPr>
          <w:rFonts w:hint="eastAsia" w:ascii="宋体" w:hAnsi="宋体" w:cs="宋体"/>
          <w:color w:val="auto"/>
          <w:highlight w:val="none"/>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6DD7902D">
      <w:pPr>
        <w:pStyle w:val="10"/>
        <w:spacing w:line="400" w:lineRule="exact"/>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3</w:t>
      </w: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其他内容</w:t>
      </w:r>
    </w:p>
    <w:p w14:paraId="5C16F45F">
      <w:pPr>
        <w:pStyle w:val="10"/>
        <w:spacing w:line="400" w:lineRule="exact"/>
        <w:ind w:firstLine="420" w:firstLineChars="200"/>
        <w:rPr>
          <w:rFonts w:ascii="宋体" w:hAnsi="宋体" w:cs="宋体"/>
          <w:color w:val="auto"/>
          <w:highlight w:val="none"/>
        </w:rPr>
      </w:pPr>
      <w:r>
        <w:rPr>
          <w:rFonts w:ascii="宋体" w:hAnsi="宋体" w:cs="宋体"/>
          <w:color w:val="auto"/>
          <w:highlight w:val="none"/>
        </w:rPr>
        <w:t>32</w:t>
      </w:r>
      <w:r>
        <w:rPr>
          <w:rFonts w:hint="eastAsia" w:ascii="宋体" w:hAnsi="宋体" w:cs="宋体"/>
          <w:color w:val="auto"/>
          <w:highlight w:val="none"/>
        </w:rPr>
        <w:t>.1采购代理费支付方式、采购代理服务费收取标准及采购代理费收取银行账户：见“供应商须知前附表”。</w:t>
      </w:r>
    </w:p>
    <w:p w14:paraId="4B9DA304">
      <w:pPr>
        <w:pStyle w:val="1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32.2</w:t>
      </w:r>
      <w:r>
        <w:rPr>
          <w:rFonts w:hint="eastAsia" w:hAnsi="宋体" w:cs="宋体"/>
          <w:color w:val="auto"/>
          <w:highlight w:val="none"/>
        </w:rPr>
        <w:t>采购代理服务费收取标准如下：</w:t>
      </w:r>
    </w:p>
    <w:tbl>
      <w:tblPr>
        <w:tblStyle w:val="2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3"/>
        <w:gridCol w:w="1774"/>
        <w:gridCol w:w="1638"/>
        <w:gridCol w:w="1653"/>
      </w:tblGrid>
      <w:tr w14:paraId="76C87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713" w:type="dxa"/>
            <w:tcBorders>
              <w:tl2br w:val="single" w:color="auto" w:sz="4" w:space="0"/>
            </w:tcBorders>
            <w:noWrap w:val="0"/>
            <w:vAlign w:val="top"/>
          </w:tcPr>
          <w:p w14:paraId="07F40657">
            <w:pPr>
              <w:rPr>
                <w:rFonts w:ascii="宋体" w:hAnsi="宋体" w:cs="宋体"/>
                <w:color w:val="auto"/>
                <w:szCs w:val="21"/>
                <w:highlight w:val="none"/>
              </w:rPr>
            </w:pPr>
            <w:r>
              <w:rPr>
                <w:rFonts w:hint="eastAsia" w:ascii="宋体" w:hAnsi="宋体" w:cs="宋体"/>
                <w:color w:val="auto"/>
                <w:szCs w:val="21"/>
                <w:highlight w:val="none"/>
              </w:rPr>
              <w:t xml:space="preserve">               </w:t>
            </w:r>
            <w:r>
              <w:rPr>
                <w:rFonts w:ascii="宋体" w:hAnsi="宋体" w:cs="宋体"/>
                <w:color w:val="auto"/>
                <w:szCs w:val="21"/>
                <w:highlight w:val="none"/>
              </w:rPr>
              <w:t xml:space="preserve">          </w:t>
            </w:r>
            <w:r>
              <w:rPr>
                <w:rFonts w:hint="eastAsia" w:ascii="宋体" w:hAnsi="宋体" w:cs="宋体"/>
                <w:color w:val="auto"/>
                <w:szCs w:val="21"/>
                <w:highlight w:val="none"/>
              </w:rPr>
              <w:t>费率</w:t>
            </w:r>
          </w:p>
          <w:p w14:paraId="6D2B4909">
            <w:pPr>
              <w:rPr>
                <w:rFonts w:ascii="宋体" w:hAnsi="宋体" w:cs="宋体"/>
                <w:color w:val="auto"/>
                <w:szCs w:val="21"/>
                <w:highlight w:val="none"/>
              </w:rPr>
            </w:pPr>
            <w:r>
              <w:rPr>
                <w:rFonts w:hint="eastAsia" w:ascii="宋体" w:hAnsi="宋体" w:cs="宋体"/>
                <w:color w:val="auto"/>
                <w:szCs w:val="21"/>
                <w:highlight w:val="none"/>
              </w:rPr>
              <w:t>成交金额</w:t>
            </w:r>
          </w:p>
        </w:tc>
        <w:tc>
          <w:tcPr>
            <w:tcW w:w="1774" w:type="dxa"/>
            <w:noWrap w:val="0"/>
            <w:vAlign w:val="center"/>
          </w:tcPr>
          <w:p w14:paraId="11CF67CB">
            <w:pPr>
              <w:jc w:val="center"/>
              <w:rPr>
                <w:color w:val="auto"/>
                <w:highlight w:val="none"/>
              </w:rPr>
            </w:pPr>
            <w:r>
              <w:rPr>
                <w:rFonts w:hint="eastAsia"/>
                <w:color w:val="auto"/>
                <w:highlight w:val="none"/>
              </w:rPr>
              <w:t>货物类</w:t>
            </w:r>
          </w:p>
        </w:tc>
        <w:tc>
          <w:tcPr>
            <w:tcW w:w="1638" w:type="dxa"/>
            <w:noWrap w:val="0"/>
            <w:vAlign w:val="center"/>
          </w:tcPr>
          <w:p w14:paraId="459B1411">
            <w:pPr>
              <w:jc w:val="center"/>
              <w:rPr>
                <w:color w:val="auto"/>
                <w:highlight w:val="none"/>
              </w:rPr>
            </w:pPr>
            <w:r>
              <w:rPr>
                <w:rFonts w:hint="eastAsia"/>
                <w:color w:val="auto"/>
                <w:highlight w:val="none"/>
              </w:rPr>
              <w:t>服务类</w:t>
            </w:r>
          </w:p>
        </w:tc>
        <w:tc>
          <w:tcPr>
            <w:tcW w:w="1653" w:type="dxa"/>
            <w:noWrap w:val="0"/>
            <w:vAlign w:val="center"/>
          </w:tcPr>
          <w:p w14:paraId="5E12BB3B">
            <w:pPr>
              <w:jc w:val="center"/>
              <w:rPr>
                <w:color w:val="auto"/>
                <w:highlight w:val="none"/>
              </w:rPr>
            </w:pPr>
            <w:r>
              <w:rPr>
                <w:rFonts w:hint="eastAsia"/>
                <w:color w:val="auto"/>
                <w:highlight w:val="none"/>
              </w:rPr>
              <w:t>工程类</w:t>
            </w:r>
          </w:p>
        </w:tc>
      </w:tr>
      <w:tr w14:paraId="663B2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713" w:type="dxa"/>
            <w:noWrap w:val="0"/>
            <w:vAlign w:val="center"/>
          </w:tcPr>
          <w:p w14:paraId="5484FE7E">
            <w:pPr>
              <w:jc w:val="center"/>
              <w:rPr>
                <w:rFonts w:ascii="宋体" w:hAnsi="宋体"/>
                <w:color w:val="auto"/>
                <w:highlight w:val="none"/>
              </w:rPr>
            </w:pPr>
            <w:r>
              <w:rPr>
                <w:rFonts w:hint="eastAsia" w:ascii="宋体" w:hAnsi="宋体"/>
                <w:color w:val="auto"/>
                <w:highlight w:val="none"/>
              </w:rPr>
              <w:t>100万元以下</w:t>
            </w:r>
          </w:p>
        </w:tc>
        <w:tc>
          <w:tcPr>
            <w:tcW w:w="1774" w:type="dxa"/>
            <w:noWrap w:val="0"/>
            <w:vAlign w:val="center"/>
          </w:tcPr>
          <w:p w14:paraId="499B5626">
            <w:pPr>
              <w:jc w:val="center"/>
              <w:rPr>
                <w:rFonts w:ascii="宋体" w:hAnsi="宋体"/>
                <w:color w:val="auto"/>
                <w:highlight w:val="none"/>
              </w:rPr>
            </w:pPr>
            <w:r>
              <w:rPr>
                <w:rFonts w:hint="eastAsia" w:ascii="宋体" w:hAnsi="宋体"/>
                <w:color w:val="auto"/>
                <w:highlight w:val="none"/>
              </w:rPr>
              <w:t>1.5%</w:t>
            </w:r>
          </w:p>
        </w:tc>
        <w:tc>
          <w:tcPr>
            <w:tcW w:w="1638" w:type="dxa"/>
            <w:noWrap w:val="0"/>
            <w:vAlign w:val="center"/>
          </w:tcPr>
          <w:p w14:paraId="2F4204F8">
            <w:pPr>
              <w:jc w:val="center"/>
              <w:rPr>
                <w:rFonts w:ascii="宋体" w:hAnsi="宋体"/>
                <w:color w:val="auto"/>
                <w:highlight w:val="none"/>
              </w:rPr>
            </w:pPr>
            <w:r>
              <w:rPr>
                <w:rFonts w:hint="eastAsia" w:ascii="宋体" w:hAnsi="宋体"/>
                <w:color w:val="auto"/>
                <w:highlight w:val="none"/>
              </w:rPr>
              <w:t>1.5%</w:t>
            </w:r>
          </w:p>
        </w:tc>
        <w:tc>
          <w:tcPr>
            <w:tcW w:w="1653" w:type="dxa"/>
            <w:noWrap w:val="0"/>
            <w:vAlign w:val="center"/>
          </w:tcPr>
          <w:p w14:paraId="7DA74D52">
            <w:pPr>
              <w:jc w:val="center"/>
              <w:rPr>
                <w:rFonts w:ascii="宋体" w:hAnsi="宋体"/>
                <w:color w:val="auto"/>
                <w:highlight w:val="none"/>
              </w:rPr>
            </w:pPr>
            <w:r>
              <w:rPr>
                <w:rFonts w:hint="eastAsia" w:ascii="宋体" w:hAnsi="宋体"/>
                <w:color w:val="auto"/>
                <w:highlight w:val="none"/>
              </w:rPr>
              <w:t>1.0%</w:t>
            </w:r>
          </w:p>
        </w:tc>
      </w:tr>
      <w:tr w14:paraId="2918F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713" w:type="dxa"/>
            <w:noWrap w:val="0"/>
            <w:vAlign w:val="center"/>
          </w:tcPr>
          <w:p w14:paraId="60B27379">
            <w:pPr>
              <w:jc w:val="center"/>
              <w:rPr>
                <w:rFonts w:ascii="宋体" w:hAnsi="宋体"/>
                <w:color w:val="auto"/>
                <w:highlight w:val="none"/>
              </w:rPr>
            </w:pPr>
            <w:r>
              <w:rPr>
                <w:rFonts w:hint="eastAsia" w:ascii="宋体" w:hAnsi="宋体"/>
                <w:color w:val="auto"/>
                <w:highlight w:val="none"/>
              </w:rPr>
              <w:t>100万元～500万元</w:t>
            </w:r>
          </w:p>
        </w:tc>
        <w:tc>
          <w:tcPr>
            <w:tcW w:w="1774" w:type="dxa"/>
            <w:noWrap w:val="0"/>
            <w:vAlign w:val="center"/>
          </w:tcPr>
          <w:p w14:paraId="22A241D4">
            <w:pPr>
              <w:jc w:val="center"/>
              <w:rPr>
                <w:rFonts w:ascii="宋体" w:hAnsi="宋体"/>
                <w:color w:val="auto"/>
                <w:highlight w:val="none"/>
              </w:rPr>
            </w:pPr>
            <w:r>
              <w:rPr>
                <w:rFonts w:hint="eastAsia" w:ascii="宋体" w:hAnsi="宋体"/>
                <w:color w:val="auto"/>
                <w:highlight w:val="none"/>
              </w:rPr>
              <w:t>1.1%</w:t>
            </w:r>
          </w:p>
        </w:tc>
        <w:tc>
          <w:tcPr>
            <w:tcW w:w="1638" w:type="dxa"/>
            <w:noWrap w:val="0"/>
            <w:vAlign w:val="center"/>
          </w:tcPr>
          <w:p w14:paraId="6EC9848A">
            <w:pPr>
              <w:jc w:val="center"/>
              <w:rPr>
                <w:rFonts w:ascii="宋体" w:hAnsi="宋体"/>
                <w:color w:val="auto"/>
                <w:highlight w:val="none"/>
              </w:rPr>
            </w:pPr>
            <w:r>
              <w:rPr>
                <w:rFonts w:hint="eastAsia" w:ascii="宋体" w:hAnsi="宋体"/>
                <w:color w:val="auto"/>
                <w:highlight w:val="none"/>
              </w:rPr>
              <w:t>0.8%</w:t>
            </w:r>
          </w:p>
        </w:tc>
        <w:tc>
          <w:tcPr>
            <w:tcW w:w="1653" w:type="dxa"/>
            <w:noWrap w:val="0"/>
            <w:vAlign w:val="center"/>
          </w:tcPr>
          <w:p w14:paraId="00C0E318">
            <w:pPr>
              <w:jc w:val="center"/>
              <w:rPr>
                <w:rFonts w:ascii="宋体" w:hAnsi="宋体"/>
                <w:color w:val="auto"/>
                <w:highlight w:val="none"/>
              </w:rPr>
            </w:pPr>
            <w:r>
              <w:rPr>
                <w:rFonts w:hint="eastAsia" w:ascii="宋体" w:hAnsi="宋体"/>
                <w:color w:val="auto"/>
                <w:highlight w:val="none"/>
              </w:rPr>
              <w:t>0.7%</w:t>
            </w:r>
          </w:p>
        </w:tc>
      </w:tr>
      <w:tr w14:paraId="7B087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713" w:type="dxa"/>
            <w:noWrap w:val="0"/>
            <w:vAlign w:val="center"/>
          </w:tcPr>
          <w:p w14:paraId="189DE898">
            <w:pPr>
              <w:jc w:val="center"/>
              <w:rPr>
                <w:rFonts w:ascii="宋体" w:hAnsi="宋体"/>
                <w:color w:val="auto"/>
                <w:highlight w:val="none"/>
              </w:rPr>
            </w:pPr>
            <w:r>
              <w:rPr>
                <w:rFonts w:hint="eastAsia" w:ascii="宋体" w:hAnsi="宋体"/>
                <w:color w:val="auto"/>
                <w:highlight w:val="none"/>
              </w:rPr>
              <w:t>500万元～1000万元</w:t>
            </w:r>
          </w:p>
        </w:tc>
        <w:tc>
          <w:tcPr>
            <w:tcW w:w="1774" w:type="dxa"/>
            <w:noWrap w:val="0"/>
            <w:vAlign w:val="center"/>
          </w:tcPr>
          <w:p w14:paraId="647ADF91">
            <w:pPr>
              <w:jc w:val="center"/>
              <w:rPr>
                <w:rFonts w:ascii="宋体" w:hAnsi="宋体"/>
                <w:color w:val="auto"/>
                <w:highlight w:val="none"/>
              </w:rPr>
            </w:pPr>
            <w:r>
              <w:rPr>
                <w:rFonts w:hint="eastAsia" w:ascii="宋体" w:hAnsi="宋体"/>
                <w:color w:val="auto"/>
                <w:highlight w:val="none"/>
              </w:rPr>
              <w:t>0.8%</w:t>
            </w:r>
          </w:p>
        </w:tc>
        <w:tc>
          <w:tcPr>
            <w:tcW w:w="1638" w:type="dxa"/>
            <w:noWrap w:val="0"/>
            <w:vAlign w:val="center"/>
          </w:tcPr>
          <w:p w14:paraId="27339DCF">
            <w:pPr>
              <w:jc w:val="center"/>
              <w:rPr>
                <w:rFonts w:ascii="宋体" w:hAnsi="宋体"/>
                <w:color w:val="auto"/>
                <w:highlight w:val="none"/>
              </w:rPr>
            </w:pPr>
            <w:r>
              <w:rPr>
                <w:rFonts w:hint="eastAsia" w:ascii="宋体" w:hAnsi="宋体"/>
                <w:color w:val="auto"/>
                <w:highlight w:val="none"/>
              </w:rPr>
              <w:t>0.45%</w:t>
            </w:r>
          </w:p>
        </w:tc>
        <w:tc>
          <w:tcPr>
            <w:tcW w:w="1653" w:type="dxa"/>
            <w:noWrap w:val="0"/>
            <w:vAlign w:val="center"/>
          </w:tcPr>
          <w:p w14:paraId="71AF2728">
            <w:pPr>
              <w:jc w:val="center"/>
              <w:rPr>
                <w:rFonts w:ascii="宋体" w:hAnsi="宋体"/>
                <w:color w:val="auto"/>
                <w:highlight w:val="none"/>
              </w:rPr>
            </w:pPr>
            <w:r>
              <w:rPr>
                <w:rFonts w:hint="eastAsia" w:ascii="宋体" w:hAnsi="宋体"/>
                <w:color w:val="auto"/>
                <w:highlight w:val="none"/>
              </w:rPr>
              <w:t>0.55%</w:t>
            </w:r>
          </w:p>
        </w:tc>
      </w:tr>
      <w:tr w14:paraId="2B4DD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713" w:type="dxa"/>
            <w:noWrap w:val="0"/>
            <w:vAlign w:val="center"/>
          </w:tcPr>
          <w:p w14:paraId="7E5B3E08">
            <w:pPr>
              <w:jc w:val="center"/>
              <w:rPr>
                <w:rFonts w:ascii="宋体" w:hAnsi="宋体"/>
                <w:color w:val="auto"/>
                <w:highlight w:val="none"/>
              </w:rPr>
            </w:pPr>
            <w:r>
              <w:rPr>
                <w:rFonts w:hint="eastAsia" w:ascii="宋体" w:hAnsi="宋体"/>
                <w:color w:val="auto"/>
                <w:highlight w:val="none"/>
              </w:rPr>
              <w:t>1000万元～5000万元</w:t>
            </w:r>
          </w:p>
        </w:tc>
        <w:tc>
          <w:tcPr>
            <w:tcW w:w="1774" w:type="dxa"/>
            <w:noWrap w:val="0"/>
            <w:vAlign w:val="center"/>
          </w:tcPr>
          <w:p w14:paraId="0462615E">
            <w:pPr>
              <w:jc w:val="center"/>
              <w:rPr>
                <w:rFonts w:ascii="宋体" w:hAnsi="宋体"/>
                <w:color w:val="auto"/>
                <w:highlight w:val="none"/>
              </w:rPr>
            </w:pPr>
            <w:r>
              <w:rPr>
                <w:rFonts w:hint="eastAsia" w:ascii="宋体" w:hAnsi="宋体"/>
                <w:color w:val="auto"/>
                <w:highlight w:val="none"/>
              </w:rPr>
              <w:t>0.5%</w:t>
            </w:r>
          </w:p>
        </w:tc>
        <w:tc>
          <w:tcPr>
            <w:tcW w:w="1638" w:type="dxa"/>
            <w:noWrap w:val="0"/>
            <w:vAlign w:val="center"/>
          </w:tcPr>
          <w:p w14:paraId="5FA18681">
            <w:pPr>
              <w:jc w:val="center"/>
              <w:rPr>
                <w:rFonts w:ascii="宋体" w:hAnsi="宋体"/>
                <w:color w:val="auto"/>
                <w:highlight w:val="none"/>
              </w:rPr>
            </w:pPr>
            <w:r>
              <w:rPr>
                <w:rFonts w:hint="eastAsia" w:ascii="宋体" w:hAnsi="宋体"/>
                <w:color w:val="auto"/>
                <w:highlight w:val="none"/>
              </w:rPr>
              <w:t>0.25%</w:t>
            </w:r>
          </w:p>
        </w:tc>
        <w:tc>
          <w:tcPr>
            <w:tcW w:w="1653" w:type="dxa"/>
            <w:noWrap w:val="0"/>
            <w:vAlign w:val="center"/>
          </w:tcPr>
          <w:p w14:paraId="5856A48E">
            <w:pPr>
              <w:jc w:val="center"/>
              <w:rPr>
                <w:rFonts w:ascii="宋体" w:hAnsi="宋体"/>
                <w:color w:val="auto"/>
                <w:highlight w:val="none"/>
              </w:rPr>
            </w:pPr>
            <w:r>
              <w:rPr>
                <w:rFonts w:hint="eastAsia" w:ascii="宋体" w:hAnsi="宋体"/>
                <w:color w:val="auto"/>
                <w:highlight w:val="none"/>
              </w:rPr>
              <w:t>0.35%</w:t>
            </w:r>
          </w:p>
        </w:tc>
      </w:tr>
      <w:tr w14:paraId="17071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713" w:type="dxa"/>
            <w:noWrap w:val="0"/>
            <w:vAlign w:val="center"/>
          </w:tcPr>
          <w:p w14:paraId="510B61FD">
            <w:pPr>
              <w:jc w:val="center"/>
              <w:rPr>
                <w:rFonts w:ascii="宋体" w:hAnsi="宋体"/>
                <w:color w:val="auto"/>
                <w:highlight w:val="none"/>
              </w:rPr>
            </w:pPr>
            <w:r>
              <w:rPr>
                <w:rFonts w:hint="eastAsia" w:ascii="宋体" w:hAnsi="宋体"/>
                <w:color w:val="auto"/>
                <w:highlight w:val="none"/>
              </w:rPr>
              <w:t>5000万元～1亿元</w:t>
            </w:r>
          </w:p>
        </w:tc>
        <w:tc>
          <w:tcPr>
            <w:tcW w:w="1774" w:type="dxa"/>
            <w:noWrap w:val="0"/>
            <w:vAlign w:val="center"/>
          </w:tcPr>
          <w:p w14:paraId="55D5FA53">
            <w:pPr>
              <w:jc w:val="center"/>
              <w:rPr>
                <w:rFonts w:ascii="宋体" w:hAnsi="宋体"/>
                <w:color w:val="auto"/>
                <w:highlight w:val="none"/>
              </w:rPr>
            </w:pPr>
            <w:r>
              <w:rPr>
                <w:rFonts w:hint="eastAsia" w:ascii="宋体" w:hAnsi="宋体"/>
                <w:color w:val="auto"/>
                <w:highlight w:val="none"/>
              </w:rPr>
              <w:t>0.25%</w:t>
            </w:r>
          </w:p>
        </w:tc>
        <w:tc>
          <w:tcPr>
            <w:tcW w:w="1638" w:type="dxa"/>
            <w:noWrap w:val="0"/>
            <w:vAlign w:val="center"/>
          </w:tcPr>
          <w:p w14:paraId="4CC67C06">
            <w:pPr>
              <w:jc w:val="center"/>
              <w:rPr>
                <w:rFonts w:ascii="宋体" w:hAnsi="宋体"/>
                <w:color w:val="auto"/>
                <w:highlight w:val="none"/>
              </w:rPr>
            </w:pPr>
            <w:r>
              <w:rPr>
                <w:rFonts w:hint="eastAsia" w:ascii="宋体" w:hAnsi="宋体"/>
                <w:color w:val="auto"/>
                <w:highlight w:val="none"/>
              </w:rPr>
              <w:t>0.1%</w:t>
            </w:r>
          </w:p>
        </w:tc>
        <w:tc>
          <w:tcPr>
            <w:tcW w:w="1653" w:type="dxa"/>
            <w:noWrap w:val="0"/>
            <w:vAlign w:val="center"/>
          </w:tcPr>
          <w:p w14:paraId="23ADA7B8">
            <w:pPr>
              <w:jc w:val="center"/>
              <w:rPr>
                <w:rFonts w:ascii="宋体" w:hAnsi="宋体"/>
                <w:color w:val="auto"/>
                <w:highlight w:val="none"/>
              </w:rPr>
            </w:pPr>
            <w:r>
              <w:rPr>
                <w:rFonts w:hint="eastAsia" w:ascii="宋体" w:hAnsi="宋体"/>
                <w:color w:val="auto"/>
                <w:highlight w:val="none"/>
              </w:rPr>
              <w:t>0.2%</w:t>
            </w:r>
          </w:p>
        </w:tc>
      </w:tr>
      <w:tr w14:paraId="66C56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713" w:type="dxa"/>
            <w:noWrap w:val="0"/>
            <w:vAlign w:val="center"/>
          </w:tcPr>
          <w:p w14:paraId="2BCE77D2">
            <w:pPr>
              <w:jc w:val="center"/>
              <w:rPr>
                <w:rFonts w:ascii="宋体" w:hAnsi="宋体"/>
                <w:color w:val="auto"/>
                <w:highlight w:val="none"/>
              </w:rPr>
            </w:pPr>
            <w:r>
              <w:rPr>
                <w:rFonts w:hint="eastAsia" w:ascii="宋体" w:hAnsi="宋体"/>
                <w:color w:val="auto"/>
                <w:highlight w:val="none"/>
              </w:rPr>
              <w:t>1亿元～5亿元</w:t>
            </w:r>
          </w:p>
        </w:tc>
        <w:tc>
          <w:tcPr>
            <w:tcW w:w="1774" w:type="dxa"/>
            <w:noWrap w:val="0"/>
            <w:vAlign w:val="center"/>
          </w:tcPr>
          <w:p w14:paraId="00D537AA">
            <w:pPr>
              <w:jc w:val="center"/>
              <w:rPr>
                <w:rFonts w:ascii="宋体" w:hAnsi="宋体"/>
                <w:color w:val="auto"/>
                <w:highlight w:val="none"/>
              </w:rPr>
            </w:pPr>
            <w:r>
              <w:rPr>
                <w:rFonts w:hint="eastAsia" w:ascii="宋体" w:hAnsi="宋体"/>
                <w:color w:val="auto"/>
                <w:highlight w:val="none"/>
              </w:rPr>
              <w:t>0.05%</w:t>
            </w:r>
          </w:p>
        </w:tc>
        <w:tc>
          <w:tcPr>
            <w:tcW w:w="1638" w:type="dxa"/>
            <w:noWrap w:val="0"/>
            <w:vAlign w:val="center"/>
          </w:tcPr>
          <w:p w14:paraId="3C6C3835">
            <w:pPr>
              <w:jc w:val="center"/>
              <w:rPr>
                <w:rFonts w:ascii="宋体" w:hAnsi="宋体"/>
                <w:color w:val="auto"/>
                <w:highlight w:val="none"/>
              </w:rPr>
            </w:pPr>
            <w:r>
              <w:rPr>
                <w:rFonts w:hint="eastAsia" w:ascii="宋体" w:hAnsi="宋体"/>
                <w:color w:val="auto"/>
                <w:highlight w:val="none"/>
              </w:rPr>
              <w:t>0.05%</w:t>
            </w:r>
          </w:p>
        </w:tc>
        <w:tc>
          <w:tcPr>
            <w:tcW w:w="1653" w:type="dxa"/>
            <w:noWrap w:val="0"/>
            <w:vAlign w:val="center"/>
          </w:tcPr>
          <w:p w14:paraId="5F50C53F">
            <w:pPr>
              <w:jc w:val="center"/>
              <w:rPr>
                <w:rFonts w:ascii="宋体" w:hAnsi="宋体"/>
                <w:color w:val="auto"/>
                <w:highlight w:val="none"/>
              </w:rPr>
            </w:pPr>
            <w:r>
              <w:rPr>
                <w:rFonts w:hint="eastAsia" w:ascii="宋体" w:hAnsi="宋体"/>
                <w:color w:val="auto"/>
                <w:highlight w:val="none"/>
              </w:rPr>
              <w:t>0.05%</w:t>
            </w:r>
          </w:p>
        </w:tc>
      </w:tr>
      <w:tr w14:paraId="60129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713" w:type="dxa"/>
            <w:noWrap w:val="0"/>
            <w:vAlign w:val="center"/>
          </w:tcPr>
          <w:p w14:paraId="0714EFC8">
            <w:pPr>
              <w:jc w:val="center"/>
              <w:rPr>
                <w:rFonts w:ascii="宋体" w:hAnsi="宋体"/>
                <w:color w:val="auto"/>
                <w:highlight w:val="none"/>
              </w:rPr>
            </w:pPr>
            <w:r>
              <w:rPr>
                <w:rFonts w:hint="eastAsia" w:ascii="宋体" w:hAnsi="宋体"/>
                <w:color w:val="auto"/>
                <w:highlight w:val="none"/>
              </w:rPr>
              <w:t>5亿元～10亿元</w:t>
            </w:r>
          </w:p>
        </w:tc>
        <w:tc>
          <w:tcPr>
            <w:tcW w:w="1774" w:type="dxa"/>
            <w:noWrap w:val="0"/>
            <w:vAlign w:val="center"/>
          </w:tcPr>
          <w:p w14:paraId="0272759A">
            <w:pPr>
              <w:jc w:val="center"/>
              <w:rPr>
                <w:rFonts w:ascii="宋体" w:hAnsi="宋体"/>
                <w:color w:val="auto"/>
                <w:highlight w:val="none"/>
              </w:rPr>
            </w:pPr>
            <w:r>
              <w:rPr>
                <w:rFonts w:hint="eastAsia" w:ascii="宋体" w:hAnsi="宋体"/>
                <w:color w:val="auto"/>
                <w:highlight w:val="none"/>
              </w:rPr>
              <w:t>0.035%</w:t>
            </w:r>
          </w:p>
        </w:tc>
        <w:tc>
          <w:tcPr>
            <w:tcW w:w="1638" w:type="dxa"/>
            <w:noWrap w:val="0"/>
            <w:vAlign w:val="center"/>
          </w:tcPr>
          <w:p w14:paraId="09AFB641">
            <w:pPr>
              <w:jc w:val="center"/>
              <w:rPr>
                <w:rFonts w:ascii="宋体" w:hAnsi="宋体"/>
                <w:color w:val="auto"/>
                <w:highlight w:val="none"/>
              </w:rPr>
            </w:pPr>
            <w:r>
              <w:rPr>
                <w:rFonts w:hint="eastAsia" w:ascii="宋体" w:hAnsi="宋体"/>
                <w:color w:val="auto"/>
                <w:highlight w:val="none"/>
              </w:rPr>
              <w:t>0.035%</w:t>
            </w:r>
          </w:p>
        </w:tc>
        <w:tc>
          <w:tcPr>
            <w:tcW w:w="1653" w:type="dxa"/>
            <w:noWrap w:val="0"/>
            <w:vAlign w:val="center"/>
          </w:tcPr>
          <w:p w14:paraId="237ECB87">
            <w:pPr>
              <w:jc w:val="center"/>
              <w:rPr>
                <w:rFonts w:ascii="宋体" w:hAnsi="宋体"/>
                <w:color w:val="auto"/>
                <w:highlight w:val="none"/>
              </w:rPr>
            </w:pPr>
            <w:r>
              <w:rPr>
                <w:rFonts w:hint="eastAsia" w:ascii="宋体" w:hAnsi="宋体"/>
                <w:color w:val="auto"/>
                <w:highlight w:val="none"/>
              </w:rPr>
              <w:t>0.035%</w:t>
            </w:r>
          </w:p>
        </w:tc>
      </w:tr>
      <w:tr w14:paraId="4B088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713" w:type="dxa"/>
            <w:noWrap w:val="0"/>
            <w:vAlign w:val="center"/>
          </w:tcPr>
          <w:p w14:paraId="044EFE4E">
            <w:pPr>
              <w:jc w:val="center"/>
              <w:rPr>
                <w:rFonts w:ascii="宋体" w:hAnsi="宋体"/>
                <w:color w:val="auto"/>
                <w:highlight w:val="none"/>
              </w:rPr>
            </w:pPr>
            <w:r>
              <w:rPr>
                <w:rFonts w:hint="eastAsia" w:ascii="宋体" w:hAnsi="宋体"/>
                <w:color w:val="auto"/>
                <w:highlight w:val="none"/>
              </w:rPr>
              <w:t>10亿元～50亿元</w:t>
            </w:r>
          </w:p>
        </w:tc>
        <w:tc>
          <w:tcPr>
            <w:tcW w:w="1774" w:type="dxa"/>
            <w:noWrap w:val="0"/>
            <w:vAlign w:val="center"/>
          </w:tcPr>
          <w:p w14:paraId="001298EE">
            <w:pPr>
              <w:jc w:val="center"/>
              <w:rPr>
                <w:rFonts w:ascii="宋体" w:hAnsi="宋体"/>
                <w:color w:val="auto"/>
                <w:highlight w:val="none"/>
              </w:rPr>
            </w:pPr>
            <w:r>
              <w:rPr>
                <w:rFonts w:hint="eastAsia" w:ascii="宋体" w:hAnsi="宋体"/>
                <w:color w:val="auto"/>
                <w:highlight w:val="none"/>
              </w:rPr>
              <w:t>0.008%</w:t>
            </w:r>
          </w:p>
        </w:tc>
        <w:tc>
          <w:tcPr>
            <w:tcW w:w="1638" w:type="dxa"/>
            <w:noWrap w:val="0"/>
            <w:vAlign w:val="center"/>
          </w:tcPr>
          <w:p w14:paraId="69941C80">
            <w:pPr>
              <w:jc w:val="center"/>
              <w:rPr>
                <w:rFonts w:ascii="宋体" w:hAnsi="宋体"/>
                <w:color w:val="auto"/>
                <w:highlight w:val="none"/>
              </w:rPr>
            </w:pPr>
            <w:r>
              <w:rPr>
                <w:rFonts w:hint="eastAsia" w:ascii="宋体" w:hAnsi="宋体"/>
                <w:color w:val="auto"/>
                <w:highlight w:val="none"/>
              </w:rPr>
              <w:t>0.008%</w:t>
            </w:r>
          </w:p>
        </w:tc>
        <w:tc>
          <w:tcPr>
            <w:tcW w:w="1653" w:type="dxa"/>
            <w:noWrap w:val="0"/>
            <w:vAlign w:val="center"/>
          </w:tcPr>
          <w:p w14:paraId="47E6B5D0">
            <w:pPr>
              <w:jc w:val="center"/>
              <w:rPr>
                <w:rFonts w:ascii="宋体" w:hAnsi="宋体"/>
                <w:color w:val="auto"/>
                <w:highlight w:val="none"/>
              </w:rPr>
            </w:pPr>
            <w:r>
              <w:rPr>
                <w:rFonts w:hint="eastAsia" w:ascii="宋体" w:hAnsi="宋体"/>
                <w:color w:val="auto"/>
                <w:highlight w:val="none"/>
              </w:rPr>
              <w:t>0.008%</w:t>
            </w:r>
          </w:p>
        </w:tc>
      </w:tr>
      <w:tr w14:paraId="29466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713" w:type="dxa"/>
            <w:noWrap w:val="0"/>
            <w:vAlign w:val="center"/>
          </w:tcPr>
          <w:p w14:paraId="581F46D5">
            <w:pPr>
              <w:jc w:val="center"/>
              <w:rPr>
                <w:rFonts w:ascii="宋体" w:hAnsi="宋体"/>
                <w:color w:val="auto"/>
                <w:highlight w:val="none"/>
              </w:rPr>
            </w:pPr>
            <w:r>
              <w:rPr>
                <w:rFonts w:hint="eastAsia" w:ascii="宋体" w:hAnsi="宋体"/>
                <w:color w:val="auto"/>
                <w:highlight w:val="none"/>
              </w:rPr>
              <w:t>50亿元～100亿元</w:t>
            </w:r>
          </w:p>
        </w:tc>
        <w:tc>
          <w:tcPr>
            <w:tcW w:w="1774" w:type="dxa"/>
            <w:noWrap w:val="0"/>
            <w:vAlign w:val="center"/>
          </w:tcPr>
          <w:p w14:paraId="07661FE8">
            <w:pPr>
              <w:jc w:val="center"/>
              <w:rPr>
                <w:rFonts w:ascii="宋体" w:hAnsi="宋体"/>
                <w:color w:val="auto"/>
                <w:highlight w:val="none"/>
              </w:rPr>
            </w:pPr>
            <w:r>
              <w:rPr>
                <w:rFonts w:hint="eastAsia" w:ascii="宋体" w:hAnsi="宋体"/>
                <w:color w:val="auto"/>
                <w:highlight w:val="none"/>
              </w:rPr>
              <w:t>0.006%</w:t>
            </w:r>
          </w:p>
        </w:tc>
        <w:tc>
          <w:tcPr>
            <w:tcW w:w="1638" w:type="dxa"/>
            <w:noWrap w:val="0"/>
            <w:vAlign w:val="center"/>
          </w:tcPr>
          <w:p w14:paraId="686F9F15">
            <w:pPr>
              <w:jc w:val="center"/>
              <w:rPr>
                <w:rFonts w:ascii="宋体" w:hAnsi="宋体"/>
                <w:color w:val="auto"/>
                <w:highlight w:val="none"/>
              </w:rPr>
            </w:pPr>
            <w:r>
              <w:rPr>
                <w:rFonts w:hint="eastAsia" w:ascii="宋体" w:hAnsi="宋体"/>
                <w:color w:val="auto"/>
                <w:highlight w:val="none"/>
              </w:rPr>
              <w:t>0.006%</w:t>
            </w:r>
          </w:p>
        </w:tc>
        <w:tc>
          <w:tcPr>
            <w:tcW w:w="1653" w:type="dxa"/>
            <w:noWrap w:val="0"/>
            <w:vAlign w:val="center"/>
          </w:tcPr>
          <w:p w14:paraId="09AAC221">
            <w:pPr>
              <w:jc w:val="center"/>
              <w:rPr>
                <w:rFonts w:ascii="宋体" w:hAnsi="宋体"/>
                <w:color w:val="auto"/>
                <w:highlight w:val="none"/>
              </w:rPr>
            </w:pPr>
            <w:r>
              <w:rPr>
                <w:rFonts w:hint="eastAsia" w:ascii="宋体" w:hAnsi="宋体"/>
                <w:color w:val="auto"/>
                <w:highlight w:val="none"/>
              </w:rPr>
              <w:t>0.006%</w:t>
            </w:r>
          </w:p>
        </w:tc>
      </w:tr>
      <w:tr w14:paraId="2F369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trPr>
        <w:tc>
          <w:tcPr>
            <w:tcW w:w="3713" w:type="dxa"/>
            <w:noWrap w:val="0"/>
            <w:vAlign w:val="center"/>
          </w:tcPr>
          <w:p w14:paraId="71728019">
            <w:pPr>
              <w:jc w:val="center"/>
              <w:rPr>
                <w:rFonts w:ascii="宋体" w:hAnsi="宋体"/>
                <w:color w:val="auto"/>
                <w:highlight w:val="none"/>
              </w:rPr>
            </w:pPr>
            <w:r>
              <w:rPr>
                <w:rFonts w:hint="eastAsia" w:ascii="宋体" w:hAnsi="宋体"/>
                <w:color w:val="auto"/>
                <w:highlight w:val="none"/>
              </w:rPr>
              <w:t>100亿以上</w:t>
            </w:r>
          </w:p>
        </w:tc>
        <w:tc>
          <w:tcPr>
            <w:tcW w:w="1774" w:type="dxa"/>
            <w:noWrap w:val="0"/>
            <w:vAlign w:val="center"/>
          </w:tcPr>
          <w:p w14:paraId="30A6EB67">
            <w:pPr>
              <w:jc w:val="center"/>
              <w:rPr>
                <w:rFonts w:ascii="宋体" w:hAnsi="宋体"/>
                <w:color w:val="auto"/>
                <w:highlight w:val="none"/>
              </w:rPr>
            </w:pPr>
            <w:r>
              <w:rPr>
                <w:rFonts w:hint="eastAsia" w:ascii="宋体" w:hAnsi="宋体"/>
                <w:color w:val="auto"/>
                <w:highlight w:val="none"/>
              </w:rPr>
              <w:t>0.004%</w:t>
            </w:r>
          </w:p>
        </w:tc>
        <w:tc>
          <w:tcPr>
            <w:tcW w:w="1638" w:type="dxa"/>
            <w:noWrap w:val="0"/>
            <w:vAlign w:val="center"/>
          </w:tcPr>
          <w:p w14:paraId="7CD68A16">
            <w:pPr>
              <w:jc w:val="center"/>
              <w:rPr>
                <w:rFonts w:ascii="宋体" w:hAnsi="宋体"/>
                <w:color w:val="auto"/>
                <w:highlight w:val="none"/>
              </w:rPr>
            </w:pPr>
            <w:r>
              <w:rPr>
                <w:rFonts w:hint="eastAsia" w:ascii="宋体" w:hAnsi="宋体"/>
                <w:color w:val="auto"/>
                <w:highlight w:val="none"/>
              </w:rPr>
              <w:t>0.004%</w:t>
            </w:r>
          </w:p>
        </w:tc>
        <w:tc>
          <w:tcPr>
            <w:tcW w:w="1653" w:type="dxa"/>
            <w:noWrap w:val="0"/>
            <w:vAlign w:val="center"/>
          </w:tcPr>
          <w:p w14:paraId="317FA6C0">
            <w:pPr>
              <w:jc w:val="center"/>
              <w:rPr>
                <w:rFonts w:ascii="宋体" w:hAnsi="宋体"/>
                <w:color w:val="auto"/>
                <w:highlight w:val="none"/>
              </w:rPr>
            </w:pPr>
            <w:r>
              <w:rPr>
                <w:rFonts w:hint="eastAsia" w:ascii="宋体" w:hAnsi="宋体"/>
                <w:color w:val="auto"/>
                <w:highlight w:val="none"/>
              </w:rPr>
              <w:t>0.004%</w:t>
            </w:r>
          </w:p>
        </w:tc>
      </w:tr>
    </w:tbl>
    <w:p w14:paraId="4457809B">
      <w:pPr>
        <w:spacing w:line="400" w:lineRule="exact"/>
        <w:ind w:firstLine="420" w:firstLineChars="200"/>
        <w:contextualSpacing/>
        <w:rPr>
          <w:rFonts w:ascii="宋体" w:hAnsi="宋体" w:cs="宋体"/>
          <w:color w:val="auto"/>
          <w:highlight w:val="none"/>
        </w:rPr>
      </w:pPr>
      <w:r>
        <w:rPr>
          <w:rFonts w:ascii="宋体" w:hAnsi="宋体" w:cs="宋体"/>
          <w:color w:val="auto"/>
          <w:highlight w:val="none"/>
        </w:rPr>
        <w:t xml:space="preserve">注： </w:t>
      </w:r>
    </w:p>
    <w:p w14:paraId="6D023C23">
      <w:pPr>
        <w:spacing w:line="400" w:lineRule="exact"/>
        <w:ind w:firstLine="420" w:firstLineChars="200"/>
        <w:contextualSpacing/>
        <w:rPr>
          <w:rFonts w:ascii="宋体" w:hAnsi="宋体" w:cs="宋体"/>
          <w:color w:val="auto"/>
          <w:highlight w:val="none"/>
        </w:rPr>
      </w:pPr>
      <w:r>
        <w:rPr>
          <w:rFonts w:hint="eastAsia" w:ascii="宋体" w:hAnsi="宋体" w:cs="宋体"/>
          <w:color w:val="auto"/>
          <w:highlight w:val="none"/>
        </w:rPr>
        <w:t>（1）</w:t>
      </w:r>
      <w:r>
        <w:rPr>
          <w:rFonts w:ascii="宋体" w:hAnsi="宋体" w:cs="宋体"/>
          <w:color w:val="auto"/>
          <w:highlight w:val="none"/>
        </w:rPr>
        <w:t>按本表费率计算的收费为</w:t>
      </w:r>
      <w:r>
        <w:rPr>
          <w:rFonts w:hint="eastAsia" w:ascii="宋体" w:hAnsi="宋体" w:cs="宋体"/>
          <w:color w:val="auto"/>
          <w:highlight w:val="none"/>
        </w:rPr>
        <w:t>采购</w:t>
      </w:r>
      <w:r>
        <w:rPr>
          <w:rFonts w:ascii="宋体" w:hAnsi="宋体" w:cs="宋体"/>
          <w:color w:val="auto"/>
          <w:highlight w:val="none"/>
        </w:rPr>
        <w:t>代理的收费基准价格</w:t>
      </w:r>
      <w:r>
        <w:rPr>
          <w:rFonts w:hint="eastAsia" w:ascii="宋体" w:hAnsi="宋体" w:cs="宋体"/>
          <w:color w:val="auto"/>
          <w:highlight w:val="none"/>
        </w:rPr>
        <w:t>；</w:t>
      </w:r>
    </w:p>
    <w:p w14:paraId="1871A74C">
      <w:pPr>
        <w:spacing w:line="400" w:lineRule="exact"/>
        <w:ind w:firstLine="420" w:firstLineChars="200"/>
        <w:contextualSpacing/>
        <w:rPr>
          <w:rFonts w:ascii="宋体" w:hAnsi="宋体" w:cs="宋体"/>
          <w:color w:val="auto"/>
          <w:highlight w:val="none"/>
        </w:rPr>
      </w:pPr>
      <w:r>
        <w:rPr>
          <w:rFonts w:hint="eastAsia" w:ascii="宋体" w:hAnsi="宋体" w:cs="宋体"/>
          <w:color w:val="auto"/>
          <w:highlight w:val="none"/>
        </w:rPr>
        <w:t>（2）采购</w:t>
      </w:r>
      <w:r>
        <w:rPr>
          <w:rFonts w:ascii="宋体" w:hAnsi="宋体" w:cs="宋体"/>
          <w:color w:val="auto"/>
          <w:highlight w:val="none"/>
        </w:rPr>
        <w:t>代理收费按差额定率累进法计算。</w:t>
      </w:r>
    </w:p>
    <w:p w14:paraId="3A956C60">
      <w:pPr>
        <w:spacing w:line="400" w:lineRule="exact"/>
        <w:ind w:firstLine="420" w:firstLineChars="200"/>
        <w:contextualSpacing/>
        <w:rPr>
          <w:rFonts w:hint="eastAsia" w:ascii="宋体" w:hAnsi="宋体" w:cs="宋体"/>
          <w:color w:val="auto"/>
          <w:highlight w:val="none"/>
        </w:rPr>
      </w:pPr>
      <w:r>
        <w:rPr>
          <w:rFonts w:hint="eastAsia" w:ascii="宋体" w:hAnsi="宋体" w:cs="宋体"/>
          <w:color w:val="auto"/>
          <w:highlight w:val="none"/>
        </w:rPr>
        <w:t>例如：某货物采购代理业务成交金额或者暂定价为150万元，计算采购代理收费额如下：</w:t>
      </w:r>
    </w:p>
    <w:p w14:paraId="1E088E9F">
      <w:pPr>
        <w:tabs>
          <w:tab w:val="left" w:pos="2835"/>
        </w:tabs>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100 万元 ×l.5 %＝ 1.5 （万元）</w:t>
      </w:r>
    </w:p>
    <w:p w14:paraId="2A9F8182">
      <w:pPr>
        <w:tabs>
          <w:tab w:val="left" w:pos="2835"/>
        </w:tabs>
        <w:spacing w:line="400" w:lineRule="exact"/>
        <w:ind w:firstLine="420" w:firstLineChars="200"/>
        <w:rPr>
          <w:rFonts w:ascii="宋体" w:hAnsi="宋体" w:cs="宋体"/>
          <w:color w:val="auto"/>
          <w:highlight w:val="none"/>
        </w:rPr>
      </w:pPr>
      <w:r>
        <w:rPr>
          <w:rFonts w:hint="eastAsia" w:ascii="宋体" w:hAnsi="宋体" w:cs="宋体"/>
          <w:color w:val="auto"/>
          <w:highlight w:val="none"/>
        </w:rPr>
        <w:t>（150 －100）万元 ×1.1%＝ 0.55 （万元）</w:t>
      </w:r>
    </w:p>
    <w:p w14:paraId="779583D9">
      <w:pPr>
        <w:tabs>
          <w:tab w:val="left" w:pos="2835"/>
        </w:tabs>
        <w:spacing w:line="400" w:lineRule="exact"/>
        <w:ind w:firstLine="420" w:firstLineChars="200"/>
        <w:rPr>
          <w:rFonts w:ascii="宋体" w:hAnsi="宋体" w:cs="宋体"/>
          <w:color w:val="auto"/>
          <w:highlight w:val="none"/>
        </w:rPr>
      </w:pPr>
      <w:r>
        <w:rPr>
          <w:rFonts w:hint="eastAsia" w:ascii="宋体" w:hAnsi="宋体" w:cs="宋体"/>
          <w:color w:val="auto"/>
          <w:highlight w:val="none"/>
        </w:rPr>
        <w:t>合计收费基准价格＝ 1.5 ＋ 0.55＝ 2.05 （万元）</w:t>
      </w:r>
    </w:p>
    <w:p w14:paraId="70298289">
      <w:pPr>
        <w:tabs>
          <w:tab w:val="left" w:pos="2835"/>
        </w:tabs>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以收费基准价格下浮</w:t>
      </w:r>
      <w:r>
        <w:rPr>
          <w:rFonts w:hint="eastAsia" w:ascii="宋体" w:hAnsi="宋体" w:cs="宋体"/>
          <w:color w:val="auto"/>
          <w:highlight w:val="none"/>
          <w:lang w:val="en-US" w:eastAsia="zh-CN"/>
        </w:rPr>
        <w:t>50</w:t>
      </w:r>
      <w:r>
        <w:rPr>
          <w:rFonts w:hint="eastAsia" w:ascii="宋体" w:hAnsi="宋体" w:cs="宋体"/>
          <w:color w:val="auto"/>
          <w:highlight w:val="none"/>
        </w:rPr>
        <w:t>%</w:t>
      </w:r>
      <w:r>
        <w:rPr>
          <w:rFonts w:ascii="宋体" w:hAnsi="宋体" w:cs="宋体"/>
          <w:color w:val="auto"/>
          <w:highlight w:val="none"/>
        </w:rPr>
        <w:t>=2.05</w:t>
      </w:r>
      <w:r>
        <w:rPr>
          <w:rFonts w:hint="eastAsia" w:ascii="宋体" w:hAnsi="宋体" w:cs="宋体"/>
          <w:color w:val="auto"/>
          <w:highlight w:val="none"/>
        </w:rPr>
        <w:t>×（1</w:t>
      </w:r>
      <w:r>
        <w:rPr>
          <w:rFonts w:ascii="宋体" w:hAnsi="宋体" w:cs="宋体"/>
          <w:color w:val="auto"/>
          <w:highlight w:val="none"/>
        </w:rPr>
        <w:t>-</w:t>
      </w:r>
      <w:r>
        <w:rPr>
          <w:rFonts w:hint="eastAsia" w:ascii="宋体" w:hAnsi="宋体" w:cs="宋体"/>
          <w:color w:val="auto"/>
          <w:highlight w:val="none"/>
          <w:lang w:val="en-US" w:eastAsia="zh-CN"/>
        </w:rPr>
        <w:t>50</w:t>
      </w:r>
      <w:r>
        <w:rPr>
          <w:rFonts w:ascii="宋体" w:hAnsi="宋体" w:cs="宋体"/>
          <w:color w:val="auto"/>
          <w:highlight w:val="none"/>
        </w:rPr>
        <w:t>%</w:t>
      </w:r>
      <w:r>
        <w:rPr>
          <w:rFonts w:hint="eastAsia" w:ascii="宋体" w:hAnsi="宋体" w:cs="宋体"/>
          <w:color w:val="auto"/>
          <w:highlight w:val="none"/>
        </w:rPr>
        <w:t>）=</w:t>
      </w:r>
      <w:r>
        <w:rPr>
          <w:rFonts w:ascii="宋体" w:hAnsi="宋体" w:cs="宋体"/>
          <w:color w:val="auto"/>
          <w:highlight w:val="none"/>
        </w:rPr>
        <w:t>1.</w:t>
      </w:r>
      <w:r>
        <w:rPr>
          <w:rFonts w:hint="eastAsia" w:ascii="宋体" w:hAnsi="宋体" w:cs="宋体"/>
          <w:color w:val="auto"/>
          <w:highlight w:val="none"/>
          <w:lang w:val="en-US" w:eastAsia="zh-CN"/>
        </w:rPr>
        <w:t>025</w:t>
      </w:r>
      <w:r>
        <w:rPr>
          <w:rFonts w:hint="eastAsia" w:ascii="宋体" w:hAnsi="宋体" w:cs="宋体"/>
          <w:color w:val="auto"/>
          <w:highlight w:val="none"/>
        </w:rPr>
        <w:t>（万元）</w:t>
      </w:r>
    </w:p>
    <w:p w14:paraId="686A176D">
      <w:pPr>
        <w:tabs>
          <w:tab w:val="left" w:pos="2835"/>
        </w:tabs>
        <w:spacing w:line="400" w:lineRule="exact"/>
        <w:ind w:firstLine="420" w:firstLineChars="200"/>
        <w:rPr>
          <w:rFonts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.3采购代理机构的银行账户：</w:t>
      </w:r>
    </w:p>
    <w:p w14:paraId="14B1C462">
      <w:pPr>
        <w:tabs>
          <w:tab w:val="left" w:pos="2835"/>
        </w:tabs>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32.3.1用于交纳竞标保证金</w:t>
      </w:r>
    </w:p>
    <w:p w14:paraId="0476AA0D">
      <w:pPr>
        <w:tabs>
          <w:tab w:val="left" w:pos="2835"/>
        </w:tabs>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开户名称：云之龙咨询集团有限公司桂林分公司</w:t>
      </w:r>
    </w:p>
    <w:p w14:paraId="7EC37B7A">
      <w:pPr>
        <w:tabs>
          <w:tab w:val="left" w:pos="2835"/>
        </w:tabs>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银行账号：8113001013100074449</w:t>
      </w:r>
    </w:p>
    <w:p w14:paraId="1746F0D4">
      <w:pPr>
        <w:tabs>
          <w:tab w:val="left" w:pos="2835"/>
        </w:tabs>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开户银行：中信银行股份有限公司南宁</w:t>
      </w:r>
      <w:r>
        <w:rPr>
          <w:rFonts w:hint="eastAsia" w:ascii="宋体" w:hAnsi="宋体" w:cs="宋体"/>
          <w:color w:val="auto"/>
          <w:szCs w:val="21"/>
          <w:highlight w:val="none"/>
          <w:lang w:eastAsia="zh-CN"/>
        </w:rPr>
        <w:t>园湖支行</w:t>
      </w:r>
    </w:p>
    <w:p w14:paraId="43421530">
      <w:pPr>
        <w:tabs>
          <w:tab w:val="left" w:pos="2835"/>
        </w:tabs>
        <w:spacing w:line="40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32.3.2用于交纳采购代理服务费</w:t>
      </w:r>
    </w:p>
    <w:p w14:paraId="1ADB1C80">
      <w:pPr>
        <w:tabs>
          <w:tab w:val="left" w:pos="2835"/>
        </w:tabs>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开户名称：云之龙咨询集团有限公司桂林分公司</w:t>
      </w:r>
    </w:p>
    <w:p w14:paraId="4AF2CE50">
      <w:pPr>
        <w:tabs>
          <w:tab w:val="left" w:pos="2835"/>
        </w:tabs>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银行账号：8113001014300158041</w:t>
      </w:r>
    </w:p>
    <w:p w14:paraId="2EB86DB0">
      <w:pPr>
        <w:tabs>
          <w:tab w:val="left" w:pos="2835"/>
        </w:tabs>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开户银行：中信银行股份有限公司南宁</w:t>
      </w:r>
      <w:r>
        <w:rPr>
          <w:rFonts w:hint="eastAsia" w:ascii="宋体" w:hAnsi="宋体" w:cs="宋体"/>
          <w:color w:val="auto"/>
          <w:szCs w:val="21"/>
          <w:highlight w:val="none"/>
          <w:lang w:eastAsia="zh-CN"/>
        </w:rPr>
        <w:t>园湖支行</w:t>
      </w:r>
    </w:p>
    <w:p w14:paraId="11112F3D">
      <w:pPr>
        <w:tabs>
          <w:tab w:val="left" w:pos="2835"/>
        </w:tabs>
        <w:spacing w:line="400" w:lineRule="exact"/>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33.需要补充的其他内容</w:t>
      </w:r>
    </w:p>
    <w:p w14:paraId="59044173">
      <w:pPr>
        <w:tabs>
          <w:tab w:val="left" w:pos="2835"/>
        </w:tabs>
        <w:spacing w:line="400" w:lineRule="exact"/>
        <w:ind w:firstLine="420" w:firstLineChars="200"/>
        <w:rPr>
          <w:rFonts w:ascii="宋体" w:hAnsi="宋体" w:cs="宋体"/>
          <w:color w:val="auto"/>
          <w:szCs w:val="21"/>
          <w:highlight w:val="none"/>
        </w:rPr>
      </w:pPr>
      <w:r>
        <w:rPr>
          <w:rFonts w:ascii="宋体" w:hAnsi="宋体" w:cs="宋体"/>
          <w:color w:val="auto"/>
          <w:szCs w:val="21"/>
          <w:highlight w:val="none"/>
        </w:rPr>
        <w:t>33.1</w:t>
      </w:r>
      <w:r>
        <w:rPr>
          <w:rFonts w:hint="eastAsia" w:ascii="宋体" w:hAnsi="宋体" w:cs="宋体"/>
          <w:color w:val="auto"/>
          <w:szCs w:val="21"/>
          <w:highlight w:val="none"/>
        </w:rPr>
        <w:t>本谈判文件解释规则详见“供应商须知前附表”。</w:t>
      </w:r>
    </w:p>
    <w:p w14:paraId="5A1C932F">
      <w:pPr>
        <w:tabs>
          <w:tab w:val="left" w:pos="2835"/>
        </w:tabs>
        <w:spacing w:line="400" w:lineRule="exact"/>
        <w:ind w:firstLine="420" w:firstLineChars="200"/>
        <w:rPr>
          <w:rFonts w:ascii="宋体" w:hAnsi="宋体" w:cs="宋体"/>
          <w:color w:val="auto"/>
          <w:szCs w:val="21"/>
          <w:highlight w:val="none"/>
        </w:rPr>
      </w:pPr>
      <w:r>
        <w:rPr>
          <w:rFonts w:ascii="宋体" w:hAnsi="宋体" w:cs="宋体"/>
          <w:color w:val="auto"/>
          <w:szCs w:val="21"/>
          <w:highlight w:val="none"/>
        </w:rPr>
        <w:t>33.2</w:t>
      </w:r>
      <w:r>
        <w:rPr>
          <w:rFonts w:hint="eastAsia" w:ascii="宋体" w:hAnsi="宋体" w:cs="宋体"/>
          <w:color w:val="auto"/>
          <w:szCs w:val="21"/>
          <w:highlight w:val="none"/>
        </w:rPr>
        <w:t>其他事项详见“供应商须知前附表”。</w:t>
      </w:r>
    </w:p>
    <w:p w14:paraId="1ACD7696">
      <w:pPr>
        <w:tabs>
          <w:tab w:val="left" w:pos="2835"/>
        </w:tabs>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3.3</w:t>
      </w:r>
      <w:bookmarkStart w:id="73" w:name="_Hlk65857140"/>
      <w:r>
        <w:rPr>
          <w:rFonts w:hint="eastAsia" w:ascii="宋体" w:hAnsi="宋体" w:cs="宋体"/>
          <w:color w:val="auto"/>
          <w:szCs w:val="21"/>
          <w:highlight w:val="none"/>
        </w:rPr>
        <w:t>本谈判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谈判文件规定的中小企业扶持政策：</w:t>
      </w:r>
      <w:bookmarkEnd w:id="73"/>
    </w:p>
    <w:p w14:paraId="092DD927">
      <w:pPr>
        <w:tabs>
          <w:tab w:val="left" w:pos="2835"/>
        </w:tabs>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（1）在货物采购项目中，货物由中小企业制造，即货物由中小企业生产且使用该中小企业商号或者注册商标，不对其中涉及的工程承建商和服务的承接商作出要求；</w:t>
      </w:r>
    </w:p>
    <w:p w14:paraId="60A828CB">
      <w:pPr>
        <w:tabs>
          <w:tab w:val="left" w:pos="2835"/>
        </w:tabs>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（2）在工程采购项目中，工程由中小企业承建，即工程施工单位为中小企业，不对其中涉及的货物的制造商和服务的承接商作出要求；</w:t>
      </w:r>
    </w:p>
    <w:p w14:paraId="264CF394">
      <w:pPr>
        <w:tabs>
          <w:tab w:val="left" w:pos="2835"/>
        </w:tabs>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3577C761">
      <w:pPr>
        <w:tabs>
          <w:tab w:val="left" w:pos="2835"/>
        </w:tabs>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在货物采购项目中，供应商提供的货物既有中小企业制造货物，也有大型企业制造货物的，不享受本谈判文件规定的中小企业扶持政策。以联合体形式参加政府采购活动，联合体各方均为中小企业的，联合体视同中小企业。其中，联合体各方均为小微企业的，联合体视同小微企业。</w:t>
      </w:r>
    </w:p>
    <w:p w14:paraId="1B281A87">
      <w:pPr>
        <w:tabs>
          <w:tab w:val="left" w:pos="2835"/>
        </w:tabs>
        <w:spacing w:line="400" w:lineRule="exact"/>
        <w:ind w:firstLine="420" w:firstLineChars="200"/>
        <w:rPr>
          <w:rFonts w:hAnsi="宋体"/>
          <w:color w:val="auto"/>
          <w:highlight w:val="none"/>
        </w:rPr>
      </w:pPr>
      <w:r>
        <w:rPr>
          <w:rFonts w:hint="eastAsia" w:ascii="宋体" w:hAnsi="宋体" w:cs="宋体"/>
          <w:color w:val="auto"/>
          <w:szCs w:val="21"/>
          <w:highlight w:val="none"/>
        </w:rPr>
        <w:t>依据本谈判文件规定享受扶持政策获得政府采购合同的，小微企业不得将合同分包给大中型企业，中型企业不得将合同分包给大型企业。</w:t>
      </w:r>
    </w:p>
    <w:p w14:paraId="0D6DEAB7">
      <w:pPr>
        <w:tabs>
          <w:tab w:val="left" w:pos="2835"/>
        </w:tabs>
        <w:spacing w:line="360" w:lineRule="auto"/>
        <w:ind w:firstLine="420" w:firstLineChars="200"/>
        <w:rPr>
          <w:rFonts w:ascii="宋体" w:hAnsi="宋体" w:cs="宋体"/>
          <w:color w:val="auto"/>
          <w:highlight w:val="none"/>
        </w:rPr>
      </w:pPr>
    </w:p>
    <w:p w14:paraId="4A863F03">
      <w:pPr>
        <w:tabs>
          <w:tab w:val="left" w:pos="2835"/>
        </w:tabs>
        <w:spacing w:line="360" w:lineRule="auto"/>
        <w:ind w:firstLine="420" w:firstLineChars="200"/>
        <w:rPr>
          <w:rFonts w:ascii="宋体" w:hAnsi="宋体" w:cs="宋体"/>
          <w:color w:val="auto"/>
          <w:highlight w:val="none"/>
        </w:rPr>
      </w:pPr>
    </w:p>
    <w:p w14:paraId="41BC474F">
      <w:pPr>
        <w:pStyle w:val="70"/>
        <w:jc w:val="center"/>
        <w:outlineLvl w:val="0"/>
        <w:rPr>
          <w:color w:val="auto"/>
          <w:highlight w:val="none"/>
        </w:rPr>
      </w:pPr>
      <w:r>
        <w:rPr>
          <w:rFonts w:ascii="黑体" w:hAnsi="黑体" w:eastAsia="黑体" w:cs="黑体"/>
          <w:bCs/>
          <w:color w:val="auto"/>
          <w:sz w:val="32"/>
          <w:szCs w:val="32"/>
          <w:highlight w:val="none"/>
        </w:rPr>
        <w:br w:type="page"/>
      </w:r>
      <w:bookmarkStart w:id="74" w:name="_Toc74322010"/>
      <w:bookmarkStart w:id="75" w:name="_Toc196311781"/>
      <w:r>
        <w:rPr>
          <w:rFonts w:hint="eastAsia" w:hAnsi="宋体"/>
          <w:b/>
          <w:color w:val="auto"/>
          <w:sz w:val="32"/>
          <w:highlight w:val="none"/>
        </w:rPr>
        <w:t>第三章 采购需求</w:t>
      </w:r>
      <w:bookmarkEnd w:id="74"/>
      <w:bookmarkEnd w:id="75"/>
    </w:p>
    <w:p w14:paraId="6F087AC9">
      <w:pPr>
        <w:spacing w:line="440" w:lineRule="exact"/>
        <w:jc w:val="center"/>
        <w:rPr>
          <w:rFonts w:ascii="宋体" w:hAnsi="宋体"/>
          <w:b/>
          <w:color w:val="auto"/>
          <w:sz w:val="32"/>
          <w:szCs w:val="32"/>
          <w:highlight w:val="none"/>
        </w:rPr>
      </w:pPr>
      <w:r>
        <w:rPr>
          <w:rFonts w:hint="eastAsia" w:ascii="宋体" w:hAnsi="宋体"/>
          <w:b/>
          <w:color w:val="auto"/>
          <w:sz w:val="32"/>
          <w:szCs w:val="32"/>
          <w:highlight w:val="none"/>
        </w:rPr>
        <w:t>采购项目技术规格、参数及要求</w:t>
      </w:r>
    </w:p>
    <w:p w14:paraId="335B7019">
      <w:pPr>
        <w:spacing w:line="440" w:lineRule="exact"/>
        <w:jc w:val="left"/>
        <w:rPr>
          <w:b/>
          <w:bCs/>
          <w:color w:val="auto"/>
          <w:highlight w:val="none"/>
        </w:rPr>
      </w:pPr>
      <w:r>
        <w:rPr>
          <w:rFonts w:hint="eastAsia" w:ascii="宋体" w:hAnsi="宋体"/>
          <w:b/>
          <w:bCs/>
          <w:color w:val="auto"/>
          <w:highlight w:val="none"/>
        </w:rPr>
        <w:t>Ⅰ、说明：</w:t>
      </w:r>
    </w:p>
    <w:p w14:paraId="55E84B51">
      <w:pPr>
        <w:spacing w:line="320" w:lineRule="exact"/>
        <w:ind w:firstLine="420" w:firstLineChars="200"/>
        <w:jc w:val="left"/>
        <w:rPr>
          <w:rFonts w:ascii="宋体" w:hAnsi="宋体"/>
          <w:color w:val="auto"/>
          <w:highlight w:val="none"/>
        </w:rPr>
      </w:pPr>
      <w:r>
        <w:rPr>
          <w:rFonts w:hint="eastAsia" w:ascii="宋体" w:hAnsi="宋体"/>
          <w:color w:val="auto"/>
          <w:highlight w:val="none"/>
        </w:rPr>
        <w:t>1.为落实政府采购政策需满足的要求</w:t>
      </w:r>
    </w:p>
    <w:p w14:paraId="4B9E5344">
      <w:pPr>
        <w:spacing w:line="320" w:lineRule="exact"/>
        <w:ind w:firstLine="420" w:firstLineChars="200"/>
        <w:jc w:val="left"/>
        <w:rPr>
          <w:rFonts w:ascii="宋体" w:hAnsi="宋体"/>
          <w:color w:val="auto"/>
          <w:highlight w:val="none"/>
        </w:rPr>
      </w:pPr>
      <w:r>
        <w:rPr>
          <w:rFonts w:hint="eastAsia" w:ascii="宋体" w:hAnsi="宋体"/>
          <w:color w:val="auto"/>
          <w:highlight w:val="none"/>
        </w:rPr>
        <w:t>（1）本谈判文件所称中小企业必须符合《政府采购促进中小企业发展管理办法》（财库〔2020〕46号）及《广西壮族自治区财政厅关于持续优化政府采购营商环境推动高质量发展的通知》（桂财采〔2024〕55号）的规定。供应商提供的货物全部由符合政策要求的小型或者微型企业生产，在响应文件中提供《中小企业声明函》的，其最后报价给予10%的扣除。本项目非专门面向中小微企业采购（《中小企业划型标准规定》详见附件2）。</w:t>
      </w:r>
    </w:p>
    <w:p w14:paraId="13ED46AD">
      <w:pPr>
        <w:spacing w:line="320" w:lineRule="exact"/>
        <w:ind w:firstLine="420" w:firstLineChars="200"/>
        <w:jc w:val="left"/>
        <w:rPr>
          <w:rFonts w:ascii="宋体" w:hAnsi="宋体"/>
          <w:color w:val="auto"/>
          <w:highlight w:val="none"/>
        </w:rPr>
      </w:pPr>
      <w:r>
        <w:rPr>
          <w:rFonts w:hint="eastAsia" w:ascii="宋体" w:hAnsi="宋体"/>
          <w:color w:val="auto"/>
          <w:highlight w:val="none"/>
        </w:rPr>
        <w:t>（2）根据财政部、司法部关于政府采购支持监狱企业发展有关问题的通知（财库[2014]68号），监狱企业视同小型、微型企业，享受预留份额等政府采购政策。监狱企业属于小型、微型企业的，不重复享受政策。</w:t>
      </w:r>
    </w:p>
    <w:p w14:paraId="10BD0EB4">
      <w:pPr>
        <w:spacing w:line="320" w:lineRule="exact"/>
        <w:ind w:firstLine="420" w:firstLineChars="200"/>
        <w:jc w:val="left"/>
        <w:rPr>
          <w:rFonts w:ascii="宋体" w:hAnsi="宋体"/>
          <w:color w:val="auto"/>
          <w:highlight w:val="none"/>
        </w:rPr>
      </w:pPr>
      <w:r>
        <w:rPr>
          <w:rFonts w:hint="eastAsia" w:ascii="宋体" w:hAnsi="宋体"/>
          <w:color w:val="auto"/>
          <w:highlight w:val="none"/>
        </w:rPr>
        <w:t>（3）按照《关于促进残疾人就业政府采购政策的通知》（财库〔2017〕141号）的规定，残疾人福利性单位视同小型、微型企业，享受预留份额等促进中小企业发展的政府采购政策。残疾人福利性单位属于小型、微型企业的，不重复享受政策。</w:t>
      </w:r>
    </w:p>
    <w:p w14:paraId="3FE9B72E">
      <w:pPr>
        <w:spacing w:line="320" w:lineRule="exact"/>
        <w:ind w:firstLine="420" w:firstLineChars="200"/>
        <w:jc w:val="left"/>
        <w:rPr>
          <w:rFonts w:ascii="宋体" w:hAnsi="宋体"/>
          <w:color w:val="auto"/>
          <w:highlight w:val="none"/>
        </w:rPr>
      </w:pPr>
      <w:r>
        <w:rPr>
          <w:rFonts w:hint="eastAsia" w:ascii="宋体" w:hAnsi="宋体"/>
          <w:color w:val="auto"/>
          <w:highlight w:val="none"/>
        </w:rPr>
        <w:t>（4）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4252480">
      <w:pPr>
        <w:spacing w:line="320" w:lineRule="exact"/>
        <w:ind w:firstLine="420" w:firstLineChars="200"/>
        <w:jc w:val="left"/>
        <w:rPr>
          <w:rFonts w:ascii="宋体" w:hAnsi="宋体"/>
          <w:color w:val="auto"/>
          <w:highlight w:val="none"/>
        </w:rPr>
      </w:pPr>
      <w:r>
        <w:rPr>
          <w:rFonts w:hint="eastAsia" w:ascii="宋体" w:hAnsi="宋体"/>
          <w:color w:val="auto"/>
          <w:highlight w:val="none"/>
        </w:rPr>
        <w:t>（5）根据《财政部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电子签章），否则响应文件按无效处理。如本项目包含的货物属于品目清单内非标注“★”的产品时，应优先采购，具体详见“第四章 评审程序和评定成交的标准”（《节能产品政府采购品目清单》详见附件1）。</w:t>
      </w:r>
    </w:p>
    <w:p w14:paraId="1FF5EC3D">
      <w:pPr>
        <w:spacing w:line="320" w:lineRule="exact"/>
        <w:ind w:firstLine="420" w:firstLineChars="200"/>
        <w:jc w:val="left"/>
        <w:rPr>
          <w:rFonts w:ascii="宋体" w:hAnsi="宋体"/>
          <w:color w:val="auto"/>
          <w:highlight w:val="none"/>
        </w:rPr>
      </w:pPr>
      <w:r>
        <w:rPr>
          <w:rFonts w:hint="eastAsia" w:ascii="宋体" w:hAnsi="宋体"/>
          <w:color w:val="auto"/>
          <w:highlight w:val="none"/>
        </w:rPr>
        <w:t>（6）根据《关于调整网络安全专用产品安全管理有关事项的公告》（2023年第1号）规定，本项目采购需求中的产品如果包括《网络关键设备和网络安全专用产品目录》的网络安全专用产品，供应商在响应文件中应主动列明供货范围中属于网络安全专用产品的响应产品，并在响应文件（商务及技术文件）中提供由中国网信网（www.cac.gov.cn/index.htm）最新发布的《网络关键设备和网络安全专用产品安全认证和安全检测结果》截图证明材料，不在《网络关键设备和网络安全专用产品安全认证和安全检测结果》中或不在有效期内的，响应文件按无效处理。如属于《网络关键设备和网络安全专用产品目录》中“二、网络安全专用产品”内“产品类别”中的所描述的产品，但不属于所列“产品描述”情形的，应提供相应的说明及证明材料。</w:t>
      </w:r>
    </w:p>
    <w:p w14:paraId="38749A4E">
      <w:pPr>
        <w:spacing w:line="320" w:lineRule="exact"/>
        <w:ind w:firstLine="422" w:firstLineChars="200"/>
        <w:jc w:val="left"/>
        <w:rPr>
          <w:rFonts w:ascii="宋体" w:hAnsi="宋体"/>
          <w:color w:val="auto"/>
          <w:highlight w:val="none"/>
        </w:rPr>
      </w:pPr>
      <w:r>
        <w:rPr>
          <w:rFonts w:hint="eastAsia" w:ascii="宋体" w:hAnsi="宋体"/>
          <w:b/>
          <w:bCs/>
          <w:color w:val="auto"/>
          <w:highlight w:val="none"/>
        </w:rPr>
        <w:t>2.“实质性要求”是指采购需求一览表所有条款或者谈判文件要求“必须提供”的条款或者已经指明不满足则响应文件按无效处理的条款。若有任意一项负偏离，响应文件按无效处理。</w:t>
      </w:r>
    </w:p>
    <w:p w14:paraId="6C507A60">
      <w:pPr>
        <w:spacing w:line="320" w:lineRule="exact"/>
        <w:ind w:firstLine="420" w:firstLineChars="200"/>
        <w:jc w:val="left"/>
        <w:rPr>
          <w:rFonts w:ascii="宋体" w:hAnsi="宋体"/>
          <w:color w:val="auto"/>
          <w:highlight w:val="none"/>
        </w:rPr>
      </w:pPr>
      <w:r>
        <w:rPr>
          <w:rFonts w:hint="eastAsia" w:ascii="宋体" w:hAnsi="宋体"/>
          <w:color w:val="auto"/>
          <w:highlight w:val="none"/>
        </w:rPr>
        <w:t>3.采购需求中出现的品牌、型号或者生产供应商仅起参考作用，不属于指定品牌、型号或者生产供应商的情形。供应商可参照或者选用其他相当的品牌、型号或者生产供应商替代。</w:t>
      </w:r>
    </w:p>
    <w:p w14:paraId="66739F1F">
      <w:pPr>
        <w:spacing w:line="320" w:lineRule="exact"/>
        <w:ind w:firstLine="420" w:firstLineChars="200"/>
        <w:jc w:val="left"/>
        <w:rPr>
          <w:rFonts w:ascii="宋体" w:hAnsi="宋体"/>
          <w:color w:val="auto"/>
          <w:highlight w:val="none"/>
        </w:rPr>
      </w:pPr>
      <w:r>
        <w:rPr>
          <w:rFonts w:hint="eastAsia" w:ascii="宋体" w:hAnsi="宋体"/>
          <w:color w:val="auto"/>
          <w:highlight w:val="none"/>
        </w:rPr>
        <w:t>4.根据《关于在政府采购活动中对有关美国企业采取相关措施的通知》（财库〔2026〕10号）规定，供应商提供的产品不能为通知附件内46家美国企业（不包括在华美资企业）生产的产品。如有此类产品的，</w:t>
      </w:r>
      <w:r>
        <w:rPr>
          <w:rFonts w:hint="eastAsia" w:ascii="宋体" w:hAnsi="宋体"/>
          <w:color w:val="auto"/>
          <w:highlight w:val="none"/>
          <w:lang w:eastAsia="zh-CN"/>
        </w:rPr>
        <w:t>竞标</w:t>
      </w:r>
      <w:r>
        <w:rPr>
          <w:rFonts w:hint="eastAsia" w:ascii="宋体" w:hAnsi="宋体"/>
          <w:color w:val="auto"/>
          <w:highlight w:val="none"/>
        </w:rPr>
        <w:t>无效。</w:t>
      </w:r>
    </w:p>
    <w:p w14:paraId="7CAC57FA">
      <w:pPr>
        <w:spacing w:line="320" w:lineRule="exact"/>
        <w:ind w:firstLine="420" w:firstLineChars="200"/>
        <w:jc w:val="left"/>
        <w:rPr>
          <w:rFonts w:ascii="宋体" w:hAnsi="宋体"/>
          <w:color w:val="auto"/>
          <w:highlight w:val="none"/>
        </w:rPr>
      </w:pPr>
      <w:r>
        <w:rPr>
          <w:rFonts w:hint="eastAsia" w:ascii="宋体" w:hAnsi="宋体"/>
          <w:color w:val="auto"/>
          <w:highlight w:val="none"/>
        </w:rPr>
        <w:t>5.供应商必须自行为其竞标产品侵犯他人的知识产权或者专利成果的行为承担相应法律责任。</w:t>
      </w:r>
    </w:p>
    <w:p w14:paraId="7AB80B5A">
      <w:pPr>
        <w:spacing w:line="400" w:lineRule="exact"/>
        <w:jc w:val="left"/>
        <w:rPr>
          <w:rFonts w:ascii="宋体" w:hAnsi="宋体"/>
          <w:b/>
          <w:bCs/>
          <w:color w:val="auto"/>
          <w:highlight w:val="none"/>
        </w:rPr>
      </w:pPr>
      <w:r>
        <w:rPr>
          <w:rFonts w:hint="eastAsia" w:ascii="宋体" w:hAnsi="宋体"/>
          <w:b/>
          <w:color w:val="auto"/>
          <w:highlight w:val="none"/>
        </w:rPr>
        <w:t>Ⅱ、</w:t>
      </w:r>
      <w:r>
        <w:rPr>
          <w:rFonts w:hint="eastAsia" w:ascii="宋体" w:hAnsi="宋体"/>
          <w:b/>
          <w:bCs/>
          <w:color w:val="auto"/>
          <w:highlight w:val="none"/>
        </w:rPr>
        <w:t>采购需求一览表</w:t>
      </w:r>
    </w:p>
    <w:tbl>
      <w:tblPr>
        <w:tblStyle w:val="26"/>
        <w:tblW w:w="4973"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5"/>
        <w:gridCol w:w="1402"/>
        <w:gridCol w:w="704"/>
        <w:gridCol w:w="703"/>
        <w:gridCol w:w="702"/>
        <w:gridCol w:w="4711"/>
      </w:tblGrid>
      <w:tr w14:paraId="4FAE11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897" w:type="dxa"/>
            <w:gridSpan w:val="6"/>
            <w:tcBorders>
              <w:top w:val="single" w:color="000000" w:sz="4" w:space="0"/>
              <w:left w:val="single" w:color="000000" w:sz="4" w:space="0"/>
              <w:bottom w:val="single" w:color="000000" w:sz="4" w:space="0"/>
              <w:right w:val="single" w:color="000000" w:sz="4" w:space="0"/>
            </w:tcBorders>
            <w:vAlign w:val="center"/>
          </w:tcPr>
          <w:p w14:paraId="01986D84">
            <w:pPr>
              <w:snapToGrid w:val="0"/>
              <w:spacing w:line="360" w:lineRule="exact"/>
              <w:rPr>
                <w:rFonts w:ascii="宋体" w:hAnsi="宋体"/>
                <w:color w:val="auto"/>
                <w:szCs w:val="21"/>
                <w:highlight w:val="none"/>
              </w:rPr>
            </w:pPr>
            <w:r>
              <w:rPr>
                <w:rFonts w:hint="eastAsia" w:ascii="宋体" w:hAnsi="宋体"/>
                <w:b/>
                <w:bCs/>
                <w:color w:val="auto"/>
                <w:szCs w:val="21"/>
                <w:highlight w:val="none"/>
              </w:rPr>
              <w:t>一、采购内容及技术要求</w:t>
            </w:r>
          </w:p>
        </w:tc>
      </w:tr>
      <w:tr w14:paraId="5A8FA5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897" w:type="dxa"/>
            <w:gridSpan w:val="6"/>
            <w:tcBorders>
              <w:top w:val="single" w:color="000000" w:sz="4" w:space="0"/>
              <w:left w:val="single" w:color="000000" w:sz="4" w:space="0"/>
              <w:bottom w:val="single" w:color="000000" w:sz="4" w:space="0"/>
              <w:right w:val="single" w:color="000000" w:sz="4" w:space="0"/>
            </w:tcBorders>
            <w:vAlign w:val="center"/>
          </w:tcPr>
          <w:p w14:paraId="63D41753">
            <w:pPr>
              <w:snapToGrid w:val="0"/>
              <w:spacing w:line="360" w:lineRule="exact"/>
              <w:rPr>
                <w:rFonts w:ascii="宋体" w:hAnsi="宋体"/>
                <w:b/>
                <w:bCs/>
                <w:color w:val="auto"/>
                <w:szCs w:val="21"/>
                <w:highlight w:val="none"/>
              </w:rPr>
            </w:pPr>
            <w:r>
              <w:rPr>
                <w:rFonts w:hint="eastAsia" w:ascii="宋体" w:hAnsi="宋体"/>
                <w:b/>
                <w:bCs/>
                <w:color w:val="auto"/>
                <w:szCs w:val="21"/>
                <w:highlight w:val="none"/>
              </w:rPr>
              <w:t>用途：本次采购的设备用于教学科研使用。</w:t>
            </w:r>
          </w:p>
        </w:tc>
      </w:tr>
      <w:tr w14:paraId="5613B2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53CD950A">
            <w:pPr>
              <w:snapToGrid w:val="0"/>
              <w:spacing w:line="360" w:lineRule="exact"/>
              <w:jc w:val="center"/>
              <w:rPr>
                <w:rFonts w:ascii="宋体" w:hAnsi="宋体"/>
                <w:b/>
                <w:bCs/>
                <w:color w:val="auto"/>
                <w:szCs w:val="21"/>
                <w:highlight w:val="none"/>
              </w:rPr>
            </w:pPr>
            <w:r>
              <w:rPr>
                <w:rFonts w:hint="eastAsia" w:ascii="宋体" w:hAnsi="宋体"/>
                <w:b/>
                <w:bCs/>
                <w:color w:val="auto"/>
                <w:szCs w:val="21"/>
                <w:highlight w:val="none"/>
              </w:rPr>
              <w:t>项号</w:t>
            </w:r>
          </w:p>
        </w:tc>
        <w:tc>
          <w:tcPr>
            <w:tcW w:w="1402" w:type="dxa"/>
            <w:tcBorders>
              <w:top w:val="single" w:color="000000" w:sz="4" w:space="0"/>
              <w:left w:val="single" w:color="auto" w:sz="4" w:space="0"/>
              <w:bottom w:val="single" w:color="000000" w:sz="4" w:space="0"/>
              <w:right w:val="single" w:color="000000" w:sz="4" w:space="0"/>
            </w:tcBorders>
            <w:vAlign w:val="center"/>
          </w:tcPr>
          <w:p w14:paraId="10DB838B">
            <w:pPr>
              <w:snapToGrid w:val="0"/>
              <w:spacing w:line="360" w:lineRule="exact"/>
              <w:jc w:val="center"/>
              <w:rPr>
                <w:rFonts w:ascii="宋体" w:hAnsi="宋体"/>
                <w:b/>
                <w:bCs/>
                <w:color w:val="auto"/>
                <w:szCs w:val="21"/>
                <w:highlight w:val="none"/>
              </w:rPr>
            </w:pPr>
            <w:r>
              <w:rPr>
                <w:rFonts w:hint="eastAsia" w:ascii="宋体" w:hAnsi="宋体"/>
                <w:b/>
                <w:bCs/>
                <w:color w:val="auto"/>
                <w:szCs w:val="21"/>
                <w:highlight w:val="none"/>
              </w:rPr>
              <w:t>标的的名称</w:t>
            </w:r>
          </w:p>
        </w:tc>
        <w:tc>
          <w:tcPr>
            <w:tcW w:w="704" w:type="dxa"/>
            <w:tcBorders>
              <w:top w:val="single" w:color="000000" w:sz="4" w:space="0"/>
              <w:left w:val="single" w:color="000000" w:sz="4" w:space="0"/>
              <w:bottom w:val="single" w:color="000000" w:sz="4" w:space="0"/>
              <w:right w:val="single" w:color="000000" w:sz="4" w:space="0"/>
            </w:tcBorders>
            <w:vAlign w:val="center"/>
          </w:tcPr>
          <w:p w14:paraId="505215FB">
            <w:pPr>
              <w:snapToGrid w:val="0"/>
              <w:spacing w:line="360" w:lineRule="exact"/>
              <w:jc w:val="center"/>
              <w:rPr>
                <w:rFonts w:ascii="宋体" w:hAnsi="宋体"/>
                <w:b/>
                <w:bCs/>
                <w:color w:val="auto"/>
                <w:szCs w:val="21"/>
                <w:highlight w:val="none"/>
              </w:rPr>
            </w:pPr>
            <w:r>
              <w:rPr>
                <w:rFonts w:hint="eastAsia" w:ascii="宋体" w:hAnsi="宋体"/>
                <w:b/>
                <w:bCs/>
                <w:color w:val="auto"/>
                <w:szCs w:val="21"/>
                <w:highlight w:val="none"/>
              </w:rPr>
              <w:t>数量</w:t>
            </w:r>
          </w:p>
        </w:tc>
        <w:tc>
          <w:tcPr>
            <w:tcW w:w="703" w:type="dxa"/>
            <w:tcBorders>
              <w:top w:val="single" w:color="000000" w:sz="4" w:space="0"/>
              <w:left w:val="single" w:color="000000" w:sz="4" w:space="0"/>
              <w:bottom w:val="single" w:color="000000" w:sz="4" w:space="0"/>
              <w:right w:val="single" w:color="000000" w:sz="4" w:space="0"/>
            </w:tcBorders>
            <w:vAlign w:val="center"/>
          </w:tcPr>
          <w:p w14:paraId="782217A5">
            <w:pPr>
              <w:snapToGrid w:val="0"/>
              <w:spacing w:line="360" w:lineRule="exact"/>
              <w:jc w:val="center"/>
              <w:rPr>
                <w:rFonts w:ascii="宋体" w:hAnsi="宋体"/>
                <w:b/>
                <w:bCs/>
                <w:color w:val="auto"/>
                <w:szCs w:val="21"/>
                <w:highlight w:val="none"/>
              </w:rPr>
            </w:pPr>
            <w:r>
              <w:rPr>
                <w:rFonts w:hint="eastAsia" w:ascii="宋体" w:hAnsi="宋体"/>
                <w:b/>
                <w:bCs/>
                <w:color w:val="auto"/>
                <w:szCs w:val="21"/>
                <w:highlight w:val="none"/>
              </w:rPr>
              <w:t>单位</w:t>
            </w:r>
          </w:p>
        </w:tc>
        <w:tc>
          <w:tcPr>
            <w:tcW w:w="702" w:type="dxa"/>
            <w:tcBorders>
              <w:top w:val="single" w:color="000000" w:sz="4" w:space="0"/>
              <w:left w:val="single" w:color="000000" w:sz="4" w:space="0"/>
              <w:bottom w:val="single" w:color="000000" w:sz="4" w:space="0"/>
              <w:right w:val="single" w:color="000000" w:sz="4" w:space="0"/>
            </w:tcBorders>
            <w:vAlign w:val="center"/>
          </w:tcPr>
          <w:p w14:paraId="4EF2107F">
            <w:pPr>
              <w:snapToGrid w:val="0"/>
              <w:spacing w:line="360" w:lineRule="exact"/>
              <w:jc w:val="center"/>
              <w:rPr>
                <w:rFonts w:ascii="宋体" w:hAnsi="宋体"/>
                <w:b/>
                <w:bCs/>
                <w:color w:val="auto"/>
                <w:szCs w:val="21"/>
                <w:highlight w:val="none"/>
              </w:rPr>
            </w:pPr>
            <w:r>
              <w:rPr>
                <w:rFonts w:hint="eastAsia" w:ascii="宋体" w:hAnsi="宋体"/>
                <w:b/>
                <w:bCs/>
                <w:color w:val="auto"/>
                <w:szCs w:val="21"/>
                <w:highlight w:val="none"/>
              </w:rPr>
              <w:t>所属行业</w:t>
            </w:r>
          </w:p>
        </w:tc>
        <w:tc>
          <w:tcPr>
            <w:tcW w:w="4711" w:type="dxa"/>
            <w:tcBorders>
              <w:top w:val="single" w:color="000000" w:sz="4" w:space="0"/>
              <w:left w:val="single" w:color="000000" w:sz="4" w:space="0"/>
              <w:bottom w:val="single" w:color="000000" w:sz="4" w:space="0"/>
              <w:right w:val="single" w:color="000000" w:sz="4" w:space="0"/>
            </w:tcBorders>
            <w:vAlign w:val="center"/>
          </w:tcPr>
          <w:p w14:paraId="376FC635">
            <w:pPr>
              <w:snapToGrid w:val="0"/>
              <w:spacing w:line="360" w:lineRule="exact"/>
              <w:jc w:val="center"/>
              <w:rPr>
                <w:rFonts w:ascii="宋体" w:hAnsi="宋体"/>
                <w:b/>
                <w:bCs/>
                <w:color w:val="auto"/>
                <w:szCs w:val="21"/>
                <w:highlight w:val="none"/>
              </w:rPr>
            </w:pPr>
            <w:r>
              <w:rPr>
                <w:rFonts w:hint="eastAsia" w:ascii="宋体" w:hAnsi="宋体"/>
                <w:b/>
                <w:bCs/>
                <w:color w:val="auto"/>
                <w:szCs w:val="21"/>
                <w:highlight w:val="none"/>
              </w:rPr>
              <w:t>技术要求</w:t>
            </w:r>
          </w:p>
        </w:tc>
      </w:tr>
      <w:tr w14:paraId="40AE9F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4CB68AA4">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1402" w:type="dxa"/>
            <w:tcBorders>
              <w:top w:val="single" w:color="000000" w:sz="4" w:space="0"/>
              <w:left w:val="single" w:color="auto" w:sz="4" w:space="0"/>
              <w:bottom w:val="single" w:color="000000" w:sz="4" w:space="0"/>
              <w:right w:val="single" w:color="000000" w:sz="4" w:space="0"/>
            </w:tcBorders>
            <w:vAlign w:val="center"/>
          </w:tcPr>
          <w:p w14:paraId="11F19C3C">
            <w:pPr>
              <w:spacing w:line="360" w:lineRule="exact"/>
              <w:jc w:val="center"/>
              <w:rPr>
                <w:rFonts w:ascii="宋体" w:hAnsi="宋体"/>
                <w:color w:val="auto"/>
                <w:szCs w:val="21"/>
                <w:highlight w:val="none"/>
              </w:rPr>
            </w:pPr>
            <w:r>
              <w:rPr>
                <w:rFonts w:hint="eastAsia" w:ascii="宋体" w:hAnsi="宋体"/>
                <w:color w:val="auto"/>
                <w:szCs w:val="21"/>
                <w:highlight w:val="none"/>
              </w:rPr>
              <w:t>超高清摄像机</w:t>
            </w:r>
          </w:p>
        </w:tc>
        <w:tc>
          <w:tcPr>
            <w:tcW w:w="704" w:type="dxa"/>
            <w:tcBorders>
              <w:top w:val="single" w:color="000000" w:sz="4" w:space="0"/>
              <w:left w:val="single" w:color="000000" w:sz="4" w:space="0"/>
              <w:bottom w:val="single" w:color="000000" w:sz="4" w:space="0"/>
              <w:right w:val="single" w:color="000000" w:sz="4" w:space="0"/>
            </w:tcBorders>
            <w:vAlign w:val="center"/>
          </w:tcPr>
          <w:p w14:paraId="7D03576D">
            <w:pPr>
              <w:spacing w:line="360" w:lineRule="exact"/>
              <w:jc w:val="center"/>
              <w:rPr>
                <w:rFonts w:ascii="宋体" w:hAnsi="宋体"/>
                <w:color w:val="auto"/>
                <w:szCs w:val="21"/>
                <w:highlight w:val="none"/>
              </w:rPr>
            </w:pPr>
            <w:r>
              <w:rPr>
                <w:rFonts w:hint="eastAsia" w:ascii="宋体" w:hAnsi="宋体"/>
                <w:color w:val="auto"/>
                <w:szCs w:val="21"/>
                <w:highlight w:val="none"/>
              </w:rPr>
              <w:t>3</w:t>
            </w:r>
          </w:p>
        </w:tc>
        <w:tc>
          <w:tcPr>
            <w:tcW w:w="703" w:type="dxa"/>
            <w:tcBorders>
              <w:top w:val="single" w:color="000000" w:sz="4" w:space="0"/>
              <w:left w:val="single" w:color="000000" w:sz="4" w:space="0"/>
              <w:bottom w:val="single" w:color="auto" w:sz="4" w:space="0"/>
              <w:right w:val="single" w:color="000000" w:sz="4" w:space="0"/>
            </w:tcBorders>
            <w:vAlign w:val="center"/>
          </w:tcPr>
          <w:p w14:paraId="043DE231">
            <w:pPr>
              <w:spacing w:line="360" w:lineRule="exact"/>
              <w:jc w:val="center"/>
              <w:rPr>
                <w:rFonts w:ascii="宋体" w:hAnsi="宋体"/>
                <w:color w:val="auto"/>
                <w:szCs w:val="21"/>
                <w:highlight w:val="none"/>
              </w:rPr>
            </w:pPr>
            <w:r>
              <w:rPr>
                <w:rFonts w:hint="eastAsia" w:ascii="宋体" w:hAnsi="宋体"/>
                <w:color w:val="auto"/>
                <w:szCs w:val="21"/>
                <w:highlight w:val="none"/>
              </w:rPr>
              <w:t>台</w:t>
            </w:r>
          </w:p>
        </w:tc>
        <w:tc>
          <w:tcPr>
            <w:tcW w:w="702" w:type="dxa"/>
            <w:vMerge w:val="restart"/>
            <w:tcBorders>
              <w:top w:val="single" w:color="000000" w:sz="4" w:space="0"/>
              <w:left w:val="single" w:color="000000" w:sz="4" w:space="0"/>
              <w:right w:val="single" w:color="000000" w:sz="4" w:space="0"/>
            </w:tcBorders>
            <w:vAlign w:val="center"/>
          </w:tcPr>
          <w:p w14:paraId="551B335D">
            <w:pPr>
              <w:spacing w:line="360" w:lineRule="exact"/>
              <w:jc w:val="center"/>
              <w:rPr>
                <w:rFonts w:ascii="宋体" w:hAnsi="宋体"/>
                <w:color w:val="auto"/>
                <w:szCs w:val="21"/>
                <w:highlight w:val="none"/>
              </w:rPr>
            </w:pPr>
            <w:r>
              <w:rPr>
                <w:rFonts w:hint="eastAsia" w:ascii="宋体" w:hAnsi="宋体"/>
                <w:color w:val="auto"/>
                <w:szCs w:val="21"/>
                <w:highlight w:val="none"/>
              </w:rPr>
              <w:t>工业</w:t>
            </w:r>
          </w:p>
        </w:tc>
        <w:tc>
          <w:tcPr>
            <w:tcW w:w="4711" w:type="dxa"/>
            <w:tcBorders>
              <w:top w:val="single" w:color="000000" w:sz="4" w:space="0"/>
              <w:left w:val="single" w:color="000000" w:sz="4" w:space="0"/>
              <w:bottom w:val="single" w:color="auto" w:sz="4" w:space="0"/>
              <w:right w:val="single" w:color="000000" w:sz="4" w:space="0"/>
            </w:tcBorders>
            <w:vAlign w:val="center"/>
          </w:tcPr>
          <w:p w14:paraId="0F8E4E28">
            <w:pPr>
              <w:spacing w:line="360" w:lineRule="exact"/>
              <w:jc w:val="left"/>
              <w:rPr>
                <w:rFonts w:hint="eastAsia" w:ascii="宋体" w:hAnsi="宋体"/>
                <w:color w:val="auto"/>
                <w:szCs w:val="21"/>
                <w:highlight w:val="none"/>
              </w:rPr>
            </w:pPr>
            <w:r>
              <w:rPr>
                <w:rFonts w:hint="eastAsia" w:ascii="宋体" w:hAnsi="宋体"/>
                <w:color w:val="auto"/>
                <w:szCs w:val="21"/>
                <w:highlight w:val="none"/>
              </w:rPr>
              <w:t>1.成像器件：参考或相当于1/2英寸3片式4K CMOS影像传感器。</w:t>
            </w:r>
          </w:p>
          <w:p w14:paraId="61590010">
            <w:pPr>
              <w:spacing w:line="360" w:lineRule="exact"/>
              <w:jc w:val="left"/>
              <w:rPr>
                <w:rFonts w:hint="eastAsia" w:ascii="宋体" w:hAnsi="宋体"/>
                <w:color w:val="auto"/>
                <w:szCs w:val="21"/>
                <w:highlight w:val="none"/>
              </w:rPr>
            </w:pPr>
            <w:r>
              <w:rPr>
                <w:rFonts w:hint="eastAsia" w:ascii="宋体" w:hAnsi="宋体"/>
                <w:color w:val="auto"/>
                <w:szCs w:val="21"/>
                <w:highlight w:val="none"/>
              </w:rPr>
              <w:t>2.镜头：F1.9恒定光圈，≥17倍光学变焦。</w:t>
            </w:r>
          </w:p>
          <w:p w14:paraId="2E64541C">
            <w:pPr>
              <w:spacing w:line="360" w:lineRule="exact"/>
              <w:jc w:val="left"/>
              <w:rPr>
                <w:rFonts w:hint="eastAsia" w:ascii="宋体" w:hAnsi="宋体"/>
                <w:color w:val="auto"/>
                <w:szCs w:val="21"/>
                <w:highlight w:val="none"/>
              </w:rPr>
            </w:pPr>
            <w:r>
              <w:rPr>
                <w:rFonts w:hint="eastAsia" w:ascii="宋体" w:hAnsi="宋体"/>
                <w:color w:val="auto"/>
                <w:szCs w:val="21"/>
                <w:highlight w:val="none"/>
              </w:rPr>
              <w:t>3.灵敏度：F13。</w:t>
            </w:r>
          </w:p>
          <w:p w14:paraId="59FB7808">
            <w:pPr>
              <w:spacing w:line="360" w:lineRule="exact"/>
              <w:jc w:val="left"/>
              <w:rPr>
                <w:rFonts w:hint="eastAsia" w:ascii="宋体" w:hAnsi="宋体"/>
                <w:color w:val="auto"/>
                <w:szCs w:val="21"/>
                <w:highlight w:val="none"/>
              </w:rPr>
            </w:pPr>
            <w:r>
              <w:rPr>
                <w:rFonts w:hint="eastAsia" w:ascii="宋体" w:hAnsi="宋体"/>
                <w:color w:val="auto"/>
                <w:szCs w:val="21"/>
                <w:highlight w:val="none"/>
              </w:rPr>
              <w:t>4.美颜功能：具备肤色优化磨皮美颜功能。</w:t>
            </w:r>
          </w:p>
          <w:p w14:paraId="1F38BE26">
            <w:pPr>
              <w:spacing w:line="360" w:lineRule="exact"/>
              <w:jc w:val="left"/>
              <w:rPr>
                <w:rFonts w:hint="eastAsia" w:ascii="宋体" w:hAnsi="宋体"/>
                <w:color w:val="auto"/>
                <w:szCs w:val="21"/>
                <w:highlight w:val="none"/>
              </w:rPr>
            </w:pPr>
            <w:r>
              <w:rPr>
                <w:rFonts w:hint="eastAsia" w:ascii="宋体" w:hAnsi="宋体"/>
                <w:color w:val="auto"/>
                <w:szCs w:val="21"/>
                <w:highlight w:val="none"/>
              </w:rPr>
              <w:t>5.输出接口：具备12G-SDI、UVC、SRT、RTMP输出及FTP文件传输功能。</w:t>
            </w:r>
          </w:p>
          <w:p w14:paraId="5EE37937">
            <w:pPr>
              <w:spacing w:line="360" w:lineRule="exact"/>
              <w:jc w:val="left"/>
              <w:rPr>
                <w:rFonts w:hint="eastAsia" w:ascii="宋体" w:hAnsi="宋体"/>
                <w:color w:val="auto"/>
                <w:szCs w:val="21"/>
                <w:highlight w:val="none"/>
              </w:rPr>
            </w:pPr>
            <w:r>
              <w:rPr>
                <w:rFonts w:hint="eastAsia" w:ascii="宋体" w:hAnsi="宋体"/>
                <w:color w:val="auto"/>
                <w:szCs w:val="21"/>
                <w:highlight w:val="none"/>
              </w:rPr>
              <w:t>6.同步接口：具备GENLOCK、TC接口。</w:t>
            </w:r>
          </w:p>
          <w:p w14:paraId="57AE22C6">
            <w:pPr>
              <w:spacing w:line="360" w:lineRule="exact"/>
              <w:jc w:val="left"/>
              <w:rPr>
                <w:rFonts w:hint="eastAsia" w:ascii="宋体" w:hAnsi="宋体"/>
                <w:color w:val="auto"/>
                <w:szCs w:val="21"/>
                <w:highlight w:val="none"/>
              </w:rPr>
            </w:pPr>
            <w:r>
              <w:rPr>
                <w:rFonts w:hint="eastAsia" w:ascii="宋体" w:hAnsi="宋体"/>
                <w:color w:val="auto"/>
                <w:szCs w:val="21"/>
                <w:highlight w:val="none"/>
              </w:rPr>
              <w:t>7.监看：灵动LCD支架结构，允许拍摄时灵活调整监看角度。</w:t>
            </w:r>
          </w:p>
          <w:p w14:paraId="4E78E011">
            <w:pPr>
              <w:spacing w:line="360" w:lineRule="exact"/>
              <w:jc w:val="left"/>
              <w:rPr>
                <w:rFonts w:hint="eastAsia" w:ascii="宋体" w:hAnsi="宋体"/>
                <w:color w:val="auto"/>
                <w:szCs w:val="21"/>
                <w:highlight w:val="none"/>
              </w:rPr>
            </w:pPr>
            <w:r>
              <w:rPr>
                <w:rFonts w:hint="eastAsia" w:ascii="宋体" w:hAnsi="宋体"/>
                <w:color w:val="auto"/>
                <w:szCs w:val="21"/>
                <w:highlight w:val="none"/>
              </w:rPr>
              <w:t>8.AI识别：AI处理单元能够基于人类肢体结构、姿态等信息精准识别画面中的人类主体；即使被拍摄者背对镜头或面部不可见（如佩戴头盔或口罩），也能实现可靠的识别与对焦。</w:t>
            </w:r>
          </w:p>
          <w:p w14:paraId="0E38D9B9">
            <w:pPr>
              <w:spacing w:line="360" w:lineRule="exact"/>
              <w:jc w:val="left"/>
              <w:rPr>
                <w:rFonts w:hint="eastAsia" w:ascii="宋体" w:hAnsi="宋体"/>
                <w:color w:val="auto"/>
                <w:szCs w:val="21"/>
                <w:highlight w:val="none"/>
              </w:rPr>
            </w:pPr>
            <w:r>
              <w:rPr>
                <w:rFonts w:hint="eastAsia" w:ascii="宋体" w:hAnsi="宋体"/>
                <w:color w:val="auto"/>
                <w:szCs w:val="21"/>
                <w:highlight w:val="none"/>
              </w:rPr>
              <w:t>9.扩展接口：机侧具备V型拓展接口座。</w:t>
            </w:r>
          </w:p>
          <w:p w14:paraId="3605571D">
            <w:pPr>
              <w:spacing w:line="360" w:lineRule="exact"/>
              <w:jc w:val="left"/>
              <w:rPr>
                <w:rFonts w:hint="eastAsia" w:ascii="宋体" w:hAnsi="宋体"/>
                <w:color w:val="auto"/>
                <w:szCs w:val="21"/>
                <w:highlight w:val="none"/>
              </w:rPr>
            </w:pPr>
            <w:r>
              <w:rPr>
                <w:rFonts w:hint="eastAsia" w:ascii="宋体" w:hAnsi="宋体"/>
                <w:color w:val="auto"/>
                <w:szCs w:val="21"/>
                <w:highlight w:val="none"/>
              </w:rPr>
              <w:t>10.存储：双卡槽均兼容CFexpress Type A及SDXC UHS-II/UHS-I存储卡。</w:t>
            </w:r>
          </w:p>
          <w:p w14:paraId="05EBC343">
            <w:pPr>
              <w:spacing w:line="360" w:lineRule="exact"/>
              <w:jc w:val="left"/>
              <w:rPr>
                <w:rFonts w:ascii="宋体" w:hAnsi="宋体"/>
                <w:color w:val="auto"/>
                <w:szCs w:val="21"/>
                <w:highlight w:val="none"/>
              </w:rPr>
            </w:pPr>
            <w:r>
              <w:rPr>
                <w:rFonts w:hint="eastAsia" w:ascii="宋体" w:hAnsi="宋体"/>
                <w:color w:val="auto"/>
                <w:szCs w:val="21"/>
                <w:highlight w:val="none"/>
              </w:rPr>
              <w:t>11.供电：可使用USB Type-C接口，通过USB Power Delivery（USB PD）协议电源适配器供电。</w:t>
            </w:r>
          </w:p>
        </w:tc>
      </w:tr>
      <w:tr w14:paraId="14B8CF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0616D603">
            <w:pPr>
              <w:spacing w:line="360" w:lineRule="exact"/>
              <w:jc w:val="center"/>
              <w:rPr>
                <w:rFonts w:ascii="宋体" w:hAnsi="宋体"/>
                <w:color w:val="auto"/>
                <w:szCs w:val="21"/>
                <w:highlight w:val="none"/>
              </w:rPr>
            </w:pPr>
            <w:r>
              <w:rPr>
                <w:rFonts w:ascii="宋体" w:hAnsi="宋体"/>
                <w:color w:val="auto"/>
                <w:szCs w:val="21"/>
                <w:highlight w:val="none"/>
              </w:rPr>
              <w:t>2</w:t>
            </w:r>
          </w:p>
        </w:tc>
        <w:tc>
          <w:tcPr>
            <w:tcW w:w="1402" w:type="dxa"/>
            <w:tcBorders>
              <w:top w:val="single" w:color="000000" w:sz="4" w:space="0"/>
              <w:left w:val="single" w:color="auto" w:sz="4" w:space="0"/>
              <w:bottom w:val="single" w:color="000000" w:sz="4" w:space="0"/>
              <w:right w:val="single" w:color="000000" w:sz="4" w:space="0"/>
            </w:tcBorders>
            <w:vAlign w:val="center"/>
          </w:tcPr>
          <w:p w14:paraId="351CF31A">
            <w:pPr>
              <w:spacing w:line="360" w:lineRule="exact"/>
              <w:jc w:val="center"/>
              <w:rPr>
                <w:rFonts w:ascii="宋体" w:hAnsi="宋体"/>
                <w:color w:val="auto"/>
                <w:szCs w:val="21"/>
                <w:highlight w:val="none"/>
              </w:rPr>
            </w:pPr>
            <w:r>
              <w:rPr>
                <w:rFonts w:hint="eastAsia" w:ascii="宋体" w:hAnsi="宋体"/>
                <w:color w:val="auto"/>
                <w:szCs w:val="21"/>
                <w:highlight w:val="none"/>
              </w:rPr>
              <w:t>无线导播通话系统</w:t>
            </w:r>
          </w:p>
        </w:tc>
        <w:tc>
          <w:tcPr>
            <w:tcW w:w="704" w:type="dxa"/>
            <w:tcBorders>
              <w:top w:val="single" w:color="000000" w:sz="4" w:space="0"/>
              <w:left w:val="single" w:color="000000" w:sz="4" w:space="0"/>
              <w:bottom w:val="single" w:color="000000" w:sz="4" w:space="0"/>
              <w:right w:val="single" w:color="000000" w:sz="4" w:space="0"/>
            </w:tcBorders>
            <w:vAlign w:val="center"/>
          </w:tcPr>
          <w:p w14:paraId="32A70742">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703" w:type="dxa"/>
            <w:tcBorders>
              <w:top w:val="single" w:color="auto" w:sz="4" w:space="0"/>
              <w:left w:val="single" w:color="000000" w:sz="4" w:space="0"/>
              <w:bottom w:val="single" w:color="auto" w:sz="4" w:space="0"/>
              <w:right w:val="single" w:color="000000" w:sz="4" w:space="0"/>
            </w:tcBorders>
            <w:vAlign w:val="center"/>
          </w:tcPr>
          <w:p w14:paraId="4CCE4E82">
            <w:pPr>
              <w:spacing w:line="360" w:lineRule="exact"/>
              <w:jc w:val="center"/>
              <w:rPr>
                <w:rFonts w:ascii="宋体" w:hAnsi="宋体"/>
                <w:color w:val="auto"/>
                <w:szCs w:val="21"/>
                <w:highlight w:val="none"/>
              </w:rPr>
            </w:pPr>
            <w:r>
              <w:rPr>
                <w:rFonts w:hint="eastAsia" w:ascii="宋体" w:hAnsi="宋体"/>
                <w:color w:val="auto"/>
                <w:szCs w:val="21"/>
                <w:highlight w:val="none"/>
              </w:rPr>
              <w:t>套</w:t>
            </w:r>
          </w:p>
        </w:tc>
        <w:tc>
          <w:tcPr>
            <w:tcW w:w="702" w:type="dxa"/>
            <w:vMerge w:val="continue"/>
            <w:tcBorders>
              <w:left w:val="single" w:color="000000" w:sz="4" w:space="0"/>
              <w:right w:val="single" w:color="000000" w:sz="4" w:space="0"/>
            </w:tcBorders>
            <w:vAlign w:val="center"/>
          </w:tcPr>
          <w:p w14:paraId="21A6C1C5">
            <w:pPr>
              <w:spacing w:line="360" w:lineRule="exact"/>
              <w:jc w:val="center"/>
              <w:rPr>
                <w:rFonts w:ascii="宋体" w:hAnsi="宋体"/>
                <w:color w:val="auto"/>
                <w:szCs w:val="21"/>
                <w:highlight w:val="none"/>
              </w:rPr>
            </w:pPr>
          </w:p>
        </w:tc>
        <w:tc>
          <w:tcPr>
            <w:tcW w:w="4711" w:type="dxa"/>
            <w:tcBorders>
              <w:top w:val="single" w:color="auto" w:sz="4" w:space="0"/>
              <w:left w:val="single" w:color="000000" w:sz="4" w:space="0"/>
              <w:bottom w:val="single" w:color="auto" w:sz="4" w:space="0"/>
              <w:right w:val="single" w:color="000000" w:sz="4" w:space="0"/>
            </w:tcBorders>
            <w:vAlign w:val="center"/>
          </w:tcPr>
          <w:p w14:paraId="156475AA">
            <w:pPr>
              <w:spacing w:line="360" w:lineRule="exact"/>
              <w:jc w:val="left"/>
              <w:rPr>
                <w:rFonts w:ascii="宋体" w:hAnsi="宋体"/>
                <w:color w:val="auto"/>
                <w:szCs w:val="21"/>
                <w:highlight w:val="none"/>
              </w:rPr>
            </w:pPr>
            <w:r>
              <w:rPr>
                <w:rFonts w:hint="eastAsia" w:ascii="宋体" w:hAnsi="宋体"/>
                <w:color w:val="auto"/>
                <w:szCs w:val="21"/>
                <w:highlight w:val="none"/>
              </w:rPr>
              <w:t>1.频率范围：400~470MHz。</w:t>
            </w:r>
          </w:p>
          <w:p w14:paraId="4A02BF18">
            <w:pPr>
              <w:spacing w:line="360" w:lineRule="exact"/>
              <w:jc w:val="left"/>
              <w:rPr>
                <w:rFonts w:ascii="宋体" w:hAnsi="宋体"/>
                <w:color w:val="auto"/>
                <w:szCs w:val="21"/>
                <w:highlight w:val="none"/>
              </w:rPr>
            </w:pPr>
            <w:r>
              <w:rPr>
                <w:rFonts w:hint="eastAsia" w:ascii="宋体" w:hAnsi="宋体"/>
                <w:color w:val="auto"/>
                <w:szCs w:val="21"/>
                <w:highlight w:val="none"/>
              </w:rPr>
              <w:t>2.通话距离：视距无干扰传输≥1000米。</w:t>
            </w:r>
          </w:p>
          <w:p w14:paraId="6669C85E">
            <w:pPr>
              <w:spacing w:line="360" w:lineRule="exact"/>
              <w:jc w:val="left"/>
              <w:rPr>
                <w:rFonts w:ascii="宋体" w:hAnsi="宋体"/>
                <w:color w:val="auto"/>
                <w:szCs w:val="21"/>
                <w:highlight w:val="none"/>
              </w:rPr>
            </w:pPr>
            <w:r>
              <w:rPr>
                <w:rFonts w:hint="eastAsia" w:ascii="宋体" w:hAnsi="宋体"/>
                <w:color w:val="auto"/>
                <w:szCs w:val="21"/>
                <w:highlight w:val="none"/>
              </w:rPr>
              <w:t>3.穿墙距离：普通楼体≥6层。</w:t>
            </w:r>
          </w:p>
          <w:p w14:paraId="0338B763">
            <w:pPr>
              <w:spacing w:line="360" w:lineRule="exact"/>
              <w:jc w:val="left"/>
              <w:rPr>
                <w:rFonts w:ascii="宋体" w:hAnsi="宋体"/>
                <w:color w:val="auto"/>
                <w:szCs w:val="21"/>
                <w:highlight w:val="none"/>
              </w:rPr>
            </w:pPr>
            <w:r>
              <w:rPr>
                <w:rFonts w:hint="eastAsia" w:ascii="宋体" w:hAnsi="宋体"/>
                <w:color w:val="auto"/>
                <w:szCs w:val="21"/>
                <w:highlight w:val="none"/>
              </w:rPr>
              <w:t>4.发射功率：≥1W。</w:t>
            </w:r>
          </w:p>
          <w:p w14:paraId="31E00065">
            <w:pPr>
              <w:spacing w:line="360" w:lineRule="exact"/>
              <w:jc w:val="left"/>
              <w:rPr>
                <w:rFonts w:ascii="宋体" w:hAnsi="宋体"/>
                <w:color w:val="auto"/>
                <w:szCs w:val="21"/>
                <w:highlight w:val="none"/>
              </w:rPr>
            </w:pPr>
            <w:r>
              <w:rPr>
                <w:rFonts w:hint="eastAsia" w:ascii="宋体" w:hAnsi="宋体"/>
                <w:color w:val="auto"/>
                <w:szCs w:val="21"/>
                <w:highlight w:val="none"/>
              </w:rPr>
              <w:t>5.通话方式：免按键操作，解放双手。</w:t>
            </w:r>
          </w:p>
          <w:p w14:paraId="797BFBB5">
            <w:pPr>
              <w:spacing w:line="360" w:lineRule="exact"/>
              <w:jc w:val="left"/>
              <w:rPr>
                <w:rFonts w:ascii="宋体" w:hAnsi="宋体"/>
                <w:color w:val="auto"/>
                <w:szCs w:val="21"/>
                <w:highlight w:val="none"/>
              </w:rPr>
            </w:pPr>
            <w:r>
              <w:rPr>
                <w:rFonts w:hint="eastAsia" w:ascii="宋体" w:hAnsi="宋体"/>
                <w:color w:val="auto"/>
                <w:szCs w:val="21"/>
                <w:highlight w:val="none"/>
              </w:rPr>
              <w:t>6.主机尺寸/重量：≤440×255×44mm，≤2kg。</w:t>
            </w:r>
          </w:p>
          <w:p w14:paraId="24743781">
            <w:pPr>
              <w:spacing w:line="360" w:lineRule="exact"/>
              <w:jc w:val="left"/>
              <w:rPr>
                <w:rFonts w:ascii="宋体" w:hAnsi="宋体"/>
                <w:color w:val="auto"/>
                <w:szCs w:val="21"/>
                <w:highlight w:val="none"/>
              </w:rPr>
            </w:pPr>
            <w:r>
              <w:rPr>
                <w:rFonts w:hint="eastAsia" w:ascii="宋体" w:hAnsi="宋体"/>
                <w:color w:val="auto"/>
                <w:szCs w:val="21"/>
                <w:highlight w:val="none"/>
              </w:rPr>
              <w:t>7.分机扩展：主机支持分机数量不限，可随时增加。</w:t>
            </w:r>
          </w:p>
          <w:p w14:paraId="1982274F">
            <w:pPr>
              <w:spacing w:line="360" w:lineRule="exact"/>
              <w:jc w:val="left"/>
              <w:rPr>
                <w:rFonts w:ascii="宋体" w:hAnsi="宋体"/>
                <w:color w:val="auto"/>
                <w:szCs w:val="21"/>
                <w:highlight w:val="none"/>
              </w:rPr>
            </w:pPr>
            <w:r>
              <w:rPr>
                <w:rFonts w:hint="eastAsia" w:ascii="宋体" w:hAnsi="宋体"/>
                <w:color w:val="auto"/>
                <w:szCs w:val="21"/>
                <w:highlight w:val="none"/>
              </w:rPr>
              <w:t>8.通话类型：支持单独通话、分组通话，可任意选择。</w:t>
            </w:r>
          </w:p>
          <w:p w14:paraId="312AB434">
            <w:pPr>
              <w:spacing w:line="360" w:lineRule="exact"/>
              <w:jc w:val="left"/>
              <w:rPr>
                <w:rFonts w:ascii="宋体" w:hAnsi="宋体"/>
                <w:color w:val="auto"/>
                <w:szCs w:val="21"/>
                <w:highlight w:val="none"/>
              </w:rPr>
            </w:pPr>
            <w:r>
              <w:rPr>
                <w:rFonts w:hint="eastAsia" w:ascii="宋体" w:hAnsi="宋体"/>
                <w:color w:val="auto"/>
                <w:szCs w:val="21"/>
                <w:highlight w:val="none"/>
              </w:rPr>
              <w:t>9.Tally支持：IP协议可支持≥40路红绿Tally；</w:t>
            </w:r>
          </w:p>
          <w:p w14:paraId="4E4FF2B3">
            <w:pPr>
              <w:spacing w:line="360" w:lineRule="exact"/>
              <w:jc w:val="left"/>
              <w:rPr>
                <w:rFonts w:ascii="宋体" w:hAnsi="宋体"/>
                <w:color w:val="auto"/>
                <w:szCs w:val="21"/>
                <w:highlight w:val="none"/>
              </w:rPr>
            </w:pPr>
            <w:r>
              <w:rPr>
                <w:rFonts w:hint="eastAsia" w:ascii="宋体" w:hAnsi="宋体"/>
                <w:color w:val="auto"/>
                <w:szCs w:val="21"/>
                <w:highlight w:val="none"/>
              </w:rPr>
              <w:t>10.分机尺寸/重量：≤25×70×102mm，≤220g。</w:t>
            </w:r>
          </w:p>
          <w:p w14:paraId="6C1EA5A0">
            <w:pPr>
              <w:spacing w:line="360" w:lineRule="exact"/>
              <w:jc w:val="left"/>
              <w:rPr>
                <w:rFonts w:ascii="宋体" w:hAnsi="宋体"/>
                <w:color w:val="auto"/>
                <w:szCs w:val="21"/>
                <w:highlight w:val="none"/>
              </w:rPr>
            </w:pPr>
            <w:r>
              <w:rPr>
                <w:rFonts w:hint="eastAsia" w:ascii="宋体" w:hAnsi="宋体"/>
                <w:color w:val="auto"/>
                <w:szCs w:val="21"/>
                <w:highlight w:val="none"/>
              </w:rPr>
              <w:t>11.分机电池：3.7V锂离子可充电电池，容量≥5000mAh。</w:t>
            </w:r>
          </w:p>
          <w:p w14:paraId="6EC4DAD7">
            <w:pPr>
              <w:spacing w:line="360" w:lineRule="exact"/>
              <w:jc w:val="left"/>
              <w:rPr>
                <w:rFonts w:ascii="宋体" w:hAnsi="宋体"/>
                <w:color w:val="auto"/>
                <w:szCs w:val="21"/>
                <w:highlight w:val="none"/>
              </w:rPr>
            </w:pPr>
            <w:r>
              <w:rPr>
                <w:rFonts w:hint="eastAsia" w:ascii="宋体" w:hAnsi="宋体"/>
                <w:color w:val="auto"/>
                <w:szCs w:val="21"/>
                <w:highlight w:val="none"/>
              </w:rPr>
              <w:t>12.分机待机功率：≤40mW/10mA。</w:t>
            </w:r>
          </w:p>
          <w:p w14:paraId="110C63B8">
            <w:pPr>
              <w:spacing w:line="360" w:lineRule="exact"/>
              <w:jc w:val="left"/>
              <w:rPr>
                <w:rFonts w:ascii="宋体" w:hAnsi="宋体"/>
                <w:color w:val="auto"/>
                <w:szCs w:val="21"/>
                <w:highlight w:val="none"/>
              </w:rPr>
            </w:pPr>
            <w:r>
              <w:rPr>
                <w:rFonts w:hint="eastAsia" w:ascii="宋体" w:hAnsi="宋体"/>
                <w:color w:val="auto"/>
                <w:szCs w:val="21"/>
                <w:highlight w:val="none"/>
              </w:rPr>
              <w:t>13.分机待机时间：≥15天。</w:t>
            </w:r>
          </w:p>
          <w:p w14:paraId="235A35D4">
            <w:pPr>
              <w:spacing w:line="360" w:lineRule="exact"/>
              <w:jc w:val="left"/>
              <w:rPr>
                <w:rFonts w:ascii="宋体" w:hAnsi="宋体"/>
                <w:color w:val="auto"/>
                <w:szCs w:val="21"/>
                <w:highlight w:val="none"/>
              </w:rPr>
            </w:pPr>
            <w:r>
              <w:rPr>
                <w:rFonts w:hint="eastAsia" w:ascii="宋体" w:hAnsi="宋体"/>
                <w:color w:val="auto"/>
                <w:szCs w:val="21"/>
                <w:highlight w:val="none"/>
              </w:rPr>
              <w:t>14.分机持续通话时间：≥28小时。</w:t>
            </w:r>
          </w:p>
          <w:p w14:paraId="56CFD164">
            <w:pPr>
              <w:spacing w:line="360" w:lineRule="exact"/>
              <w:jc w:val="left"/>
              <w:rPr>
                <w:rFonts w:ascii="宋体" w:hAnsi="宋体"/>
                <w:color w:val="auto"/>
                <w:szCs w:val="21"/>
                <w:highlight w:val="none"/>
              </w:rPr>
            </w:pPr>
            <w:r>
              <w:rPr>
                <w:rFonts w:hint="eastAsia" w:ascii="宋体" w:hAnsi="宋体"/>
                <w:color w:val="auto"/>
                <w:szCs w:val="21"/>
                <w:highlight w:val="none"/>
              </w:rPr>
              <w:t>15.信道数：≥150个。</w:t>
            </w:r>
          </w:p>
          <w:p w14:paraId="7DA0DF30">
            <w:pPr>
              <w:spacing w:line="360" w:lineRule="exact"/>
              <w:jc w:val="left"/>
              <w:rPr>
                <w:rFonts w:ascii="宋体" w:hAnsi="宋体"/>
                <w:color w:val="auto"/>
                <w:szCs w:val="21"/>
                <w:highlight w:val="none"/>
              </w:rPr>
            </w:pPr>
            <w:r>
              <w:rPr>
                <w:rFonts w:hint="eastAsia" w:ascii="宋体" w:hAnsi="宋体"/>
                <w:color w:val="auto"/>
                <w:szCs w:val="21"/>
                <w:highlight w:val="none"/>
              </w:rPr>
              <w:t>16.灵敏度：≤-97dBm。</w:t>
            </w:r>
          </w:p>
          <w:p w14:paraId="1F9F29ED">
            <w:pPr>
              <w:spacing w:line="360" w:lineRule="exact"/>
              <w:jc w:val="left"/>
              <w:rPr>
                <w:rFonts w:ascii="宋体" w:hAnsi="宋体"/>
                <w:color w:val="auto"/>
                <w:szCs w:val="21"/>
                <w:highlight w:val="none"/>
              </w:rPr>
            </w:pPr>
            <w:r>
              <w:rPr>
                <w:rFonts w:hint="eastAsia" w:ascii="宋体" w:hAnsi="宋体"/>
                <w:color w:val="auto"/>
                <w:szCs w:val="21"/>
                <w:highlight w:val="none"/>
              </w:rPr>
              <w:t>17.加密方式：32位通信密码。</w:t>
            </w:r>
          </w:p>
          <w:p w14:paraId="38183BBF">
            <w:pPr>
              <w:spacing w:line="360" w:lineRule="exact"/>
              <w:jc w:val="left"/>
              <w:rPr>
                <w:rFonts w:ascii="宋体" w:hAnsi="宋体"/>
                <w:color w:val="auto"/>
                <w:szCs w:val="21"/>
                <w:highlight w:val="none"/>
              </w:rPr>
            </w:pPr>
            <w:r>
              <w:rPr>
                <w:rFonts w:hint="eastAsia" w:ascii="宋体" w:hAnsi="宋体"/>
                <w:color w:val="auto"/>
                <w:szCs w:val="21"/>
                <w:highlight w:val="none"/>
              </w:rPr>
              <w:t>18.数字语音编码：8K采样率16bits精度。</w:t>
            </w:r>
          </w:p>
        </w:tc>
      </w:tr>
      <w:tr w14:paraId="606130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10F495D0">
            <w:pPr>
              <w:spacing w:line="360" w:lineRule="exact"/>
              <w:jc w:val="center"/>
              <w:rPr>
                <w:rFonts w:ascii="宋体" w:hAnsi="宋体"/>
                <w:color w:val="auto"/>
                <w:szCs w:val="21"/>
                <w:highlight w:val="none"/>
              </w:rPr>
            </w:pPr>
            <w:r>
              <w:rPr>
                <w:rFonts w:ascii="宋体" w:hAnsi="宋体"/>
                <w:color w:val="auto"/>
                <w:szCs w:val="21"/>
                <w:highlight w:val="none"/>
              </w:rPr>
              <w:t>3</w:t>
            </w:r>
          </w:p>
        </w:tc>
        <w:tc>
          <w:tcPr>
            <w:tcW w:w="1402" w:type="dxa"/>
            <w:tcBorders>
              <w:top w:val="single" w:color="000000" w:sz="4" w:space="0"/>
              <w:left w:val="single" w:color="auto" w:sz="4" w:space="0"/>
              <w:bottom w:val="single" w:color="000000" w:sz="4" w:space="0"/>
              <w:right w:val="single" w:color="000000" w:sz="4" w:space="0"/>
            </w:tcBorders>
            <w:vAlign w:val="center"/>
          </w:tcPr>
          <w:p w14:paraId="1223F6D3">
            <w:pPr>
              <w:spacing w:line="360" w:lineRule="exact"/>
              <w:jc w:val="center"/>
              <w:rPr>
                <w:rFonts w:ascii="宋体" w:hAnsi="宋体"/>
                <w:color w:val="auto"/>
                <w:szCs w:val="21"/>
                <w:highlight w:val="none"/>
              </w:rPr>
            </w:pPr>
            <w:r>
              <w:rPr>
                <w:rFonts w:hint="eastAsia" w:ascii="宋体" w:hAnsi="宋体"/>
                <w:color w:val="auto"/>
                <w:szCs w:val="21"/>
                <w:highlight w:val="none"/>
              </w:rPr>
              <w:t>存储卡-（1）</w:t>
            </w:r>
          </w:p>
        </w:tc>
        <w:tc>
          <w:tcPr>
            <w:tcW w:w="704" w:type="dxa"/>
            <w:tcBorders>
              <w:top w:val="single" w:color="000000" w:sz="4" w:space="0"/>
              <w:left w:val="single" w:color="000000" w:sz="4" w:space="0"/>
              <w:bottom w:val="single" w:color="000000" w:sz="4" w:space="0"/>
              <w:right w:val="single" w:color="000000" w:sz="4" w:space="0"/>
            </w:tcBorders>
            <w:vAlign w:val="center"/>
          </w:tcPr>
          <w:p w14:paraId="08C0C137">
            <w:pPr>
              <w:spacing w:line="360" w:lineRule="exact"/>
              <w:jc w:val="center"/>
              <w:rPr>
                <w:rFonts w:ascii="宋体" w:hAnsi="宋体"/>
                <w:color w:val="auto"/>
                <w:szCs w:val="21"/>
                <w:highlight w:val="none"/>
              </w:rPr>
            </w:pPr>
            <w:r>
              <w:rPr>
                <w:rFonts w:hint="eastAsia" w:ascii="宋体" w:hAnsi="宋体"/>
                <w:color w:val="auto"/>
                <w:szCs w:val="21"/>
                <w:highlight w:val="none"/>
              </w:rPr>
              <w:t>3</w:t>
            </w:r>
          </w:p>
        </w:tc>
        <w:tc>
          <w:tcPr>
            <w:tcW w:w="703" w:type="dxa"/>
            <w:tcBorders>
              <w:top w:val="single" w:color="auto" w:sz="4" w:space="0"/>
              <w:left w:val="single" w:color="000000" w:sz="4" w:space="0"/>
              <w:bottom w:val="single" w:color="auto" w:sz="4" w:space="0"/>
              <w:right w:val="single" w:color="000000" w:sz="4" w:space="0"/>
            </w:tcBorders>
            <w:vAlign w:val="center"/>
          </w:tcPr>
          <w:p w14:paraId="65C1162C">
            <w:pPr>
              <w:spacing w:line="360" w:lineRule="exact"/>
              <w:jc w:val="center"/>
              <w:rPr>
                <w:rFonts w:ascii="宋体" w:hAnsi="宋体"/>
                <w:color w:val="auto"/>
                <w:szCs w:val="21"/>
                <w:highlight w:val="none"/>
              </w:rPr>
            </w:pPr>
            <w:r>
              <w:rPr>
                <w:rFonts w:hint="eastAsia" w:ascii="宋体" w:hAnsi="宋体"/>
                <w:color w:val="auto"/>
                <w:szCs w:val="21"/>
                <w:highlight w:val="none"/>
              </w:rPr>
              <w:t>张</w:t>
            </w:r>
          </w:p>
        </w:tc>
        <w:tc>
          <w:tcPr>
            <w:tcW w:w="702" w:type="dxa"/>
            <w:vMerge w:val="continue"/>
            <w:tcBorders>
              <w:left w:val="single" w:color="000000" w:sz="4" w:space="0"/>
              <w:right w:val="single" w:color="000000" w:sz="4" w:space="0"/>
            </w:tcBorders>
            <w:vAlign w:val="center"/>
          </w:tcPr>
          <w:p w14:paraId="3B7C82DB">
            <w:pPr>
              <w:jc w:val="center"/>
              <w:rPr>
                <w:color w:val="auto"/>
                <w:highlight w:val="none"/>
              </w:rPr>
            </w:pPr>
          </w:p>
        </w:tc>
        <w:tc>
          <w:tcPr>
            <w:tcW w:w="4711" w:type="dxa"/>
            <w:tcBorders>
              <w:top w:val="single" w:color="000000" w:sz="4" w:space="0"/>
              <w:left w:val="single" w:color="000000" w:sz="4" w:space="0"/>
              <w:bottom w:val="single" w:color="auto" w:sz="4" w:space="0"/>
              <w:right w:val="single" w:color="000000" w:sz="4" w:space="0"/>
            </w:tcBorders>
            <w:vAlign w:val="center"/>
          </w:tcPr>
          <w:p w14:paraId="32B4E27A">
            <w:pPr>
              <w:spacing w:line="360" w:lineRule="exact"/>
              <w:jc w:val="left"/>
              <w:rPr>
                <w:rFonts w:ascii="宋体" w:hAnsi="宋体"/>
                <w:color w:val="auto"/>
                <w:szCs w:val="21"/>
                <w:highlight w:val="none"/>
              </w:rPr>
            </w:pPr>
            <w:r>
              <w:rPr>
                <w:rFonts w:hint="eastAsia" w:ascii="宋体" w:hAnsi="宋体"/>
                <w:color w:val="auto"/>
                <w:szCs w:val="21"/>
                <w:highlight w:val="none"/>
              </w:rPr>
              <w:t>支持CFE-A，容量≥256G。</w:t>
            </w:r>
          </w:p>
        </w:tc>
      </w:tr>
      <w:tr w14:paraId="3FC440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0B98D63A">
            <w:pPr>
              <w:spacing w:line="360" w:lineRule="exact"/>
              <w:jc w:val="center"/>
              <w:rPr>
                <w:rFonts w:ascii="宋体" w:hAnsi="宋体"/>
                <w:color w:val="auto"/>
                <w:szCs w:val="21"/>
                <w:highlight w:val="none"/>
              </w:rPr>
            </w:pPr>
            <w:r>
              <w:rPr>
                <w:rFonts w:hint="eastAsia" w:ascii="宋体" w:hAnsi="宋体"/>
                <w:color w:val="auto"/>
                <w:szCs w:val="21"/>
                <w:highlight w:val="none"/>
              </w:rPr>
              <w:t>4</w:t>
            </w:r>
          </w:p>
        </w:tc>
        <w:tc>
          <w:tcPr>
            <w:tcW w:w="1402" w:type="dxa"/>
            <w:tcBorders>
              <w:top w:val="single" w:color="000000" w:sz="4" w:space="0"/>
              <w:left w:val="single" w:color="auto" w:sz="4" w:space="0"/>
              <w:bottom w:val="single" w:color="000000" w:sz="4" w:space="0"/>
              <w:right w:val="single" w:color="000000" w:sz="4" w:space="0"/>
            </w:tcBorders>
            <w:vAlign w:val="center"/>
          </w:tcPr>
          <w:p w14:paraId="015F2EB0">
            <w:pPr>
              <w:spacing w:line="360" w:lineRule="exact"/>
              <w:jc w:val="center"/>
              <w:rPr>
                <w:rFonts w:ascii="宋体" w:hAnsi="宋体"/>
                <w:color w:val="auto"/>
                <w:szCs w:val="21"/>
                <w:highlight w:val="none"/>
              </w:rPr>
            </w:pPr>
            <w:r>
              <w:rPr>
                <w:rFonts w:hint="eastAsia" w:ascii="宋体" w:hAnsi="宋体"/>
                <w:color w:val="auto"/>
                <w:szCs w:val="21"/>
                <w:highlight w:val="none"/>
              </w:rPr>
              <w:t>读卡器-（1）</w:t>
            </w:r>
          </w:p>
        </w:tc>
        <w:tc>
          <w:tcPr>
            <w:tcW w:w="704" w:type="dxa"/>
            <w:tcBorders>
              <w:top w:val="single" w:color="000000" w:sz="4" w:space="0"/>
              <w:left w:val="single" w:color="000000" w:sz="4" w:space="0"/>
              <w:bottom w:val="single" w:color="000000" w:sz="4" w:space="0"/>
              <w:right w:val="single" w:color="000000" w:sz="4" w:space="0"/>
            </w:tcBorders>
            <w:vAlign w:val="center"/>
          </w:tcPr>
          <w:p w14:paraId="3B8ED195">
            <w:pPr>
              <w:spacing w:line="360" w:lineRule="exact"/>
              <w:jc w:val="center"/>
              <w:rPr>
                <w:rFonts w:ascii="宋体" w:hAnsi="宋体"/>
                <w:color w:val="auto"/>
                <w:szCs w:val="21"/>
                <w:highlight w:val="none"/>
              </w:rPr>
            </w:pPr>
            <w:r>
              <w:rPr>
                <w:rFonts w:hint="eastAsia" w:ascii="宋体" w:hAnsi="宋体"/>
                <w:color w:val="auto"/>
                <w:szCs w:val="21"/>
                <w:highlight w:val="none"/>
              </w:rPr>
              <w:t>3</w:t>
            </w:r>
          </w:p>
        </w:tc>
        <w:tc>
          <w:tcPr>
            <w:tcW w:w="703" w:type="dxa"/>
            <w:tcBorders>
              <w:top w:val="single" w:color="auto" w:sz="4" w:space="0"/>
              <w:left w:val="single" w:color="000000" w:sz="4" w:space="0"/>
              <w:bottom w:val="single" w:color="auto" w:sz="4" w:space="0"/>
              <w:right w:val="single" w:color="000000" w:sz="4" w:space="0"/>
            </w:tcBorders>
            <w:vAlign w:val="center"/>
          </w:tcPr>
          <w:p w14:paraId="710B0B15">
            <w:pPr>
              <w:spacing w:line="360" w:lineRule="exact"/>
              <w:jc w:val="center"/>
              <w:rPr>
                <w:rFonts w:ascii="宋体" w:hAnsi="宋体"/>
                <w:color w:val="auto"/>
                <w:szCs w:val="21"/>
                <w:highlight w:val="none"/>
              </w:rPr>
            </w:pPr>
            <w:r>
              <w:rPr>
                <w:rFonts w:hint="eastAsia" w:ascii="宋体" w:hAnsi="宋体"/>
                <w:color w:val="auto"/>
                <w:szCs w:val="21"/>
                <w:highlight w:val="none"/>
              </w:rPr>
              <w:t>个</w:t>
            </w:r>
          </w:p>
        </w:tc>
        <w:tc>
          <w:tcPr>
            <w:tcW w:w="702" w:type="dxa"/>
            <w:vMerge w:val="continue"/>
            <w:tcBorders>
              <w:left w:val="single" w:color="000000" w:sz="4" w:space="0"/>
              <w:right w:val="single" w:color="000000" w:sz="4" w:space="0"/>
            </w:tcBorders>
            <w:vAlign w:val="center"/>
          </w:tcPr>
          <w:p w14:paraId="4FB514A5">
            <w:pPr>
              <w:jc w:val="center"/>
              <w:rPr>
                <w:color w:val="auto"/>
                <w:highlight w:val="none"/>
              </w:rPr>
            </w:pPr>
          </w:p>
        </w:tc>
        <w:tc>
          <w:tcPr>
            <w:tcW w:w="4711" w:type="dxa"/>
            <w:tcBorders>
              <w:top w:val="single" w:color="auto" w:sz="4" w:space="0"/>
              <w:left w:val="single" w:color="000000" w:sz="4" w:space="0"/>
              <w:bottom w:val="single" w:color="000000" w:sz="4" w:space="0"/>
              <w:right w:val="single" w:color="000000" w:sz="4" w:space="0"/>
            </w:tcBorders>
            <w:vAlign w:val="center"/>
          </w:tcPr>
          <w:p w14:paraId="70E5ED0F">
            <w:pPr>
              <w:spacing w:line="360" w:lineRule="exact"/>
              <w:jc w:val="left"/>
              <w:rPr>
                <w:rFonts w:ascii="宋体" w:hAnsi="宋体"/>
                <w:color w:val="auto"/>
                <w:szCs w:val="21"/>
                <w:highlight w:val="none"/>
              </w:rPr>
            </w:pPr>
            <w:r>
              <w:rPr>
                <w:rFonts w:hint="eastAsia" w:ascii="宋体" w:hAnsi="宋体"/>
                <w:color w:val="auto"/>
                <w:szCs w:val="21"/>
                <w:highlight w:val="none"/>
              </w:rPr>
              <w:t>支持读取SD卡&amp;CFexpress卡；接口：USB3.1。</w:t>
            </w:r>
          </w:p>
        </w:tc>
      </w:tr>
      <w:tr w14:paraId="4EA679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66EF1A00">
            <w:pPr>
              <w:jc w:val="center"/>
              <w:rPr>
                <w:rFonts w:ascii="宋体" w:hAnsi="宋体"/>
                <w:color w:val="auto"/>
                <w:szCs w:val="21"/>
                <w:highlight w:val="none"/>
              </w:rPr>
            </w:pPr>
            <w:r>
              <w:rPr>
                <w:rFonts w:hint="eastAsia" w:ascii="宋体" w:hAnsi="宋体"/>
                <w:color w:val="auto"/>
                <w:szCs w:val="21"/>
                <w:highlight w:val="none"/>
              </w:rPr>
              <w:t>5</w:t>
            </w:r>
          </w:p>
        </w:tc>
        <w:tc>
          <w:tcPr>
            <w:tcW w:w="1402" w:type="dxa"/>
            <w:tcBorders>
              <w:top w:val="single" w:color="000000" w:sz="4" w:space="0"/>
              <w:left w:val="single" w:color="auto" w:sz="4" w:space="0"/>
              <w:bottom w:val="single" w:color="000000" w:sz="4" w:space="0"/>
              <w:right w:val="single" w:color="000000" w:sz="4" w:space="0"/>
            </w:tcBorders>
            <w:vAlign w:val="center"/>
          </w:tcPr>
          <w:p w14:paraId="7DC56BD4">
            <w:pPr>
              <w:spacing w:line="360" w:lineRule="exact"/>
              <w:jc w:val="center"/>
              <w:rPr>
                <w:rFonts w:ascii="宋体" w:hAnsi="宋体"/>
                <w:color w:val="auto"/>
                <w:szCs w:val="21"/>
                <w:highlight w:val="none"/>
              </w:rPr>
            </w:pPr>
            <w:r>
              <w:rPr>
                <w:rFonts w:hint="eastAsia" w:ascii="宋体" w:hAnsi="宋体"/>
                <w:color w:val="auto"/>
                <w:szCs w:val="21"/>
                <w:highlight w:val="none"/>
              </w:rPr>
              <w:t>电池-（1）</w:t>
            </w:r>
          </w:p>
        </w:tc>
        <w:tc>
          <w:tcPr>
            <w:tcW w:w="704" w:type="dxa"/>
            <w:tcBorders>
              <w:top w:val="single" w:color="000000" w:sz="4" w:space="0"/>
              <w:left w:val="single" w:color="000000" w:sz="4" w:space="0"/>
              <w:bottom w:val="single" w:color="000000" w:sz="4" w:space="0"/>
              <w:right w:val="single" w:color="000000" w:sz="4" w:space="0"/>
            </w:tcBorders>
            <w:vAlign w:val="center"/>
          </w:tcPr>
          <w:p w14:paraId="19C6B18F">
            <w:pPr>
              <w:spacing w:line="360" w:lineRule="exact"/>
              <w:jc w:val="center"/>
              <w:rPr>
                <w:rFonts w:ascii="宋体" w:hAnsi="宋体"/>
                <w:color w:val="auto"/>
                <w:szCs w:val="21"/>
                <w:highlight w:val="none"/>
              </w:rPr>
            </w:pPr>
            <w:r>
              <w:rPr>
                <w:rFonts w:hint="eastAsia" w:ascii="宋体" w:hAnsi="宋体"/>
                <w:color w:val="auto"/>
                <w:szCs w:val="21"/>
                <w:highlight w:val="none"/>
              </w:rPr>
              <w:t>3</w:t>
            </w:r>
          </w:p>
        </w:tc>
        <w:tc>
          <w:tcPr>
            <w:tcW w:w="703" w:type="dxa"/>
            <w:tcBorders>
              <w:top w:val="single" w:color="auto" w:sz="4" w:space="0"/>
              <w:left w:val="single" w:color="000000" w:sz="4" w:space="0"/>
              <w:bottom w:val="single" w:color="000000" w:sz="4" w:space="0"/>
              <w:right w:val="single" w:color="000000" w:sz="4" w:space="0"/>
            </w:tcBorders>
            <w:vAlign w:val="center"/>
          </w:tcPr>
          <w:p w14:paraId="76967311">
            <w:pPr>
              <w:spacing w:line="360" w:lineRule="exact"/>
              <w:jc w:val="center"/>
              <w:rPr>
                <w:rFonts w:ascii="宋体" w:hAnsi="宋体"/>
                <w:color w:val="auto"/>
                <w:szCs w:val="21"/>
                <w:highlight w:val="none"/>
              </w:rPr>
            </w:pPr>
            <w:r>
              <w:rPr>
                <w:rFonts w:hint="eastAsia" w:ascii="宋体" w:hAnsi="宋体"/>
                <w:color w:val="auto"/>
                <w:szCs w:val="21"/>
                <w:highlight w:val="none"/>
              </w:rPr>
              <w:t>块</w:t>
            </w:r>
          </w:p>
        </w:tc>
        <w:tc>
          <w:tcPr>
            <w:tcW w:w="702" w:type="dxa"/>
            <w:vMerge w:val="continue"/>
            <w:tcBorders>
              <w:left w:val="single" w:color="000000" w:sz="4" w:space="0"/>
              <w:right w:val="single" w:color="000000" w:sz="4" w:space="0"/>
            </w:tcBorders>
            <w:vAlign w:val="center"/>
          </w:tcPr>
          <w:p w14:paraId="04C95541">
            <w:pPr>
              <w:spacing w:line="360" w:lineRule="exact"/>
              <w:jc w:val="left"/>
              <w:rPr>
                <w:rFonts w:ascii="宋体" w:hAnsi="宋体"/>
                <w:color w:val="auto"/>
                <w:szCs w:val="21"/>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3AD85EAD">
            <w:pPr>
              <w:spacing w:line="360" w:lineRule="exact"/>
              <w:jc w:val="left"/>
              <w:rPr>
                <w:rFonts w:ascii="宋体" w:hAnsi="宋体"/>
                <w:color w:val="auto"/>
                <w:szCs w:val="21"/>
                <w:highlight w:val="none"/>
              </w:rPr>
            </w:pPr>
            <w:r>
              <w:rPr>
                <w:rFonts w:hint="eastAsia" w:ascii="宋体" w:hAnsi="宋体"/>
                <w:color w:val="auto"/>
                <w:szCs w:val="21"/>
                <w:highlight w:val="none"/>
              </w:rPr>
              <w:t>1.锂电池，容量≥6600mAh，便携式专业摄影机适用。</w:t>
            </w:r>
          </w:p>
          <w:p w14:paraId="19B4F84E">
            <w:pPr>
              <w:spacing w:line="360" w:lineRule="exact"/>
              <w:jc w:val="left"/>
              <w:rPr>
                <w:rFonts w:ascii="宋体" w:hAnsi="宋体"/>
                <w:color w:val="auto"/>
                <w:szCs w:val="21"/>
                <w:highlight w:val="none"/>
              </w:rPr>
            </w:pPr>
            <w:r>
              <w:rPr>
                <w:rFonts w:hint="eastAsia" w:ascii="宋体" w:hAnsi="宋体"/>
                <w:color w:val="auto"/>
                <w:szCs w:val="21"/>
                <w:highlight w:val="none"/>
              </w:rPr>
              <w:t>2.所竞产品必须通过中国强制性产品认证（CCC/3C认证）。</w:t>
            </w:r>
          </w:p>
        </w:tc>
      </w:tr>
      <w:tr w14:paraId="19F741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6392701D">
            <w:pPr>
              <w:spacing w:line="360" w:lineRule="exact"/>
              <w:jc w:val="center"/>
              <w:rPr>
                <w:rFonts w:ascii="宋体" w:hAnsi="宋体"/>
                <w:color w:val="auto"/>
                <w:szCs w:val="21"/>
                <w:highlight w:val="none"/>
              </w:rPr>
            </w:pPr>
            <w:r>
              <w:rPr>
                <w:rFonts w:hint="eastAsia" w:ascii="宋体" w:hAnsi="宋体"/>
                <w:color w:val="auto"/>
                <w:szCs w:val="21"/>
                <w:highlight w:val="none"/>
              </w:rPr>
              <w:t>6</w:t>
            </w:r>
          </w:p>
        </w:tc>
        <w:tc>
          <w:tcPr>
            <w:tcW w:w="1402" w:type="dxa"/>
            <w:tcBorders>
              <w:top w:val="single" w:color="000000" w:sz="4" w:space="0"/>
              <w:left w:val="single" w:color="auto" w:sz="4" w:space="0"/>
              <w:bottom w:val="single" w:color="000000" w:sz="4" w:space="0"/>
              <w:right w:val="single" w:color="000000" w:sz="4" w:space="0"/>
            </w:tcBorders>
            <w:vAlign w:val="center"/>
          </w:tcPr>
          <w:p w14:paraId="03E3EA78">
            <w:pPr>
              <w:spacing w:line="360" w:lineRule="exact"/>
              <w:jc w:val="center"/>
              <w:rPr>
                <w:rFonts w:ascii="宋体" w:hAnsi="宋体"/>
                <w:color w:val="auto"/>
                <w:szCs w:val="21"/>
                <w:highlight w:val="none"/>
              </w:rPr>
            </w:pPr>
            <w:r>
              <w:rPr>
                <w:rFonts w:hint="eastAsia" w:ascii="宋体" w:hAnsi="宋体"/>
                <w:color w:val="auto"/>
                <w:szCs w:val="21"/>
                <w:highlight w:val="none"/>
              </w:rPr>
              <w:t>摄像机三脚架</w:t>
            </w:r>
          </w:p>
        </w:tc>
        <w:tc>
          <w:tcPr>
            <w:tcW w:w="704" w:type="dxa"/>
            <w:tcBorders>
              <w:top w:val="single" w:color="000000" w:sz="4" w:space="0"/>
              <w:left w:val="single" w:color="000000" w:sz="4" w:space="0"/>
              <w:bottom w:val="single" w:color="000000" w:sz="4" w:space="0"/>
              <w:right w:val="single" w:color="000000" w:sz="4" w:space="0"/>
            </w:tcBorders>
            <w:vAlign w:val="center"/>
          </w:tcPr>
          <w:p w14:paraId="59A6C094">
            <w:pPr>
              <w:spacing w:line="360" w:lineRule="exact"/>
              <w:jc w:val="center"/>
              <w:rPr>
                <w:rFonts w:ascii="宋体" w:hAnsi="宋体"/>
                <w:color w:val="auto"/>
                <w:szCs w:val="21"/>
                <w:highlight w:val="none"/>
              </w:rPr>
            </w:pPr>
            <w:r>
              <w:rPr>
                <w:rFonts w:hint="eastAsia" w:ascii="宋体" w:hAnsi="宋体"/>
                <w:color w:val="auto"/>
                <w:szCs w:val="21"/>
                <w:highlight w:val="none"/>
              </w:rPr>
              <w:t>3</w:t>
            </w:r>
          </w:p>
        </w:tc>
        <w:tc>
          <w:tcPr>
            <w:tcW w:w="703" w:type="dxa"/>
            <w:tcBorders>
              <w:top w:val="single" w:color="auto" w:sz="4" w:space="0"/>
              <w:left w:val="single" w:color="000000" w:sz="4" w:space="0"/>
              <w:bottom w:val="single" w:color="000000" w:sz="4" w:space="0"/>
              <w:right w:val="single" w:color="000000" w:sz="4" w:space="0"/>
            </w:tcBorders>
            <w:vAlign w:val="center"/>
          </w:tcPr>
          <w:p w14:paraId="6D36D670">
            <w:pPr>
              <w:spacing w:line="360" w:lineRule="exact"/>
              <w:jc w:val="center"/>
              <w:rPr>
                <w:rFonts w:ascii="宋体" w:hAnsi="宋体"/>
                <w:color w:val="auto"/>
                <w:szCs w:val="21"/>
                <w:highlight w:val="none"/>
              </w:rPr>
            </w:pPr>
            <w:r>
              <w:rPr>
                <w:rFonts w:hint="eastAsia" w:ascii="宋体" w:hAnsi="宋体"/>
                <w:color w:val="auto"/>
                <w:szCs w:val="21"/>
                <w:highlight w:val="none"/>
              </w:rPr>
              <w:t>套</w:t>
            </w:r>
          </w:p>
        </w:tc>
        <w:tc>
          <w:tcPr>
            <w:tcW w:w="702" w:type="dxa"/>
            <w:vMerge w:val="continue"/>
            <w:tcBorders>
              <w:left w:val="single" w:color="000000" w:sz="4" w:space="0"/>
              <w:right w:val="single" w:color="000000" w:sz="4" w:space="0"/>
            </w:tcBorders>
            <w:vAlign w:val="center"/>
          </w:tcPr>
          <w:p w14:paraId="6BCD7D5F">
            <w:pPr>
              <w:jc w:val="center"/>
              <w:rPr>
                <w:rFonts w:ascii="宋体" w:hAnsi="宋体"/>
                <w:color w:val="auto"/>
                <w:szCs w:val="21"/>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454F9AED">
            <w:pPr>
              <w:spacing w:line="360" w:lineRule="exact"/>
              <w:jc w:val="left"/>
              <w:rPr>
                <w:rFonts w:ascii="宋体" w:hAnsi="宋体"/>
                <w:color w:val="auto"/>
                <w:szCs w:val="21"/>
                <w:highlight w:val="none"/>
              </w:rPr>
            </w:pPr>
            <w:r>
              <w:rPr>
                <w:rFonts w:hint="eastAsia" w:ascii="宋体" w:hAnsi="宋体"/>
                <w:color w:val="auto"/>
                <w:szCs w:val="21"/>
                <w:highlight w:val="none"/>
              </w:rPr>
              <w:t xml:space="preserve">1.材质：碳纤维。 </w:t>
            </w:r>
            <w:r>
              <w:rPr>
                <w:rFonts w:hint="eastAsia" w:ascii="宋体" w:hAnsi="宋体"/>
                <w:color w:val="auto"/>
                <w:szCs w:val="21"/>
                <w:highlight w:val="none"/>
              </w:rPr>
              <w:br w:type="textWrapping"/>
            </w:r>
            <w:r>
              <w:rPr>
                <w:rFonts w:hint="eastAsia" w:ascii="宋体" w:hAnsi="宋体"/>
                <w:color w:val="auto"/>
                <w:szCs w:val="21"/>
                <w:highlight w:val="none"/>
              </w:rPr>
              <w:t xml:space="preserve">2.自重（净重）：云台≤3kg ，架体≤3kg。 </w:t>
            </w:r>
            <w:r>
              <w:rPr>
                <w:rFonts w:hint="eastAsia" w:ascii="宋体" w:hAnsi="宋体"/>
                <w:color w:val="auto"/>
                <w:szCs w:val="21"/>
                <w:highlight w:val="none"/>
              </w:rPr>
              <w:br w:type="textWrapping"/>
            </w:r>
            <w:r>
              <w:rPr>
                <w:rFonts w:hint="eastAsia" w:ascii="宋体" w:hAnsi="宋体"/>
                <w:color w:val="auto"/>
                <w:szCs w:val="21"/>
                <w:highlight w:val="none"/>
              </w:rPr>
              <w:t xml:space="preserve">3.承重：≥8kg。 </w:t>
            </w:r>
            <w:r>
              <w:rPr>
                <w:rFonts w:hint="eastAsia" w:ascii="宋体" w:hAnsi="宋体"/>
                <w:color w:val="auto"/>
                <w:szCs w:val="21"/>
                <w:highlight w:val="none"/>
              </w:rPr>
              <w:br w:type="textWrapping"/>
            </w:r>
            <w:r>
              <w:rPr>
                <w:rFonts w:hint="eastAsia" w:ascii="宋体" w:hAnsi="宋体"/>
                <w:color w:val="auto"/>
                <w:szCs w:val="21"/>
                <w:highlight w:val="none"/>
              </w:rPr>
              <w:t xml:space="preserve">4.架体承重：≥20kg。 </w:t>
            </w:r>
            <w:r>
              <w:rPr>
                <w:rFonts w:hint="eastAsia" w:ascii="宋体" w:hAnsi="宋体"/>
                <w:color w:val="auto"/>
                <w:szCs w:val="21"/>
                <w:highlight w:val="none"/>
              </w:rPr>
              <w:br w:type="textWrapping"/>
            </w:r>
            <w:r>
              <w:rPr>
                <w:rFonts w:hint="eastAsia" w:ascii="宋体" w:hAnsi="宋体"/>
                <w:color w:val="auto"/>
                <w:szCs w:val="21"/>
                <w:highlight w:val="none"/>
              </w:rPr>
              <w:t>5.水平气泡：支持。</w:t>
            </w:r>
            <w:r>
              <w:rPr>
                <w:rFonts w:hint="eastAsia" w:ascii="宋体" w:hAnsi="宋体"/>
                <w:color w:val="auto"/>
                <w:szCs w:val="21"/>
                <w:highlight w:val="none"/>
              </w:rPr>
              <w:br w:type="textWrapping"/>
            </w:r>
            <w:r>
              <w:rPr>
                <w:rFonts w:hint="eastAsia" w:ascii="宋体" w:hAnsi="宋体"/>
                <w:color w:val="auto"/>
                <w:szCs w:val="21"/>
                <w:highlight w:val="none"/>
              </w:rPr>
              <w:t>6.球碗直径：≥65mm。</w:t>
            </w:r>
            <w:r>
              <w:rPr>
                <w:rFonts w:hint="eastAsia" w:ascii="宋体" w:hAnsi="宋体"/>
                <w:color w:val="auto"/>
                <w:szCs w:val="21"/>
                <w:highlight w:val="none"/>
              </w:rPr>
              <w:br w:type="textWrapping"/>
            </w:r>
            <w:r>
              <w:rPr>
                <w:rFonts w:hint="eastAsia" w:ascii="宋体" w:hAnsi="宋体"/>
                <w:color w:val="auto"/>
                <w:szCs w:val="21"/>
                <w:highlight w:val="none"/>
              </w:rPr>
              <w:t>7.升降高度：≥780mm—1700mm。</w:t>
            </w:r>
          </w:p>
        </w:tc>
      </w:tr>
      <w:tr w14:paraId="40CA9C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3DA6142C">
            <w:pPr>
              <w:jc w:val="center"/>
              <w:rPr>
                <w:rFonts w:ascii="宋体" w:hAnsi="宋体"/>
                <w:color w:val="auto"/>
                <w:szCs w:val="21"/>
                <w:highlight w:val="none"/>
              </w:rPr>
            </w:pPr>
            <w:r>
              <w:rPr>
                <w:rFonts w:hint="eastAsia" w:ascii="宋体" w:hAnsi="宋体"/>
                <w:color w:val="auto"/>
                <w:szCs w:val="21"/>
                <w:highlight w:val="none"/>
              </w:rPr>
              <w:t>7</w:t>
            </w:r>
          </w:p>
        </w:tc>
        <w:tc>
          <w:tcPr>
            <w:tcW w:w="1402" w:type="dxa"/>
            <w:tcBorders>
              <w:top w:val="single" w:color="000000" w:sz="4" w:space="0"/>
              <w:left w:val="single" w:color="auto" w:sz="4" w:space="0"/>
              <w:bottom w:val="single" w:color="000000" w:sz="4" w:space="0"/>
              <w:right w:val="single" w:color="000000" w:sz="4" w:space="0"/>
            </w:tcBorders>
            <w:vAlign w:val="center"/>
          </w:tcPr>
          <w:p w14:paraId="2760BCDE">
            <w:pPr>
              <w:spacing w:line="360" w:lineRule="exact"/>
              <w:jc w:val="center"/>
              <w:rPr>
                <w:rFonts w:ascii="宋体" w:hAnsi="宋体"/>
                <w:color w:val="auto"/>
                <w:szCs w:val="21"/>
                <w:highlight w:val="none"/>
              </w:rPr>
            </w:pPr>
            <w:r>
              <w:rPr>
                <w:rFonts w:hint="eastAsia" w:ascii="宋体" w:hAnsi="宋体"/>
                <w:color w:val="auto"/>
                <w:szCs w:val="21"/>
                <w:highlight w:val="none"/>
              </w:rPr>
              <w:t>电池-（2）</w:t>
            </w:r>
          </w:p>
        </w:tc>
        <w:tc>
          <w:tcPr>
            <w:tcW w:w="704" w:type="dxa"/>
            <w:tcBorders>
              <w:top w:val="single" w:color="000000" w:sz="4" w:space="0"/>
              <w:left w:val="single" w:color="000000" w:sz="4" w:space="0"/>
              <w:bottom w:val="single" w:color="000000" w:sz="4" w:space="0"/>
              <w:right w:val="single" w:color="000000" w:sz="4" w:space="0"/>
            </w:tcBorders>
            <w:vAlign w:val="center"/>
          </w:tcPr>
          <w:p w14:paraId="453A652B">
            <w:pPr>
              <w:spacing w:line="360" w:lineRule="exact"/>
              <w:jc w:val="center"/>
              <w:rPr>
                <w:rFonts w:ascii="宋体" w:hAnsi="宋体"/>
                <w:color w:val="auto"/>
                <w:szCs w:val="21"/>
                <w:highlight w:val="none"/>
              </w:rPr>
            </w:pPr>
            <w:r>
              <w:rPr>
                <w:rFonts w:hint="eastAsia" w:ascii="宋体" w:hAnsi="宋体"/>
                <w:color w:val="auto"/>
                <w:szCs w:val="21"/>
                <w:highlight w:val="none"/>
              </w:rPr>
              <w:t>3</w:t>
            </w:r>
          </w:p>
        </w:tc>
        <w:tc>
          <w:tcPr>
            <w:tcW w:w="703" w:type="dxa"/>
            <w:tcBorders>
              <w:top w:val="single" w:color="auto" w:sz="4" w:space="0"/>
              <w:left w:val="single" w:color="000000" w:sz="4" w:space="0"/>
              <w:bottom w:val="single" w:color="000000" w:sz="4" w:space="0"/>
              <w:right w:val="single" w:color="000000" w:sz="4" w:space="0"/>
            </w:tcBorders>
            <w:vAlign w:val="center"/>
          </w:tcPr>
          <w:p w14:paraId="6C47F843">
            <w:pPr>
              <w:spacing w:line="360" w:lineRule="exact"/>
              <w:jc w:val="center"/>
              <w:rPr>
                <w:rFonts w:ascii="宋体" w:hAnsi="宋体"/>
                <w:color w:val="auto"/>
                <w:szCs w:val="21"/>
                <w:highlight w:val="none"/>
              </w:rPr>
            </w:pPr>
            <w:r>
              <w:rPr>
                <w:rFonts w:hint="eastAsia" w:ascii="宋体" w:hAnsi="宋体"/>
                <w:color w:val="auto"/>
                <w:szCs w:val="21"/>
                <w:highlight w:val="none"/>
              </w:rPr>
              <w:t>块</w:t>
            </w:r>
          </w:p>
        </w:tc>
        <w:tc>
          <w:tcPr>
            <w:tcW w:w="702" w:type="dxa"/>
            <w:vMerge w:val="continue"/>
            <w:tcBorders>
              <w:left w:val="single" w:color="000000" w:sz="4" w:space="0"/>
              <w:right w:val="single" w:color="000000" w:sz="4" w:space="0"/>
            </w:tcBorders>
            <w:vAlign w:val="center"/>
          </w:tcPr>
          <w:p w14:paraId="200C13C9">
            <w:pPr>
              <w:jc w:val="center"/>
              <w:rPr>
                <w:rFonts w:ascii="宋体" w:hAnsi="宋体"/>
                <w:color w:val="auto"/>
                <w:szCs w:val="21"/>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0A5FB9CC">
            <w:pPr>
              <w:spacing w:line="360" w:lineRule="exact"/>
              <w:jc w:val="left"/>
              <w:rPr>
                <w:rFonts w:ascii="宋体" w:hAnsi="宋体"/>
                <w:color w:val="auto"/>
                <w:szCs w:val="21"/>
                <w:highlight w:val="none"/>
              </w:rPr>
            </w:pPr>
            <w:r>
              <w:rPr>
                <w:rFonts w:hint="eastAsia" w:ascii="宋体" w:hAnsi="宋体"/>
                <w:color w:val="auto"/>
                <w:szCs w:val="21"/>
                <w:highlight w:val="none"/>
              </w:rPr>
              <w:t>1.要求14.8V，10Ah，148Wh  USB 双路D-TAP输出 miniV口电池。</w:t>
            </w:r>
          </w:p>
          <w:p w14:paraId="15678E4B">
            <w:pPr>
              <w:spacing w:line="360" w:lineRule="exact"/>
              <w:jc w:val="left"/>
              <w:rPr>
                <w:rFonts w:ascii="宋体" w:hAnsi="宋体"/>
                <w:color w:val="auto"/>
                <w:szCs w:val="21"/>
                <w:highlight w:val="none"/>
              </w:rPr>
            </w:pPr>
            <w:r>
              <w:rPr>
                <w:rFonts w:hint="eastAsia" w:ascii="宋体" w:hAnsi="宋体"/>
                <w:color w:val="auto"/>
                <w:szCs w:val="21"/>
                <w:highlight w:val="none"/>
              </w:rPr>
              <w:t>2.所竞产品必须通过中国强制性产品认证（CCC/3C认证）。</w:t>
            </w:r>
          </w:p>
        </w:tc>
      </w:tr>
      <w:tr w14:paraId="1A0708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37D553E4">
            <w:pPr>
              <w:spacing w:line="360" w:lineRule="exact"/>
              <w:jc w:val="center"/>
              <w:rPr>
                <w:rFonts w:ascii="宋体" w:hAnsi="宋体"/>
                <w:color w:val="auto"/>
                <w:szCs w:val="21"/>
                <w:highlight w:val="none"/>
              </w:rPr>
            </w:pPr>
            <w:r>
              <w:rPr>
                <w:rFonts w:hint="eastAsia" w:ascii="宋体" w:hAnsi="宋体"/>
                <w:color w:val="auto"/>
                <w:szCs w:val="21"/>
                <w:highlight w:val="none"/>
              </w:rPr>
              <w:t>8</w:t>
            </w:r>
          </w:p>
        </w:tc>
        <w:tc>
          <w:tcPr>
            <w:tcW w:w="1402" w:type="dxa"/>
            <w:tcBorders>
              <w:top w:val="single" w:color="000000" w:sz="4" w:space="0"/>
              <w:left w:val="single" w:color="auto" w:sz="4" w:space="0"/>
              <w:bottom w:val="single" w:color="000000" w:sz="4" w:space="0"/>
              <w:right w:val="single" w:color="000000" w:sz="4" w:space="0"/>
            </w:tcBorders>
            <w:vAlign w:val="center"/>
          </w:tcPr>
          <w:p w14:paraId="0E0035DC">
            <w:pPr>
              <w:spacing w:line="360" w:lineRule="exact"/>
              <w:jc w:val="center"/>
              <w:rPr>
                <w:rFonts w:ascii="宋体" w:hAnsi="宋体"/>
                <w:color w:val="auto"/>
                <w:szCs w:val="21"/>
                <w:highlight w:val="none"/>
              </w:rPr>
            </w:pPr>
            <w:r>
              <w:rPr>
                <w:rFonts w:hint="eastAsia" w:ascii="宋体" w:hAnsi="宋体"/>
                <w:color w:val="auto"/>
                <w:szCs w:val="21"/>
                <w:highlight w:val="none"/>
              </w:rPr>
              <w:t>充电适配器</w:t>
            </w:r>
          </w:p>
        </w:tc>
        <w:tc>
          <w:tcPr>
            <w:tcW w:w="704" w:type="dxa"/>
            <w:tcBorders>
              <w:top w:val="single" w:color="000000" w:sz="4" w:space="0"/>
              <w:left w:val="single" w:color="000000" w:sz="4" w:space="0"/>
              <w:bottom w:val="single" w:color="000000" w:sz="4" w:space="0"/>
              <w:right w:val="single" w:color="000000" w:sz="4" w:space="0"/>
            </w:tcBorders>
            <w:vAlign w:val="center"/>
          </w:tcPr>
          <w:p w14:paraId="391EFF35">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703" w:type="dxa"/>
            <w:tcBorders>
              <w:top w:val="single" w:color="auto" w:sz="4" w:space="0"/>
              <w:left w:val="single" w:color="000000" w:sz="4" w:space="0"/>
              <w:bottom w:val="single" w:color="000000" w:sz="4" w:space="0"/>
              <w:right w:val="single" w:color="000000" w:sz="4" w:space="0"/>
            </w:tcBorders>
            <w:vAlign w:val="center"/>
          </w:tcPr>
          <w:p w14:paraId="75315643">
            <w:pPr>
              <w:spacing w:line="360" w:lineRule="exact"/>
              <w:jc w:val="center"/>
              <w:rPr>
                <w:rFonts w:ascii="宋体" w:hAnsi="宋体"/>
                <w:color w:val="auto"/>
                <w:szCs w:val="21"/>
                <w:highlight w:val="none"/>
              </w:rPr>
            </w:pPr>
            <w:r>
              <w:rPr>
                <w:rFonts w:hint="eastAsia" w:ascii="宋体" w:hAnsi="宋体"/>
                <w:color w:val="auto"/>
                <w:szCs w:val="21"/>
                <w:highlight w:val="none"/>
              </w:rPr>
              <w:t>个</w:t>
            </w:r>
          </w:p>
        </w:tc>
        <w:tc>
          <w:tcPr>
            <w:tcW w:w="702" w:type="dxa"/>
            <w:vMerge w:val="continue"/>
            <w:tcBorders>
              <w:left w:val="single" w:color="000000" w:sz="4" w:space="0"/>
              <w:right w:val="single" w:color="000000" w:sz="4" w:space="0"/>
            </w:tcBorders>
            <w:vAlign w:val="center"/>
          </w:tcPr>
          <w:p w14:paraId="00C74985">
            <w:pPr>
              <w:jc w:val="center"/>
              <w:rPr>
                <w:rFonts w:ascii="宋体" w:hAnsi="宋体"/>
                <w:color w:val="auto"/>
                <w:szCs w:val="21"/>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785C2C7C">
            <w:pPr>
              <w:spacing w:line="360" w:lineRule="exact"/>
              <w:jc w:val="left"/>
              <w:rPr>
                <w:rFonts w:ascii="宋体" w:hAnsi="宋体"/>
                <w:color w:val="auto"/>
                <w:szCs w:val="21"/>
                <w:highlight w:val="none"/>
              </w:rPr>
            </w:pPr>
            <w:r>
              <w:rPr>
                <w:rFonts w:hint="eastAsia" w:ascii="宋体" w:hAnsi="宋体"/>
                <w:color w:val="auto"/>
                <w:szCs w:val="21"/>
                <w:highlight w:val="none"/>
              </w:rPr>
              <w:t>1.充电类型：手提便携式两路同步DC充电器。</w:t>
            </w:r>
          </w:p>
          <w:p w14:paraId="03238198">
            <w:pPr>
              <w:spacing w:line="360" w:lineRule="exact"/>
              <w:jc w:val="left"/>
              <w:rPr>
                <w:rFonts w:ascii="宋体" w:hAnsi="宋体"/>
                <w:color w:val="auto"/>
                <w:szCs w:val="21"/>
                <w:highlight w:val="none"/>
              </w:rPr>
            </w:pPr>
            <w:r>
              <w:rPr>
                <w:rFonts w:hint="eastAsia" w:ascii="宋体" w:hAnsi="宋体"/>
                <w:color w:val="auto"/>
                <w:szCs w:val="21"/>
                <w:highlight w:val="none"/>
              </w:rPr>
              <w:t>2.充电能力：同时充两块V口电池（BP系列）。</w:t>
            </w:r>
          </w:p>
          <w:p w14:paraId="042F5C7E">
            <w:pPr>
              <w:spacing w:line="360" w:lineRule="exact"/>
              <w:jc w:val="left"/>
              <w:rPr>
                <w:rFonts w:ascii="宋体" w:hAnsi="宋体"/>
                <w:color w:val="auto"/>
                <w:szCs w:val="21"/>
                <w:highlight w:val="none"/>
              </w:rPr>
            </w:pPr>
            <w:r>
              <w:rPr>
                <w:rFonts w:hint="eastAsia" w:ascii="宋体" w:hAnsi="宋体"/>
                <w:color w:val="auto"/>
                <w:szCs w:val="21"/>
                <w:highlight w:val="none"/>
              </w:rPr>
              <w:t>3.充电电压：DC14.8V。</w:t>
            </w:r>
          </w:p>
          <w:p w14:paraId="27FC1110">
            <w:pPr>
              <w:spacing w:line="360" w:lineRule="exact"/>
              <w:jc w:val="left"/>
              <w:rPr>
                <w:rFonts w:ascii="宋体" w:hAnsi="宋体"/>
                <w:color w:val="auto"/>
                <w:szCs w:val="21"/>
                <w:highlight w:val="none"/>
              </w:rPr>
            </w:pPr>
            <w:r>
              <w:rPr>
                <w:rFonts w:hint="eastAsia" w:ascii="宋体" w:hAnsi="宋体"/>
                <w:color w:val="auto"/>
                <w:szCs w:val="21"/>
                <w:highlight w:val="none"/>
              </w:rPr>
              <w:t>4.充电电流：单路≥3A。</w:t>
            </w:r>
          </w:p>
          <w:p w14:paraId="0C2761A2">
            <w:pPr>
              <w:spacing w:line="360" w:lineRule="exact"/>
              <w:jc w:val="left"/>
              <w:rPr>
                <w:rFonts w:ascii="宋体" w:hAnsi="宋体"/>
                <w:color w:val="auto"/>
                <w:szCs w:val="21"/>
                <w:highlight w:val="none"/>
              </w:rPr>
            </w:pPr>
            <w:r>
              <w:rPr>
                <w:rFonts w:hint="eastAsia" w:ascii="宋体" w:hAnsi="宋体"/>
                <w:color w:val="auto"/>
                <w:szCs w:val="21"/>
                <w:highlight w:val="none"/>
              </w:rPr>
              <w:t>5.显示功能：LED指示灯显示充电状态。</w:t>
            </w:r>
          </w:p>
          <w:p w14:paraId="5DD92B60">
            <w:pPr>
              <w:spacing w:line="360" w:lineRule="exact"/>
              <w:jc w:val="left"/>
              <w:rPr>
                <w:rFonts w:ascii="宋体" w:hAnsi="宋体"/>
                <w:color w:val="auto"/>
                <w:szCs w:val="21"/>
                <w:highlight w:val="none"/>
              </w:rPr>
            </w:pPr>
            <w:r>
              <w:rPr>
                <w:rFonts w:hint="eastAsia" w:ascii="宋体" w:hAnsi="宋体"/>
                <w:color w:val="auto"/>
                <w:szCs w:val="21"/>
                <w:highlight w:val="none"/>
              </w:rPr>
              <w:t>6.保护功能：过充保护、过温保护、短路保护。</w:t>
            </w:r>
          </w:p>
          <w:p w14:paraId="6F61E7D0">
            <w:pPr>
              <w:spacing w:line="360" w:lineRule="exact"/>
              <w:jc w:val="left"/>
              <w:rPr>
                <w:rFonts w:ascii="宋体" w:hAnsi="宋体"/>
                <w:color w:val="auto"/>
                <w:szCs w:val="21"/>
                <w:highlight w:val="none"/>
              </w:rPr>
            </w:pPr>
            <w:r>
              <w:rPr>
                <w:rFonts w:hint="eastAsia" w:ascii="宋体" w:hAnsi="宋体"/>
                <w:color w:val="auto"/>
                <w:szCs w:val="21"/>
                <w:highlight w:val="none"/>
              </w:rPr>
              <w:t>7.输入电压：AC100-240V 50/60Hz。</w:t>
            </w:r>
          </w:p>
        </w:tc>
      </w:tr>
      <w:tr w14:paraId="728976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1AD667FD">
            <w:pPr>
              <w:jc w:val="center"/>
              <w:rPr>
                <w:rFonts w:ascii="宋体" w:hAnsi="宋体"/>
                <w:color w:val="auto"/>
                <w:highlight w:val="none"/>
              </w:rPr>
            </w:pPr>
            <w:r>
              <w:rPr>
                <w:rFonts w:hint="eastAsia" w:ascii="宋体" w:hAnsi="宋体"/>
                <w:color w:val="auto"/>
                <w:highlight w:val="none"/>
              </w:rPr>
              <w:t>9</w:t>
            </w:r>
          </w:p>
        </w:tc>
        <w:tc>
          <w:tcPr>
            <w:tcW w:w="1402" w:type="dxa"/>
            <w:tcBorders>
              <w:top w:val="single" w:color="000000" w:sz="4" w:space="0"/>
              <w:left w:val="single" w:color="auto" w:sz="4" w:space="0"/>
              <w:bottom w:val="single" w:color="000000" w:sz="4" w:space="0"/>
              <w:right w:val="single" w:color="000000" w:sz="4" w:space="0"/>
            </w:tcBorders>
            <w:vAlign w:val="center"/>
          </w:tcPr>
          <w:p w14:paraId="2E600B9C">
            <w:pPr>
              <w:spacing w:line="360" w:lineRule="exact"/>
              <w:jc w:val="center"/>
              <w:rPr>
                <w:rFonts w:ascii="宋体" w:hAnsi="宋体"/>
                <w:color w:val="auto"/>
                <w:szCs w:val="21"/>
                <w:highlight w:val="none"/>
              </w:rPr>
            </w:pPr>
            <w:r>
              <w:rPr>
                <w:rFonts w:hint="eastAsia" w:ascii="宋体" w:hAnsi="宋体"/>
                <w:color w:val="auto"/>
                <w:szCs w:val="21"/>
                <w:highlight w:val="none"/>
              </w:rPr>
              <w:t>脚轮</w:t>
            </w:r>
          </w:p>
        </w:tc>
        <w:tc>
          <w:tcPr>
            <w:tcW w:w="704" w:type="dxa"/>
            <w:tcBorders>
              <w:top w:val="single" w:color="000000" w:sz="4" w:space="0"/>
              <w:left w:val="single" w:color="000000" w:sz="4" w:space="0"/>
              <w:bottom w:val="single" w:color="000000" w:sz="4" w:space="0"/>
              <w:right w:val="single" w:color="000000" w:sz="4" w:space="0"/>
            </w:tcBorders>
            <w:vAlign w:val="center"/>
          </w:tcPr>
          <w:p w14:paraId="35AA2A14">
            <w:pPr>
              <w:spacing w:line="360" w:lineRule="exact"/>
              <w:jc w:val="center"/>
              <w:rPr>
                <w:rFonts w:ascii="宋体" w:hAnsi="宋体"/>
                <w:color w:val="auto"/>
                <w:szCs w:val="21"/>
                <w:highlight w:val="none"/>
              </w:rPr>
            </w:pPr>
            <w:r>
              <w:rPr>
                <w:rFonts w:hint="eastAsia" w:ascii="宋体" w:hAnsi="宋体"/>
                <w:color w:val="auto"/>
                <w:szCs w:val="21"/>
                <w:highlight w:val="none"/>
              </w:rPr>
              <w:t>3</w:t>
            </w:r>
          </w:p>
        </w:tc>
        <w:tc>
          <w:tcPr>
            <w:tcW w:w="703" w:type="dxa"/>
            <w:tcBorders>
              <w:top w:val="single" w:color="auto" w:sz="4" w:space="0"/>
              <w:left w:val="single" w:color="000000" w:sz="4" w:space="0"/>
              <w:bottom w:val="single" w:color="000000" w:sz="4" w:space="0"/>
              <w:right w:val="single" w:color="000000" w:sz="4" w:space="0"/>
            </w:tcBorders>
            <w:vAlign w:val="center"/>
          </w:tcPr>
          <w:p w14:paraId="5C1D02E7">
            <w:pPr>
              <w:spacing w:line="360" w:lineRule="exact"/>
              <w:jc w:val="center"/>
              <w:rPr>
                <w:rFonts w:ascii="宋体" w:hAnsi="宋体"/>
                <w:color w:val="auto"/>
                <w:szCs w:val="21"/>
                <w:highlight w:val="none"/>
              </w:rPr>
            </w:pPr>
            <w:r>
              <w:rPr>
                <w:rFonts w:hint="eastAsia" w:ascii="宋体" w:hAnsi="宋体"/>
                <w:color w:val="auto"/>
                <w:szCs w:val="21"/>
                <w:highlight w:val="none"/>
              </w:rPr>
              <w:t>组</w:t>
            </w:r>
          </w:p>
        </w:tc>
        <w:tc>
          <w:tcPr>
            <w:tcW w:w="702" w:type="dxa"/>
            <w:vMerge w:val="continue"/>
            <w:tcBorders>
              <w:left w:val="single" w:color="000000" w:sz="4" w:space="0"/>
              <w:right w:val="single" w:color="000000" w:sz="4" w:space="0"/>
            </w:tcBorders>
            <w:vAlign w:val="center"/>
          </w:tcPr>
          <w:p w14:paraId="60053640">
            <w:pPr>
              <w:jc w:val="center"/>
              <w:rPr>
                <w:rFonts w:ascii="宋体" w:hAnsi="宋体"/>
                <w:color w:val="auto"/>
                <w:szCs w:val="21"/>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42FF2964">
            <w:pPr>
              <w:spacing w:line="360" w:lineRule="exact"/>
              <w:jc w:val="left"/>
              <w:rPr>
                <w:rFonts w:ascii="宋体" w:hAnsi="宋体"/>
                <w:color w:val="auto"/>
                <w:szCs w:val="21"/>
                <w:highlight w:val="none"/>
              </w:rPr>
            </w:pPr>
            <w:r>
              <w:rPr>
                <w:rFonts w:hint="eastAsia" w:ascii="宋体" w:hAnsi="宋体"/>
                <w:color w:val="auto"/>
                <w:szCs w:val="21"/>
                <w:highlight w:val="none"/>
              </w:rPr>
              <w:t>1.可折叠，适用于多种三脚架。</w:t>
            </w:r>
            <w:r>
              <w:rPr>
                <w:rFonts w:hint="eastAsia" w:ascii="宋体" w:hAnsi="宋体"/>
                <w:color w:val="auto"/>
                <w:szCs w:val="21"/>
                <w:highlight w:val="none"/>
              </w:rPr>
              <w:br w:type="textWrapping"/>
            </w:r>
            <w:r>
              <w:rPr>
                <w:rFonts w:hint="eastAsia" w:ascii="宋体" w:hAnsi="宋体"/>
                <w:color w:val="auto"/>
                <w:szCs w:val="21"/>
                <w:highlight w:val="none"/>
              </w:rPr>
              <w:t>2</w:t>
            </w:r>
            <w:r>
              <w:rPr>
                <w:rFonts w:hint="eastAsia" w:ascii="宋体" w:hAnsi="宋体"/>
                <w:color w:val="auto"/>
                <w:szCs w:val="21"/>
                <w:highlight w:val="none"/>
                <w:lang w:val="en-US" w:eastAsia="zh-CN"/>
              </w:rPr>
              <w:t>.</w:t>
            </w:r>
            <w:r>
              <w:rPr>
                <w:rFonts w:hint="eastAsia" w:ascii="宋体" w:hAnsi="宋体"/>
                <w:color w:val="auto"/>
                <w:szCs w:val="21"/>
                <w:highlight w:val="none"/>
              </w:rPr>
              <w:t>重量：≤4kg，</w:t>
            </w:r>
          </w:p>
          <w:p w14:paraId="51E3A9A2">
            <w:pPr>
              <w:numPr>
                <w:ilvl w:val="0"/>
                <w:numId w:val="2"/>
              </w:numPr>
              <w:spacing w:line="360" w:lineRule="exact"/>
              <w:jc w:val="left"/>
              <w:rPr>
                <w:rFonts w:ascii="宋体" w:hAnsi="宋体"/>
                <w:color w:val="auto"/>
                <w:szCs w:val="21"/>
                <w:highlight w:val="none"/>
              </w:rPr>
            </w:pPr>
            <w:r>
              <w:rPr>
                <w:rFonts w:hint="eastAsia" w:ascii="宋体" w:hAnsi="宋体"/>
                <w:color w:val="auto"/>
                <w:szCs w:val="21"/>
                <w:highlight w:val="none"/>
              </w:rPr>
              <w:t>承重：≥35kg，</w:t>
            </w:r>
          </w:p>
          <w:p w14:paraId="25EF908F">
            <w:pPr>
              <w:numPr>
                <w:ilvl w:val="0"/>
                <w:numId w:val="2"/>
              </w:numPr>
              <w:spacing w:line="360" w:lineRule="exact"/>
              <w:jc w:val="left"/>
              <w:rPr>
                <w:rFonts w:ascii="宋体" w:hAnsi="宋体"/>
                <w:color w:val="auto"/>
                <w:szCs w:val="21"/>
                <w:highlight w:val="none"/>
              </w:rPr>
            </w:pPr>
            <w:r>
              <w:rPr>
                <w:rFonts w:hint="eastAsia" w:ascii="宋体" w:hAnsi="宋体"/>
                <w:color w:val="auto"/>
                <w:szCs w:val="21"/>
                <w:highlight w:val="none"/>
              </w:rPr>
              <w:t>收起半径：≤470mm。</w:t>
            </w:r>
          </w:p>
        </w:tc>
      </w:tr>
      <w:tr w14:paraId="62BD1B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1E892BFF">
            <w:pPr>
              <w:spacing w:line="360" w:lineRule="exact"/>
              <w:jc w:val="center"/>
              <w:rPr>
                <w:rFonts w:ascii="宋体" w:hAnsi="宋体"/>
                <w:color w:val="auto"/>
                <w:szCs w:val="21"/>
                <w:highlight w:val="none"/>
              </w:rPr>
            </w:pPr>
            <w:r>
              <w:rPr>
                <w:rFonts w:ascii="宋体" w:hAnsi="宋体"/>
                <w:color w:val="auto"/>
                <w:szCs w:val="21"/>
                <w:highlight w:val="none"/>
              </w:rPr>
              <w:t>10</w:t>
            </w:r>
          </w:p>
        </w:tc>
        <w:tc>
          <w:tcPr>
            <w:tcW w:w="1402" w:type="dxa"/>
            <w:tcBorders>
              <w:top w:val="single" w:color="000000" w:sz="4" w:space="0"/>
              <w:left w:val="single" w:color="auto" w:sz="4" w:space="0"/>
              <w:bottom w:val="single" w:color="000000" w:sz="4" w:space="0"/>
              <w:right w:val="single" w:color="000000" w:sz="4" w:space="0"/>
            </w:tcBorders>
            <w:vAlign w:val="center"/>
          </w:tcPr>
          <w:p w14:paraId="0F698D9D">
            <w:pPr>
              <w:spacing w:line="360" w:lineRule="exact"/>
              <w:jc w:val="center"/>
              <w:rPr>
                <w:rFonts w:ascii="宋体" w:hAnsi="宋体"/>
                <w:color w:val="auto"/>
                <w:szCs w:val="21"/>
                <w:highlight w:val="none"/>
              </w:rPr>
            </w:pPr>
            <w:r>
              <w:rPr>
                <w:rFonts w:hint="eastAsia" w:ascii="宋体" w:hAnsi="宋体"/>
                <w:color w:val="auto"/>
                <w:szCs w:val="21"/>
                <w:highlight w:val="none"/>
              </w:rPr>
              <w:t>提词器</w:t>
            </w:r>
          </w:p>
        </w:tc>
        <w:tc>
          <w:tcPr>
            <w:tcW w:w="704" w:type="dxa"/>
            <w:tcBorders>
              <w:top w:val="single" w:color="000000" w:sz="4" w:space="0"/>
              <w:left w:val="single" w:color="000000" w:sz="4" w:space="0"/>
              <w:bottom w:val="single" w:color="000000" w:sz="4" w:space="0"/>
              <w:right w:val="single" w:color="000000" w:sz="4" w:space="0"/>
            </w:tcBorders>
            <w:vAlign w:val="center"/>
          </w:tcPr>
          <w:p w14:paraId="5F6A6772">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703" w:type="dxa"/>
            <w:tcBorders>
              <w:top w:val="single" w:color="auto" w:sz="4" w:space="0"/>
              <w:left w:val="single" w:color="000000" w:sz="4" w:space="0"/>
              <w:bottom w:val="single" w:color="000000" w:sz="4" w:space="0"/>
              <w:right w:val="single" w:color="000000" w:sz="4" w:space="0"/>
            </w:tcBorders>
            <w:vAlign w:val="center"/>
          </w:tcPr>
          <w:p w14:paraId="100F6F16">
            <w:pPr>
              <w:spacing w:line="360" w:lineRule="exact"/>
              <w:jc w:val="center"/>
              <w:rPr>
                <w:rFonts w:ascii="宋体" w:hAnsi="宋体"/>
                <w:color w:val="auto"/>
                <w:szCs w:val="21"/>
                <w:highlight w:val="none"/>
              </w:rPr>
            </w:pPr>
            <w:r>
              <w:rPr>
                <w:rFonts w:hint="eastAsia" w:ascii="宋体" w:hAnsi="宋体"/>
                <w:color w:val="auto"/>
                <w:szCs w:val="21"/>
                <w:highlight w:val="none"/>
              </w:rPr>
              <w:t>台</w:t>
            </w:r>
          </w:p>
        </w:tc>
        <w:tc>
          <w:tcPr>
            <w:tcW w:w="702" w:type="dxa"/>
            <w:vMerge w:val="continue"/>
            <w:tcBorders>
              <w:left w:val="single" w:color="000000" w:sz="4" w:space="0"/>
              <w:right w:val="single" w:color="000000" w:sz="4" w:space="0"/>
            </w:tcBorders>
            <w:vAlign w:val="center"/>
          </w:tcPr>
          <w:p w14:paraId="3B255D55">
            <w:pPr>
              <w:jc w:val="center"/>
              <w:rPr>
                <w:rFonts w:ascii="宋体" w:hAnsi="宋体"/>
                <w:color w:val="auto"/>
                <w:szCs w:val="21"/>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237A6484">
            <w:pPr>
              <w:spacing w:line="360" w:lineRule="exact"/>
              <w:jc w:val="left"/>
              <w:rPr>
                <w:rFonts w:ascii="宋体" w:hAnsi="宋体"/>
                <w:color w:val="auto"/>
                <w:szCs w:val="21"/>
                <w:highlight w:val="none"/>
              </w:rPr>
            </w:pPr>
            <w:r>
              <w:rPr>
                <w:rFonts w:hint="eastAsia" w:ascii="宋体" w:hAnsi="宋体"/>
                <w:color w:val="auto"/>
                <w:szCs w:val="21"/>
                <w:highlight w:val="none"/>
              </w:rPr>
              <w:t>1.硬件配置：嵌入式主机，四核参考或相当于Cortex-A72 64位处理器，板载≥4路USB 3.0扩展口，兼容USB 2.0/1.1传输；RJ45千兆以太网口，10/100/1000Mbps自适应；PoE管脚支持接入带PoE功能的扩展板。</w:t>
            </w:r>
          </w:p>
          <w:p w14:paraId="296EDF3E">
            <w:pPr>
              <w:spacing w:line="360" w:lineRule="exact"/>
              <w:jc w:val="left"/>
              <w:rPr>
                <w:rFonts w:ascii="宋体" w:hAnsi="宋体"/>
                <w:color w:val="auto"/>
                <w:szCs w:val="21"/>
                <w:highlight w:val="none"/>
              </w:rPr>
            </w:pPr>
            <w:r>
              <w:rPr>
                <w:rFonts w:hint="eastAsia" w:ascii="宋体" w:hAnsi="宋体"/>
                <w:color w:val="auto"/>
                <w:szCs w:val="21"/>
                <w:highlight w:val="none"/>
              </w:rPr>
              <w:t>2.软件授权：提词器软件著作权（正版）。</w:t>
            </w:r>
          </w:p>
          <w:p w14:paraId="1D770559">
            <w:pPr>
              <w:spacing w:line="360" w:lineRule="exact"/>
              <w:jc w:val="left"/>
              <w:rPr>
                <w:rFonts w:ascii="宋体" w:hAnsi="宋体"/>
                <w:color w:val="auto"/>
                <w:szCs w:val="21"/>
                <w:highlight w:val="none"/>
              </w:rPr>
            </w:pPr>
            <w:r>
              <w:rPr>
                <w:rFonts w:hint="eastAsia" w:ascii="宋体" w:hAnsi="宋体"/>
                <w:color w:val="auto"/>
                <w:szCs w:val="21"/>
                <w:highlight w:val="none"/>
              </w:rPr>
              <w:t>3.基本功能：双HDMI输出接口，支持1路HDMI镜像输出；可自动识别主持人语速调整题词速度；支持无线遥控器控制。</w:t>
            </w:r>
          </w:p>
          <w:p w14:paraId="7BCB2DAE">
            <w:pPr>
              <w:spacing w:line="360" w:lineRule="exact"/>
              <w:jc w:val="left"/>
              <w:rPr>
                <w:rFonts w:hint="eastAsia" w:ascii="宋体" w:hAnsi="宋体"/>
                <w:color w:val="auto"/>
                <w:szCs w:val="21"/>
                <w:highlight w:val="none"/>
              </w:rPr>
            </w:pPr>
            <w:r>
              <w:rPr>
                <w:rFonts w:hint="eastAsia" w:ascii="宋体" w:hAnsi="宋体"/>
                <w:color w:val="auto"/>
                <w:szCs w:val="21"/>
                <w:highlight w:val="none"/>
              </w:rPr>
              <w:t>4.语音识别：智能语音识别服务本地化部署，支持离线语音识别提词；开启语音识别控制后，系统利用AI语音大模型识别主持人语音信息转换为文字信息，对比文稿位置，自动滚动题词内容</w:t>
            </w:r>
          </w:p>
          <w:p w14:paraId="0EF55389">
            <w:pPr>
              <w:spacing w:line="360" w:lineRule="exact"/>
              <w:jc w:val="left"/>
              <w:rPr>
                <w:rFonts w:ascii="宋体" w:hAnsi="宋体"/>
                <w:color w:val="auto"/>
                <w:szCs w:val="21"/>
                <w:highlight w:val="none"/>
              </w:rPr>
            </w:pPr>
            <w:r>
              <w:rPr>
                <w:rFonts w:hint="eastAsia" w:ascii="宋体" w:hAnsi="宋体"/>
                <w:color w:val="auto"/>
                <w:szCs w:val="21"/>
                <w:highlight w:val="none"/>
              </w:rPr>
              <w:t>5.U盘自动加载：开机前插入提词器内容U盘，开机后自动加载提词器内容；开机后插入U盘，点击刷新按钮可自动加载U盘提词器内容。</w:t>
            </w:r>
          </w:p>
          <w:p w14:paraId="74926C6F">
            <w:pPr>
              <w:spacing w:line="360" w:lineRule="exact"/>
              <w:jc w:val="left"/>
              <w:rPr>
                <w:rFonts w:ascii="宋体" w:hAnsi="宋体"/>
                <w:color w:val="auto"/>
                <w:szCs w:val="21"/>
                <w:highlight w:val="none"/>
              </w:rPr>
            </w:pPr>
            <w:r>
              <w:rPr>
                <w:rFonts w:hint="eastAsia" w:ascii="宋体" w:hAnsi="宋体"/>
                <w:color w:val="auto"/>
                <w:szCs w:val="21"/>
                <w:highlight w:val="none"/>
              </w:rPr>
              <w:t>6.多色提词：支持用不同文字颜色显示提词内容，适用于多用户同时提词场景。</w:t>
            </w:r>
          </w:p>
          <w:p w14:paraId="3056CAF9">
            <w:pPr>
              <w:spacing w:line="360" w:lineRule="exact"/>
              <w:jc w:val="left"/>
              <w:rPr>
                <w:rFonts w:ascii="宋体" w:hAnsi="宋体"/>
                <w:color w:val="auto"/>
                <w:szCs w:val="21"/>
                <w:highlight w:val="none"/>
              </w:rPr>
            </w:pPr>
            <w:r>
              <w:rPr>
                <w:rFonts w:hint="eastAsia" w:ascii="宋体" w:hAnsi="宋体"/>
                <w:color w:val="auto"/>
                <w:szCs w:val="21"/>
                <w:highlight w:val="none"/>
              </w:rPr>
              <w:t>7.文稿排版：文稿录入自动完成排版，支持txt、rtf、word、PPT等格式文本。</w:t>
            </w:r>
          </w:p>
          <w:p w14:paraId="0CB5749F">
            <w:pPr>
              <w:spacing w:line="360" w:lineRule="exact"/>
              <w:jc w:val="left"/>
              <w:rPr>
                <w:rFonts w:ascii="宋体" w:hAnsi="宋体"/>
                <w:color w:val="auto"/>
                <w:szCs w:val="21"/>
                <w:highlight w:val="none"/>
              </w:rPr>
            </w:pPr>
            <w:r>
              <w:rPr>
                <w:rFonts w:hint="eastAsia" w:ascii="宋体" w:hAnsi="宋体"/>
                <w:color w:val="auto"/>
                <w:szCs w:val="21"/>
                <w:highlight w:val="none"/>
              </w:rPr>
              <w:t>8.大纲浏览：通过特殊字符将题词内容分列出简要大纲，便于播出前快速定位、浏览、修改题词内容。</w:t>
            </w:r>
          </w:p>
          <w:p w14:paraId="2847BA26">
            <w:pPr>
              <w:spacing w:line="360" w:lineRule="exact"/>
              <w:jc w:val="left"/>
              <w:rPr>
                <w:rFonts w:ascii="宋体" w:hAnsi="宋体"/>
                <w:color w:val="auto"/>
                <w:szCs w:val="21"/>
                <w:highlight w:val="none"/>
              </w:rPr>
            </w:pPr>
            <w:r>
              <w:rPr>
                <w:rFonts w:hint="eastAsia" w:ascii="宋体" w:hAnsi="宋体"/>
                <w:color w:val="auto"/>
                <w:szCs w:val="21"/>
                <w:highlight w:val="none"/>
              </w:rPr>
              <w:t>9.快速切换：通过快捷键方式快速切换读取的提词器文本内容，修改题词内容。</w:t>
            </w:r>
          </w:p>
        </w:tc>
      </w:tr>
      <w:tr w14:paraId="1A82B0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0BC55904">
            <w:pPr>
              <w:spacing w:line="360" w:lineRule="exact"/>
              <w:jc w:val="center"/>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1</w:t>
            </w:r>
          </w:p>
        </w:tc>
        <w:tc>
          <w:tcPr>
            <w:tcW w:w="1402" w:type="dxa"/>
            <w:tcBorders>
              <w:top w:val="single" w:color="000000" w:sz="4" w:space="0"/>
              <w:left w:val="single" w:color="auto" w:sz="4" w:space="0"/>
              <w:bottom w:val="single" w:color="000000" w:sz="4" w:space="0"/>
              <w:right w:val="single" w:color="000000" w:sz="4" w:space="0"/>
            </w:tcBorders>
            <w:vAlign w:val="center"/>
          </w:tcPr>
          <w:p w14:paraId="2CF49425">
            <w:pPr>
              <w:spacing w:line="360" w:lineRule="exact"/>
              <w:jc w:val="center"/>
              <w:rPr>
                <w:rFonts w:ascii="宋体" w:hAnsi="宋体"/>
                <w:color w:val="auto"/>
                <w:szCs w:val="21"/>
                <w:highlight w:val="none"/>
              </w:rPr>
            </w:pPr>
            <w:r>
              <w:rPr>
                <w:rFonts w:hint="eastAsia" w:ascii="宋体" w:hAnsi="宋体"/>
                <w:color w:val="auto"/>
                <w:szCs w:val="21"/>
                <w:highlight w:val="none"/>
              </w:rPr>
              <w:t>4K超高清实时制作系统</w:t>
            </w:r>
          </w:p>
        </w:tc>
        <w:tc>
          <w:tcPr>
            <w:tcW w:w="704" w:type="dxa"/>
            <w:tcBorders>
              <w:top w:val="single" w:color="000000" w:sz="4" w:space="0"/>
              <w:left w:val="single" w:color="000000" w:sz="4" w:space="0"/>
              <w:bottom w:val="single" w:color="000000" w:sz="4" w:space="0"/>
              <w:right w:val="single" w:color="000000" w:sz="4" w:space="0"/>
            </w:tcBorders>
            <w:vAlign w:val="center"/>
          </w:tcPr>
          <w:p w14:paraId="3DE410EE">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703" w:type="dxa"/>
            <w:tcBorders>
              <w:top w:val="single" w:color="auto" w:sz="4" w:space="0"/>
              <w:left w:val="single" w:color="000000" w:sz="4" w:space="0"/>
              <w:bottom w:val="single" w:color="000000" w:sz="4" w:space="0"/>
              <w:right w:val="single" w:color="000000" w:sz="4" w:space="0"/>
            </w:tcBorders>
            <w:vAlign w:val="center"/>
          </w:tcPr>
          <w:p w14:paraId="716A4ADB">
            <w:pPr>
              <w:spacing w:line="360" w:lineRule="exact"/>
              <w:jc w:val="center"/>
              <w:rPr>
                <w:rFonts w:ascii="宋体" w:hAnsi="宋体"/>
                <w:color w:val="auto"/>
                <w:szCs w:val="21"/>
                <w:highlight w:val="none"/>
              </w:rPr>
            </w:pPr>
            <w:r>
              <w:rPr>
                <w:rFonts w:hint="eastAsia" w:ascii="宋体" w:hAnsi="宋体"/>
                <w:color w:val="auto"/>
                <w:szCs w:val="21"/>
                <w:highlight w:val="none"/>
              </w:rPr>
              <w:t>套</w:t>
            </w:r>
          </w:p>
        </w:tc>
        <w:tc>
          <w:tcPr>
            <w:tcW w:w="702" w:type="dxa"/>
            <w:vMerge w:val="continue"/>
            <w:tcBorders>
              <w:left w:val="single" w:color="000000" w:sz="4" w:space="0"/>
              <w:right w:val="single" w:color="000000" w:sz="4" w:space="0"/>
            </w:tcBorders>
            <w:vAlign w:val="center"/>
          </w:tcPr>
          <w:p w14:paraId="15C6AFF1">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0258781D">
            <w:pPr>
              <w:spacing w:line="360" w:lineRule="exact"/>
              <w:jc w:val="left"/>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最高支持UHD 4K60超高清视频制作与处理，兼容2160p、1080p、1080i等多分辨率及对应帧率。</w:t>
            </w:r>
          </w:p>
          <w:p w14:paraId="17048F8F">
            <w:pPr>
              <w:spacing w:line="360" w:lineRule="exact"/>
              <w:jc w:val="left"/>
              <w:rPr>
                <w:rFonts w:ascii="宋体" w:hAnsi="宋体"/>
                <w:color w:val="auto"/>
                <w:szCs w:val="21"/>
                <w:highlight w:val="none"/>
              </w:rPr>
            </w:pPr>
            <w:r>
              <w:rPr>
                <w:rFonts w:hint="eastAsia" w:ascii="宋体" w:hAnsi="宋体"/>
                <w:color w:val="auto"/>
                <w:szCs w:val="21"/>
                <w:highlight w:val="none"/>
              </w:rPr>
              <w:t>2.信号输入接口</w:t>
            </w:r>
            <w:r>
              <w:rPr>
                <w:rFonts w:ascii="宋体" w:hAnsi="宋体"/>
                <w:color w:val="auto"/>
                <w:szCs w:val="21"/>
                <w:highlight w:val="none"/>
              </w:rPr>
              <w:t>≥4路SDI视频输入（支持12G-SDI）。</w:t>
            </w:r>
          </w:p>
          <w:p w14:paraId="3AF0B89A">
            <w:pPr>
              <w:spacing w:line="360" w:lineRule="exact"/>
              <w:jc w:val="left"/>
              <w:rPr>
                <w:rFonts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视频输出</w:t>
            </w:r>
            <w:r>
              <w:rPr>
                <w:rFonts w:hint="eastAsia" w:ascii="宋体" w:hAnsi="宋体"/>
                <w:color w:val="auto"/>
                <w:szCs w:val="21"/>
                <w:highlight w:val="none"/>
              </w:rPr>
              <w:t>≥</w:t>
            </w:r>
            <w:r>
              <w:rPr>
                <w:rFonts w:hint="eastAsia" w:ascii="宋体" w:hAnsi="宋体"/>
                <w:color w:val="auto"/>
                <w:szCs w:val="21"/>
                <w:highlight w:val="none"/>
                <w:lang w:val="en-US" w:eastAsia="zh-CN"/>
              </w:rPr>
              <w:t>2路</w:t>
            </w:r>
            <w:r>
              <w:rPr>
                <w:rFonts w:ascii="宋体" w:hAnsi="宋体"/>
                <w:color w:val="auto"/>
                <w:szCs w:val="21"/>
                <w:highlight w:val="none"/>
              </w:rPr>
              <w:t>（含SDI、HDMI或网络输出中至少两种类型）。</w:t>
            </w:r>
          </w:p>
          <w:p w14:paraId="3FE6BAD8">
            <w:pPr>
              <w:spacing w:line="360" w:lineRule="exact"/>
              <w:jc w:val="left"/>
              <w:rPr>
                <w:rFonts w:ascii="宋体" w:hAnsi="宋体"/>
                <w:color w:val="auto"/>
                <w:szCs w:val="21"/>
                <w:highlight w:val="none"/>
              </w:rPr>
            </w:pPr>
            <w:r>
              <w:rPr>
                <w:rFonts w:hint="eastAsia" w:ascii="宋体" w:hAnsi="宋体"/>
                <w:color w:val="auto"/>
                <w:szCs w:val="21"/>
                <w:highlight w:val="none"/>
                <w:lang w:val="en-US" w:eastAsia="zh-CN"/>
              </w:rPr>
              <w:t>4</w:t>
            </w:r>
            <w:r>
              <w:rPr>
                <w:rFonts w:hint="eastAsia" w:ascii="宋体" w:hAnsi="宋体"/>
                <w:color w:val="auto"/>
                <w:szCs w:val="21"/>
                <w:highlight w:val="none"/>
              </w:rPr>
              <w:t>.</w:t>
            </w:r>
            <w:r>
              <w:rPr>
                <w:rFonts w:ascii="宋体" w:hAnsi="宋体"/>
                <w:color w:val="auto"/>
                <w:szCs w:val="21"/>
                <w:highlight w:val="none"/>
              </w:rPr>
              <w:t>支持多画面监看。</w:t>
            </w:r>
          </w:p>
          <w:p w14:paraId="119AD493">
            <w:pPr>
              <w:spacing w:line="360" w:lineRule="exact"/>
              <w:jc w:val="left"/>
              <w:rPr>
                <w:rFonts w:ascii="宋体" w:hAnsi="宋体"/>
                <w:color w:val="auto"/>
                <w:szCs w:val="21"/>
                <w:highlight w:val="none"/>
              </w:rPr>
            </w:pPr>
            <w:r>
              <w:rPr>
                <w:rFonts w:hint="eastAsia" w:ascii="宋体" w:hAnsi="宋体"/>
                <w:color w:val="auto"/>
                <w:szCs w:val="21"/>
                <w:highlight w:val="none"/>
                <w:lang w:val="en-US" w:eastAsia="zh-CN"/>
              </w:rPr>
              <w:t>5</w:t>
            </w:r>
            <w:r>
              <w:rPr>
                <w:rFonts w:hint="eastAsia" w:ascii="宋体" w:hAnsi="宋体"/>
                <w:color w:val="auto"/>
                <w:szCs w:val="21"/>
                <w:highlight w:val="none"/>
              </w:rPr>
              <w:t>.显示器配备：≥17英寸</w:t>
            </w:r>
          </w:p>
          <w:p w14:paraId="7BD9D8A6">
            <w:pPr>
              <w:spacing w:line="360" w:lineRule="exact"/>
              <w:jc w:val="left"/>
              <w:rPr>
                <w:rFonts w:ascii="宋体" w:hAnsi="宋体"/>
                <w:color w:val="auto"/>
                <w:szCs w:val="21"/>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w:t>
            </w:r>
            <w:r>
              <w:rPr>
                <w:rFonts w:ascii="宋体" w:hAnsi="宋体"/>
                <w:color w:val="auto"/>
                <w:szCs w:val="21"/>
                <w:highlight w:val="none"/>
              </w:rPr>
              <w:t>支持画中画功能。</w:t>
            </w:r>
          </w:p>
          <w:p w14:paraId="6F5962EB">
            <w:pPr>
              <w:spacing w:line="360" w:lineRule="exact"/>
              <w:jc w:val="left"/>
              <w:rPr>
                <w:rFonts w:ascii="宋体" w:hAnsi="宋体"/>
                <w:color w:val="auto"/>
                <w:szCs w:val="21"/>
                <w:highlight w:val="none"/>
              </w:rPr>
            </w:pPr>
            <w:r>
              <w:rPr>
                <w:rFonts w:hint="eastAsia" w:ascii="宋体" w:hAnsi="宋体"/>
                <w:color w:val="auto"/>
                <w:szCs w:val="21"/>
                <w:highlight w:val="none"/>
                <w:lang w:val="en-US" w:eastAsia="zh-CN"/>
              </w:rPr>
              <w:t>7</w:t>
            </w:r>
            <w:r>
              <w:rPr>
                <w:rFonts w:hint="eastAsia" w:ascii="宋体" w:hAnsi="宋体"/>
                <w:color w:val="auto"/>
                <w:szCs w:val="21"/>
                <w:highlight w:val="none"/>
              </w:rPr>
              <w:t>.</w:t>
            </w:r>
            <w:r>
              <w:rPr>
                <w:rFonts w:ascii="宋体" w:hAnsi="宋体"/>
                <w:color w:val="auto"/>
                <w:szCs w:val="21"/>
                <w:highlight w:val="none"/>
              </w:rPr>
              <w:t>支持DVE数字视频特效或键控处理功能。</w:t>
            </w:r>
          </w:p>
          <w:p w14:paraId="5334D312">
            <w:pPr>
              <w:spacing w:line="360" w:lineRule="exact"/>
              <w:jc w:val="left"/>
              <w:rPr>
                <w:rFonts w:ascii="宋体" w:hAnsi="宋体"/>
                <w:color w:val="auto"/>
                <w:szCs w:val="21"/>
                <w:highlight w:val="none"/>
              </w:rPr>
            </w:pPr>
            <w:r>
              <w:rPr>
                <w:rFonts w:hint="eastAsia" w:ascii="宋体" w:hAnsi="宋体"/>
                <w:color w:val="auto"/>
                <w:szCs w:val="21"/>
                <w:highlight w:val="none"/>
                <w:lang w:val="en-US" w:eastAsia="zh-CN"/>
              </w:rPr>
              <w:t>8</w:t>
            </w:r>
            <w:r>
              <w:rPr>
                <w:rFonts w:hint="eastAsia" w:ascii="宋体" w:hAnsi="宋体"/>
                <w:color w:val="auto"/>
                <w:szCs w:val="21"/>
                <w:highlight w:val="none"/>
              </w:rPr>
              <w:t>.</w:t>
            </w:r>
            <w:r>
              <w:rPr>
                <w:rFonts w:ascii="宋体" w:hAnsi="宋体"/>
                <w:color w:val="auto"/>
                <w:szCs w:val="21"/>
                <w:highlight w:val="none"/>
              </w:rPr>
              <w:t>支持视频混合合成处理，具备转场特效及图层管理能力。</w:t>
            </w:r>
          </w:p>
          <w:p w14:paraId="2C924390">
            <w:pPr>
              <w:spacing w:line="360" w:lineRule="exact"/>
              <w:jc w:val="left"/>
              <w:rPr>
                <w:rFonts w:ascii="宋体" w:hAnsi="宋体"/>
                <w:color w:val="auto"/>
                <w:szCs w:val="21"/>
                <w:highlight w:val="none"/>
              </w:rPr>
            </w:pPr>
            <w:r>
              <w:rPr>
                <w:rFonts w:hint="eastAsia" w:ascii="宋体" w:hAnsi="宋体"/>
                <w:color w:val="auto"/>
                <w:szCs w:val="21"/>
                <w:highlight w:val="none"/>
                <w:lang w:val="en-US" w:eastAsia="zh-CN"/>
              </w:rPr>
              <w:t>9</w:t>
            </w:r>
            <w:r>
              <w:rPr>
                <w:rFonts w:hint="eastAsia" w:ascii="宋体" w:hAnsi="宋体"/>
                <w:color w:val="auto"/>
                <w:szCs w:val="21"/>
                <w:highlight w:val="none"/>
              </w:rPr>
              <w:t>.</w:t>
            </w:r>
            <w:r>
              <w:rPr>
                <w:rFonts w:ascii="宋体" w:hAnsi="宋体"/>
                <w:color w:val="auto"/>
                <w:szCs w:val="21"/>
                <w:highlight w:val="none"/>
              </w:rPr>
              <w:t>集成媒体播放功能或虚拟场景功能。</w:t>
            </w:r>
          </w:p>
          <w:p w14:paraId="0236C5FB">
            <w:pPr>
              <w:spacing w:line="360" w:lineRule="exact"/>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0</w:t>
            </w:r>
            <w:r>
              <w:rPr>
                <w:rFonts w:hint="eastAsia" w:ascii="宋体" w:hAnsi="宋体"/>
                <w:color w:val="auto"/>
                <w:szCs w:val="21"/>
                <w:highlight w:val="none"/>
              </w:rPr>
              <w:t>.</w:t>
            </w:r>
            <w:r>
              <w:rPr>
                <w:rFonts w:ascii="宋体" w:hAnsi="宋体"/>
                <w:color w:val="auto"/>
                <w:szCs w:val="21"/>
                <w:highlight w:val="none"/>
              </w:rPr>
              <w:t>支持字幕或图形叠加。</w:t>
            </w:r>
          </w:p>
          <w:p w14:paraId="0A55D96C">
            <w:pPr>
              <w:spacing w:line="360" w:lineRule="exact"/>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1</w:t>
            </w:r>
            <w:r>
              <w:rPr>
                <w:rFonts w:hint="eastAsia" w:ascii="宋体" w:hAnsi="宋体"/>
                <w:color w:val="auto"/>
                <w:szCs w:val="21"/>
                <w:highlight w:val="none"/>
              </w:rPr>
              <w:t>.成交供应商于供货时必须向采购人提供</w:t>
            </w:r>
            <w:r>
              <w:rPr>
                <w:rFonts w:hint="eastAsia" w:ascii="宋体" w:hAnsi="宋体"/>
                <w:color w:val="auto"/>
                <w:szCs w:val="21"/>
                <w:highlight w:val="none"/>
                <w:lang w:eastAsia="zh-CN"/>
              </w:rPr>
              <w:t>所竞产品</w:t>
            </w:r>
            <w:r>
              <w:rPr>
                <w:rFonts w:hint="eastAsia" w:ascii="宋体" w:hAnsi="宋体"/>
                <w:color w:val="auto"/>
                <w:szCs w:val="21"/>
                <w:highlight w:val="none"/>
              </w:rPr>
              <w:t>生产厂家出具的售后服务承诺书原件，否则不予验收。</w:t>
            </w:r>
          </w:p>
        </w:tc>
      </w:tr>
      <w:tr w14:paraId="067CEB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22B21697">
            <w:pPr>
              <w:spacing w:line="360" w:lineRule="exact"/>
              <w:jc w:val="center"/>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2</w:t>
            </w:r>
          </w:p>
        </w:tc>
        <w:tc>
          <w:tcPr>
            <w:tcW w:w="1402" w:type="dxa"/>
            <w:tcBorders>
              <w:top w:val="single" w:color="000000" w:sz="4" w:space="0"/>
              <w:left w:val="single" w:color="auto" w:sz="4" w:space="0"/>
              <w:bottom w:val="single" w:color="000000" w:sz="4" w:space="0"/>
              <w:right w:val="single" w:color="000000" w:sz="4" w:space="0"/>
            </w:tcBorders>
            <w:vAlign w:val="center"/>
          </w:tcPr>
          <w:p w14:paraId="251951EC">
            <w:pPr>
              <w:spacing w:line="360" w:lineRule="exact"/>
              <w:jc w:val="center"/>
              <w:rPr>
                <w:rFonts w:ascii="宋体" w:hAnsi="宋体"/>
                <w:color w:val="auto"/>
                <w:szCs w:val="21"/>
                <w:highlight w:val="none"/>
              </w:rPr>
            </w:pPr>
            <w:r>
              <w:rPr>
                <w:rFonts w:hint="eastAsia" w:ascii="宋体" w:hAnsi="宋体"/>
                <w:color w:val="auto"/>
                <w:szCs w:val="21"/>
                <w:highlight w:val="none"/>
              </w:rPr>
              <w:t>无线图传</w:t>
            </w:r>
          </w:p>
        </w:tc>
        <w:tc>
          <w:tcPr>
            <w:tcW w:w="704" w:type="dxa"/>
            <w:tcBorders>
              <w:top w:val="single" w:color="000000" w:sz="4" w:space="0"/>
              <w:left w:val="single" w:color="000000" w:sz="4" w:space="0"/>
              <w:bottom w:val="single" w:color="000000" w:sz="4" w:space="0"/>
              <w:right w:val="single" w:color="000000" w:sz="4" w:space="0"/>
            </w:tcBorders>
            <w:vAlign w:val="center"/>
          </w:tcPr>
          <w:p w14:paraId="57688943">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703" w:type="dxa"/>
            <w:tcBorders>
              <w:top w:val="single" w:color="auto" w:sz="4" w:space="0"/>
              <w:left w:val="single" w:color="000000" w:sz="4" w:space="0"/>
              <w:bottom w:val="single" w:color="000000" w:sz="4" w:space="0"/>
              <w:right w:val="single" w:color="000000" w:sz="4" w:space="0"/>
            </w:tcBorders>
            <w:vAlign w:val="center"/>
          </w:tcPr>
          <w:p w14:paraId="6066AC36">
            <w:pPr>
              <w:spacing w:line="360" w:lineRule="exact"/>
              <w:jc w:val="center"/>
              <w:rPr>
                <w:rFonts w:ascii="宋体" w:hAnsi="宋体"/>
                <w:color w:val="auto"/>
                <w:szCs w:val="21"/>
                <w:highlight w:val="none"/>
              </w:rPr>
            </w:pPr>
            <w:r>
              <w:rPr>
                <w:rFonts w:hint="eastAsia" w:ascii="宋体" w:hAnsi="宋体"/>
                <w:color w:val="auto"/>
                <w:szCs w:val="21"/>
                <w:highlight w:val="none"/>
              </w:rPr>
              <w:t>套</w:t>
            </w:r>
          </w:p>
        </w:tc>
        <w:tc>
          <w:tcPr>
            <w:tcW w:w="702" w:type="dxa"/>
            <w:vMerge w:val="continue"/>
            <w:tcBorders>
              <w:left w:val="single" w:color="000000" w:sz="4" w:space="0"/>
              <w:right w:val="single" w:color="000000" w:sz="4" w:space="0"/>
            </w:tcBorders>
            <w:vAlign w:val="center"/>
          </w:tcPr>
          <w:p w14:paraId="5DE9861B">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62CAA8A0">
            <w:pPr>
              <w:spacing w:line="360" w:lineRule="exact"/>
              <w:jc w:val="left"/>
              <w:rPr>
                <w:rFonts w:ascii="宋体" w:hAnsi="宋体"/>
                <w:color w:val="auto"/>
                <w:szCs w:val="21"/>
                <w:highlight w:val="none"/>
              </w:rPr>
            </w:pPr>
            <w:r>
              <w:rPr>
                <w:rFonts w:hint="eastAsia" w:ascii="宋体" w:hAnsi="宋体"/>
                <w:color w:val="auto"/>
                <w:szCs w:val="21"/>
                <w:highlight w:val="none"/>
              </w:rPr>
              <w:t>1.二发一收无线图传，支持2路无线音视频传输，只占用1路无线信道。</w:t>
            </w:r>
          </w:p>
          <w:p w14:paraId="13B3F4C5">
            <w:pPr>
              <w:spacing w:line="360" w:lineRule="exact"/>
              <w:jc w:val="left"/>
              <w:rPr>
                <w:rFonts w:ascii="宋体" w:hAnsi="宋体"/>
                <w:color w:val="auto"/>
                <w:szCs w:val="21"/>
                <w:highlight w:val="none"/>
              </w:rPr>
            </w:pPr>
            <w:r>
              <w:rPr>
                <w:rFonts w:hint="eastAsia" w:ascii="宋体" w:hAnsi="宋体"/>
                <w:color w:val="auto"/>
                <w:szCs w:val="21"/>
                <w:highlight w:val="none"/>
              </w:rPr>
              <w:t>2.采用H.265编解码技术，高画质低延迟（≤70毫秒）。</w:t>
            </w:r>
          </w:p>
          <w:p w14:paraId="79C1D998">
            <w:pPr>
              <w:spacing w:line="360" w:lineRule="exact"/>
              <w:jc w:val="left"/>
              <w:rPr>
                <w:rFonts w:ascii="宋体" w:hAnsi="宋体"/>
                <w:color w:val="auto"/>
                <w:szCs w:val="21"/>
                <w:highlight w:val="none"/>
              </w:rPr>
            </w:pPr>
            <w:r>
              <w:rPr>
                <w:rFonts w:hint="eastAsia" w:ascii="宋体" w:hAnsi="宋体"/>
                <w:color w:val="auto"/>
                <w:szCs w:val="21"/>
                <w:highlight w:val="none"/>
              </w:rPr>
              <w:t>3.无线传输距离：1000米（视距）。</w:t>
            </w:r>
          </w:p>
          <w:p w14:paraId="1CC5869F">
            <w:pPr>
              <w:spacing w:line="360" w:lineRule="exact"/>
              <w:jc w:val="left"/>
              <w:rPr>
                <w:rFonts w:ascii="宋体" w:hAnsi="宋体"/>
                <w:color w:val="auto"/>
                <w:szCs w:val="21"/>
                <w:highlight w:val="none"/>
              </w:rPr>
            </w:pPr>
            <w:r>
              <w:rPr>
                <w:rFonts w:hint="eastAsia" w:ascii="宋体" w:hAnsi="宋体"/>
                <w:color w:val="auto"/>
                <w:szCs w:val="21"/>
                <w:highlight w:val="none"/>
              </w:rPr>
              <w:t>4.工作频率：5.1-5.8GHz。</w:t>
            </w:r>
          </w:p>
          <w:p w14:paraId="60CA328A">
            <w:pPr>
              <w:spacing w:line="360" w:lineRule="exact"/>
              <w:jc w:val="left"/>
              <w:rPr>
                <w:rFonts w:ascii="宋体" w:hAnsi="宋体"/>
                <w:color w:val="auto"/>
                <w:szCs w:val="21"/>
                <w:highlight w:val="none"/>
              </w:rPr>
            </w:pPr>
            <w:r>
              <w:rPr>
                <w:rFonts w:hint="eastAsia" w:ascii="宋体" w:hAnsi="宋体"/>
                <w:color w:val="auto"/>
                <w:szCs w:val="21"/>
                <w:highlight w:val="none"/>
              </w:rPr>
              <w:t>5.工作频点：11个。</w:t>
            </w:r>
          </w:p>
          <w:p w14:paraId="4801BB7D">
            <w:pPr>
              <w:spacing w:line="360" w:lineRule="exact"/>
              <w:jc w:val="left"/>
              <w:rPr>
                <w:rFonts w:ascii="宋体" w:hAnsi="宋体"/>
                <w:color w:val="auto"/>
                <w:szCs w:val="21"/>
                <w:highlight w:val="none"/>
              </w:rPr>
            </w:pPr>
            <w:r>
              <w:rPr>
                <w:rFonts w:hint="eastAsia" w:ascii="宋体" w:hAnsi="宋体"/>
                <w:color w:val="auto"/>
                <w:szCs w:val="21"/>
                <w:highlight w:val="none"/>
              </w:rPr>
              <w:t>6.分辨率：HDMI/SDI输入输出支持1080P60。</w:t>
            </w:r>
          </w:p>
          <w:p w14:paraId="05827EB5">
            <w:pPr>
              <w:spacing w:line="360" w:lineRule="exact"/>
              <w:jc w:val="left"/>
              <w:rPr>
                <w:rFonts w:ascii="宋体" w:hAnsi="宋体"/>
                <w:color w:val="auto"/>
                <w:szCs w:val="21"/>
                <w:highlight w:val="none"/>
              </w:rPr>
            </w:pPr>
            <w:r>
              <w:rPr>
                <w:rFonts w:hint="eastAsia" w:ascii="宋体" w:hAnsi="宋体"/>
                <w:color w:val="auto"/>
                <w:szCs w:val="21"/>
                <w:highlight w:val="none"/>
              </w:rPr>
              <w:t>7.发射器视频接口：HDMI，SDI输入。</w:t>
            </w:r>
          </w:p>
          <w:p w14:paraId="7A43A67D">
            <w:pPr>
              <w:spacing w:line="360" w:lineRule="exact"/>
              <w:jc w:val="left"/>
              <w:rPr>
                <w:rFonts w:ascii="宋体" w:hAnsi="宋体"/>
                <w:color w:val="auto"/>
                <w:szCs w:val="21"/>
                <w:highlight w:val="none"/>
              </w:rPr>
            </w:pPr>
            <w:r>
              <w:rPr>
                <w:rFonts w:hint="eastAsia" w:ascii="宋体" w:hAnsi="宋体"/>
                <w:color w:val="auto"/>
                <w:szCs w:val="21"/>
                <w:highlight w:val="none"/>
              </w:rPr>
              <w:t>8.接收器视频接口：HDMI×2,SDI×2输出。</w:t>
            </w:r>
          </w:p>
          <w:p w14:paraId="10570738">
            <w:pPr>
              <w:spacing w:line="360" w:lineRule="exact"/>
              <w:jc w:val="left"/>
              <w:rPr>
                <w:rFonts w:ascii="宋体" w:hAnsi="宋体"/>
                <w:color w:val="auto"/>
                <w:szCs w:val="21"/>
                <w:highlight w:val="none"/>
              </w:rPr>
            </w:pPr>
            <w:r>
              <w:rPr>
                <w:rFonts w:hint="eastAsia" w:ascii="宋体" w:hAnsi="宋体"/>
                <w:color w:val="auto"/>
                <w:szCs w:val="21"/>
                <w:highlight w:val="none"/>
              </w:rPr>
              <w:t>9.整机功耗：发射器10W，接收器13W</w:t>
            </w:r>
            <w:r>
              <w:rPr>
                <w:rFonts w:hint="eastAsia" w:ascii="宋体" w:hAnsi="宋体"/>
                <w:b/>
                <w:bCs/>
                <w:color w:val="auto"/>
                <w:szCs w:val="21"/>
                <w:highlight w:val="none"/>
              </w:rPr>
              <w:t>（</w:t>
            </w:r>
            <w:r>
              <w:rPr>
                <w:rFonts w:hint="eastAsia"/>
                <w:b/>
                <w:bCs/>
                <w:color w:val="auto"/>
                <w:highlight w:val="none"/>
              </w:rPr>
              <w:t>供应商于响应文件中必须提供产品符合此项技术指标的相关有效证明材料，可以是由国家认可的第三方检测机构出具的检测报告、产品彩页等，并加盖供应商电子签章</w:t>
            </w:r>
            <w:r>
              <w:rPr>
                <w:rFonts w:hint="eastAsia" w:ascii="宋体" w:hAnsi="宋体"/>
                <w:b/>
                <w:bCs/>
                <w:color w:val="auto"/>
                <w:szCs w:val="21"/>
                <w:highlight w:val="none"/>
              </w:rPr>
              <w:t>）</w:t>
            </w:r>
            <w:r>
              <w:rPr>
                <w:rFonts w:hint="eastAsia"/>
                <w:b/>
                <w:bCs/>
                <w:color w:val="auto"/>
                <w:highlight w:val="none"/>
              </w:rPr>
              <w:t>。</w:t>
            </w:r>
          </w:p>
          <w:p w14:paraId="75BCA1EB">
            <w:pPr>
              <w:spacing w:line="360" w:lineRule="exact"/>
              <w:jc w:val="left"/>
              <w:rPr>
                <w:rFonts w:ascii="宋体" w:hAnsi="宋体"/>
                <w:color w:val="auto"/>
                <w:szCs w:val="21"/>
                <w:highlight w:val="none"/>
              </w:rPr>
            </w:pPr>
            <w:r>
              <w:rPr>
                <w:rFonts w:hint="eastAsia" w:ascii="宋体" w:hAnsi="宋体"/>
                <w:color w:val="auto"/>
                <w:szCs w:val="21"/>
                <w:highlight w:val="none"/>
              </w:rPr>
              <w:t>10.无线发射器配备NPF电池扣板，可用NPF电池供电，也可通过标配的2PINLEMO线连接V口电池的B口供电。</w:t>
            </w:r>
          </w:p>
          <w:p w14:paraId="609CA583">
            <w:pPr>
              <w:spacing w:line="360" w:lineRule="exact"/>
              <w:jc w:val="left"/>
              <w:rPr>
                <w:rFonts w:ascii="宋体" w:hAnsi="宋体"/>
                <w:color w:val="auto"/>
                <w:szCs w:val="21"/>
                <w:highlight w:val="none"/>
              </w:rPr>
            </w:pPr>
            <w:r>
              <w:rPr>
                <w:rFonts w:hint="eastAsia" w:ascii="宋体" w:hAnsi="宋体"/>
                <w:color w:val="auto"/>
                <w:szCs w:val="21"/>
                <w:highlight w:val="none"/>
              </w:rPr>
              <w:t>11.无线接收器具备V型口电池扣板，可安装V口电池供电，也可通过标配的电源适配器供电。</w:t>
            </w:r>
          </w:p>
          <w:p w14:paraId="74867737">
            <w:pPr>
              <w:spacing w:line="360" w:lineRule="exact"/>
              <w:jc w:val="left"/>
              <w:rPr>
                <w:rFonts w:ascii="宋体" w:hAnsi="宋体"/>
                <w:color w:val="auto"/>
                <w:szCs w:val="21"/>
                <w:highlight w:val="none"/>
              </w:rPr>
            </w:pPr>
            <w:r>
              <w:rPr>
                <w:rFonts w:hint="eastAsia" w:ascii="宋体" w:hAnsi="宋体"/>
                <w:color w:val="auto"/>
                <w:szCs w:val="21"/>
                <w:highlight w:val="none"/>
              </w:rPr>
              <w:t>12.无线发射器可工作3种工作模式：高增益模式/低增益模式/拉流模式</w:t>
            </w:r>
            <w:r>
              <w:rPr>
                <w:rFonts w:hint="eastAsia" w:ascii="宋体" w:hAnsi="宋体"/>
                <w:b/>
                <w:bCs/>
                <w:color w:val="auto"/>
                <w:szCs w:val="21"/>
                <w:highlight w:val="none"/>
              </w:rPr>
              <w:t>（</w:t>
            </w:r>
            <w:r>
              <w:rPr>
                <w:rFonts w:hint="eastAsia"/>
                <w:b/>
                <w:bCs/>
                <w:color w:val="auto"/>
                <w:highlight w:val="none"/>
              </w:rPr>
              <w:t>供应商于响应文件中必须提供产品符合此项技术指标的相关有效证明材料，可以是由国家认可的第三方检测机构出具的检测报告、产品彩页等，并加盖供应商电子签章</w:t>
            </w:r>
            <w:r>
              <w:rPr>
                <w:rFonts w:hint="eastAsia" w:ascii="宋体" w:hAnsi="宋体"/>
                <w:b/>
                <w:bCs/>
                <w:color w:val="auto"/>
                <w:szCs w:val="21"/>
                <w:highlight w:val="none"/>
              </w:rPr>
              <w:t>）</w:t>
            </w:r>
            <w:r>
              <w:rPr>
                <w:rFonts w:hint="eastAsia"/>
                <w:b/>
                <w:bCs/>
                <w:color w:val="auto"/>
                <w:highlight w:val="none"/>
              </w:rPr>
              <w:t>。</w:t>
            </w:r>
          </w:p>
          <w:p w14:paraId="65987702">
            <w:pPr>
              <w:spacing w:line="360" w:lineRule="exact"/>
              <w:jc w:val="left"/>
              <w:rPr>
                <w:rFonts w:ascii="宋体" w:hAnsi="宋体"/>
                <w:color w:val="auto"/>
                <w:szCs w:val="21"/>
                <w:highlight w:val="none"/>
              </w:rPr>
            </w:pPr>
            <w:r>
              <w:rPr>
                <w:rFonts w:hint="eastAsia" w:ascii="宋体" w:hAnsi="宋体"/>
                <w:color w:val="auto"/>
                <w:szCs w:val="21"/>
                <w:highlight w:val="none"/>
              </w:rPr>
              <w:t>13.支持TALLY及RS232/422/485云台摄像机控制</w:t>
            </w:r>
            <w:r>
              <w:rPr>
                <w:rFonts w:hint="eastAsia" w:ascii="宋体" w:hAnsi="宋体"/>
                <w:b/>
                <w:bCs/>
                <w:color w:val="auto"/>
                <w:szCs w:val="21"/>
                <w:highlight w:val="none"/>
              </w:rPr>
              <w:t>（</w:t>
            </w:r>
            <w:r>
              <w:rPr>
                <w:rFonts w:hint="eastAsia"/>
                <w:b/>
                <w:bCs/>
                <w:color w:val="auto"/>
                <w:highlight w:val="none"/>
              </w:rPr>
              <w:t>供应商于响应文件中必须提供产品符合此项技术指标的相关有效证明材料，可以是由国家认可的第三方检测机构出具的检测报告、产品彩页等，并加盖供应商电子签章</w:t>
            </w:r>
            <w:r>
              <w:rPr>
                <w:rFonts w:hint="eastAsia" w:ascii="宋体" w:hAnsi="宋体"/>
                <w:b/>
                <w:bCs/>
                <w:color w:val="auto"/>
                <w:szCs w:val="21"/>
                <w:highlight w:val="none"/>
              </w:rPr>
              <w:t>）</w:t>
            </w:r>
            <w:r>
              <w:rPr>
                <w:rFonts w:hint="eastAsia"/>
                <w:b/>
                <w:bCs/>
                <w:color w:val="auto"/>
                <w:highlight w:val="none"/>
              </w:rPr>
              <w:t>。</w:t>
            </w:r>
          </w:p>
          <w:p w14:paraId="251A75A6">
            <w:pPr>
              <w:spacing w:line="360" w:lineRule="exact"/>
              <w:jc w:val="left"/>
              <w:rPr>
                <w:rFonts w:ascii="宋体" w:hAnsi="宋体"/>
                <w:color w:val="auto"/>
                <w:szCs w:val="21"/>
                <w:highlight w:val="none"/>
              </w:rPr>
            </w:pPr>
            <w:r>
              <w:rPr>
                <w:rFonts w:hint="eastAsia" w:ascii="宋体" w:hAnsi="宋体"/>
                <w:color w:val="auto"/>
                <w:szCs w:val="21"/>
                <w:highlight w:val="none"/>
              </w:rPr>
              <w:t>14.支持LAN网口拉流功能。</w:t>
            </w:r>
          </w:p>
          <w:p w14:paraId="032026B1">
            <w:pPr>
              <w:spacing w:line="360" w:lineRule="exact"/>
              <w:jc w:val="left"/>
              <w:rPr>
                <w:rFonts w:ascii="宋体" w:hAnsi="宋体"/>
                <w:color w:val="auto"/>
                <w:szCs w:val="21"/>
                <w:highlight w:val="none"/>
              </w:rPr>
            </w:pPr>
            <w:r>
              <w:rPr>
                <w:rFonts w:hint="eastAsia" w:ascii="宋体" w:hAnsi="宋体"/>
                <w:color w:val="auto"/>
                <w:szCs w:val="21"/>
                <w:highlight w:val="none"/>
              </w:rPr>
              <w:t>15.支持自动、手动扫频，频道自动切换及干扰分析。</w:t>
            </w:r>
          </w:p>
          <w:p w14:paraId="03790F6C">
            <w:pPr>
              <w:spacing w:line="360" w:lineRule="exact"/>
              <w:jc w:val="left"/>
              <w:rPr>
                <w:rFonts w:ascii="宋体" w:hAnsi="宋体"/>
                <w:color w:val="auto"/>
                <w:szCs w:val="21"/>
                <w:highlight w:val="none"/>
              </w:rPr>
            </w:pPr>
            <w:r>
              <w:rPr>
                <w:rFonts w:hint="eastAsia" w:ascii="宋体" w:hAnsi="宋体"/>
                <w:color w:val="auto"/>
                <w:szCs w:val="21"/>
                <w:highlight w:val="none"/>
              </w:rPr>
              <w:t>16.支持静帧功能，如遇拍摄事故信号中断，输出画面将自动停留在最后一帧。</w:t>
            </w:r>
          </w:p>
          <w:p w14:paraId="565161C6">
            <w:pPr>
              <w:spacing w:line="360" w:lineRule="exact"/>
              <w:jc w:val="left"/>
              <w:rPr>
                <w:rFonts w:ascii="宋体" w:hAnsi="宋体"/>
                <w:color w:val="auto"/>
                <w:szCs w:val="21"/>
                <w:highlight w:val="none"/>
              </w:rPr>
            </w:pPr>
            <w:r>
              <w:rPr>
                <w:rFonts w:hint="eastAsia" w:ascii="宋体" w:hAnsi="宋体"/>
                <w:color w:val="auto"/>
                <w:szCs w:val="21"/>
                <w:highlight w:val="none"/>
              </w:rPr>
              <w:t>17.支持使用平板天线提升传输距离。</w:t>
            </w:r>
          </w:p>
          <w:p w14:paraId="0B20DAF7">
            <w:pPr>
              <w:spacing w:line="360" w:lineRule="exact"/>
              <w:jc w:val="left"/>
              <w:rPr>
                <w:rFonts w:ascii="宋体" w:hAnsi="宋体"/>
                <w:color w:val="auto"/>
                <w:szCs w:val="21"/>
                <w:highlight w:val="none"/>
              </w:rPr>
            </w:pPr>
            <w:r>
              <w:rPr>
                <w:rFonts w:hint="eastAsia"/>
                <w:color w:val="auto"/>
                <w:highlight w:val="none"/>
              </w:rPr>
              <w:t>18.</w:t>
            </w:r>
            <w:r>
              <w:rPr>
                <w:rFonts w:hint="eastAsia" w:ascii="宋体" w:hAnsi="宋体"/>
                <w:color w:val="auto"/>
                <w:szCs w:val="21"/>
                <w:highlight w:val="none"/>
              </w:rPr>
              <w:t>成交供应商于供货时必须向采购人提供</w:t>
            </w:r>
            <w:r>
              <w:rPr>
                <w:rFonts w:hint="eastAsia" w:ascii="宋体" w:hAnsi="宋体"/>
                <w:color w:val="auto"/>
                <w:szCs w:val="21"/>
                <w:highlight w:val="none"/>
                <w:lang w:eastAsia="zh-CN"/>
              </w:rPr>
              <w:t>所竞产品</w:t>
            </w:r>
            <w:r>
              <w:rPr>
                <w:rFonts w:hint="eastAsia" w:ascii="宋体" w:hAnsi="宋体"/>
                <w:color w:val="auto"/>
                <w:szCs w:val="21"/>
                <w:highlight w:val="none"/>
              </w:rPr>
              <w:t>生产厂家出具的售后服务承诺书原件，否则不予验收。</w:t>
            </w:r>
          </w:p>
        </w:tc>
      </w:tr>
      <w:tr w14:paraId="6BD8CD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0161A40D">
            <w:pPr>
              <w:spacing w:line="360" w:lineRule="exact"/>
              <w:jc w:val="center"/>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3</w:t>
            </w:r>
          </w:p>
        </w:tc>
        <w:tc>
          <w:tcPr>
            <w:tcW w:w="1402" w:type="dxa"/>
            <w:tcBorders>
              <w:top w:val="single" w:color="000000" w:sz="4" w:space="0"/>
              <w:left w:val="single" w:color="auto" w:sz="4" w:space="0"/>
              <w:bottom w:val="single" w:color="000000" w:sz="4" w:space="0"/>
              <w:right w:val="single" w:color="000000" w:sz="4" w:space="0"/>
            </w:tcBorders>
            <w:vAlign w:val="center"/>
          </w:tcPr>
          <w:p w14:paraId="19DF3136">
            <w:pPr>
              <w:spacing w:line="360" w:lineRule="exact"/>
              <w:jc w:val="center"/>
              <w:rPr>
                <w:rFonts w:ascii="宋体" w:hAnsi="宋体"/>
                <w:color w:val="auto"/>
                <w:szCs w:val="21"/>
                <w:highlight w:val="none"/>
              </w:rPr>
            </w:pPr>
            <w:r>
              <w:rPr>
                <w:rFonts w:hint="eastAsia" w:ascii="宋体" w:hAnsi="宋体"/>
                <w:color w:val="auto"/>
                <w:szCs w:val="21"/>
                <w:highlight w:val="none"/>
              </w:rPr>
              <w:t>大屏电视</w:t>
            </w:r>
          </w:p>
        </w:tc>
        <w:tc>
          <w:tcPr>
            <w:tcW w:w="704" w:type="dxa"/>
            <w:tcBorders>
              <w:top w:val="single" w:color="000000" w:sz="4" w:space="0"/>
              <w:left w:val="single" w:color="000000" w:sz="4" w:space="0"/>
              <w:bottom w:val="single" w:color="000000" w:sz="4" w:space="0"/>
              <w:right w:val="single" w:color="000000" w:sz="4" w:space="0"/>
            </w:tcBorders>
            <w:vAlign w:val="center"/>
          </w:tcPr>
          <w:p w14:paraId="226F97B9">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703" w:type="dxa"/>
            <w:tcBorders>
              <w:top w:val="single" w:color="auto" w:sz="4" w:space="0"/>
              <w:left w:val="single" w:color="000000" w:sz="4" w:space="0"/>
              <w:bottom w:val="single" w:color="000000" w:sz="4" w:space="0"/>
              <w:right w:val="single" w:color="000000" w:sz="4" w:space="0"/>
            </w:tcBorders>
            <w:vAlign w:val="center"/>
          </w:tcPr>
          <w:p w14:paraId="2E1C4E8A">
            <w:pPr>
              <w:spacing w:line="360" w:lineRule="exact"/>
              <w:jc w:val="center"/>
              <w:rPr>
                <w:rFonts w:ascii="宋体" w:hAnsi="宋体"/>
                <w:color w:val="auto"/>
                <w:szCs w:val="21"/>
                <w:highlight w:val="none"/>
              </w:rPr>
            </w:pPr>
            <w:r>
              <w:rPr>
                <w:rFonts w:hint="eastAsia" w:ascii="宋体" w:hAnsi="宋体"/>
                <w:color w:val="auto"/>
                <w:szCs w:val="21"/>
                <w:highlight w:val="none"/>
              </w:rPr>
              <w:t>台</w:t>
            </w:r>
          </w:p>
        </w:tc>
        <w:tc>
          <w:tcPr>
            <w:tcW w:w="702" w:type="dxa"/>
            <w:vMerge w:val="continue"/>
            <w:tcBorders>
              <w:left w:val="single" w:color="000000" w:sz="4" w:space="0"/>
              <w:right w:val="single" w:color="000000" w:sz="4" w:space="0"/>
            </w:tcBorders>
            <w:vAlign w:val="center"/>
          </w:tcPr>
          <w:p w14:paraId="0EFDDA6B">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3BB0E146">
            <w:pPr>
              <w:spacing w:line="360" w:lineRule="exact"/>
              <w:jc w:val="left"/>
              <w:rPr>
                <w:rFonts w:ascii="宋体" w:hAnsi="宋体"/>
                <w:color w:val="auto"/>
                <w:szCs w:val="21"/>
                <w:highlight w:val="none"/>
              </w:rPr>
            </w:pPr>
            <w:r>
              <w:rPr>
                <w:rFonts w:hint="eastAsia" w:ascii="宋体" w:hAnsi="宋体"/>
                <w:color w:val="auto"/>
                <w:szCs w:val="21"/>
                <w:highlight w:val="none"/>
              </w:rPr>
              <w:t>1.屏幕尺寸：≥98英寸。</w:t>
            </w:r>
          </w:p>
          <w:p w14:paraId="0BBF0493">
            <w:pPr>
              <w:spacing w:line="360" w:lineRule="exact"/>
              <w:jc w:val="left"/>
              <w:rPr>
                <w:rFonts w:ascii="宋体" w:hAnsi="宋体"/>
                <w:color w:val="auto"/>
                <w:szCs w:val="21"/>
                <w:highlight w:val="none"/>
              </w:rPr>
            </w:pPr>
            <w:r>
              <w:rPr>
                <w:rFonts w:hint="eastAsia" w:ascii="宋体" w:hAnsi="宋体"/>
                <w:color w:val="auto"/>
                <w:szCs w:val="21"/>
                <w:highlight w:val="none"/>
              </w:rPr>
              <w:t>2.显示分辨率：≥3840×2160（4K UHD）。</w:t>
            </w:r>
          </w:p>
          <w:p w14:paraId="3A1F37CC">
            <w:pPr>
              <w:spacing w:line="360" w:lineRule="exact"/>
              <w:jc w:val="left"/>
              <w:rPr>
                <w:rFonts w:ascii="宋体" w:hAnsi="宋体"/>
                <w:color w:val="auto"/>
                <w:szCs w:val="21"/>
                <w:highlight w:val="none"/>
              </w:rPr>
            </w:pPr>
            <w:r>
              <w:rPr>
                <w:rFonts w:hint="eastAsia" w:ascii="宋体" w:hAnsi="宋体"/>
                <w:color w:val="auto"/>
                <w:szCs w:val="21"/>
                <w:highlight w:val="none"/>
              </w:rPr>
              <w:t>3.背光方式：Mini LED，背光分区数≥1000区。</w:t>
            </w:r>
          </w:p>
          <w:p w14:paraId="5AAC5005">
            <w:pPr>
              <w:spacing w:line="360" w:lineRule="exact"/>
              <w:jc w:val="left"/>
              <w:rPr>
                <w:rFonts w:ascii="宋体" w:hAnsi="宋体"/>
                <w:color w:val="auto"/>
                <w:szCs w:val="21"/>
                <w:highlight w:val="none"/>
              </w:rPr>
            </w:pPr>
            <w:r>
              <w:rPr>
                <w:rFonts w:hint="eastAsia" w:ascii="宋体" w:hAnsi="宋体"/>
                <w:color w:val="auto"/>
                <w:szCs w:val="21"/>
                <w:highlight w:val="none"/>
              </w:rPr>
              <w:t>4.峰值亮度：≥1500nit。</w:t>
            </w:r>
          </w:p>
          <w:p w14:paraId="1F86B186">
            <w:pPr>
              <w:spacing w:line="360" w:lineRule="exact"/>
              <w:jc w:val="left"/>
              <w:rPr>
                <w:rFonts w:ascii="宋体" w:hAnsi="宋体"/>
                <w:color w:val="auto"/>
                <w:szCs w:val="21"/>
                <w:highlight w:val="none"/>
              </w:rPr>
            </w:pPr>
            <w:r>
              <w:rPr>
                <w:rFonts w:hint="eastAsia" w:ascii="宋体" w:hAnsi="宋体"/>
                <w:color w:val="auto"/>
                <w:szCs w:val="21"/>
                <w:highlight w:val="none"/>
              </w:rPr>
              <w:t>5.对比度：≥1,000,000:1。</w:t>
            </w:r>
          </w:p>
          <w:p w14:paraId="0D553621">
            <w:pPr>
              <w:spacing w:line="360" w:lineRule="exact"/>
              <w:jc w:val="left"/>
              <w:rPr>
                <w:rFonts w:ascii="宋体" w:hAnsi="宋体"/>
                <w:color w:val="auto"/>
                <w:szCs w:val="21"/>
                <w:highlight w:val="none"/>
              </w:rPr>
            </w:pPr>
            <w:r>
              <w:rPr>
                <w:rFonts w:hint="eastAsia" w:ascii="宋体" w:hAnsi="宋体"/>
                <w:color w:val="auto"/>
                <w:szCs w:val="21"/>
                <w:highlight w:val="none"/>
              </w:rPr>
              <w:t>6.色域覆盖：≥95% DCI-P3。</w:t>
            </w:r>
          </w:p>
          <w:p w14:paraId="190A384D">
            <w:pPr>
              <w:spacing w:line="360" w:lineRule="exact"/>
              <w:jc w:val="left"/>
              <w:rPr>
                <w:rFonts w:ascii="宋体" w:hAnsi="宋体"/>
                <w:color w:val="auto"/>
                <w:szCs w:val="21"/>
                <w:highlight w:val="none"/>
              </w:rPr>
            </w:pPr>
            <w:r>
              <w:rPr>
                <w:rFonts w:hint="eastAsia" w:ascii="宋体" w:hAnsi="宋体"/>
                <w:color w:val="auto"/>
                <w:szCs w:val="21"/>
                <w:highlight w:val="none"/>
              </w:rPr>
              <w:t>7.刷新率：≥120Hz。</w:t>
            </w:r>
          </w:p>
          <w:p w14:paraId="381EB12C">
            <w:pPr>
              <w:spacing w:line="360" w:lineRule="exact"/>
              <w:jc w:val="left"/>
              <w:rPr>
                <w:rFonts w:ascii="宋体" w:hAnsi="宋体"/>
                <w:color w:val="auto"/>
                <w:szCs w:val="21"/>
                <w:highlight w:val="none"/>
              </w:rPr>
            </w:pPr>
            <w:r>
              <w:rPr>
                <w:rFonts w:hint="eastAsia" w:ascii="宋体" w:hAnsi="宋体"/>
                <w:color w:val="auto"/>
                <w:szCs w:val="21"/>
                <w:highlight w:val="none"/>
              </w:rPr>
              <w:t>8.系统：参考或相当于Android智能系统。</w:t>
            </w:r>
          </w:p>
          <w:p w14:paraId="0C7FBE9A">
            <w:pPr>
              <w:spacing w:line="360" w:lineRule="exact"/>
              <w:jc w:val="left"/>
              <w:rPr>
                <w:rFonts w:ascii="宋体" w:hAnsi="宋体"/>
                <w:color w:val="auto"/>
                <w:szCs w:val="21"/>
                <w:highlight w:val="none"/>
              </w:rPr>
            </w:pPr>
            <w:r>
              <w:rPr>
                <w:rFonts w:hint="eastAsia" w:ascii="宋体" w:hAnsi="宋体"/>
                <w:color w:val="auto"/>
                <w:szCs w:val="21"/>
                <w:highlight w:val="none"/>
              </w:rPr>
              <w:t>9.运行内存/RAM：≥6GB。</w:t>
            </w:r>
          </w:p>
          <w:p w14:paraId="1BBFD6B7">
            <w:pPr>
              <w:spacing w:line="360" w:lineRule="exact"/>
              <w:jc w:val="left"/>
              <w:rPr>
                <w:rFonts w:ascii="宋体" w:hAnsi="宋体"/>
                <w:color w:val="auto"/>
                <w:szCs w:val="21"/>
                <w:highlight w:val="none"/>
              </w:rPr>
            </w:pPr>
            <w:r>
              <w:rPr>
                <w:rFonts w:hint="eastAsia" w:ascii="宋体" w:hAnsi="宋体"/>
                <w:color w:val="auto"/>
                <w:szCs w:val="21"/>
                <w:highlight w:val="none"/>
              </w:rPr>
              <w:t>10.存储容量：≥128GB。</w:t>
            </w:r>
          </w:p>
          <w:p w14:paraId="299CE9DF">
            <w:pPr>
              <w:spacing w:line="360" w:lineRule="exact"/>
              <w:jc w:val="left"/>
              <w:rPr>
                <w:rFonts w:ascii="宋体" w:hAnsi="宋体"/>
                <w:color w:val="auto"/>
                <w:szCs w:val="21"/>
                <w:highlight w:val="none"/>
              </w:rPr>
            </w:pPr>
            <w:r>
              <w:rPr>
                <w:rFonts w:hint="eastAsia" w:ascii="宋体" w:hAnsi="宋体"/>
                <w:color w:val="auto"/>
                <w:szCs w:val="21"/>
                <w:highlight w:val="none"/>
              </w:rPr>
              <w:t>11.发声单元个数：≥4个，支持杜比全景声。</w:t>
            </w:r>
          </w:p>
          <w:p w14:paraId="03C4DD1E">
            <w:pPr>
              <w:spacing w:line="360" w:lineRule="exact"/>
              <w:jc w:val="left"/>
              <w:rPr>
                <w:rFonts w:ascii="宋体" w:hAnsi="宋体"/>
                <w:color w:val="auto"/>
                <w:szCs w:val="21"/>
                <w:highlight w:val="none"/>
              </w:rPr>
            </w:pPr>
            <w:r>
              <w:rPr>
                <w:rFonts w:hint="eastAsia" w:ascii="宋体" w:hAnsi="宋体"/>
                <w:color w:val="auto"/>
                <w:szCs w:val="21"/>
                <w:highlight w:val="none"/>
              </w:rPr>
              <w:t>12.接口配置：HDMI 2.1≥2个，HDMI 2.0≥2个，USB 3.0≥1个，USB 2.0≥1个，RJ45网口≥1个。</w:t>
            </w:r>
          </w:p>
          <w:p w14:paraId="326377DB">
            <w:pPr>
              <w:spacing w:line="360" w:lineRule="exact"/>
              <w:jc w:val="left"/>
              <w:rPr>
                <w:rFonts w:ascii="宋体" w:hAnsi="宋体"/>
                <w:color w:val="auto"/>
                <w:szCs w:val="21"/>
                <w:highlight w:val="none"/>
              </w:rPr>
            </w:pPr>
            <w:r>
              <w:rPr>
                <w:rFonts w:hint="eastAsia" w:ascii="宋体" w:hAnsi="宋体"/>
                <w:color w:val="auto"/>
                <w:szCs w:val="21"/>
                <w:highlight w:val="none"/>
              </w:rPr>
              <w:t>13.无线连接：Wi-Fi 6，蓝牙≥5.0。</w:t>
            </w:r>
          </w:p>
          <w:p w14:paraId="2CF9C9A0">
            <w:pPr>
              <w:spacing w:line="360" w:lineRule="exact"/>
              <w:jc w:val="left"/>
              <w:rPr>
                <w:rFonts w:ascii="宋体" w:hAnsi="宋体"/>
                <w:color w:val="auto"/>
                <w:szCs w:val="21"/>
                <w:highlight w:val="none"/>
              </w:rPr>
            </w:pPr>
            <w:r>
              <w:rPr>
                <w:rFonts w:hint="eastAsia" w:ascii="宋体" w:hAnsi="宋体"/>
                <w:color w:val="auto"/>
                <w:szCs w:val="21"/>
                <w:highlight w:val="none"/>
              </w:rPr>
              <w:t>14.智能语音助手：支持远场语音控制。</w:t>
            </w:r>
          </w:p>
          <w:p w14:paraId="05B8DA64">
            <w:pPr>
              <w:spacing w:line="360" w:lineRule="exact"/>
              <w:jc w:val="left"/>
              <w:rPr>
                <w:rFonts w:ascii="宋体" w:hAnsi="宋体"/>
                <w:color w:val="auto"/>
                <w:szCs w:val="21"/>
                <w:highlight w:val="none"/>
              </w:rPr>
            </w:pPr>
            <w:r>
              <w:rPr>
                <w:rFonts w:hint="eastAsia" w:ascii="宋体" w:hAnsi="宋体"/>
                <w:color w:val="auto"/>
                <w:szCs w:val="21"/>
                <w:highlight w:val="none"/>
              </w:rPr>
              <w:t>15.屏占比：≥97%，全面屏设计。</w:t>
            </w:r>
          </w:p>
          <w:p w14:paraId="1F9EEAF3">
            <w:pPr>
              <w:spacing w:line="360" w:lineRule="exact"/>
              <w:jc w:val="left"/>
              <w:rPr>
                <w:rFonts w:ascii="宋体" w:hAnsi="宋体"/>
                <w:color w:val="auto"/>
                <w:szCs w:val="21"/>
                <w:highlight w:val="none"/>
              </w:rPr>
            </w:pPr>
            <w:r>
              <w:rPr>
                <w:rFonts w:hint="eastAsia" w:ascii="宋体" w:hAnsi="宋体"/>
                <w:color w:val="auto"/>
                <w:szCs w:val="21"/>
                <w:highlight w:val="none"/>
              </w:rPr>
              <w:t>16.支持HDR格式：HDR10、HDR10+、杜比视界。</w:t>
            </w:r>
          </w:p>
          <w:p w14:paraId="2EA81DBB">
            <w:pPr>
              <w:spacing w:line="360" w:lineRule="exact"/>
              <w:jc w:val="left"/>
              <w:rPr>
                <w:rFonts w:ascii="宋体" w:hAnsi="宋体"/>
                <w:color w:val="auto"/>
                <w:szCs w:val="21"/>
                <w:highlight w:val="none"/>
              </w:rPr>
            </w:pPr>
            <w:r>
              <w:rPr>
                <w:rFonts w:hint="eastAsia" w:ascii="宋体" w:hAnsi="宋体"/>
                <w:color w:val="auto"/>
                <w:szCs w:val="21"/>
                <w:highlight w:val="none"/>
              </w:rPr>
              <w:t>17.功耗：≤350W。</w:t>
            </w:r>
          </w:p>
          <w:p w14:paraId="02896448">
            <w:pPr>
              <w:spacing w:line="360" w:lineRule="exact"/>
              <w:jc w:val="left"/>
              <w:rPr>
                <w:rFonts w:ascii="宋体" w:hAnsi="宋体"/>
                <w:color w:val="auto"/>
                <w:szCs w:val="21"/>
                <w:highlight w:val="none"/>
              </w:rPr>
            </w:pPr>
            <w:r>
              <w:rPr>
                <w:rFonts w:hint="eastAsia" w:ascii="宋体" w:hAnsi="宋体"/>
                <w:color w:val="auto"/>
                <w:szCs w:val="21"/>
                <w:highlight w:val="none"/>
              </w:rPr>
              <w:t>18.所竞产品必须通过中国强制性产品认证（CCC/3C认证）。</w:t>
            </w:r>
          </w:p>
        </w:tc>
      </w:tr>
      <w:tr w14:paraId="53FD97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774B2CE5">
            <w:pPr>
              <w:spacing w:line="360" w:lineRule="exact"/>
              <w:jc w:val="center"/>
              <w:rPr>
                <w:rFonts w:ascii="宋体" w:hAnsi="宋体"/>
                <w:color w:val="auto"/>
                <w:szCs w:val="21"/>
                <w:highlight w:val="none"/>
              </w:rPr>
            </w:pPr>
            <w:r>
              <w:rPr>
                <w:rFonts w:hint="eastAsia" w:ascii="宋体" w:hAnsi="宋体"/>
                <w:color w:val="auto"/>
                <w:szCs w:val="21"/>
                <w:highlight w:val="none"/>
              </w:rPr>
              <w:t>14</w:t>
            </w:r>
          </w:p>
        </w:tc>
        <w:tc>
          <w:tcPr>
            <w:tcW w:w="1402" w:type="dxa"/>
            <w:tcBorders>
              <w:top w:val="single" w:color="000000" w:sz="4" w:space="0"/>
              <w:left w:val="single" w:color="auto" w:sz="4" w:space="0"/>
              <w:bottom w:val="single" w:color="000000" w:sz="4" w:space="0"/>
              <w:right w:val="single" w:color="000000" w:sz="4" w:space="0"/>
            </w:tcBorders>
            <w:vAlign w:val="center"/>
          </w:tcPr>
          <w:p w14:paraId="1A06424F">
            <w:pPr>
              <w:spacing w:line="360" w:lineRule="exact"/>
              <w:jc w:val="center"/>
              <w:rPr>
                <w:rFonts w:ascii="宋体" w:hAnsi="宋体"/>
                <w:color w:val="auto"/>
                <w:szCs w:val="21"/>
                <w:highlight w:val="none"/>
              </w:rPr>
            </w:pPr>
            <w:r>
              <w:rPr>
                <w:rFonts w:hint="eastAsia" w:ascii="宋体" w:hAnsi="宋体"/>
                <w:color w:val="auto"/>
                <w:szCs w:val="21"/>
                <w:highlight w:val="none"/>
              </w:rPr>
              <w:t>固态硬盘</w:t>
            </w:r>
          </w:p>
        </w:tc>
        <w:tc>
          <w:tcPr>
            <w:tcW w:w="704" w:type="dxa"/>
            <w:tcBorders>
              <w:top w:val="single" w:color="000000" w:sz="4" w:space="0"/>
              <w:left w:val="single" w:color="000000" w:sz="4" w:space="0"/>
              <w:bottom w:val="single" w:color="000000" w:sz="4" w:space="0"/>
              <w:right w:val="single" w:color="000000" w:sz="4" w:space="0"/>
            </w:tcBorders>
            <w:vAlign w:val="center"/>
          </w:tcPr>
          <w:p w14:paraId="7D2A8093">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703" w:type="dxa"/>
            <w:tcBorders>
              <w:top w:val="single" w:color="auto" w:sz="4" w:space="0"/>
              <w:left w:val="single" w:color="000000" w:sz="4" w:space="0"/>
              <w:bottom w:val="single" w:color="000000" w:sz="4" w:space="0"/>
              <w:right w:val="single" w:color="000000" w:sz="4" w:space="0"/>
            </w:tcBorders>
            <w:vAlign w:val="center"/>
          </w:tcPr>
          <w:p w14:paraId="62938A3A">
            <w:pPr>
              <w:spacing w:line="360" w:lineRule="exact"/>
              <w:jc w:val="center"/>
              <w:rPr>
                <w:rFonts w:ascii="宋体" w:hAnsi="宋体"/>
                <w:color w:val="auto"/>
                <w:szCs w:val="21"/>
                <w:highlight w:val="none"/>
              </w:rPr>
            </w:pPr>
            <w:r>
              <w:rPr>
                <w:rFonts w:hint="eastAsia" w:ascii="宋体" w:hAnsi="宋体"/>
                <w:color w:val="auto"/>
                <w:szCs w:val="21"/>
                <w:highlight w:val="none"/>
              </w:rPr>
              <w:t>块</w:t>
            </w:r>
          </w:p>
        </w:tc>
        <w:tc>
          <w:tcPr>
            <w:tcW w:w="702" w:type="dxa"/>
            <w:vMerge w:val="continue"/>
            <w:tcBorders>
              <w:left w:val="single" w:color="000000" w:sz="4" w:space="0"/>
              <w:right w:val="single" w:color="000000" w:sz="4" w:space="0"/>
            </w:tcBorders>
            <w:vAlign w:val="center"/>
          </w:tcPr>
          <w:p w14:paraId="512AB29A">
            <w:pPr>
              <w:jc w:val="center"/>
              <w:rPr>
                <w:rFonts w:ascii="宋体" w:hAnsi="宋体"/>
                <w:color w:val="auto"/>
                <w:szCs w:val="21"/>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6E12AE7C">
            <w:pPr>
              <w:spacing w:line="360" w:lineRule="exact"/>
              <w:jc w:val="left"/>
              <w:rPr>
                <w:rFonts w:ascii="宋体" w:hAnsi="宋体"/>
                <w:color w:val="auto"/>
                <w:szCs w:val="21"/>
                <w:highlight w:val="none"/>
              </w:rPr>
            </w:pPr>
            <w:r>
              <w:rPr>
                <w:rFonts w:hint="eastAsia" w:ascii="宋体" w:hAnsi="宋体"/>
                <w:color w:val="auto"/>
                <w:szCs w:val="21"/>
                <w:highlight w:val="none"/>
              </w:rPr>
              <w:t>1.类型：与切换台兼容使用的存储单元。</w:t>
            </w:r>
          </w:p>
          <w:p w14:paraId="5DBCC481">
            <w:pPr>
              <w:spacing w:line="360" w:lineRule="exact"/>
              <w:jc w:val="left"/>
              <w:rPr>
                <w:rFonts w:ascii="宋体" w:hAnsi="宋体"/>
                <w:color w:val="auto"/>
                <w:szCs w:val="21"/>
                <w:highlight w:val="none"/>
              </w:rPr>
            </w:pPr>
            <w:r>
              <w:rPr>
                <w:rFonts w:hint="eastAsia" w:ascii="宋体" w:hAnsi="宋体"/>
                <w:color w:val="auto"/>
                <w:szCs w:val="21"/>
                <w:highlight w:val="none"/>
              </w:rPr>
              <w:t>2.存储容量：≥2TB。</w:t>
            </w:r>
          </w:p>
          <w:p w14:paraId="2DCB73A3">
            <w:pPr>
              <w:spacing w:line="360" w:lineRule="exact"/>
              <w:jc w:val="left"/>
              <w:rPr>
                <w:rFonts w:ascii="宋体" w:hAnsi="宋体"/>
                <w:color w:val="auto"/>
                <w:szCs w:val="21"/>
                <w:highlight w:val="none"/>
              </w:rPr>
            </w:pPr>
            <w:r>
              <w:rPr>
                <w:rFonts w:hint="eastAsia" w:ascii="宋体" w:hAnsi="宋体"/>
                <w:color w:val="auto"/>
                <w:szCs w:val="21"/>
                <w:highlight w:val="none"/>
              </w:rPr>
              <w:t>3.接口类型：NVMe M.2。</w:t>
            </w:r>
          </w:p>
          <w:p w14:paraId="712007D5">
            <w:pPr>
              <w:spacing w:line="360" w:lineRule="exact"/>
              <w:jc w:val="left"/>
              <w:rPr>
                <w:rFonts w:ascii="宋体" w:hAnsi="宋体"/>
                <w:color w:val="auto"/>
                <w:szCs w:val="21"/>
                <w:highlight w:val="none"/>
              </w:rPr>
            </w:pPr>
            <w:r>
              <w:rPr>
                <w:rFonts w:hint="eastAsia" w:ascii="宋体" w:hAnsi="宋体"/>
                <w:color w:val="auto"/>
                <w:szCs w:val="21"/>
                <w:highlight w:val="none"/>
              </w:rPr>
              <w:t>4.读取速度：≥1050MB/s。</w:t>
            </w:r>
          </w:p>
          <w:p w14:paraId="74D96B7D">
            <w:pPr>
              <w:spacing w:line="360" w:lineRule="exact"/>
              <w:jc w:val="left"/>
              <w:rPr>
                <w:rFonts w:ascii="宋体" w:hAnsi="宋体"/>
                <w:color w:val="auto"/>
                <w:szCs w:val="21"/>
                <w:highlight w:val="none"/>
              </w:rPr>
            </w:pPr>
            <w:r>
              <w:rPr>
                <w:rFonts w:hint="eastAsia" w:ascii="宋体" w:hAnsi="宋体"/>
                <w:color w:val="auto"/>
                <w:szCs w:val="21"/>
                <w:highlight w:val="none"/>
              </w:rPr>
              <w:t>5.写入速度：≥1000MB/s。</w:t>
            </w:r>
          </w:p>
        </w:tc>
      </w:tr>
      <w:tr w14:paraId="38370F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429750FD">
            <w:pPr>
              <w:jc w:val="center"/>
              <w:rPr>
                <w:rFonts w:ascii="宋体" w:hAnsi="宋体"/>
                <w:color w:val="auto"/>
                <w:szCs w:val="21"/>
                <w:highlight w:val="none"/>
              </w:rPr>
            </w:pPr>
            <w:r>
              <w:rPr>
                <w:rFonts w:hint="eastAsia" w:ascii="宋体" w:hAnsi="宋体"/>
                <w:color w:val="auto"/>
                <w:szCs w:val="21"/>
                <w:highlight w:val="none"/>
              </w:rPr>
              <w:t>15</w:t>
            </w:r>
          </w:p>
        </w:tc>
        <w:tc>
          <w:tcPr>
            <w:tcW w:w="1402" w:type="dxa"/>
            <w:tcBorders>
              <w:top w:val="single" w:color="000000" w:sz="4" w:space="0"/>
              <w:left w:val="single" w:color="auto" w:sz="4" w:space="0"/>
              <w:bottom w:val="single" w:color="000000" w:sz="4" w:space="0"/>
              <w:right w:val="single" w:color="000000" w:sz="4" w:space="0"/>
            </w:tcBorders>
            <w:vAlign w:val="center"/>
          </w:tcPr>
          <w:p w14:paraId="420AE043">
            <w:pPr>
              <w:spacing w:line="360" w:lineRule="exact"/>
              <w:jc w:val="center"/>
              <w:rPr>
                <w:rFonts w:ascii="宋体" w:hAnsi="宋体"/>
                <w:color w:val="auto"/>
                <w:szCs w:val="21"/>
                <w:highlight w:val="none"/>
              </w:rPr>
            </w:pPr>
            <w:r>
              <w:rPr>
                <w:rFonts w:hint="eastAsia" w:ascii="宋体" w:hAnsi="宋体"/>
                <w:color w:val="auto"/>
                <w:szCs w:val="21"/>
                <w:highlight w:val="none"/>
              </w:rPr>
              <w:t>监看电视-（1）</w:t>
            </w:r>
          </w:p>
        </w:tc>
        <w:tc>
          <w:tcPr>
            <w:tcW w:w="704" w:type="dxa"/>
            <w:tcBorders>
              <w:top w:val="single" w:color="000000" w:sz="4" w:space="0"/>
              <w:left w:val="single" w:color="000000" w:sz="4" w:space="0"/>
              <w:bottom w:val="single" w:color="000000" w:sz="4" w:space="0"/>
              <w:right w:val="single" w:color="000000" w:sz="4" w:space="0"/>
            </w:tcBorders>
            <w:vAlign w:val="center"/>
          </w:tcPr>
          <w:p w14:paraId="364A48D3">
            <w:pPr>
              <w:spacing w:line="360" w:lineRule="exact"/>
              <w:jc w:val="center"/>
              <w:rPr>
                <w:rFonts w:ascii="宋体" w:hAnsi="宋体"/>
                <w:color w:val="auto"/>
                <w:szCs w:val="21"/>
                <w:highlight w:val="none"/>
              </w:rPr>
            </w:pPr>
            <w:r>
              <w:rPr>
                <w:rFonts w:hint="eastAsia" w:ascii="宋体" w:hAnsi="宋体"/>
                <w:color w:val="auto"/>
                <w:szCs w:val="21"/>
                <w:highlight w:val="none"/>
              </w:rPr>
              <w:t>3</w:t>
            </w:r>
          </w:p>
        </w:tc>
        <w:tc>
          <w:tcPr>
            <w:tcW w:w="703" w:type="dxa"/>
            <w:tcBorders>
              <w:top w:val="single" w:color="auto" w:sz="4" w:space="0"/>
              <w:left w:val="single" w:color="000000" w:sz="4" w:space="0"/>
              <w:bottom w:val="single" w:color="000000" w:sz="4" w:space="0"/>
              <w:right w:val="single" w:color="000000" w:sz="4" w:space="0"/>
            </w:tcBorders>
            <w:vAlign w:val="center"/>
          </w:tcPr>
          <w:p w14:paraId="5AD8A25D">
            <w:pPr>
              <w:spacing w:line="360" w:lineRule="exact"/>
              <w:jc w:val="center"/>
              <w:rPr>
                <w:rFonts w:ascii="宋体" w:hAnsi="宋体"/>
                <w:color w:val="auto"/>
                <w:szCs w:val="21"/>
                <w:highlight w:val="none"/>
              </w:rPr>
            </w:pPr>
            <w:r>
              <w:rPr>
                <w:rFonts w:hint="eastAsia" w:ascii="宋体" w:hAnsi="宋体"/>
                <w:color w:val="auto"/>
                <w:szCs w:val="21"/>
                <w:highlight w:val="none"/>
              </w:rPr>
              <w:t>台</w:t>
            </w:r>
          </w:p>
        </w:tc>
        <w:tc>
          <w:tcPr>
            <w:tcW w:w="702" w:type="dxa"/>
            <w:vMerge w:val="continue"/>
            <w:tcBorders>
              <w:left w:val="single" w:color="000000" w:sz="4" w:space="0"/>
              <w:right w:val="single" w:color="000000" w:sz="4" w:space="0"/>
            </w:tcBorders>
            <w:vAlign w:val="center"/>
          </w:tcPr>
          <w:p w14:paraId="43D9B036">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1149ED13">
            <w:pPr>
              <w:numPr>
                <w:ilvl w:val="0"/>
                <w:numId w:val="3"/>
              </w:numPr>
              <w:spacing w:line="360" w:lineRule="exact"/>
              <w:jc w:val="left"/>
              <w:rPr>
                <w:rFonts w:ascii="宋体" w:hAnsi="宋体"/>
                <w:color w:val="auto"/>
                <w:szCs w:val="21"/>
                <w:highlight w:val="none"/>
              </w:rPr>
            </w:pPr>
            <w:r>
              <w:rPr>
                <w:rFonts w:hint="eastAsia" w:ascii="宋体" w:hAnsi="宋体"/>
                <w:color w:val="auto"/>
                <w:szCs w:val="21"/>
                <w:highlight w:val="none"/>
              </w:rPr>
              <w:t>尺寸：≥55 英寸。</w:t>
            </w:r>
            <w:r>
              <w:rPr>
                <w:rFonts w:hint="eastAsia" w:ascii="宋体" w:hAnsi="宋体"/>
                <w:color w:val="auto"/>
                <w:szCs w:val="21"/>
                <w:highlight w:val="none"/>
              </w:rPr>
              <w:br w:type="textWrapping"/>
            </w:r>
            <w:r>
              <w:rPr>
                <w:rFonts w:hint="eastAsia" w:ascii="宋体" w:hAnsi="宋体"/>
                <w:color w:val="auto"/>
                <w:szCs w:val="21"/>
                <w:highlight w:val="none"/>
              </w:rPr>
              <w:t>2.分辨率：≥3840×2160。</w:t>
            </w:r>
            <w:r>
              <w:rPr>
                <w:rFonts w:hint="eastAsia" w:ascii="宋体" w:hAnsi="宋体"/>
                <w:color w:val="auto"/>
                <w:szCs w:val="21"/>
                <w:highlight w:val="none"/>
              </w:rPr>
              <w:br w:type="textWrapping"/>
            </w:r>
            <w:r>
              <w:rPr>
                <w:rFonts w:hint="eastAsia" w:ascii="宋体" w:hAnsi="宋体"/>
                <w:color w:val="auto"/>
                <w:szCs w:val="21"/>
                <w:highlight w:val="none"/>
              </w:rPr>
              <w:t>3.屏占比：≥97.6%。</w:t>
            </w:r>
            <w:r>
              <w:rPr>
                <w:rFonts w:hint="eastAsia" w:ascii="宋体" w:hAnsi="宋体"/>
                <w:color w:val="auto"/>
                <w:szCs w:val="21"/>
                <w:highlight w:val="none"/>
              </w:rPr>
              <w:br w:type="textWrapping"/>
            </w:r>
            <w:r>
              <w:rPr>
                <w:rFonts w:hint="eastAsia" w:ascii="宋体" w:hAnsi="宋体"/>
                <w:color w:val="auto"/>
                <w:szCs w:val="21"/>
                <w:highlight w:val="none"/>
              </w:rPr>
              <w:t>4.背光源：D-LED（直下式）。</w:t>
            </w:r>
            <w:r>
              <w:rPr>
                <w:rFonts w:hint="eastAsia" w:ascii="宋体" w:hAnsi="宋体"/>
                <w:color w:val="auto"/>
                <w:szCs w:val="21"/>
                <w:highlight w:val="none"/>
              </w:rPr>
              <w:br w:type="textWrapping"/>
            </w:r>
            <w:r>
              <w:rPr>
                <w:rFonts w:hint="eastAsia" w:ascii="宋体" w:hAnsi="宋体"/>
                <w:color w:val="auto"/>
                <w:szCs w:val="21"/>
                <w:highlight w:val="none"/>
              </w:rPr>
              <w:t>5.接口：≥HDMI2.1×3、≥USB2.0×2、≥网口×1、≥数字音频输出×1、≥音视频输入×1。</w:t>
            </w:r>
          </w:p>
          <w:p w14:paraId="5C18A321">
            <w:pPr>
              <w:spacing w:line="360" w:lineRule="exact"/>
              <w:jc w:val="left"/>
              <w:rPr>
                <w:rFonts w:ascii="宋体" w:hAnsi="宋体"/>
                <w:color w:val="auto"/>
                <w:szCs w:val="21"/>
                <w:highlight w:val="none"/>
              </w:rPr>
            </w:pPr>
            <w:r>
              <w:rPr>
                <w:rFonts w:hint="eastAsia" w:ascii="宋体" w:hAnsi="宋体"/>
                <w:color w:val="auto"/>
                <w:szCs w:val="21"/>
                <w:highlight w:val="none"/>
              </w:rPr>
              <w:t>6.所竞产品必须通过中国强制性产品认证（CCC/3C认证）。</w:t>
            </w:r>
          </w:p>
        </w:tc>
      </w:tr>
      <w:tr w14:paraId="07EAB0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33659A51">
            <w:pPr>
              <w:spacing w:line="360" w:lineRule="exact"/>
              <w:jc w:val="center"/>
              <w:rPr>
                <w:rFonts w:ascii="宋体" w:hAnsi="宋体"/>
                <w:color w:val="auto"/>
                <w:szCs w:val="21"/>
                <w:highlight w:val="none"/>
              </w:rPr>
            </w:pPr>
            <w:r>
              <w:rPr>
                <w:rFonts w:hint="eastAsia" w:ascii="宋体" w:hAnsi="宋体"/>
                <w:color w:val="auto"/>
                <w:szCs w:val="21"/>
                <w:highlight w:val="none"/>
              </w:rPr>
              <w:t>16</w:t>
            </w:r>
          </w:p>
        </w:tc>
        <w:tc>
          <w:tcPr>
            <w:tcW w:w="1402" w:type="dxa"/>
            <w:tcBorders>
              <w:top w:val="single" w:color="000000" w:sz="4" w:space="0"/>
              <w:left w:val="single" w:color="auto" w:sz="4" w:space="0"/>
              <w:bottom w:val="single" w:color="000000" w:sz="4" w:space="0"/>
              <w:right w:val="single" w:color="000000" w:sz="4" w:space="0"/>
            </w:tcBorders>
            <w:vAlign w:val="center"/>
          </w:tcPr>
          <w:p w14:paraId="5BDDD869">
            <w:pPr>
              <w:spacing w:line="360" w:lineRule="exact"/>
              <w:jc w:val="center"/>
              <w:rPr>
                <w:rFonts w:ascii="宋体" w:hAnsi="宋体"/>
                <w:color w:val="auto"/>
                <w:szCs w:val="21"/>
                <w:highlight w:val="none"/>
              </w:rPr>
            </w:pPr>
            <w:r>
              <w:rPr>
                <w:rFonts w:hint="eastAsia" w:ascii="宋体" w:hAnsi="宋体"/>
                <w:color w:val="auto"/>
                <w:szCs w:val="21"/>
                <w:highlight w:val="none"/>
              </w:rPr>
              <w:t>电视推车</w:t>
            </w:r>
          </w:p>
        </w:tc>
        <w:tc>
          <w:tcPr>
            <w:tcW w:w="704" w:type="dxa"/>
            <w:tcBorders>
              <w:top w:val="single" w:color="000000" w:sz="4" w:space="0"/>
              <w:left w:val="single" w:color="000000" w:sz="4" w:space="0"/>
              <w:bottom w:val="single" w:color="000000" w:sz="4" w:space="0"/>
              <w:right w:val="single" w:color="000000" w:sz="4" w:space="0"/>
            </w:tcBorders>
            <w:vAlign w:val="center"/>
          </w:tcPr>
          <w:p w14:paraId="68C41CD1">
            <w:pPr>
              <w:spacing w:line="360" w:lineRule="exact"/>
              <w:jc w:val="center"/>
              <w:rPr>
                <w:rFonts w:ascii="宋体" w:hAnsi="宋体"/>
                <w:color w:val="auto"/>
                <w:szCs w:val="21"/>
                <w:highlight w:val="none"/>
              </w:rPr>
            </w:pPr>
            <w:r>
              <w:rPr>
                <w:rFonts w:hint="eastAsia" w:ascii="宋体" w:hAnsi="宋体"/>
                <w:color w:val="auto"/>
                <w:szCs w:val="21"/>
                <w:highlight w:val="none"/>
              </w:rPr>
              <w:t>2</w:t>
            </w:r>
          </w:p>
        </w:tc>
        <w:tc>
          <w:tcPr>
            <w:tcW w:w="703" w:type="dxa"/>
            <w:tcBorders>
              <w:top w:val="single" w:color="auto" w:sz="4" w:space="0"/>
              <w:left w:val="single" w:color="000000" w:sz="4" w:space="0"/>
              <w:bottom w:val="single" w:color="000000" w:sz="4" w:space="0"/>
              <w:right w:val="single" w:color="000000" w:sz="4" w:space="0"/>
            </w:tcBorders>
            <w:vAlign w:val="center"/>
          </w:tcPr>
          <w:p w14:paraId="4692749D">
            <w:pPr>
              <w:spacing w:line="360" w:lineRule="exact"/>
              <w:jc w:val="center"/>
              <w:rPr>
                <w:rFonts w:ascii="宋体" w:hAnsi="宋体"/>
                <w:color w:val="auto"/>
                <w:szCs w:val="21"/>
                <w:highlight w:val="none"/>
              </w:rPr>
            </w:pPr>
            <w:r>
              <w:rPr>
                <w:rFonts w:hint="eastAsia" w:ascii="宋体" w:hAnsi="宋体"/>
                <w:color w:val="auto"/>
                <w:szCs w:val="21"/>
                <w:highlight w:val="none"/>
              </w:rPr>
              <w:t>个</w:t>
            </w:r>
          </w:p>
        </w:tc>
        <w:tc>
          <w:tcPr>
            <w:tcW w:w="702" w:type="dxa"/>
            <w:vMerge w:val="continue"/>
            <w:tcBorders>
              <w:left w:val="single" w:color="000000" w:sz="4" w:space="0"/>
              <w:right w:val="single" w:color="000000" w:sz="4" w:space="0"/>
            </w:tcBorders>
            <w:vAlign w:val="center"/>
          </w:tcPr>
          <w:p w14:paraId="7B907A15">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70A869AB">
            <w:pPr>
              <w:spacing w:line="360" w:lineRule="exact"/>
              <w:jc w:val="left"/>
              <w:rPr>
                <w:rFonts w:ascii="宋体" w:hAnsi="宋体"/>
                <w:color w:val="auto"/>
                <w:szCs w:val="21"/>
                <w:highlight w:val="none"/>
              </w:rPr>
            </w:pPr>
            <w:r>
              <w:rPr>
                <w:rFonts w:hint="eastAsia" w:ascii="宋体" w:hAnsi="宋体"/>
                <w:color w:val="auto"/>
                <w:szCs w:val="21"/>
                <w:highlight w:val="none"/>
              </w:rPr>
              <w:t>1.产品类型：移动电视推车。</w:t>
            </w:r>
            <w:r>
              <w:rPr>
                <w:rFonts w:hint="eastAsia" w:ascii="宋体" w:hAnsi="宋体"/>
                <w:color w:val="auto"/>
                <w:szCs w:val="21"/>
                <w:highlight w:val="none"/>
              </w:rPr>
              <w:br w:type="textWrapping"/>
            </w:r>
            <w:r>
              <w:rPr>
                <w:rFonts w:hint="eastAsia" w:ascii="宋体" w:hAnsi="宋体"/>
                <w:color w:val="auto"/>
                <w:szCs w:val="21"/>
                <w:highlight w:val="none"/>
              </w:rPr>
              <w:t>2.适用尺寸：≥55-90 英寸。</w:t>
            </w:r>
            <w:r>
              <w:rPr>
                <w:rFonts w:hint="eastAsia" w:ascii="宋体" w:hAnsi="宋体"/>
                <w:color w:val="auto"/>
                <w:szCs w:val="21"/>
                <w:highlight w:val="none"/>
              </w:rPr>
              <w:br w:type="textWrapping"/>
            </w:r>
            <w:r>
              <w:rPr>
                <w:rFonts w:hint="eastAsia" w:ascii="宋体" w:hAnsi="宋体"/>
                <w:color w:val="auto"/>
                <w:szCs w:val="21"/>
                <w:highlight w:val="none"/>
              </w:rPr>
              <w:t>3.承重范围：≥90kg。</w:t>
            </w:r>
            <w:r>
              <w:rPr>
                <w:rFonts w:hint="eastAsia" w:ascii="宋体" w:hAnsi="宋体"/>
                <w:color w:val="auto"/>
                <w:szCs w:val="21"/>
                <w:highlight w:val="none"/>
              </w:rPr>
              <w:br w:type="textWrapping"/>
            </w:r>
            <w:r>
              <w:rPr>
                <w:rFonts w:hint="eastAsia" w:ascii="宋体" w:hAnsi="宋体"/>
                <w:color w:val="auto"/>
                <w:szCs w:val="21"/>
                <w:highlight w:val="none"/>
              </w:rPr>
              <w:t>4.升降距离：≥1350—1650mm。</w:t>
            </w:r>
          </w:p>
        </w:tc>
      </w:tr>
      <w:tr w14:paraId="614576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51877698">
            <w:pPr>
              <w:spacing w:line="360" w:lineRule="exact"/>
              <w:jc w:val="center"/>
              <w:rPr>
                <w:rFonts w:ascii="宋体" w:hAnsi="宋体"/>
                <w:color w:val="auto"/>
                <w:szCs w:val="21"/>
                <w:highlight w:val="none"/>
              </w:rPr>
            </w:pPr>
            <w:r>
              <w:rPr>
                <w:rFonts w:hint="eastAsia" w:ascii="宋体" w:hAnsi="宋体"/>
                <w:color w:val="auto"/>
                <w:szCs w:val="21"/>
                <w:highlight w:val="none"/>
              </w:rPr>
              <w:t>17</w:t>
            </w:r>
          </w:p>
        </w:tc>
        <w:tc>
          <w:tcPr>
            <w:tcW w:w="1402" w:type="dxa"/>
            <w:tcBorders>
              <w:top w:val="single" w:color="000000" w:sz="4" w:space="0"/>
              <w:left w:val="single" w:color="auto" w:sz="4" w:space="0"/>
              <w:bottom w:val="single" w:color="000000" w:sz="4" w:space="0"/>
              <w:right w:val="single" w:color="000000" w:sz="4" w:space="0"/>
            </w:tcBorders>
            <w:vAlign w:val="center"/>
          </w:tcPr>
          <w:p w14:paraId="54DD7817">
            <w:pPr>
              <w:spacing w:line="360" w:lineRule="exact"/>
              <w:jc w:val="center"/>
              <w:rPr>
                <w:rFonts w:hint="default" w:ascii="宋体" w:hAnsi="宋体" w:eastAsia="宋体"/>
                <w:color w:val="auto"/>
                <w:szCs w:val="21"/>
                <w:highlight w:val="none"/>
                <w:lang w:val="en-US" w:eastAsia="zh-CN"/>
              </w:rPr>
            </w:pPr>
            <w:r>
              <w:rPr>
                <w:rFonts w:hint="eastAsia" w:ascii="宋体" w:hAnsi="宋体"/>
                <w:color w:val="auto"/>
                <w:szCs w:val="21"/>
                <w:highlight w:val="none"/>
              </w:rPr>
              <w:t>无线领夹</w:t>
            </w:r>
            <w:r>
              <w:rPr>
                <w:rFonts w:hint="eastAsia" w:ascii="宋体" w:hAnsi="宋体"/>
                <w:color w:val="auto"/>
                <w:szCs w:val="21"/>
                <w:highlight w:val="none"/>
                <w:lang w:val="en-US" w:eastAsia="zh-CN"/>
              </w:rPr>
              <w:t>采访麦</w:t>
            </w:r>
          </w:p>
        </w:tc>
        <w:tc>
          <w:tcPr>
            <w:tcW w:w="704" w:type="dxa"/>
            <w:tcBorders>
              <w:top w:val="single" w:color="000000" w:sz="4" w:space="0"/>
              <w:left w:val="single" w:color="000000" w:sz="4" w:space="0"/>
              <w:bottom w:val="single" w:color="000000" w:sz="4" w:space="0"/>
              <w:right w:val="single" w:color="000000" w:sz="4" w:space="0"/>
            </w:tcBorders>
            <w:vAlign w:val="center"/>
          </w:tcPr>
          <w:p w14:paraId="4F54E026">
            <w:pPr>
              <w:spacing w:line="360" w:lineRule="exact"/>
              <w:jc w:val="center"/>
              <w:rPr>
                <w:rFonts w:ascii="宋体" w:hAnsi="宋体"/>
                <w:color w:val="auto"/>
                <w:szCs w:val="21"/>
                <w:highlight w:val="none"/>
              </w:rPr>
            </w:pPr>
            <w:r>
              <w:rPr>
                <w:rFonts w:hint="eastAsia" w:ascii="宋体" w:hAnsi="宋体"/>
                <w:color w:val="auto"/>
                <w:szCs w:val="21"/>
                <w:highlight w:val="none"/>
              </w:rPr>
              <w:t>3</w:t>
            </w:r>
          </w:p>
        </w:tc>
        <w:tc>
          <w:tcPr>
            <w:tcW w:w="703" w:type="dxa"/>
            <w:tcBorders>
              <w:top w:val="single" w:color="auto" w:sz="4" w:space="0"/>
              <w:left w:val="single" w:color="000000" w:sz="4" w:space="0"/>
              <w:bottom w:val="single" w:color="000000" w:sz="4" w:space="0"/>
              <w:right w:val="single" w:color="000000" w:sz="4" w:space="0"/>
            </w:tcBorders>
            <w:vAlign w:val="center"/>
          </w:tcPr>
          <w:p w14:paraId="0627EAD3">
            <w:pPr>
              <w:spacing w:line="360" w:lineRule="exact"/>
              <w:jc w:val="center"/>
              <w:rPr>
                <w:rFonts w:ascii="宋体" w:hAnsi="宋体"/>
                <w:color w:val="auto"/>
                <w:szCs w:val="21"/>
                <w:highlight w:val="none"/>
              </w:rPr>
            </w:pPr>
            <w:r>
              <w:rPr>
                <w:rFonts w:hint="eastAsia" w:ascii="宋体" w:hAnsi="宋体"/>
                <w:color w:val="auto"/>
                <w:szCs w:val="21"/>
                <w:highlight w:val="none"/>
              </w:rPr>
              <w:t>套</w:t>
            </w:r>
          </w:p>
        </w:tc>
        <w:tc>
          <w:tcPr>
            <w:tcW w:w="702" w:type="dxa"/>
            <w:vMerge w:val="continue"/>
            <w:tcBorders>
              <w:left w:val="single" w:color="000000" w:sz="4" w:space="0"/>
              <w:right w:val="single" w:color="000000" w:sz="4" w:space="0"/>
            </w:tcBorders>
            <w:vAlign w:val="center"/>
          </w:tcPr>
          <w:p w14:paraId="44684C09">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7039D5A0">
            <w:pPr>
              <w:spacing w:line="360" w:lineRule="exact"/>
              <w:jc w:val="left"/>
              <w:rPr>
                <w:rFonts w:ascii="宋体" w:hAnsi="宋体"/>
                <w:color w:val="auto"/>
                <w:szCs w:val="21"/>
                <w:highlight w:val="none"/>
              </w:rPr>
            </w:pPr>
            <w:r>
              <w:rPr>
                <w:rFonts w:hint="eastAsia" w:ascii="宋体" w:hAnsi="宋体"/>
                <w:color w:val="auto"/>
                <w:szCs w:val="21"/>
                <w:highlight w:val="none"/>
              </w:rPr>
              <w:t>1.振荡器类型：晶体控制 PLL 合成器。</w:t>
            </w:r>
          </w:p>
          <w:p w14:paraId="75C54B97">
            <w:pPr>
              <w:spacing w:line="360" w:lineRule="exact"/>
              <w:jc w:val="left"/>
              <w:rPr>
                <w:rFonts w:ascii="宋体" w:hAnsi="宋体"/>
                <w:color w:val="auto"/>
                <w:szCs w:val="21"/>
                <w:highlight w:val="none"/>
              </w:rPr>
            </w:pPr>
            <w:r>
              <w:rPr>
                <w:rFonts w:hint="eastAsia" w:ascii="宋体" w:hAnsi="宋体"/>
                <w:color w:val="auto"/>
                <w:szCs w:val="21"/>
                <w:highlight w:val="none"/>
              </w:rPr>
              <w:t>2.接收类型：真分集式。</w:t>
            </w:r>
          </w:p>
          <w:p w14:paraId="2CF1D26C">
            <w:pPr>
              <w:spacing w:line="360" w:lineRule="exact"/>
              <w:jc w:val="left"/>
              <w:rPr>
                <w:rFonts w:ascii="宋体" w:hAnsi="宋体"/>
                <w:color w:val="auto"/>
                <w:szCs w:val="21"/>
                <w:highlight w:val="none"/>
              </w:rPr>
            </w:pPr>
            <w:r>
              <w:rPr>
                <w:rFonts w:hint="eastAsia" w:ascii="宋体" w:hAnsi="宋体"/>
                <w:color w:val="auto"/>
                <w:szCs w:val="21"/>
                <w:highlight w:val="none"/>
              </w:rPr>
              <w:t>3.载波频率：806.125 ~ 809.750 MHz。</w:t>
            </w:r>
          </w:p>
          <w:p w14:paraId="542248BB">
            <w:pPr>
              <w:spacing w:line="360" w:lineRule="exact"/>
              <w:jc w:val="left"/>
              <w:rPr>
                <w:rFonts w:ascii="宋体" w:hAnsi="宋体"/>
                <w:color w:val="auto"/>
                <w:szCs w:val="21"/>
                <w:highlight w:val="none"/>
              </w:rPr>
            </w:pPr>
            <w:r>
              <w:rPr>
                <w:rFonts w:hint="eastAsia" w:ascii="宋体" w:hAnsi="宋体"/>
                <w:color w:val="auto"/>
                <w:szCs w:val="21"/>
                <w:highlight w:val="none"/>
              </w:rPr>
              <w:t>4.频率响应：23 Hz ~ 18 kHz（典型）。</w:t>
            </w:r>
          </w:p>
          <w:p w14:paraId="424D236C">
            <w:pPr>
              <w:spacing w:line="360" w:lineRule="exact"/>
              <w:jc w:val="left"/>
              <w:rPr>
                <w:rFonts w:ascii="宋体" w:hAnsi="宋体"/>
                <w:color w:val="auto"/>
                <w:szCs w:val="21"/>
                <w:highlight w:val="none"/>
              </w:rPr>
            </w:pPr>
            <w:r>
              <w:rPr>
                <w:rFonts w:hint="eastAsia" w:ascii="宋体" w:hAnsi="宋体"/>
                <w:color w:val="auto"/>
                <w:szCs w:val="21"/>
                <w:highlight w:val="none"/>
              </w:rPr>
              <w:t>5.指向性：全指向。</w:t>
            </w:r>
          </w:p>
          <w:p w14:paraId="2454B8E2">
            <w:pPr>
              <w:spacing w:line="360" w:lineRule="exact"/>
              <w:jc w:val="left"/>
              <w:rPr>
                <w:rFonts w:ascii="宋体" w:hAnsi="宋体"/>
                <w:color w:val="auto"/>
                <w:szCs w:val="21"/>
                <w:highlight w:val="none"/>
              </w:rPr>
            </w:pPr>
            <w:r>
              <w:rPr>
                <w:rFonts w:hint="eastAsia" w:ascii="宋体" w:hAnsi="宋体"/>
                <w:color w:val="auto"/>
                <w:szCs w:val="21"/>
                <w:highlight w:val="none"/>
              </w:rPr>
              <w:t>6.</w:t>
            </w:r>
            <w:r>
              <w:rPr>
                <w:rFonts w:ascii="宋体" w:hAnsi="宋体"/>
                <w:color w:val="auto"/>
                <w:szCs w:val="21"/>
                <w:highlight w:val="none"/>
              </w:rPr>
              <w:t>含接收机+发射机+领夹麦</w:t>
            </w:r>
            <w:r>
              <w:rPr>
                <w:rFonts w:hint="eastAsia" w:ascii="宋体" w:hAnsi="宋体"/>
                <w:color w:val="auto"/>
                <w:szCs w:val="21"/>
                <w:highlight w:val="none"/>
              </w:rPr>
              <w:t>。</w:t>
            </w:r>
          </w:p>
        </w:tc>
      </w:tr>
      <w:tr w14:paraId="3A2F4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40F2AD4A">
            <w:pPr>
              <w:spacing w:line="360" w:lineRule="exact"/>
              <w:jc w:val="center"/>
              <w:rPr>
                <w:rFonts w:ascii="宋体" w:hAnsi="宋体"/>
                <w:color w:val="auto"/>
                <w:szCs w:val="21"/>
                <w:highlight w:val="none"/>
              </w:rPr>
            </w:pPr>
            <w:r>
              <w:rPr>
                <w:rFonts w:hint="eastAsia" w:ascii="宋体" w:hAnsi="宋体"/>
                <w:color w:val="auto"/>
                <w:szCs w:val="21"/>
                <w:highlight w:val="none"/>
              </w:rPr>
              <w:t>18</w:t>
            </w:r>
          </w:p>
        </w:tc>
        <w:tc>
          <w:tcPr>
            <w:tcW w:w="1402" w:type="dxa"/>
            <w:tcBorders>
              <w:top w:val="single" w:color="000000" w:sz="4" w:space="0"/>
              <w:left w:val="single" w:color="auto" w:sz="4" w:space="0"/>
              <w:bottom w:val="single" w:color="000000" w:sz="4" w:space="0"/>
              <w:right w:val="single" w:color="000000" w:sz="4" w:space="0"/>
            </w:tcBorders>
            <w:vAlign w:val="center"/>
          </w:tcPr>
          <w:p w14:paraId="38EEC082">
            <w:pPr>
              <w:spacing w:line="360" w:lineRule="exact"/>
              <w:jc w:val="center"/>
              <w:rPr>
                <w:rFonts w:ascii="宋体" w:hAnsi="宋体"/>
                <w:color w:val="auto"/>
                <w:szCs w:val="21"/>
                <w:highlight w:val="none"/>
              </w:rPr>
            </w:pPr>
            <w:r>
              <w:rPr>
                <w:rFonts w:hint="eastAsia" w:ascii="宋体" w:hAnsi="宋体"/>
                <w:color w:val="auto"/>
                <w:szCs w:val="21"/>
                <w:highlight w:val="none"/>
              </w:rPr>
              <w:t>音频延时器</w:t>
            </w:r>
          </w:p>
        </w:tc>
        <w:tc>
          <w:tcPr>
            <w:tcW w:w="704" w:type="dxa"/>
            <w:tcBorders>
              <w:top w:val="single" w:color="000000" w:sz="4" w:space="0"/>
              <w:left w:val="single" w:color="000000" w:sz="4" w:space="0"/>
              <w:bottom w:val="single" w:color="000000" w:sz="4" w:space="0"/>
              <w:right w:val="single" w:color="000000" w:sz="4" w:space="0"/>
            </w:tcBorders>
            <w:vAlign w:val="center"/>
          </w:tcPr>
          <w:p w14:paraId="3A5BFFC9">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703" w:type="dxa"/>
            <w:tcBorders>
              <w:top w:val="single" w:color="auto" w:sz="4" w:space="0"/>
              <w:left w:val="single" w:color="000000" w:sz="4" w:space="0"/>
              <w:bottom w:val="single" w:color="000000" w:sz="4" w:space="0"/>
              <w:right w:val="single" w:color="000000" w:sz="4" w:space="0"/>
            </w:tcBorders>
            <w:vAlign w:val="center"/>
          </w:tcPr>
          <w:p w14:paraId="7670A393">
            <w:pPr>
              <w:spacing w:line="360" w:lineRule="exact"/>
              <w:jc w:val="center"/>
              <w:rPr>
                <w:rFonts w:ascii="宋体" w:hAnsi="宋体"/>
                <w:color w:val="auto"/>
                <w:szCs w:val="21"/>
                <w:highlight w:val="none"/>
              </w:rPr>
            </w:pPr>
            <w:r>
              <w:rPr>
                <w:rFonts w:hint="eastAsia" w:ascii="宋体" w:hAnsi="宋体"/>
                <w:color w:val="auto"/>
                <w:szCs w:val="21"/>
                <w:highlight w:val="none"/>
              </w:rPr>
              <w:t>台</w:t>
            </w:r>
          </w:p>
        </w:tc>
        <w:tc>
          <w:tcPr>
            <w:tcW w:w="702" w:type="dxa"/>
            <w:vMerge w:val="continue"/>
            <w:tcBorders>
              <w:left w:val="single" w:color="000000" w:sz="4" w:space="0"/>
              <w:right w:val="single" w:color="000000" w:sz="4" w:space="0"/>
            </w:tcBorders>
            <w:vAlign w:val="center"/>
          </w:tcPr>
          <w:p w14:paraId="5A402B46">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6AC8F36B">
            <w:pPr>
              <w:spacing w:line="360" w:lineRule="exact"/>
              <w:jc w:val="left"/>
              <w:rPr>
                <w:rFonts w:ascii="宋体" w:hAnsi="宋体"/>
                <w:color w:val="auto"/>
                <w:szCs w:val="21"/>
                <w:highlight w:val="none"/>
              </w:rPr>
            </w:pPr>
            <w:r>
              <w:rPr>
                <w:rFonts w:hint="eastAsia" w:ascii="宋体" w:hAnsi="宋体"/>
                <w:color w:val="auto"/>
                <w:szCs w:val="21"/>
                <w:highlight w:val="none"/>
              </w:rPr>
              <w:t>1.输入信号：XLR 0dB 600Ω。</w:t>
            </w:r>
            <w:r>
              <w:rPr>
                <w:rFonts w:hint="eastAsia" w:ascii="宋体" w:hAnsi="宋体"/>
                <w:color w:val="auto"/>
                <w:szCs w:val="21"/>
                <w:highlight w:val="none"/>
              </w:rPr>
              <w:br w:type="textWrapping"/>
            </w:r>
            <w:r>
              <w:rPr>
                <w:rFonts w:hint="eastAsia" w:ascii="宋体" w:hAnsi="宋体"/>
                <w:color w:val="auto"/>
                <w:szCs w:val="21"/>
                <w:highlight w:val="none"/>
              </w:rPr>
              <w:t>2.输出信号：XLR 0dB 600Ω。</w:t>
            </w:r>
            <w:r>
              <w:rPr>
                <w:rFonts w:hint="eastAsia" w:ascii="宋体" w:hAnsi="宋体"/>
                <w:color w:val="auto"/>
                <w:szCs w:val="21"/>
                <w:highlight w:val="none"/>
              </w:rPr>
              <w:br w:type="textWrapping"/>
            </w:r>
            <w:r>
              <w:rPr>
                <w:rFonts w:hint="eastAsia" w:ascii="宋体" w:hAnsi="宋体"/>
                <w:color w:val="auto"/>
                <w:szCs w:val="21"/>
                <w:highlight w:val="none"/>
              </w:rPr>
              <w:t>3.物理接口：XLR。</w:t>
            </w:r>
            <w:r>
              <w:rPr>
                <w:rFonts w:hint="eastAsia" w:ascii="宋体" w:hAnsi="宋体"/>
                <w:color w:val="auto"/>
                <w:szCs w:val="21"/>
                <w:highlight w:val="none"/>
              </w:rPr>
              <w:br w:type="textWrapping"/>
            </w:r>
            <w:r>
              <w:rPr>
                <w:rFonts w:hint="eastAsia" w:ascii="宋体" w:hAnsi="宋体"/>
                <w:color w:val="auto"/>
                <w:szCs w:val="21"/>
                <w:highlight w:val="none"/>
              </w:rPr>
              <w:t>4.音频幅频特性：≥20Hz～0kHz ±0.5%。</w:t>
            </w:r>
            <w:r>
              <w:rPr>
                <w:rFonts w:hint="eastAsia" w:ascii="宋体" w:hAnsi="宋体"/>
                <w:color w:val="auto"/>
                <w:szCs w:val="21"/>
                <w:highlight w:val="none"/>
              </w:rPr>
              <w:br w:type="textWrapping"/>
            </w:r>
            <w:r>
              <w:rPr>
                <w:rFonts w:hint="eastAsia" w:ascii="宋体" w:hAnsi="宋体"/>
                <w:color w:val="auto"/>
                <w:szCs w:val="21"/>
                <w:highlight w:val="none"/>
              </w:rPr>
              <w:t>5.延迟范围：≥0-3000毫秒。</w:t>
            </w:r>
          </w:p>
        </w:tc>
      </w:tr>
      <w:tr w14:paraId="65D49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43762234">
            <w:pPr>
              <w:spacing w:line="360" w:lineRule="exact"/>
              <w:jc w:val="center"/>
              <w:rPr>
                <w:rFonts w:ascii="宋体" w:hAnsi="宋体"/>
                <w:color w:val="auto"/>
                <w:szCs w:val="21"/>
                <w:highlight w:val="none"/>
              </w:rPr>
            </w:pPr>
            <w:r>
              <w:rPr>
                <w:rFonts w:hint="eastAsia" w:ascii="宋体" w:hAnsi="宋体"/>
                <w:color w:val="auto"/>
                <w:szCs w:val="21"/>
                <w:highlight w:val="none"/>
              </w:rPr>
              <w:t>19</w:t>
            </w:r>
          </w:p>
        </w:tc>
        <w:tc>
          <w:tcPr>
            <w:tcW w:w="1402" w:type="dxa"/>
            <w:tcBorders>
              <w:top w:val="single" w:color="000000" w:sz="4" w:space="0"/>
              <w:left w:val="single" w:color="auto" w:sz="4" w:space="0"/>
              <w:bottom w:val="single" w:color="000000" w:sz="4" w:space="0"/>
              <w:right w:val="single" w:color="000000" w:sz="4" w:space="0"/>
            </w:tcBorders>
            <w:vAlign w:val="center"/>
          </w:tcPr>
          <w:p w14:paraId="260B0B3F">
            <w:pPr>
              <w:spacing w:line="360" w:lineRule="exact"/>
              <w:jc w:val="center"/>
              <w:rPr>
                <w:rFonts w:ascii="宋体" w:hAnsi="宋体"/>
                <w:color w:val="auto"/>
                <w:szCs w:val="21"/>
                <w:highlight w:val="none"/>
              </w:rPr>
            </w:pPr>
            <w:r>
              <w:rPr>
                <w:rFonts w:hint="eastAsia" w:ascii="宋体" w:hAnsi="宋体"/>
                <w:color w:val="auto"/>
                <w:szCs w:val="21"/>
                <w:highlight w:val="none"/>
              </w:rPr>
              <w:t>音频工作站</w:t>
            </w:r>
          </w:p>
        </w:tc>
        <w:tc>
          <w:tcPr>
            <w:tcW w:w="704" w:type="dxa"/>
            <w:tcBorders>
              <w:top w:val="single" w:color="000000" w:sz="4" w:space="0"/>
              <w:left w:val="single" w:color="000000" w:sz="4" w:space="0"/>
              <w:bottom w:val="single" w:color="000000" w:sz="4" w:space="0"/>
              <w:right w:val="single" w:color="000000" w:sz="4" w:space="0"/>
            </w:tcBorders>
            <w:vAlign w:val="center"/>
          </w:tcPr>
          <w:p w14:paraId="10BB2803">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703" w:type="dxa"/>
            <w:tcBorders>
              <w:top w:val="single" w:color="auto" w:sz="4" w:space="0"/>
              <w:left w:val="single" w:color="000000" w:sz="4" w:space="0"/>
              <w:bottom w:val="single" w:color="000000" w:sz="4" w:space="0"/>
              <w:right w:val="single" w:color="000000" w:sz="4" w:space="0"/>
            </w:tcBorders>
            <w:vAlign w:val="center"/>
          </w:tcPr>
          <w:p w14:paraId="76FAB070">
            <w:pPr>
              <w:spacing w:line="360" w:lineRule="exact"/>
              <w:jc w:val="center"/>
              <w:rPr>
                <w:rFonts w:ascii="宋体" w:hAnsi="宋体"/>
                <w:color w:val="auto"/>
                <w:szCs w:val="21"/>
                <w:highlight w:val="none"/>
              </w:rPr>
            </w:pPr>
            <w:r>
              <w:rPr>
                <w:rFonts w:hint="eastAsia" w:ascii="宋体" w:hAnsi="宋体"/>
                <w:color w:val="auto"/>
                <w:szCs w:val="21"/>
                <w:highlight w:val="none"/>
              </w:rPr>
              <w:t>套</w:t>
            </w:r>
          </w:p>
        </w:tc>
        <w:tc>
          <w:tcPr>
            <w:tcW w:w="702" w:type="dxa"/>
            <w:vMerge w:val="continue"/>
            <w:tcBorders>
              <w:left w:val="single" w:color="000000" w:sz="4" w:space="0"/>
              <w:right w:val="single" w:color="000000" w:sz="4" w:space="0"/>
            </w:tcBorders>
            <w:vAlign w:val="center"/>
          </w:tcPr>
          <w:p w14:paraId="0A4F9F1E">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2B980111">
            <w:pPr>
              <w:spacing w:line="360" w:lineRule="exact"/>
              <w:jc w:val="left"/>
              <w:rPr>
                <w:rFonts w:ascii="宋体" w:hAnsi="宋体"/>
                <w:color w:val="auto"/>
                <w:szCs w:val="21"/>
                <w:highlight w:val="none"/>
              </w:rPr>
            </w:pPr>
            <w:r>
              <w:rPr>
                <w:rFonts w:hint="eastAsia" w:ascii="宋体" w:hAnsi="宋体"/>
                <w:color w:val="auto"/>
                <w:szCs w:val="21"/>
                <w:highlight w:val="none"/>
              </w:rPr>
              <w:t xml:space="preserve">1.处理器≥24核32线程，最大频率 ≥6.0GHz，三级缓存 ≥36MB，二级缓存 ≥32MB。 </w:t>
            </w:r>
          </w:p>
          <w:p w14:paraId="016DA160">
            <w:pPr>
              <w:spacing w:line="360" w:lineRule="exact"/>
              <w:jc w:val="left"/>
              <w:rPr>
                <w:rFonts w:ascii="宋体" w:hAnsi="宋体"/>
                <w:color w:val="auto"/>
                <w:szCs w:val="21"/>
                <w:highlight w:val="none"/>
              </w:rPr>
            </w:pPr>
            <w:r>
              <w:rPr>
                <w:rFonts w:hint="eastAsia" w:ascii="宋体" w:hAnsi="宋体"/>
                <w:color w:val="auto"/>
                <w:szCs w:val="21"/>
                <w:highlight w:val="none"/>
              </w:rPr>
              <w:t>2.内存≥64GB。</w:t>
            </w:r>
            <w:r>
              <w:rPr>
                <w:rFonts w:hint="eastAsia" w:ascii="宋体" w:hAnsi="宋体"/>
                <w:color w:val="auto"/>
                <w:szCs w:val="21"/>
                <w:highlight w:val="none"/>
              </w:rPr>
              <w:br w:type="textWrapping"/>
            </w:r>
            <w:r>
              <w:rPr>
                <w:rFonts w:hint="eastAsia" w:ascii="宋体" w:hAnsi="宋体"/>
                <w:color w:val="auto"/>
                <w:szCs w:val="21"/>
                <w:highlight w:val="none"/>
              </w:rPr>
              <w:t>3.素材盘≥8TB HDD。</w:t>
            </w:r>
            <w:r>
              <w:rPr>
                <w:rFonts w:hint="eastAsia" w:ascii="宋体" w:hAnsi="宋体"/>
                <w:color w:val="auto"/>
                <w:szCs w:val="21"/>
                <w:highlight w:val="none"/>
              </w:rPr>
              <w:br w:type="textWrapping"/>
            </w:r>
            <w:r>
              <w:rPr>
                <w:rFonts w:hint="eastAsia" w:ascii="宋体" w:hAnsi="宋体"/>
                <w:color w:val="auto"/>
                <w:szCs w:val="21"/>
                <w:highlight w:val="none"/>
              </w:rPr>
              <w:t>4.系统盘≥1TB NVMe SSD。</w:t>
            </w:r>
            <w:r>
              <w:rPr>
                <w:rFonts w:hint="eastAsia" w:ascii="宋体" w:hAnsi="宋体"/>
                <w:color w:val="auto"/>
                <w:szCs w:val="21"/>
                <w:highlight w:val="none"/>
              </w:rPr>
              <w:br w:type="textWrapping"/>
            </w:r>
            <w:r>
              <w:rPr>
                <w:rFonts w:hint="eastAsia" w:ascii="宋体" w:hAnsi="宋体"/>
                <w:color w:val="auto"/>
                <w:szCs w:val="21"/>
                <w:highlight w:val="none"/>
              </w:rPr>
              <w:t>5.正版操作系统。</w:t>
            </w:r>
            <w:r>
              <w:rPr>
                <w:rFonts w:hint="eastAsia" w:ascii="宋体" w:hAnsi="宋体"/>
                <w:color w:val="auto"/>
                <w:szCs w:val="21"/>
                <w:highlight w:val="none"/>
              </w:rPr>
              <w:br w:type="textWrapping"/>
            </w:r>
            <w:r>
              <w:rPr>
                <w:rFonts w:hint="eastAsia" w:ascii="宋体" w:hAnsi="宋体"/>
                <w:color w:val="auto"/>
                <w:szCs w:val="21"/>
                <w:highlight w:val="none"/>
              </w:rPr>
              <w:t>6.≥40英寸显示器。</w:t>
            </w:r>
          </w:p>
        </w:tc>
      </w:tr>
      <w:tr w14:paraId="4330BB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2878E61C">
            <w:pPr>
              <w:spacing w:line="360" w:lineRule="exact"/>
              <w:jc w:val="center"/>
              <w:rPr>
                <w:rFonts w:ascii="宋体" w:hAnsi="宋体"/>
                <w:color w:val="auto"/>
                <w:szCs w:val="21"/>
                <w:highlight w:val="none"/>
              </w:rPr>
            </w:pPr>
            <w:r>
              <w:rPr>
                <w:rFonts w:hint="eastAsia" w:ascii="宋体" w:hAnsi="宋体"/>
                <w:color w:val="auto"/>
                <w:szCs w:val="21"/>
                <w:highlight w:val="none"/>
              </w:rPr>
              <w:t>20</w:t>
            </w:r>
          </w:p>
        </w:tc>
        <w:tc>
          <w:tcPr>
            <w:tcW w:w="1402" w:type="dxa"/>
            <w:tcBorders>
              <w:top w:val="single" w:color="000000" w:sz="4" w:space="0"/>
              <w:left w:val="single" w:color="auto" w:sz="4" w:space="0"/>
              <w:bottom w:val="single" w:color="000000" w:sz="4" w:space="0"/>
              <w:right w:val="single" w:color="000000" w:sz="4" w:space="0"/>
            </w:tcBorders>
            <w:vAlign w:val="center"/>
          </w:tcPr>
          <w:p w14:paraId="41208B1A">
            <w:pPr>
              <w:spacing w:line="360" w:lineRule="exact"/>
              <w:jc w:val="center"/>
              <w:rPr>
                <w:rFonts w:ascii="宋体" w:hAnsi="宋体"/>
                <w:color w:val="auto"/>
                <w:szCs w:val="21"/>
                <w:highlight w:val="none"/>
              </w:rPr>
            </w:pPr>
            <w:r>
              <w:rPr>
                <w:rFonts w:hint="eastAsia" w:ascii="宋体" w:hAnsi="宋体"/>
                <w:color w:val="auto"/>
                <w:szCs w:val="21"/>
                <w:highlight w:val="none"/>
              </w:rPr>
              <w:t>外置录音声卡</w:t>
            </w:r>
          </w:p>
        </w:tc>
        <w:tc>
          <w:tcPr>
            <w:tcW w:w="704" w:type="dxa"/>
            <w:tcBorders>
              <w:top w:val="single" w:color="000000" w:sz="4" w:space="0"/>
              <w:left w:val="single" w:color="000000" w:sz="4" w:space="0"/>
              <w:bottom w:val="single" w:color="000000" w:sz="4" w:space="0"/>
              <w:right w:val="single" w:color="000000" w:sz="4" w:space="0"/>
            </w:tcBorders>
            <w:vAlign w:val="center"/>
          </w:tcPr>
          <w:p w14:paraId="18853080">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703" w:type="dxa"/>
            <w:tcBorders>
              <w:top w:val="single" w:color="auto" w:sz="4" w:space="0"/>
              <w:left w:val="single" w:color="000000" w:sz="4" w:space="0"/>
              <w:bottom w:val="single" w:color="000000" w:sz="4" w:space="0"/>
              <w:right w:val="single" w:color="000000" w:sz="4" w:space="0"/>
            </w:tcBorders>
            <w:vAlign w:val="center"/>
          </w:tcPr>
          <w:p w14:paraId="48A25FFD">
            <w:pPr>
              <w:spacing w:line="360" w:lineRule="exact"/>
              <w:jc w:val="center"/>
              <w:rPr>
                <w:rFonts w:ascii="宋体" w:hAnsi="宋体"/>
                <w:color w:val="auto"/>
                <w:szCs w:val="21"/>
                <w:highlight w:val="none"/>
              </w:rPr>
            </w:pPr>
            <w:r>
              <w:rPr>
                <w:rFonts w:hint="eastAsia" w:ascii="宋体" w:hAnsi="宋体"/>
                <w:color w:val="auto"/>
                <w:szCs w:val="21"/>
                <w:highlight w:val="none"/>
              </w:rPr>
              <w:t>台</w:t>
            </w:r>
          </w:p>
        </w:tc>
        <w:tc>
          <w:tcPr>
            <w:tcW w:w="702" w:type="dxa"/>
            <w:vMerge w:val="continue"/>
            <w:tcBorders>
              <w:left w:val="single" w:color="000000" w:sz="4" w:space="0"/>
              <w:right w:val="single" w:color="000000" w:sz="4" w:space="0"/>
            </w:tcBorders>
            <w:vAlign w:val="center"/>
          </w:tcPr>
          <w:p w14:paraId="18493D50">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4CC1D5B7">
            <w:pPr>
              <w:spacing w:line="360" w:lineRule="exact"/>
              <w:jc w:val="left"/>
              <w:rPr>
                <w:rFonts w:ascii="宋体" w:hAnsi="宋体"/>
                <w:color w:val="auto"/>
                <w:szCs w:val="21"/>
                <w:highlight w:val="none"/>
              </w:rPr>
            </w:pPr>
            <w:r>
              <w:rPr>
                <w:rFonts w:hint="eastAsia" w:ascii="宋体" w:hAnsi="宋体"/>
                <w:color w:val="auto"/>
                <w:szCs w:val="21"/>
                <w:highlight w:val="none"/>
              </w:rPr>
              <w:t>1.支持≥2路麦克风/线路/乐器输入，≥2路线路输入。</w:t>
            </w:r>
            <w:r>
              <w:rPr>
                <w:rFonts w:hint="eastAsia" w:ascii="宋体" w:hAnsi="宋体"/>
                <w:color w:val="auto"/>
                <w:szCs w:val="21"/>
                <w:highlight w:val="none"/>
              </w:rPr>
              <w:br w:type="textWrapping"/>
            </w:r>
            <w:r>
              <w:rPr>
                <w:rFonts w:hint="eastAsia" w:ascii="宋体" w:hAnsi="宋体"/>
                <w:color w:val="auto"/>
                <w:szCs w:val="21"/>
                <w:highlight w:val="none"/>
              </w:rPr>
              <w:t>2.支持48V幻象供电，可独立开关控制。</w:t>
            </w:r>
            <w:r>
              <w:rPr>
                <w:rFonts w:hint="eastAsia" w:ascii="宋体" w:hAnsi="宋体"/>
                <w:color w:val="auto"/>
                <w:szCs w:val="21"/>
                <w:highlight w:val="none"/>
              </w:rPr>
              <w:br w:type="textWrapping"/>
            </w:r>
            <w:r>
              <w:rPr>
                <w:rFonts w:hint="eastAsia" w:ascii="宋体" w:hAnsi="宋体"/>
                <w:color w:val="auto"/>
                <w:szCs w:val="21"/>
                <w:highlight w:val="none"/>
              </w:rPr>
              <w:t>3.≥4路平衡输出，≥1路耳机输出。</w:t>
            </w:r>
            <w:r>
              <w:rPr>
                <w:rFonts w:hint="eastAsia" w:ascii="宋体" w:hAnsi="宋体"/>
                <w:color w:val="auto"/>
                <w:szCs w:val="21"/>
                <w:highlight w:val="none"/>
              </w:rPr>
              <w:br w:type="textWrapping"/>
            </w:r>
            <w:r>
              <w:rPr>
                <w:rFonts w:hint="eastAsia" w:ascii="宋体" w:hAnsi="宋体"/>
                <w:color w:val="auto"/>
                <w:szCs w:val="21"/>
                <w:highlight w:val="none"/>
              </w:rPr>
              <w:t>4.采用USB传输接口。</w:t>
            </w:r>
          </w:p>
        </w:tc>
      </w:tr>
      <w:tr w14:paraId="5793C0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3F9223CD">
            <w:pPr>
              <w:jc w:val="center"/>
              <w:rPr>
                <w:rFonts w:ascii="宋体" w:hAnsi="宋体"/>
                <w:color w:val="auto"/>
                <w:szCs w:val="21"/>
                <w:highlight w:val="none"/>
              </w:rPr>
            </w:pPr>
            <w:r>
              <w:rPr>
                <w:rFonts w:hint="eastAsia" w:ascii="宋体" w:hAnsi="宋体"/>
                <w:color w:val="auto"/>
                <w:szCs w:val="21"/>
                <w:highlight w:val="none"/>
              </w:rPr>
              <w:t>21</w:t>
            </w:r>
          </w:p>
        </w:tc>
        <w:tc>
          <w:tcPr>
            <w:tcW w:w="1402" w:type="dxa"/>
            <w:tcBorders>
              <w:top w:val="single" w:color="000000" w:sz="4" w:space="0"/>
              <w:left w:val="single" w:color="auto" w:sz="4" w:space="0"/>
              <w:bottom w:val="single" w:color="000000" w:sz="4" w:space="0"/>
              <w:right w:val="single" w:color="000000" w:sz="4" w:space="0"/>
            </w:tcBorders>
            <w:vAlign w:val="center"/>
          </w:tcPr>
          <w:p w14:paraId="647450F4">
            <w:pPr>
              <w:spacing w:line="360" w:lineRule="exact"/>
              <w:jc w:val="center"/>
              <w:rPr>
                <w:rFonts w:ascii="宋体" w:hAnsi="宋体"/>
                <w:color w:val="auto"/>
                <w:szCs w:val="21"/>
                <w:highlight w:val="none"/>
              </w:rPr>
            </w:pPr>
            <w:r>
              <w:rPr>
                <w:rFonts w:hint="eastAsia" w:ascii="宋体" w:hAnsi="宋体"/>
                <w:color w:val="auto"/>
                <w:szCs w:val="21"/>
                <w:highlight w:val="none"/>
              </w:rPr>
              <w:t>耳机分配器</w:t>
            </w:r>
          </w:p>
        </w:tc>
        <w:tc>
          <w:tcPr>
            <w:tcW w:w="704" w:type="dxa"/>
            <w:tcBorders>
              <w:top w:val="single" w:color="000000" w:sz="4" w:space="0"/>
              <w:left w:val="single" w:color="000000" w:sz="4" w:space="0"/>
              <w:bottom w:val="single" w:color="000000" w:sz="4" w:space="0"/>
              <w:right w:val="single" w:color="000000" w:sz="4" w:space="0"/>
            </w:tcBorders>
            <w:vAlign w:val="center"/>
          </w:tcPr>
          <w:p w14:paraId="5D52868B">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703" w:type="dxa"/>
            <w:tcBorders>
              <w:top w:val="single" w:color="auto" w:sz="4" w:space="0"/>
              <w:left w:val="single" w:color="000000" w:sz="4" w:space="0"/>
              <w:bottom w:val="single" w:color="000000" w:sz="4" w:space="0"/>
              <w:right w:val="single" w:color="000000" w:sz="4" w:space="0"/>
            </w:tcBorders>
            <w:vAlign w:val="center"/>
          </w:tcPr>
          <w:p w14:paraId="42005D89">
            <w:pPr>
              <w:spacing w:line="360" w:lineRule="exact"/>
              <w:jc w:val="center"/>
              <w:rPr>
                <w:rFonts w:ascii="宋体" w:hAnsi="宋体"/>
                <w:color w:val="auto"/>
                <w:szCs w:val="21"/>
                <w:highlight w:val="none"/>
              </w:rPr>
            </w:pPr>
            <w:r>
              <w:rPr>
                <w:rFonts w:hint="eastAsia" w:ascii="宋体" w:hAnsi="宋体"/>
                <w:color w:val="auto"/>
                <w:szCs w:val="21"/>
                <w:highlight w:val="none"/>
              </w:rPr>
              <w:t>台</w:t>
            </w:r>
          </w:p>
        </w:tc>
        <w:tc>
          <w:tcPr>
            <w:tcW w:w="702" w:type="dxa"/>
            <w:vMerge w:val="continue"/>
            <w:tcBorders>
              <w:left w:val="single" w:color="000000" w:sz="4" w:space="0"/>
              <w:right w:val="single" w:color="000000" w:sz="4" w:space="0"/>
            </w:tcBorders>
            <w:vAlign w:val="center"/>
          </w:tcPr>
          <w:p w14:paraId="23111ED9">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62D928A5">
            <w:pPr>
              <w:spacing w:line="360" w:lineRule="exact"/>
              <w:jc w:val="left"/>
              <w:rPr>
                <w:rFonts w:ascii="宋体" w:hAnsi="宋体"/>
                <w:color w:val="auto"/>
                <w:szCs w:val="21"/>
                <w:highlight w:val="none"/>
              </w:rPr>
            </w:pPr>
            <w:r>
              <w:rPr>
                <w:rFonts w:hint="eastAsia" w:ascii="宋体" w:hAnsi="宋体"/>
                <w:color w:val="auto"/>
                <w:szCs w:val="21"/>
                <w:highlight w:val="none"/>
              </w:rPr>
              <w:t>1.产品类型：≥8通道耳机放大器。</w:t>
            </w:r>
          </w:p>
          <w:p w14:paraId="3FF93C86">
            <w:pPr>
              <w:spacing w:line="360" w:lineRule="exact"/>
              <w:jc w:val="left"/>
              <w:rPr>
                <w:rFonts w:ascii="宋体" w:hAnsi="宋体"/>
                <w:color w:val="auto"/>
                <w:szCs w:val="21"/>
                <w:highlight w:val="none"/>
              </w:rPr>
            </w:pPr>
            <w:r>
              <w:rPr>
                <w:rFonts w:hint="eastAsia" w:ascii="宋体" w:hAnsi="宋体"/>
                <w:color w:val="auto"/>
                <w:szCs w:val="21"/>
                <w:highlight w:val="none"/>
              </w:rPr>
              <w:t>2.每路输出均有音量控制旋钮。</w:t>
            </w:r>
            <w:r>
              <w:rPr>
                <w:rFonts w:hint="eastAsia" w:ascii="宋体" w:hAnsi="宋体"/>
                <w:color w:val="auto"/>
                <w:szCs w:val="21"/>
                <w:highlight w:val="none"/>
              </w:rPr>
              <w:br w:type="textWrapping"/>
            </w:r>
            <w:r>
              <w:rPr>
                <w:rFonts w:hint="eastAsia" w:ascii="宋体" w:hAnsi="宋体"/>
                <w:color w:val="auto"/>
                <w:szCs w:val="21"/>
                <w:highlight w:val="none"/>
              </w:rPr>
              <w:t>3.独立放大线路。</w:t>
            </w:r>
            <w:r>
              <w:rPr>
                <w:rFonts w:hint="eastAsia" w:ascii="宋体" w:hAnsi="宋体"/>
                <w:color w:val="auto"/>
                <w:szCs w:val="21"/>
                <w:highlight w:val="none"/>
              </w:rPr>
              <w:br w:type="textWrapping"/>
            </w:r>
            <w:r>
              <w:rPr>
                <w:rFonts w:hint="eastAsia" w:ascii="宋体" w:hAnsi="宋体"/>
                <w:color w:val="auto"/>
                <w:szCs w:val="21"/>
                <w:highlight w:val="none"/>
              </w:rPr>
              <w:t>4.≥3组立体声平衡输入，≥8路立体声输出。</w:t>
            </w:r>
          </w:p>
        </w:tc>
      </w:tr>
      <w:tr w14:paraId="53B4BB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5A58C720">
            <w:pPr>
              <w:jc w:val="center"/>
              <w:rPr>
                <w:rFonts w:ascii="宋体" w:hAnsi="宋体"/>
                <w:color w:val="auto"/>
                <w:szCs w:val="21"/>
                <w:highlight w:val="none"/>
              </w:rPr>
            </w:pPr>
            <w:r>
              <w:rPr>
                <w:rFonts w:hint="eastAsia" w:ascii="宋体" w:hAnsi="宋体"/>
                <w:color w:val="auto"/>
                <w:szCs w:val="21"/>
                <w:highlight w:val="none"/>
              </w:rPr>
              <w:t>22</w:t>
            </w:r>
          </w:p>
        </w:tc>
        <w:tc>
          <w:tcPr>
            <w:tcW w:w="1402" w:type="dxa"/>
            <w:tcBorders>
              <w:top w:val="single" w:color="000000" w:sz="4" w:space="0"/>
              <w:left w:val="single" w:color="auto" w:sz="4" w:space="0"/>
              <w:bottom w:val="single" w:color="000000" w:sz="4" w:space="0"/>
              <w:right w:val="single" w:color="000000" w:sz="4" w:space="0"/>
            </w:tcBorders>
            <w:vAlign w:val="center"/>
          </w:tcPr>
          <w:p w14:paraId="1ADBEF1E">
            <w:pPr>
              <w:spacing w:line="360" w:lineRule="exact"/>
              <w:jc w:val="center"/>
              <w:rPr>
                <w:rFonts w:ascii="宋体" w:hAnsi="宋体"/>
                <w:color w:val="auto"/>
                <w:szCs w:val="21"/>
                <w:highlight w:val="none"/>
              </w:rPr>
            </w:pPr>
            <w:r>
              <w:rPr>
                <w:rFonts w:hint="eastAsia" w:ascii="宋体" w:hAnsi="宋体"/>
                <w:color w:val="auto"/>
                <w:szCs w:val="21"/>
                <w:highlight w:val="none"/>
              </w:rPr>
              <w:t>监听耳机</w:t>
            </w:r>
          </w:p>
        </w:tc>
        <w:tc>
          <w:tcPr>
            <w:tcW w:w="704" w:type="dxa"/>
            <w:tcBorders>
              <w:top w:val="single" w:color="000000" w:sz="4" w:space="0"/>
              <w:left w:val="single" w:color="000000" w:sz="4" w:space="0"/>
              <w:bottom w:val="single" w:color="000000" w:sz="4" w:space="0"/>
              <w:right w:val="single" w:color="000000" w:sz="4" w:space="0"/>
            </w:tcBorders>
            <w:vAlign w:val="center"/>
          </w:tcPr>
          <w:p w14:paraId="0271193C">
            <w:pPr>
              <w:spacing w:line="360" w:lineRule="exact"/>
              <w:jc w:val="center"/>
              <w:rPr>
                <w:rFonts w:ascii="宋体" w:hAnsi="宋体"/>
                <w:color w:val="auto"/>
                <w:szCs w:val="21"/>
                <w:highlight w:val="none"/>
              </w:rPr>
            </w:pPr>
            <w:r>
              <w:rPr>
                <w:rFonts w:hint="eastAsia" w:ascii="宋体" w:hAnsi="宋体"/>
                <w:color w:val="auto"/>
                <w:szCs w:val="21"/>
                <w:highlight w:val="none"/>
              </w:rPr>
              <w:t>3</w:t>
            </w:r>
          </w:p>
        </w:tc>
        <w:tc>
          <w:tcPr>
            <w:tcW w:w="703" w:type="dxa"/>
            <w:tcBorders>
              <w:top w:val="single" w:color="auto" w:sz="4" w:space="0"/>
              <w:left w:val="single" w:color="000000" w:sz="4" w:space="0"/>
              <w:bottom w:val="single" w:color="000000" w:sz="4" w:space="0"/>
              <w:right w:val="single" w:color="000000" w:sz="4" w:space="0"/>
            </w:tcBorders>
            <w:vAlign w:val="center"/>
          </w:tcPr>
          <w:p w14:paraId="47E1C346">
            <w:pPr>
              <w:spacing w:line="360" w:lineRule="exact"/>
              <w:jc w:val="center"/>
              <w:rPr>
                <w:rFonts w:ascii="宋体" w:hAnsi="宋体"/>
                <w:color w:val="auto"/>
                <w:szCs w:val="21"/>
                <w:highlight w:val="none"/>
              </w:rPr>
            </w:pPr>
            <w:r>
              <w:rPr>
                <w:rFonts w:hint="eastAsia" w:ascii="宋体" w:hAnsi="宋体"/>
                <w:color w:val="auto"/>
                <w:szCs w:val="21"/>
                <w:highlight w:val="none"/>
              </w:rPr>
              <w:t>个</w:t>
            </w:r>
          </w:p>
        </w:tc>
        <w:tc>
          <w:tcPr>
            <w:tcW w:w="702" w:type="dxa"/>
            <w:vMerge w:val="continue"/>
            <w:tcBorders>
              <w:left w:val="single" w:color="000000" w:sz="4" w:space="0"/>
              <w:right w:val="single" w:color="000000" w:sz="4" w:space="0"/>
            </w:tcBorders>
            <w:vAlign w:val="center"/>
          </w:tcPr>
          <w:p w14:paraId="3B0D4247">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06B47337">
            <w:pPr>
              <w:spacing w:line="360" w:lineRule="exact"/>
              <w:jc w:val="left"/>
              <w:rPr>
                <w:rFonts w:ascii="宋体" w:hAnsi="宋体"/>
                <w:color w:val="auto"/>
                <w:szCs w:val="21"/>
                <w:highlight w:val="none"/>
              </w:rPr>
            </w:pPr>
            <w:r>
              <w:rPr>
                <w:rFonts w:hint="eastAsia" w:ascii="宋体" w:hAnsi="宋体"/>
                <w:color w:val="auto"/>
                <w:szCs w:val="21"/>
                <w:highlight w:val="none"/>
              </w:rPr>
              <w:t>1.类型：降噪耳机。</w:t>
            </w:r>
            <w:r>
              <w:rPr>
                <w:rFonts w:hint="eastAsia" w:ascii="宋体" w:hAnsi="宋体"/>
                <w:color w:val="auto"/>
                <w:szCs w:val="21"/>
                <w:highlight w:val="none"/>
              </w:rPr>
              <w:br w:type="textWrapping"/>
            </w:r>
            <w:r>
              <w:rPr>
                <w:rFonts w:hint="eastAsia" w:ascii="宋体" w:hAnsi="宋体"/>
                <w:color w:val="auto"/>
                <w:szCs w:val="21"/>
                <w:highlight w:val="none"/>
              </w:rPr>
              <w:t>2.振膜类型：动圈。</w:t>
            </w:r>
            <w:r>
              <w:rPr>
                <w:rFonts w:hint="eastAsia" w:ascii="宋体" w:hAnsi="宋体"/>
                <w:color w:val="auto"/>
                <w:szCs w:val="21"/>
                <w:highlight w:val="none"/>
              </w:rPr>
              <w:br w:type="textWrapping"/>
            </w:r>
            <w:r>
              <w:rPr>
                <w:rFonts w:hint="eastAsia" w:ascii="宋体" w:hAnsi="宋体"/>
                <w:color w:val="auto"/>
                <w:szCs w:val="21"/>
                <w:highlight w:val="none"/>
              </w:rPr>
              <w:t>3.佩戴方式：头戴式。</w:t>
            </w:r>
            <w:r>
              <w:rPr>
                <w:rFonts w:hint="eastAsia" w:ascii="宋体" w:hAnsi="宋体"/>
                <w:color w:val="auto"/>
                <w:szCs w:val="21"/>
                <w:highlight w:val="none"/>
              </w:rPr>
              <w:br w:type="textWrapping"/>
            </w:r>
            <w:r>
              <w:rPr>
                <w:rFonts w:hint="eastAsia" w:ascii="宋体" w:hAnsi="宋体"/>
                <w:color w:val="auto"/>
                <w:szCs w:val="21"/>
                <w:highlight w:val="none"/>
              </w:rPr>
              <w:t>4.灵敏度（@1kHz）：≥97 dB/mw。</w:t>
            </w:r>
            <w:r>
              <w:rPr>
                <w:rFonts w:hint="eastAsia" w:ascii="宋体" w:hAnsi="宋体"/>
                <w:color w:val="auto"/>
                <w:szCs w:val="21"/>
                <w:highlight w:val="none"/>
              </w:rPr>
              <w:br w:type="textWrapping"/>
            </w:r>
            <w:r>
              <w:rPr>
                <w:rFonts w:hint="eastAsia" w:ascii="宋体" w:hAnsi="宋体"/>
                <w:color w:val="auto"/>
                <w:szCs w:val="21"/>
                <w:highlight w:val="none"/>
              </w:rPr>
              <w:t>5.单元大小：≥40mm。</w:t>
            </w:r>
          </w:p>
        </w:tc>
      </w:tr>
      <w:tr w14:paraId="28B7C2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577CAD85">
            <w:pPr>
              <w:jc w:val="center"/>
              <w:rPr>
                <w:rFonts w:ascii="宋体" w:hAnsi="宋体"/>
                <w:color w:val="auto"/>
                <w:szCs w:val="21"/>
                <w:highlight w:val="none"/>
              </w:rPr>
            </w:pPr>
            <w:r>
              <w:rPr>
                <w:rFonts w:hint="eastAsia" w:ascii="宋体" w:hAnsi="宋体"/>
                <w:color w:val="auto"/>
                <w:szCs w:val="21"/>
                <w:highlight w:val="none"/>
              </w:rPr>
              <w:t>23</w:t>
            </w:r>
          </w:p>
        </w:tc>
        <w:tc>
          <w:tcPr>
            <w:tcW w:w="1402" w:type="dxa"/>
            <w:tcBorders>
              <w:top w:val="single" w:color="000000" w:sz="4" w:space="0"/>
              <w:left w:val="single" w:color="auto" w:sz="4" w:space="0"/>
              <w:bottom w:val="single" w:color="000000" w:sz="4" w:space="0"/>
              <w:right w:val="single" w:color="000000" w:sz="4" w:space="0"/>
            </w:tcBorders>
            <w:vAlign w:val="center"/>
          </w:tcPr>
          <w:p w14:paraId="6519A5CD">
            <w:pPr>
              <w:spacing w:line="360" w:lineRule="exact"/>
              <w:jc w:val="center"/>
              <w:rPr>
                <w:rFonts w:ascii="宋体" w:hAnsi="宋体"/>
                <w:color w:val="auto"/>
                <w:szCs w:val="21"/>
                <w:highlight w:val="none"/>
              </w:rPr>
            </w:pPr>
            <w:r>
              <w:rPr>
                <w:rFonts w:hint="eastAsia" w:ascii="宋体" w:hAnsi="宋体"/>
                <w:color w:val="auto"/>
                <w:szCs w:val="21"/>
                <w:highlight w:val="none"/>
              </w:rPr>
              <w:t>有源监听音箱</w:t>
            </w:r>
          </w:p>
        </w:tc>
        <w:tc>
          <w:tcPr>
            <w:tcW w:w="704" w:type="dxa"/>
            <w:tcBorders>
              <w:top w:val="single" w:color="000000" w:sz="4" w:space="0"/>
              <w:left w:val="single" w:color="000000" w:sz="4" w:space="0"/>
              <w:bottom w:val="single" w:color="000000" w:sz="4" w:space="0"/>
              <w:right w:val="single" w:color="000000" w:sz="4" w:space="0"/>
            </w:tcBorders>
            <w:vAlign w:val="center"/>
          </w:tcPr>
          <w:p w14:paraId="23FA8530">
            <w:pPr>
              <w:spacing w:line="360" w:lineRule="exact"/>
              <w:jc w:val="center"/>
              <w:rPr>
                <w:rFonts w:ascii="宋体" w:hAnsi="宋体"/>
                <w:color w:val="auto"/>
                <w:szCs w:val="21"/>
                <w:highlight w:val="none"/>
              </w:rPr>
            </w:pPr>
            <w:r>
              <w:rPr>
                <w:rFonts w:hint="eastAsia" w:ascii="宋体" w:hAnsi="宋体"/>
                <w:color w:val="auto"/>
                <w:szCs w:val="21"/>
                <w:highlight w:val="none"/>
              </w:rPr>
              <w:t>2</w:t>
            </w:r>
          </w:p>
        </w:tc>
        <w:tc>
          <w:tcPr>
            <w:tcW w:w="703" w:type="dxa"/>
            <w:tcBorders>
              <w:top w:val="single" w:color="auto" w:sz="4" w:space="0"/>
              <w:left w:val="single" w:color="000000" w:sz="4" w:space="0"/>
              <w:bottom w:val="single" w:color="000000" w:sz="4" w:space="0"/>
              <w:right w:val="single" w:color="000000" w:sz="4" w:space="0"/>
            </w:tcBorders>
            <w:vAlign w:val="center"/>
          </w:tcPr>
          <w:p w14:paraId="5CD44280">
            <w:pPr>
              <w:spacing w:line="360" w:lineRule="exact"/>
              <w:jc w:val="center"/>
              <w:rPr>
                <w:rFonts w:ascii="宋体" w:hAnsi="宋体"/>
                <w:color w:val="auto"/>
                <w:szCs w:val="21"/>
                <w:highlight w:val="none"/>
              </w:rPr>
            </w:pPr>
            <w:r>
              <w:rPr>
                <w:rFonts w:hint="eastAsia" w:ascii="宋体" w:hAnsi="宋体"/>
                <w:color w:val="auto"/>
                <w:szCs w:val="21"/>
                <w:highlight w:val="none"/>
              </w:rPr>
              <w:t>只</w:t>
            </w:r>
          </w:p>
        </w:tc>
        <w:tc>
          <w:tcPr>
            <w:tcW w:w="702" w:type="dxa"/>
            <w:vMerge w:val="continue"/>
            <w:tcBorders>
              <w:left w:val="single" w:color="000000" w:sz="4" w:space="0"/>
              <w:right w:val="single" w:color="000000" w:sz="4" w:space="0"/>
            </w:tcBorders>
            <w:vAlign w:val="center"/>
          </w:tcPr>
          <w:p w14:paraId="56080DF4">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0E0C213C">
            <w:pPr>
              <w:spacing w:line="360" w:lineRule="exact"/>
              <w:jc w:val="left"/>
              <w:rPr>
                <w:rFonts w:ascii="宋体" w:hAnsi="宋体"/>
                <w:color w:val="auto"/>
                <w:szCs w:val="21"/>
                <w:highlight w:val="none"/>
              </w:rPr>
            </w:pPr>
            <w:r>
              <w:rPr>
                <w:rFonts w:hint="eastAsia" w:ascii="宋体" w:hAnsi="宋体"/>
                <w:color w:val="auto"/>
                <w:szCs w:val="21"/>
                <w:highlight w:val="none"/>
              </w:rPr>
              <w:t>1.系统类型：监听有源电子分频扬声器系统，两路四阶倒相式。</w:t>
            </w:r>
          </w:p>
          <w:p w14:paraId="0263BB3D">
            <w:pPr>
              <w:spacing w:line="360" w:lineRule="exact"/>
              <w:jc w:val="left"/>
              <w:rPr>
                <w:rFonts w:ascii="宋体" w:hAnsi="宋体"/>
                <w:color w:val="auto"/>
                <w:szCs w:val="21"/>
                <w:highlight w:val="none"/>
              </w:rPr>
            </w:pPr>
            <w:r>
              <w:rPr>
                <w:rFonts w:hint="eastAsia" w:ascii="宋体" w:hAnsi="宋体"/>
                <w:color w:val="auto"/>
                <w:szCs w:val="21"/>
                <w:highlight w:val="none"/>
              </w:rPr>
              <w:t>2.单元配置：≥6.5英寸中低音单元+20mm金属硬球顶高音单元。</w:t>
            </w:r>
          </w:p>
          <w:p w14:paraId="4712CEBA">
            <w:pPr>
              <w:spacing w:line="360" w:lineRule="exact"/>
              <w:jc w:val="left"/>
              <w:rPr>
                <w:rFonts w:ascii="宋体" w:hAnsi="宋体"/>
                <w:color w:val="auto"/>
                <w:szCs w:val="21"/>
                <w:highlight w:val="none"/>
              </w:rPr>
            </w:pPr>
            <w:r>
              <w:rPr>
                <w:rFonts w:hint="eastAsia" w:ascii="宋体" w:hAnsi="宋体"/>
                <w:color w:val="auto"/>
                <w:szCs w:val="21"/>
                <w:highlight w:val="none"/>
              </w:rPr>
              <w:t>3.频响范围：38Hz~20kHz（±2.5dB，free space）。</w:t>
            </w:r>
          </w:p>
          <w:p w14:paraId="37919EEC">
            <w:pPr>
              <w:spacing w:line="360" w:lineRule="exact"/>
              <w:jc w:val="left"/>
              <w:rPr>
                <w:rFonts w:ascii="宋体" w:hAnsi="宋体"/>
                <w:color w:val="auto"/>
                <w:szCs w:val="21"/>
                <w:highlight w:val="none"/>
              </w:rPr>
            </w:pPr>
            <w:r>
              <w:rPr>
                <w:rFonts w:hint="eastAsia" w:ascii="宋体" w:hAnsi="宋体"/>
                <w:color w:val="auto"/>
                <w:szCs w:val="21"/>
                <w:highlight w:val="none"/>
              </w:rPr>
              <w:t>4.分频点：3.0kHz，采用有源电子分频滤波器。</w:t>
            </w:r>
          </w:p>
          <w:p w14:paraId="688A9D0C">
            <w:pPr>
              <w:spacing w:line="360" w:lineRule="exact"/>
              <w:jc w:val="left"/>
              <w:rPr>
                <w:rFonts w:ascii="宋体" w:hAnsi="宋体"/>
                <w:color w:val="auto"/>
                <w:szCs w:val="21"/>
                <w:highlight w:val="none"/>
              </w:rPr>
            </w:pPr>
            <w:r>
              <w:rPr>
                <w:rFonts w:hint="eastAsia" w:ascii="宋体" w:hAnsi="宋体"/>
                <w:color w:val="auto"/>
                <w:szCs w:val="21"/>
                <w:highlight w:val="none"/>
              </w:rPr>
              <w:t>5.额定功率：每声道总功率≥110W RMS。</w:t>
            </w:r>
          </w:p>
        </w:tc>
      </w:tr>
      <w:tr w14:paraId="0CBC9D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2CBFE70F">
            <w:pPr>
              <w:jc w:val="center"/>
              <w:rPr>
                <w:rFonts w:ascii="宋体" w:hAnsi="宋体"/>
                <w:color w:val="auto"/>
                <w:szCs w:val="21"/>
                <w:highlight w:val="none"/>
              </w:rPr>
            </w:pPr>
            <w:r>
              <w:rPr>
                <w:rFonts w:hint="eastAsia" w:ascii="宋体" w:hAnsi="宋体"/>
                <w:color w:val="auto"/>
                <w:szCs w:val="21"/>
                <w:highlight w:val="none"/>
              </w:rPr>
              <w:t>24</w:t>
            </w:r>
          </w:p>
        </w:tc>
        <w:tc>
          <w:tcPr>
            <w:tcW w:w="1402" w:type="dxa"/>
            <w:tcBorders>
              <w:top w:val="single" w:color="000000" w:sz="4" w:space="0"/>
              <w:left w:val="single" w:color="auto" w:sz="4" w:space="0"/>
              <w:bottom w:val="single" w:color="000000" w:sz="4" w:space="0"/>
              <w:right w:val="single" w:color="000000" w:sz="4" w:space="0"/>
            </w:tcBorders>
            <w:vAlign w:val="center"/>
          </w:tcPr>
          <w:p w14:paraId="590FF60D">
            <w:pPr>
              <w:spacing w:line="360" w:lineRule="exact"/>
              <w:jc w:val="center"/>
              <w:rPr>
                <w:rFonts w:ascii="宋体" w:hAnsi="宋体"/>
                <w:color w:val="auto"/>
                <w:szCs w:val="21"/>
                <w:highlight w:val="none"/>
              </w:rPr>
            </w:pPr>
            <w:r>
              <w:rPr>
                <w:rFonts w:hint="eastAsia" w:ascii="宋体" w:hAnsi="宋体"/>
                <w:color w:val="auto"/>
                <w:szCs w:val="21"/>
                <w:highlight w:val="none"/>
              </w:rPr>
              <w:t>耳分支架</w:t>
            </w:r>
          </w:p>
        </w:tc>
        <w:tc>
          <w:tcPr>
            <w:tcW w:w="704" w:type="dxa"/>
            <w:tcBorders>
              <w:top w:val="single" w:color="000000" w:sz="4" w:space="0"/>
              <w:left w:val="single" w:color="000000" w:sz="4" w:space="0"/>
              <w:bottom w:val="single" w:color="000000" w:sz="4" w:space="0"/>
              <w:right w:val="single" w:color="000000" w:sz="4" w:space="0"/>
            </w:tcBorders>
            <w:vAlign w:val="center"/>
          </w:tcPr>
          <w:p w14:paraId="545F3520">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703" w:type="dxa"/>
            <w:tcBorders>
              <w:top w:val="single" w:color="auto" w:sz="4" w:space="0"/>
              <w:left w:val="single" w:color="000000" w:sz="4" w:space="0"/>
              <w:bottom w:val="single" w:color="000000" w:sz="4" w:space="0"/>
              <w:right w:val="single" w:color="000000" w:sz="4" w:space="0"/>
            </w:tcBorders>
            <w:vAlign w:val="center"/>
          </w:tcPr>
          <w:p w14:paraId="6385F5BF">
            <w:pPr>
              <w:spacing w:line="360" w:lineRule="exact"/>
              <w:jc w:val="center"/>
              <w:rPr>
                <w:rFonts w:ascii="宋体" w:hAnsi="宋体"/>
                <w:color w:val="auto"/>
                <w:szCs w:val="21"/>
                <w:highlight w:val="none"/>
              </w:rPr>
            </w:pPr>
            <w:r>
              <w:rPr>
                <w:rFonts w:hint="eastAsia" w:ascii="宋体" w:hAnsi="宋体"/>
                <w:color w:val="auto"/>
                <w:szCs w:val="21"/>
                <w:highlight w:val="none"/>
              </w:rPr>
              <w:t>个</w:t>
            </w:r>
          </w:p>
        </w:tc>
        <w:tc>
          <w:tcPr>
            <w:tcW w:w="702" w:type="dxa"/>
            <w:vMerge w:val="continue"/>
            <w:tcBorders>
              <w:left w:val="single" w:color="000000" w:sz="4" w:space="0"/>
              <w:right w:val="single" w:color="000000" w:sz="4" w:space="0"/>
            </w:tcBorders>
            <w:vAlign w:val="center"/>
          </w:tcPr>
          <w:p w14:paraId="25319A86">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7B01BD00">
            <w:pPr>
              <w:spacing w:line="360" w:lineRule="exact"/>
              <w:jc w:val="left"/>
              <w:rPr>
                <w:rFonts w:ascii="宋体" w:hAnsi="宋体"/>
                <w:color w:val="auto"/>
                <w:szCs w:val="21"/>
                <w:highlight w:val="none"/>
              </w:rPr>
            </w:pPr>
            <w:r>
              <w:rPr>
                <w:rFonts w:hint="eastAsia" w:ascii="宋体" w:hAnsi="宋体"/>
                <w:color w:val="auto"/>
                <w:szCs w:val="21"/>
                <w:highlight w:val="none"/>
              </w:rPr>
              <w:t>1.高度：75～125cm可调。</w:t>
            </w:r>
            <w:r>
              <w:rPr>
                <w:rFonts w:hint="eastAsia" w:ascii="宋体" w:hAnsi="宋体"/>
                <w:color w:val="auto"/>
                <w:szCs w:val="21"/>
                <w:highlight w:val="none"/>
              </w:rPr>
              <w:br w:type="textWrapping"/>
            </w:r>
            <w:r>
              <w:rPr>
                <w:rFonts w:hint="eastAsia" w:ascii="宋体" w:hAnsi="宋体"/>
                <w:color w:val="auto"/>
                <w:szCs w:val="21"/>
                <w:highlight w:val="none"/>
              </w:rPr>
              <w:t>2.上托盘规格：宽≥10cm，长≥40cm。</w:t>
            </w:r>
            <w:r>
              <w:rPr>
                <w:rFonts w:hint="eastAsia" w:ascii="宋体" w:hAnsi="宋体"/>
                <w:color w:val="auto"/>
                <w:szCs w:val="21"/>
                <w:highlight w:val="none"/>
              </w:rPr>
              <w:br w:type="textWrapping"/>
            </w:r>
            <w:r>
              <w:rPr>
                <w:rFonts w:hint="eastAsia" w:ascii="宋体" w:hAnsi="宋体"/>
                <w:color w:val="auto"/>
                <w:szCs w:val="21"/>
                <w:highlight w:val="none"/>
              </w:rPr>
              <w:t>3.耳机挂钩规格：长≥40cm，宽度≥5cm。</w:t>
            </w:r>
            <w:r>
              <w:rPr>
                <w:rFonts w:hint="eastAsia" w:ascii="宋体" w:hAnsi="宋体"/>
                <w:color w:val="auto"/>
                <w:szCs w:val="21"/>
                <w:highlight w:val="none"/>
              </w:rPr>
              <w:br w:type="textWrapping"/>
            </w:r>
            <w:r>
              <w:rPr>
                <w:rFonts w:hint="eastAsia" w:ascii="宋体" w:hAnsi="宋体"/>
                <w:color w:val="auto"/>
                <w:szCs w:val="21"/>
                <w:highlight w:val="none"/>
              </w:rPr>
              <w:t>4.底盘直径：≥50cm。</w:t>
            </w:r>
          </w:p>
        </w:tc>
      </w:tr>
      <w:tr w14:paraId="6CE793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3AEAF620">
            <w:pPr>
              <w:jc w:val="center"/>
              <w:rPr>
                <w:rFonts w:ascii="宋体" w:hAnsi="宋体"/>
                <w:color w:val="auto"/>
                <w:szCs w:val="21"/>
                <w:highlight w:val="none"/>
              </w:rPr>
            </w:pPr>
            <w:r>
              <w:rPr>
                <w:rFonts w:hint="eastAsia" w:ascii="宋体" w:hAnsi="宋体"/>
                <w:color w:val="auto"/>
                <w:szCs w:val="21"/>
                <w:highlight w:val="none"/>
              </w:rPr>
              <w:t>25</w:t>
            </w:r>
          </w:p>
        </w:tc>
        <w:tc>
          <w:tcPr>
            <w:tcW w:w="1402" w:type="dxa"/>
            <w:tcBorders>
              <w:top w:val="single" w:color="000000" w:sz="4" w:space="0"/>
              <w:left w:val="single" w:color="auto" w:sz="4" w:space="0"/>
              <w:bottom w:val="single" w:color="000000" w:sz="4" w:space="0"/>
              <w:right w:val="single" w:color="000000" w:sz="4" w:space="0"/>
            </w:tcBorders>
            <w:vAlign w:val="center"/>
          </w:tcPr>
          <w:p w14:paraId="62F10616">
            <w:pPr>
              <w:spacing w:line="360" w:lineRule="exact"/>
              <w:jc w:val="center"/>
              <w:rPr>
                <w:rFonts w:ascii="宋体" w:hAnsi="宋体"/>
                <w:color w:val="auto"/>
                <w:szCs w:val="21"/>
                <w:highlight w:val="none"/>
              </w:rPr>
            </w:pPr>
            <w:r>
              <w:rPr>
                <w:rFonts w:hint="eastAsia" w:ascii="宋体" w:hAnsi="宋体"/>
                <w:color w:val="auto"/>
                <w:szCs w:val="21"/>
                <w:highlight w:val="none"/>
              </w:rPr>
              <w:t>话筒支架</w:t>
            </w:r>
          </w:p>
        </w:tc>
        <w:tc>
          <w:tcPr>
            <w:tcW w:w="704" w:type="dxa"/>
            <w:tcBorders>
              <w:top w:val="single" w:color="000000" w:sz="4" w:space="0"/>
              <w:left w:val="single" w:color="000000" w:sz="4" w:space="0"/>
              <w:bottom w:val="single" w:color="000000" w:sz="4" w:space="0"/>
              <w:right w:val="single" w:color="000000" w:sz="4" w:space="0"/>
            </w:tcBorders>
            <w:vAlign w:val="center"/>
          </w:tcPr>
          <w:p w14:paraId="53835960">
            <w:pPr>
              <w:spacing w:line="360" w:lineRule="exact"/>
              <w:jc w:val="center"/>
              <w:rPr>
                <w:rFonts w:ascii="宋体" w:hAnsi="宋体"/>
                <w:color w:val="auto"/>
                <w:szCs w:val="21"/>
                <w:highlight w:val="none"/>
              </w:rPr>
            </w:pPr>
            <w:r>
              <w:rPr>
                <w:rFonts w:hint="eastAsia" w:ascii="宋体" w:hAnsi="宋体"/>
                <w:color w:val="auto"/>
                <w:szCs w:val="21"/>
                <w:highlight w:val="none"/>
              </w:rPr>
              <w:t>4</w:t>
            </w:r>
          </w:p>
        </w:tc>
        <w:tc>
          <w:tcPr>
            <w:tcW w:w="703" w:type="dxa"/>
            <w:tcBorders>
              <w:top w:val="single" w:color="auto" w:sz="4" w:space="0"/>
              <w:left w:val="single" w:color="000000" w:sz="4" w:space="0"/>
              <w:bottom w:val="single" w:color="000000" w:sz="4" w:space="0"/>
              <w:right w:val="single" w:color="000000" w:sz="4" w:space="0"/>
            </w:tcBorders>
            <w:vAlign w:val="center"/>
          </w:tcPr>
          <w:p w14:paraId="71089A7A">
            <w:pPr>
              <w:spacing w:line="360" w:lineRule="exact"/>
              <w:jc w:val="center"/>
              <w:rPr>
                <w:rFonts w:ascii="宋体" w:hAnsi="宋体"/>
                <w:color w:val="auto"/>
                <w:szCs w:val="21"/>
                <w:highlight w:val="none"/>
              </w:rPr>
            </w:pPr>
            <w:r>
              <w:rPr>
                <w:rFonts w:hint="eastAsia" w:ascii="宋体" w:hAnsi="宋体"/>
                <w:color w:val="auto"/>
                <w:szCs w:val="21"/>
                <w:highlight w:val="none"/>
              </w:rPr>
              <w:t>套</w:t>
            </w:r>
          </w:p>
        </w:tc>
        <w:tc>
          <w:tcPr>
            <w:tcW w:w="702" w:type="dxa"/>
            <w:vMerge w:val="continue"/>
            <w:tcBorders>
              <w:left w:val="single" w:color="000000" w:sz="4" w:space="0"/>
              <w:right w:val="single" w:color="000000" w:sz="4" w:space="0"/>
            </w:tcBorders>
            <w:vAlign w:val="center"/>
          </w:tcPr>
          <w:p w14:paraId="721B3C05">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19DA75D8">
            <w:pPr>
              <w:spacing w:line="360" w:lineRule="exact"/>
              <w:jc w:val="left"/>
              <w:rPr>
                <w:rFonts w:ascii="宋体" w:hAnsi="宋体"/>
                <w:color w:val="auto"/>
                <w:szCs w:val="21"/>
                <w:highlight w:val="none"/>
              </w:rPr>
            </w:pPr>
            <w:r>
              <w:rPr>
                <w:rFonts w:hint="eastAsia" w:ascii="宋体" w:hAnsi="宋体"/>
                <w:color w:val="auto"/>
                <w:szCs w:val="21"/>
                <w:highlight w:val="none"/>
              </w:rPr>
              <w:t>1.承重≥3.5公斤。</w:t>
            </w:r>
            <w:r>
              <w:rPr>
                <w:rFonts w:hint="eastAsia" w:ascii="宋体" w:hAnsi="宋体"/>
                <w:color w:val="auto"/>
                <w:szCs w:val="21"/>
                <w:highlight w:val="none"/>
              </w:rPr>
              <w:br w:type="textWrapping"/>
            </w:r>
            <w:r>
              <w:rPr>
                <w:rFonts w:hint="eastAsia" w:ascii="宋体" w:hAnsi="宋体"/>
                <w:color w:val="auto"/>
                <w:szCs w:val="21"/>
                <w:highlight w:val="none"/>
              </w:rPr>
              <w:t>2.杆子采用锌铁合金制成；旋钮部分紧密。</w:t>
            </w:r>
            <w:r>
              <w:rPr>
                <w:rFonts w:hint="eastAsia" w:ascii="宋体" w:hAnsi="宋体"/>
                <w:color w:val="auto"/>
                <w:szCs w:val="21"/>
                <w:highlight w:val="none"/>
              </w:rPr>
              <w:br w:type="textWrapping"/>
            </w:r>
            <w:r>
              <w:rPr>
                <w:rFonts w:hint="eastAsia" w:ascii="宋体" w:hAnsi="宋体"/>
                <w:color w:val="auto"/>
                <w:szCs w:val="21"/>
                <w:highlight w:val="none"/>
              </w:rPr>
              <w:t>3.杆子的高度从120厘米—210厘米之间调节。</w:t>
            </w:r>
            <w:r>
              <w:rPr>
                <w:rFonts w:hint="eastAsia" w:ascii="宋体" w:hAnsi="宋体"/>
                <w:color w:val="auto"/>
                <w:szCs w:val="21"/>
                <w:highlight w:val="none"/>
              </w:rPr>
              <w:br w:type="textWrapping"/>
            </w:r>
            <w:r>
              <w:rPr>
                <w:rFonts w:hint="eastAsia" w:ascii="宋体" w:hAnsi="宋体"/>
                <w:color w:val="auto"/>
                <w:szCs w:val="21"/>
                <w:highlight w:val="none"/>
              </w:rPr>
              <w:t>4.下杆直径≥3厘米，上杆直径≥2.5厘米。</w:t>
            </w:r>
            <w:r>
              <w:rPr>
                <w:rFonts w:hint="eastAsia" w:ascii="宋体" w:hAnsi="宋体"/>
                <w:color w:val="auto"/>
                <w:szCs w:val="21"/>
                <w:highlight w:val="none"/>
              </w:rPr>
              <w:br w:type="textWrapping"/>
            </w:r>
            <w:r>
              <w:rPr>
                <w:rFonts w:hint="eastAsia" w:ascii="宋体" w:hAnsi="宋体"/>
                <w:color w:val="auto"/>
                <w:szCs w:val="21"/>
                <w:highlight w:val="none"/>
              </w:rPr>
              <w:t>5.衡梁长度≥80厘米。</w:t>
            </w:r>
          </w:p>
        </w:tc>
      </w:tr>
      <w:tr w14:paraId="3EB291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0B1F9E0A">
            <w:pPr>
              <w:jc w:val="center"/>
              <w:rPr>
                <w:rFonts w:ascii="宋体" w:hAnsi="宋体"/>
                <w:color w:val="auto"/>
                <w:szCs w:val="21"/>
                <w:highlight w:val="none"/>
              </w:rPr>
            </w:pPr>
            <w:r>
              <w:rPr>
                <w:rFonts w:hint="eastAsia" w:ascii="宋体" w:hAnsi="宋体"/>
                <w:color w:val="auto"/>
                <w:szCs w:val="21"/>
                <w:highlight w:val="none"/>
              </w:rPr>
              <w:t>26</w:t>
            </w:r>
          </w:p>
        </w:tc>
        <w:tc>
          <w:tcPr>
            <w:tcW w:w="1402" w:type="dxa"/>
            <w:tcBorders>
              <w:top w:val="single" w:color="000000" w:sz="4" w:space="0"/>
              <w:left w:val="single" w:color="auto" w:sz="4" w:space="0"/>
              <w:bottom w:val="single" w:color="000000" w:sz="4" w:space="0"/>
              <w:right w:val="single" w:color="000000" w:sz="4" w:space="0"/>
            </w:tcBorders>
            <w:vAlign w:val="center"/>
          </w:tcPr>
          <w:p w14:paraId="56FE8DB8">
            <w:pPr>
              <w:spacing w:line="360" w:lineRule="exact"/>
              <w:jc w:val="center"/>
              <w:rPr>
                <w:rFonts w:ascii="宋体" w:hAnsi="宋体"/>
                <w:color w:val="auto"/>
                <w:szCs w:val="21"/>
                <w:highlight w:val="none"/>
              </w:rPr>
            </w:pPr>
            <w:r>
              <w:rPr>
                <w:rFonts w:hint="eastAsia" w:ascii="宋体" w:hAnsi="宋体"/>
                <w:color w:val="auto"/>
                <w:szCs w:val="21"/>
                <w:highlight w:val="none"/>
              </w:rPr>
              <w:t>专业录音话筒</w:t>
            </w:r>
          </w:p>
        </w:tc>
        <w:tc>
          <w:tcPr>
            <w:tcW w:w="704" w:type="dxa"/>
            <w:tcBorders>
              <w:top w:val="single" w:color="000000" w:sz="4" w:space="0"/>
              <w:left w:val="single" w:color="000000" w:sz="4" w:space="0"/>
              <w:bottom w:val="single" w:color="000000" w:sz="4" w:space="0"/>
              <w:right w:val="single" w:color="000000" w:sz="4" w:space="0"/>
            </w:tcBorders>
            <w:vAlign w:val="center"/>
          </w:tcPr>
          <w:p w14:paraId="7E8FAC7F">
            <w:pPr>
              <w:spacing w:line="360" w:lineRule="exact"/>
              <w:jc w:val="center"/>
              <w:rPr>
                <w:rFonts w:ascii="宋体" w:hAnsi="宋体"/>
                <w:color w:val="auto"/>
                <w:szCs w:val="21"/>
                <w:highlight w:val="none"/>
              </w:rPr>
            </w:pPr>
            <w:r>
              <w:rPr>
                <w:rFonts w:hint="eastAsia" w:ascii="宋体" w:hAnsi="宋体"/>
                <w:color w:val="auto"/>
                <w:szCs w:val="21"/>
                <w:highlight w:val="none"/>
              </w:rPr>
              <w:t>2</w:t>
            </w:r>
          </w:p>
        </w:tc>
        <w:tc>
          <w:tcPr>
            <w:tcW w:w="703" w:type="dxa"/>
            <w:tcBorders>
              <w:top w:val="single" w:color="auto" w:sz="4" w:space="0"/>
              <w:left w:val="single" w:color="000000" w:sz="4" w:space="0"/>
              <w:bottom w:val="single" w:color="000000" w:sz="4" w:space="0"/>
              <w:right w:val="single" w:color="000000" w:sz="4" w:space="0"/>
            </w:tcBorders>
            <w:vAlign w:val="center"/>
          </w:tcPr>
          <w:p w14:paraId="68D9907A">
            <w:pPr>
              <w:spacing w:line="360" w:lineRule="exact"/>
              <w:jc w:val="center"/>
              <w:rPr>
                <w:rFonts w:ascii="宋体" w:hAnsi="宋体"/>
                <w:color w:val="auto"/>
                <w:szCs w:val="21"/>
                <w:highlight w:val="none"/>
              </w:rPr>
            </w:pPr>
            <w:r>
              <w:rPr>
                <w:rFonts w:hint="eastAsia" w:ascii="宋体" w:hAnsi="宋体"/>
                <w:color w:val="auto"/>
                <w:szCs w:val="21"/>
                <w:highlight w:val="none"/>
              </w:rPr>
              <w:t>个</w:t>
            </w:r>
          </w:p>
        </w:tc>
        <w:tc>
          <w:tcPr>
            <w:tcW w:w="702" w:type="dxa"/>
            <w:vMerge w:val="continue"/>
            <w:tcBorders>
              <w:left w:val="single" w:color="000000" w:sz="4" w:space="0"/>
              <w:right w:val="single" w:color="000000" w:sz="4" w:space="0"/>
            </w:tcBorders>
            <w:vAlign w:val="center"/>
          </w:tcPr>
          <w:p w14:paraId="7D887A66">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77CC9256">
            <w:pPr>
              <w:spacing w:line="360" w:lineRule="exact"/>
              <w:jc w:val="left"/>
              <w:rPr>
                <w:rFonts w:ascii="宋体" w:hAnsi="宋体"/>
                <w:color w:val="auto"/>
                <w:szCs w:val="21"/>
                <w:highlight w:val="none"/>
              </w:rPr>
            </w:pPr>
            <w:r>
              <w:rPr>
                <w:rFonts w:hint="eastAsia" w:ascii="宋体" w:hAnsi="宋体"/>
                <w:color w:val="auto"/>
                <w:szCs w:val="21"/>
                <w:highlight w:val="none"/>
              </w:rPr>
              <w:t>1.话筒类型：大振膜多指向电子管电容话筒。</w:t>
            </w:r>
          </w:p>
          <w:p w14:paraId="7E16F409">
            <w:pPr>
              <w:spacing w:line="360" w:lineRule="exact"/>
              <w:jc w:val="left"/>
              <w:rPr>
                <w:rFonts w:ascii="宋体" w:hAnsi="宋体"/>
                <w:color w:val="auto"/>
                <w:szCs w:val="21"/>
                <w:highlight w:val="none"/>
              </w:rPr>
            </w:pPr>
            <w:r>
              <w:rPr>
                <w:rFonts w:hint="eastAsia" w:ascii="宋体" w:hAnsi="宋体"/>
                <w:color w:val="auto"/>
                <w:szCs w:val="21"/>
                <w:highlight w:val="none"/>
              </w:rPr>
              <w:t>2.指向性：指向性可切换。</w:t>
            </w:r>
          </w:p>
          <w:p w14:paraId="519CF4C8">
            <w:pPr>
              <w:spacing w:line="360" w:lineRule="exact"/>
              <w:jc w:val="left"/>
              <w:rPr>
                <w:rFonts w:ascii="宋体" w:hAnsi="宋体"/>
                <w:color w:val="auto"/>
                <w:szCs w:val="21"/>
                <w:highlight w:val="none"/>
              </w:rPr>
            </w:pPr>
            <w:r>
              <w:rPr>
                <w:rFonts w:hint="eastAsia" w:ascii="宋体" w:hAnsi="宋体"/>
                <w:color w:val="auto"/>
                <w:szCs w:val="21"/>
                <w:highlight w:val="none"/>
              </w:rPr>
              <w:t>3.振膜：双振膜设计。</w:t>
            </w:r>
          </w:p>
          <w:p w14:paraId="0D676BB6">
            <w:pPr>
              <w:spacing w:line="360" w:lineRule="exact"/>
              <w:jc w:val="left"/>
              <w:rPr>
                <w:rFonts w:ascii="宋体" w:hAnsi="宋体"/>
                <w:color w:val="auto"/>
                <w:szCs w:val="21"/>
                <w:highlight w:val="none"/>
              </w:rPr>
            </w:pPr>
            <w:r>
              <w:rPr>
                <w:rFonts w:hint="eastAsia" w:ascii="宋体" w:hAnsi="宋体"/>
                <w:color w:val="auto"/>
                <w:szCs w:val="21"/>
                <w:highlight w:val="none"/>
              </w:rPr>
              <w:t>4.频率范围：20Hz~20,000Hz。</w:t>
            </w:r>
          </w:p>
          <w:p w14:paraId="539BCA6E">
            <w:pPr>
              <w:spacing w:line="360" w:lineRule="exact"/>
              <w:jc w:val="left"/>
              <w:rPr>
                <w:rFonts w:ascii="宋体" w:hAnsi="宋体"/>
                <w:color w:val="auto"/>
                <w:szCs w:val="21"/>
                <w:highlight w:val="none"/>
              </w:rPr>
            </w:pPr>
            <w:r>
              <w:rPr>
                <w:rFonts w:hint="eastAsia" w:ascii="宋体" w:hAnsi="宋体"/>
                <w:color w:val="auto"/>
                <w:szCs w:val="21"/>
                <w:highlight w:val="none"/>
              </w:rPr>
              <w:t>5.灵敏度：16mV/Pa（-36dBV）±2dB（1kHz）。</w:t>
            </w:r>
          </w:p>
          <w:p w14:paraId="1AB1C956">
            <w:pPr>
              <w:spacing w:line="360" w:lineRule="exact"/>
              <w:jc w:val="left"/>
              <w:rPr>
                <w:rFonts w:ascii="宋体" w:hAnsi="宋体"/>
                <w:color w:val="auto"/>
                <w:szCs w:val="21"/>
                <w:highlight w:val="none"/>
              </w:rPr>
            </w:pPr>
            <w:r>
              <w:rPr>
                <w:rFonts w:hint="eastAsia" w:ascii="宋体" w:hAnsi="宋体"/>
                <w:color w:val="auto"/>
                <w:szCs w:val="21"/>
                <w:highlight w:val="none"/>
              </w:rPr>
              <w:t>6.输出阻抗：≤200Ω。</w:t>
            </w:r>
          </w:p>
          <w:p w14:paraId="3185A6E2">
            <w:pPr>
              <w:spacing w:line="360" w:lineRule="exact"/>
              <w:jc w:val="left"/>
              <w:rPr>
                <w:rFonts w:ascii="宋体" w:hAnsi="宋体"/>
                <w:color w:val="auto"/>
                <w:szCs w:val="21"/>
                <w:highlight w:val="none"/>
              </w:rPr>
            </w:pPr>
            <w:r>
              <w:rPr>
                <w:rFonts w:hint="eastAsia" w:ascii="宋体" w:hAnsi="宋体"/>
                <w:color w:val="auto"/>
                <w:szCs w:val="21"/>
                <w:highlight w:val="none"/>
              </w:rPr>
              <w:t>7.最大声压级：≥124dB（1% THD@1kHz）。</w:t>
            </w:r>
          </w:p>
          <w:p w14:paraId="6F60003E">
            <w:pPr>
              <w:spacing w:line="360" w:lineRule="exact"/>
              <w:jc w:val="left"/>
              <w:rPr>
                <w:rFonts w:ascii="宋体" w:hAnsi="宋体"/>
                <w:color w:val="auto"/>
                <w:szCs w:val="21"/>
                <w:highlight w:val="none"/>
              </w:rPr>
            </w:pPr>
            <w:r>
              <w:rPr>
                <w:rFonts w:hint="eastAsia" w:ascii="宋体" w:hAnsi="宋体"/>
                <w:color w:val="auto"/>
                <w:szCs w:val="21"/>
                <w:highlight w:val="none"/>
              </w:rPr>
              <w:t>8.等效噪声级：≤19dB-A。</w:t>
            </w:r>
          </w:p>
          <w:p w14:paraId="50F64A0D">
            <w:pPr>
              <w:spacing w:line="360" w:lineRule="exact"/>
              <w:jc w:val="left"/>
              <w:rPr>
                <w:rFonts w:ascii="宋体" w:hAnsi="宋体"/>
                <w:color w:val="auto"/>
                <w:szCs w:val="21"/>
                <w:highlight w:val="none"/>
              </w:rPr>
            </w:pPr>
            <w:r>
              <w:rPr>
                <w:rFonts w:hint="eastAsia" w:ascii="宋体" w:hAnsi="宋体"/>
                <w:color w:val="auto"/>
                <w:szCs w:val="21"/>
                <w:highlight w:val="none"/>
              </w:rPr>
              <w:t>9.信噪比：≥75dB-A。</w:t>
            </w:r>
          </w:p>
          <w:p w14:paraId="1383B48F">
            <w:pPr>
              <w:spacing w:line="360" w:lineRule="exact"/>
              <w:jc w:val="left"/>
              <w:rPr>
                <w:rFonts w:ascii="宋体" w:hAnsi="宋体"/>
                <w:color w:val="auto"/>
                <w:szCs w:val="21"/>
                <w:highlight w:val="none"/>
              </w:rPr>
            </w:pPr>
            <w:r>
              <w:rPr>
                <w:rFonts w:hint="eastAsia" w:ascii="宋体" w:hAnsi="宋体"/>
                <w:color w:val="auto"/>
                <w:szCs w:val="21"/>
                <w:highlight w:val="none"/>
              </w:rPr>
              <w:t>10.供电方式：专用电源盒供电（非48V幻象供电）。</w:t>
            </w:r>
          </w:p>
        </w:tc>
      </w:tr>
      <w:tr w14:paraId="05FB4D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638A0330">
            <w:pPr>
              <w:jc w:val="center"/>
              <w:rPr>
                <w:rFonts w:ascii="宋体" w:hAnsi="宋体"/>
                <w:color w:val="auto"/>
                <w:szCs w:val="21"/>
                <w:highlight w:val="none"/>
              </w:rPr>
            </w:pPr>
            <w:r>
              <w:rPr>
                <w:rFonts w:hint="eastAsia" w:ascii="宋体" w:hAnsi="宋体"/>
                <w:color w:val="auto"/>
                <w:szCs w:val="21"/>
                <w:highlight w:val="none"/>
              </w:rPr>
              <w:t>27</w:t>
            </w:r>
          </w:p>
        </w:tc>
        <w:tc>
          <w:tcPr>
            <w:tcW w:w="1402" w:type="dxa"/>
            <w:tcBorders>
              <w:top w:val="single" w:color="000000" w:sz="4" w:space="0"/>
              <w:left w:val="single" w:color="auto" w:sz="4" w:space="0"/>
              <w:bottom w:val="single" w:color="000000" w:sz="4" w:space="0"/>
              <w:right w:val="single" w:color="000000" w:sz="4" w:space="0"/>
            </w:tcBorders>
            <w:vAlign w:val="center"/>
          </w:tcPr>
          <w:p w14:paraId="40A934A2">
            <w:pPr>
              <w:spacing w:line="360" w:lineRule="exact"/>
              <w:jc w:val="center"/>
              <w:rPr>
                <w:rFonts w:ascii="宋体" w:hAnsi="宋体"/>
                <w:color w:val="auto"/>
                <w:szCs w:val="21"/>
                <w:highlight w:val="none"/>
              </w:rPr>
            </w:pPr>
            <w:r>
              <w:rPr>
                <w:rFonts w:hint="eastAsia" w:ascii="宋体" w:hAnsi="宋体"/>
                <w:color w:val="auto"/>
                <w:szCs w:val="21"/>
                <w:highlight w:val="none"/>
              </w:rPr>
              <w:t>话筒放大器</w:t>
            </w:r>
          </w:p>
        </w:tc>
        <w:tc>
          <w:tcPr>
            <w:tcW w:w="704" w:type="dxa"/>
            <w:tcBorders>
              <w:top w:val="single" w:color="000000" w:sz="4" w:space="0"/>
              <w:left w:val="single" w:color="000000" w:sz="4" w:space="0"/>
              <w:bottom w:val="single" w:color="000000" w:sz="4" w:space="0"/>
              <w:right w:val="single" w:color="000000" w:sz="4" w:space="0"/>
            </w:tcBorders>
            <w:vAlign w:val="center"/>
          </w:tcPr>
          <w:p w14:paraId="36550FC8">
            <w:pPr>
              <w:spacing w:line="360" w:lineRule="exact"/>
              <w:jc w:val="center"/>
              <w:rPr>
                <w:rFonts w:ascii="宋体" w:hAnsi="宋体"/>
                <w:color w:val="auto"/>
                <w:szCs w:val="21"/>
                <w:highlight w:val="none"/>
              </w:rPr>
            </w:pPr>
            <w:r>
              <w:rPr>
                <w:rFonts w:hint="eastAsia" w:ascii="宋体" w:hAnsi="宋体"/>
                <w:color w:val="auto"/>
                <w:szCs w:val="21"/>
                <w:highlight w:val="none"/>
              </w:rPr>
              <w:t>2</w:t>
            </w:r>
          </w:p>
        </w:tc>
        <w:tc>
          <w:tcPr>
            <w:tcW w:w="703" w:type="dxa"/>
            <w:tcBorders>
              <w:top w:val="single" w:color="auto" w:sz="4" w:space="0"/>
              <w:left w:val="single" w:color="000000" w:sz="4" w:space="0"/>
              <w:bottom w:val="single" w:color="000000" w:sz="4" w:space="0"/>
              <w:right w:val="single" w:color="000000" w:sz="4" w:space="0"/>
            </w:tcBorders>
            <w:vAlign w:val="center"/>
          </w:tcPr>
          <w:p w14:paraId="784B38D4">
            <w:pPr>
              <w:spacing w:line="360" w:lineRule="exact"/>
              <w:jc w:val="center"/>
              <w:rPr>
                <w:rFonts w:ascii="宋体" w:hAnsi="宋体"/>
                <w:color w:val="auto"/>
                <w:szCs w:val="21"/>
                <w:highlight w:val="none"/>
              </w:rPr>
            </w:pPr>
            <w:r>
              <w:rPr>
                <w:rFonts w:hint="eastAsia" w:ascii="宋体" w:hAnsi="宋体"/>
                <w:color w:val="auto"/>
                <w:szCs w:val="21"/>
                <w:highlight w:val="none"/>
              </w:rPr>
              <w:t>台</w:t>
            </w:r>
          </w:p>
        </w:tc>
        <w:tc>
          <w:tcPr>
            <w:tcW w:w="702" w:type="dxa"/>
            <w:vMerge w:val="continue"/>
            <w:tcBorders>
              <w:left w:val="single" w:color="000000" w:sz="4" w:space="0"/>
              <w:right w:val="single" w:color="000000" w:sz="4" w:space="0"/>
            </w:tcBorders>
            <w:vAlign w:val="center"/>
          </w:tcPr>
          <w:p w14:paraId="78D020A9">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6381F924">
            <w:pPr>
              <w:spacing w:line="360" w:lineRule="exact"/>
              <w:jc w:val="left"/>
              <w:rPr>
                <w:rFonts w:ascii="宋体" w:hAnsi="宋体"/>
                <w:color w:val="auto"/>
                <w:szCs w:val="21"/>
                <w:highlight w:val="none"/>
              </w:rPr>
            </w:pPr>
            <w:r>
              <w:rPr>
                <w:rFonts w:hint="eastAsia" w:ascii="宋体" w:hAnsi="宋体"/>
                <w:color w:val="auto"/>
                <w:szCs w:val="21"/>
                <w:highlight w:val="none"/>
              </w:rPr>
              <w:t>1.通道数：2通道。</w:t>
            </w:r>
          </w:p>
          <w:p w14:paraId="0C3FBCC3">
            <w:pPr>
              <w:spacing w:line="360" w:lineRule="exact"/>
              <w:jc w:val="left"/>
              <w:rPr>
                <w:rFonts w:ascii="宋体" w:hAnsi="宋体"/>
                <w:color w:val="auto"/>
                <w:szCs w:val="21"/>
                <w:highlight w:val="none"/>
              </w:rPr>
            </w:pPr>
            <w:r>
              <w:rPr>
                <w:rFonts w:hint="eastAsia" w:ascii="宋体" w:hAnsi="宋体"/>
                <w:color w:val="auto"/>
                <w:szCs w:val="21"/>
                <w:highlight w:val="none"/>
              </w:rPr>
              <w:t>2.频率响应：20Hz-20kHz±0.5dB。</w:t>
            </w:r>
          </w:p>
          <w:p w14:paraId="043940C9">
            <w:pPr>
              <w:spacing w:line="360" w:lineRule="exact"/>
              <w:jc w:val="left"/>
              <w:rPr>
                <w:rFonts w:ascii="宋体" w:hAnsi="宋体"/>
                <w:color w:val="auto"/>
                <w:szCs w:val="21"/>
                <w:highlight w:val="none"/>
              </w:rPr>
            </w:pPr>
            <w:r>
              <w:rPr>
                <w:rFonts w:hint="eastAsia" w:ascii="宋体" w:hAnsi="宋体"/>
                <w:color w:val="auto"/>
                <w:szCs w:val="21"/>
                <w:highlight w:val="none"/>
              </w:rPr>
              <w:t>3.失真度：＜0.07%@1kHz。</w:t>
            </w:r>
          </w:p>
          <w:p w14:paraId="23771E7C">
            <w:pPr>
              <w:spacing w:line="360" w:lineRule="exact"/>
              <w:jc w:val="left"/>
              <w:rPr>
                <w:rFonts w:ascii="宋体" w:hAnsi="宋体"/>
                <w:color w:val="auto"/>
                <w:szCs w:val="21"/>
                <w:highlight w:val="none"/>
              </w:rPr>
            </w:pPr>
            <w:r>
              <w:rPr>
                <w:rFonts w:hint="eastAsia" w:ascii="宋体" w:hAnsi="宋体"/>
                <w:color w:val="auto"/>
                <w:szCs w:val="21"/>
                <w:highlight w:val="none"/>
              </w:rPr>
              <w:t>4.电源：DC24V。</w:t>
            </w:r>
          </w:p>
          <w:p w14:paraId="2BD94F1E">
            <w:pPr>
              <w:spacing w:line="360" w:lineRule="exact"/>
              <w:jc w:val="left"/>
              <w:rPr>
                <w:rFonts w:ascii="宋体" w:hAnsi="宋体"/>
                <w:color w:val="auto"/>
                <w:szCs w:val="21"/>
                <w:highlight w:val="none"/>
              </w:rPr>
            </w:pPr>
            <w:r>
              <w:rPr>
                <w:rFonts w:hint="eastAsia" w:ascii="宋体" w:hAnsi="宋体"/>
                <w:color w:val="auto"/>
                <w:szCs w:val="21"/>
                <w:highlight w:val="none"/>
              </w:rPr>
              <w:t>5.模拟输出</w:t>
            </w:r>
          </w:p>
          <w:p w14:paraId="4ABD0418">
            <w:pPr>
              <w:spacing w:line="360" w:lineRule="exact"/>
              <w:jc w:val="left"/>
              <w:rPr>
                <w:rFonts w:ascii="宋体" w:hAnsi="宋体"/>
                <w:color w:val="auto"/>
                <w:szCs w:val="21"/>
                <w:highlight w:val="none"/>
              </w:rPr>
            </w:pPr>
            <w:r>
              <w:rPr>
                <w:rFonts w:hint="eastAsia" w:ascii="宋体" w:hAnsi="宋体"/>
                <w:color w:val="auto"/>
                <w:szCs w:val="21"/>
                <w:highlight w:val="none"/>
              </w:rPr>
              <w:t>（1）输出接口：6.35mmTRS/XLR。</w:t>
            </w:r>
          </w:p>
          <w:p w14:paraId="5052F086">
            <w:pPr>
              <w:spacing w:line="360" w:lineRule="exact"/>
              <w:jc w:val="left"/>
              <w:rPr>
                <w:rFonts w:ascii="宋体" w:hAnsi="宋体"/>
                <w:color w:val="auto"/>
                <w:szCs w:val="21"/>
                <w:highlight w:val="none"/>
              </w:rPr>
            </w:pPr>
            <w:r>
              <w:rPr>
                <w:rFonts w:hint="eastAsia" w:ascii="宋体" w:hAnsi="宋体"/>
                <w:color w:val="auto"/>
                <w:szCs w:val="21"/>
                <w:highlight w:val="none"/>
              </w:rPr>
              <w:t>（2）输出阻抗：75Ω平衡。</w:t>
            </w:r>
          </w:p>
          <w:p w14:paraId="18E21C6C">
            <w:pPr>
              <w:spacing w:line="360" w:lineRule="exact"/>
              <w:jc w:val="left"/>
              <w:rPr>
                <w:rFonts w:ascii="宋体" w:hAnsi="宋体"/>
                <w:color w:val="auto"/>
                <w:szCs w:val="21"/>
                <w:highlight w:val="none"/>
              </w:rPr>
            </w:pPr>
            <w:r>
              <w:rPr>
                <w:rFonts w:hint="eastAsia" w:ascii="宋体" w:hAnsi="宋体"/>
                <w:color w:val="auto"/>
                <w:szCs w:val="21"/>
                <w:highlight w:val="none"/>
              </w:rPr>
              <w:t>（3）大输出电平：+21dB。</w:t>
            </w:r>
          </w:p>
          <w:p w14:paraId="3569299C">
            <w:pPr>
              <w:spacing w:line="360" w:lineRule="exact"/>
              <w:jc w:val="left"/>
              <w:rPr>
                <w:rFonts w:ascii="宋体" w:hAnsi="宋体"/>
                <w:color w:val="auto"/>
                <w:szCs w:val="21"/>
                <w:highlight w:val="none"/>
              </w:rPr>
            </w:pPr>
            <w:r>
              <w:rPr>
                <w:rFonts w:hint="eastAsia" w:ascii="宋体" w:hAnsi="宋体"/>
                <w:color w:val="auto"/>
                <w:szCs w:val="21"/>
                <w:highlight w:val="none"/>
              </w:rPr>
              <w:t>6.线性输入</w:t>
            </w:r>
          </w:p>
          <w:p w14:paraId="1E6E1F5D">
            <w:pPr>
              <w:spacing w:line="360" w:lineRule="exact"/>
              <w:jc w:val="left"/>
              <w:rPr>
                <w:rFonts w:ascii="宋体" w:hAnsi="宋体"/>
                <w:color w:val="auto"/>
                <w:szCs w:val="21"/>
                <w:highlight w:val="none"/>
              </w:rPr>
            </w:pPr>
            <w:r>
              <w:rPr>
                <w:rFonts w:hint="eastAsia" w:ascii="宋体" w:hAnsi="宋体"/>
                <w:color w:val="auto"/>
                <w:szCs w:val="21"/>
                <w:highlight w:val="none"/>
              </w:rPr>
              <w:t>（1）输入接口：6.35mmTRS。</w:t>
            </w:r>
          </w:p>
          <w:p w14:paraId="01B5F686">
            <w:pPr>
              <w:spacing w:line="360" w:lineRule="exact"/>
              <w:jc w:val="left"/>
              <w:rPr>
                <w:rFonts w:ascii="宋体" w:hAnsi="宋体"/>
                <w:color w:val="auto"/>
                <w:szCs w:val="21"/>
                <w:highlight w:val="none"/>
              </w:rPr>
            </w:pPr>
            <w:r>
              <w:rPr>
                <w:rFonts w:hint="eastAsia" w:ascii="宋体" w:hAnsi="宋体"/>
                <w:color w:val="auto"/>
                <w:szCs w:val="21"/>
                <w:highlight w:val="none"/>
              </w:rPr>
              <w:t>（2）输入阻抗：10kΩ平衡。</w:t>
            </w:r>
          </w:p>
          <w:p w14:paraId="3CBF2DF3">
            <w:pPr>
              <w:spacing w:line="360" w:lineRule="exact"/>
              <w:jc w:val="left"/>
              <w:rPr>
                <w:rFonts w:ascii="宋体" w:hAnsi="宋体"/>
                <w:color w:val="auto"/>
                <w:szCs w:val="21"/>
                <w:highlight w:val="none"/>
              </w:rPr>
            </w:pPr>
            <w:r>
              <w:rPr>
                <w:rFonts w:hint="eastAsia" w:ascii="宋体" w:hAnsi="宋体"/>
                <w:color w:val="auto"/>
                <w:szCs w:val="21"/>
                <w:highlight w:val="none"/>
              </w:rPr>
              <w:t>（3）线性增益：-10dB~+20dB。</w:t>
            </w:r>
          </w:p>
          <w:p w14:paraId="0D5290C2">
            <w:pPr>
              <w:spacing w:line="360" w:lineRule="exact"/>
              <w:jc w:val="left"/>
              <w:rPr>
                <w:rFonts w:ascii="宋体" w:hAnsi="宋体"/>
                <w:color w:val="auto"/>
                <w:szCs w:val="21"/>
                <w:highlight w:val="none"/>
              </w:rPr>
            </w:pPr>
            <w:r>
              <w:rPr>
                <w:rFonts w:hint="eastAsia" w:ascii="宋体" w:hAnsi="宋体"/>
                <w:color w:val="auto"/>
                <w:szCs w:val="21"/>
                <w:highlight w:val="none"/>
              </w:rPr>
              <w:t>7.乐器输入</w:t>
            </w:r>
          </w:p>
          <w:p w14:paraId="338825EA">
            <w:pPr>
              <w:spacing w:line="360" w:lineRule="exact"/>
              <w:jc w:val="left"/>
              <w:rPr>
                <w:rFonts w:ascii="宋体" w:hAnsi="宋体"/>
                <w:color w:val="auto"/>
                <w:szCs w:val="21"/>
                <w:highlight w:val="none"/>
              </w:rPr>
            </w:pPr>
            <w:r>
              <w:rPr>
                <w:rFonts w:hint="eastAsia" w:ascii="宋体" w:hAnsi="宋体"/>
                <w:color w:val="auto"/>
                <w:szCs w:val="21"/>
                <w:highlight w:val="none"/>
              </w:rPr>
              <w:t>（1）输入接口：6.35mmTS。</w:t>
            </w:r>
          </w:p>
          <w:p w14:paraId="092347C5">
            <w:pPr>
              <w:spacing w:line="360" w:lineRule="exact"/>
              <w:jc w:val="left"/>
              <w:rPr>
                <w:rFonts w:ascii="宋体" w:hAnsi="宋体"/>
                <w:color w:val="auto"/>
                <w:szCs w:val="21"/>
                <w:highlight w:val="none"/>
              </w:rPr>
            </w:pPr>
            <w:r>
              <w:rPr>
                <w:rFonts w:hint="eastAsia" w:ascii="宋体" w:hAnsi="宋体"/>
                <w:color w:val="auto"/>
                <w:szCs w:val="21"/>
                <w:highlight w:val="none"/>
              </w:rPr>
              <w:t>（2）输入阻抗：＞100kΩ。</w:t>
            </w:r>
          </w:p>
          <w:p w14:paraId="2985082A">
            <w:pPr>
              <w:spacing w:line="360" w:lineRule="exact"/>
              <w:jc w:val="left"/>
              <w:rPr>
                <w:rFonts w:ascii="宋体" w:hAnsi="宋体"/>
                <w:color w:val="auto"/>
                <w:szCs w:val="21"/>
                <w:highlight w:val="none"/>
              </w:rPr>
            </w:pPr>
            <w:r>
              <w:rPr>
                <w:rFonts w:hint="eastAsia" w:ascii="宋体" w:hAnsi="宋体"/>
                <w:color w:val="auto"/>
                <w:szCs w:val="21"/>
                <w:highlight w:val="none"/>
              </w:rPr>
              <w:t>8.话筒输入。</w:t>
            </w:r>
          </w:p>
          <w:p w14:paraId="6F97048D">
            <w:pPr>
              <w:spacing w:line="360" w:lineRule="exact"/>
              <w:jc w:val="left"/>
              <w:rPr>
                <w:rFonts w:ascii="宋体" w:hAnsi="宋体"/>
                <w:color w:val="auto"/>
                <w:szCs w:val="21"/>
                <w:highlight w:val="none"/>
              </w:rPr>
            </w:pPr>
            <w:r>
              <w:rPr>
                <w:rFonts w:hint="eastAsia" w:ascii="宋体" w:hAnsi="宋体"/>
                <w:color w:val="auto"/>
                <w:szCs w:val="21"/>
                <w:highlight w:val="none"/>
              </w:rPr>
              <w:t>（1）输入接口：XLR。</w:t>
            </w:r>
          </w:p>
          <w:p w14:paraId="0F969880">
            <w:pPr>
              <w:spacing w:line="360" w:lineRule="exact"/>
              <w:jc w:val="left"/>
              <w:rPr>
                <w:rFonts w:ascii="宋体" w:hAnsi="宋体"/>
                <w:color w:val="auto"/>
                <w:szCs w:val="21"/>
                <w:highlight w:val="none"/>
              </w:rPr>
            </w:pPr>
            <w:r>
              <w:rPr>
                <w:rFonts w:hint="eastAsia" w:ascii="宋体" w:hAnsi="宋体"/>
                <w:color w:val="auto"/>
                <w:szCs w:val="21"/>
                <w:highlight w:val="none"/>
              </w:rPr>
              <w:t>（2）输入阻抗：300/1200Ω平。</w:t>
            </w:r>
          </w:p>
          <w:p w14:paraId="1F6522F8">
            <w:pPr>
              <w:spacing w:line="360" w:lineRule="exact"/>
              <w:jc w:val="left"/>
              <w:rPr>
                <w:rFonts w:ascii="宋体" w:hAnsi="宋体"/>
                <w:color w:val="auto"/>
                <w:szCs w:val="21"/>
                <w:highlight w:val="none"/>
              </w:rPr>
            </w:pPr>
            <w:r>
              <w:rPr>
                <w:rFonts w:hint="eastAsia" w:ascii="宋体" w:hAnsi="宋体"/>
                <w:color w:val="auto"/>
                <w:szCs w:val="21"/>
                <w:highlight w:val="none"/>
              </w:rPr>
              <w:t>（3）线性增益：+20dB~+80dB。</w:t>
            </w:r>
          </w:p>
        </w:tc>
      </w:tr>
      <w:tr w14:paraId="255EDD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14EB270C">
            <w:pPr>
              <w:jc w:val="center"/>
              <w:rPr>
                <w:rFonts w:ascii="宋体" w:hAnsi="宋体"/>
                <w:color w:val="auto"/>
                <w:szCs w:val="21"/>
                <w:highlight w:val="none"/>
              </w:rPr>
            </w:pPr>
            <w:r>
              <w:rPr>
                <w:rFonts w:hint="eastAsia" w:ascii="宋体" w:hAnsi="宋体"/>
                <w:color w:val="auto"/>
                <w:szCs w:val="21"/>
                <w:highlight w:val="none"/>
              </w:rPr>
              <w:t>28</w:t>
            </w:r>
          </w:p>
        </w:tc>
        <w:tc>
          <w:tcPr>
            <w:tcW w:w="1402" w:type="dxa"/>
            <w:tcBorders>
              <w:top w:val="single" w:color="000000" w:sz="4" w:space="0"/>
              <w:left w:val="single" w:color="auto" w:sz="4" w:space="0"/>
              <w:bottom w:val="single" w:color="000000" w:sz="4" w:space="0"/>
              <w:right w:val="single" w:color="000000" w:sz="4" w:space="0"/>
            </w:tcBorders>
            <w:vAlign w:val="center"/>
          </w:tcPr>
          <w:p w14:paraId="1C45A5D1">
            <w:pPr>
              <w:spacing w:line="360" w:lineRule="exact"/>
              <w:jc w:val="center"/>
              <w:rPr>
                <w:rFonts w:ascii="宋体" w:hAnsi="宋体"/>
                <w:color w:val="auto"/>
                <w:szCs w:val="21"/>
                <w:highlight w:val="none"/>
              </w:rPr>
            </w:pPr>
            <w:r>
              <w:rPr>
                <w:rFonts w:hint="eastAsia" w:ascii="宋体" w:hAnsi="宋体"/>
                <w:color w:val="auto"/>
                <w:szCs w:val="21"/>
                <w:highlight w:val="none"/>
              </w:rPr>
              <w:t>耳机放大器</w:t>
            </w:r>
          </w:p>
        </w:tc>
        <w:tc>
          <w:tcPr>
            <w:tcW w:w="704" w:type="dxa"/>
            <w:tcBorders>
              <w:top w:val="single" w:color="000000" w:sz="4" w:space="0"/>
              <w:left w:val="single" w:color="000000" w:sz="4" w:space="0"/>
              <w:bottom w:val="single" w:color="000000" w:sz="4" w:space="0"/>
              <w:right w:val="single" w:color="000000" w:sz="4" w:space="0"/>
            </w:tcBorders>
            <w:vAlign w:val="center"/>
          </w:tcPr>
          <w:p w14:paraId="36F70E14">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703" w:type="dxa"/>
            <w:tcBorders>
              <w:top w:val="single" w:color="auto" w:sz="4" w:space="0"/>
              <w:left w:val="single" w:color="000000" w:sz="4" w:space="0"/>
              <w:bottom w:val="single" w:color="000000" w:sz="4" w:space="0"/>
              <w:right w:val="single" w:color="000000" w:sz="4" w:space="0"/>
            </w:tcBorders>
            <w:vAlign w:val="center"/>
          </w:tcPr>
          <w:p w14:paraId="3EE3F639">
            <w:pPr>
              <w:spacing w:line="360" w:lineRule="exact"/>
              <w:jc w:val="center"/>
              <w:rPr>
                <w:rFonts w:ascii="宋体" w:hAnsi="宋体"/>
                <w:color w:val="auto"/>
                <w:szCs w:val="21"/>
                <w:highlight w:val="none"/>
              </w:rPr>
            </w:pPr>
            <w:r>
              <w:rPr>
                <w:rFonts w:hint="eastAsia" w:ascii="宋体" w:hAnsi="宋体"/>
                <w:color w:val="auto"/>
                <w:szCs w:val="21"/>
                <w:highlight w:val="none"/>
              </w:rPr>
              <w:t>台</w:t>
            </w:r>
          </w:p>
        </w:tc>
        <w:tc>
          <w:tcPr>
            <w:tcW w:w="702" w:type="dxa"/>
            <w:vMerge w:val="continue"/>
            <w:tcBorders>
              <w:left w:val="single" w:color="000000" w:sz="4" w:space="0"/>
              <w:right w:val="single" w:color="000000" w:sz="4" w:space="0"/>
            </w:tcBorders>
            <w:vAlign w:val="center"/>
          </w:tcPr>
          <w:p w14:paraId="4A69C432">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569883AF">
            <w:pPr>
              <w:spacing w:line="360" w:lineRule="exact"/>
              <w:jc w:val="left"/>
              <w:rPr>
                <w:rFonts w:ascii="宋体" w:hAnsi="宋体"/>
                <w:color w:val="auto"/>
                <w:szCs w:val="21"/>
                <w:highlight w:val="none"/>
              </w:rPr>
            </w:pPr>
            <w:r>
              <w:rPr>
                <w:rFonts w:hint="eastAsia" w:ascii="宋体" w:hAnsi="宋体"/>
                <w:color w:val="auto"/>
                <w:szCs w:val="21"/>
                <w:highlight w:val="none"/>
              </w:rPr>
              <w:t>1.通道数：4 个独立立体声通道。</w:t>
            </w:r>
          </w:p>
          <w:p w14:paraId="3400C264">
            <w:pPr>
              <w:spacing w:line="360" w:lineRule="exact"/>
              <w:jc w:val="left"/>
              <w:rPr>
                <w:rFonts w:ascii="宋体" w:hAnsi="宋体"/>
                <w:color w:val="auto"/>
                <w:szCs w:val="21"/>
                <w:highlight w:val="none"/>
              </w:rPr>
            </w:pPr>
            <w:r>
              <w:rPr>
                <w:rFonts w:hint="eastAsia" w:ascii="宋体" w:hAnsi="宋体"/>
                <w:color w:val="auto"/>
                <w:szCs w:val="21"/>
                <w:highlight w:val="none"/>
              </w:rPr>
              <w:t>2.耳机输出：4×立体声 6.35mm （每通道一个输出口）。</w:t>
            </w:r>
          </w:p>
          <w:p w14:paraId="1C2E4CCC">
            <w:pPr>
              <w:spacing w:line="360" w:lineRule="exact"/>
              <w:jc w:val="left"/>
              <w:rPr>
                <w:rFonts w:ascii="宋体" w:hAnsi="宋体"/>
                <w:color w:val="auto"/>
                <w:szCs w:val="21"/>
                <w:highlight w:val="none"/>
              </w:rPr>
            </w:pPr>
            <w:r>
              <w:rPr>
                <w:rFonts w:hint="eastAsia" w:ascii="宋体" w:hAnsi="宋体"/>
                <w:color w:val="auto"/>
                <w:szCs w:val="21"/>
                <w:highlight w:val="none"/>
              </w:rPr>
              <w:t xml:space="preserve">3.输出功率：每通道 564mW (32Ω负载）。 </w:t>
            </w:r>
          </w:p>
          <w:p w14:paraId="3744F91D">
            <w:pPr>
              <w:spacing w:line="360" w:lineRule="exact"/>
              <w:jc w:val="left"/>
              <w:rPr>
                <w:rFonts w:ascii="宋体" w:hAnsi="宋体"/>
                <w:color w:val="auto"/>
                <w:szCs w:val="21"/>
                <w:highlight w:val="none"/>
              </w:rPr>
            </w:pPr>
            <w:r>
              <w:rPr>
                <w:rFonts w:hint="eastAsia" w:ascii="宋体" w:hAnsi="宋体"/>
                <w:color w:val="auto"/>
                <w:szCs w:val="21"/>
                <w:highlight w:val="none"/>
              </w:rPr>
              <w:t xml:space="preserve">4.耳机阻抗范围：16-600 欧姆。 </w:t>
            </w:r>
          </w:p>
          <w:p w14:paraId="6C15A08E">
            <w:pPr>
              <w:spacing w:line="360" w:lineRule="exact"/>
              <w:jc w:val="left"/>
              <w:rPr>
                <w:rFonts w:ascii="宋体" w:hAnsi="宋体"/>
                <w:color w:val="auto"/>
                <w:szCs w:val="21"/>
                <w:highlight w:val="none"/>
              </w:rPr>
            </w:pPr>
            <w:r>
              <w:rPr>
                <w:rFonts w:hint="eastAsia" w:ascii="宋体" w:hAnsi="宋体"/>
                <w:color w:val="auto"/>
                <w:szCs w:val="21"/>
                <w:highlight w:val="none"/>
              </w:rPr>
              <w:t xml:space="preserve">5.频率响应：17Hz-47kHz(-3dB)。 </w:t>
            </w:r>
          </w:p>
          <w:p w14:paraId="14BD4B52">
            <w:pPr>
              <w:spacing w:line="360" w:lineRule="exact"/>
              <w:jc w:val="left"/>
              <w:rPr>
                <w:rFonts w:ascii="宋体" w:hAnsi="宋体"/>
                <w:color w:val="auto"/>
                <w:szCs w:val="21"/>
                <w:highlight w:val="none"/>
              </w:rPr>
            </w:pPr>
            <w:r>
              <w:rPr>
                <w:rFonts w:hint="eastAsia" w:ascii="宋体" w:hAnsi="宋体"/>
                <w:color w:val="auto"/>
                <w:szCs w:val="21"/>
                <w:highlight w:val="none"/>
              </w:rPr>
              <w:t xml:space="preserve">6.本底噪声：-114dBu。 </w:t>
            </w:r>
          </w:p>
          <w:p w14:paraId="3CFF3346">
            <w:pPr>
              <w:spacing w:line="360" w:lineRule="exact"/>
              <w:jc w:val="left"/>
              <w:rPr>
                <w:rFonts w:ascii="宋体" w:hAnsi="宋体"/>
                <w:color w:val="auto"/>
                <w:szCs w:val="21"/>
                <w:highlight w:val="none"/>
              </w:rPr>
            </w:pPr>
            <w:r>
              <w:rPr>
                <w:rFonts w:hint="eastAsia" w:ascii="宋体" w:hAnsi="宋体"/>
                <w:color w:val="auto"/>
                <w:szCs w:val="21"/>
                <w:highlight w:val="none"/>
              </w:rPr>
              <w:t>7.最大输出电平：8.3 dBu(1% THD+N，16Ω负载）。</w:t>
            </w:r>
          </w:p>
        </w:tc>
      </w:tr>
      <w:tr w14:paraId="000E56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43736F63">
            <w:pPr>
              <w:jc w:val="center"/>
              <w:rPr>
                <w:rFonts w:ascii="宋体" w:hAnsi="宋体"/>
                <w:color w:val="auto"/>
                <w:szCs w:val="21"/>
                <w:highlight w:val="none"/>
              </w:rPr>
            </w:pPr>
            <w:r>
              <w:rPr>
                <w:rFonts w:hint="eastAsia" w:ascii="宋体" w:hAnsi="宋体"/>
                <w:color w:val="auto"/>
                <w:szCs w:val="21"/>
                <w:highlight w:val="none"/>
              </w:rPr>
              <w:t>29</w:t>
            </w:r>
          </w:p>
        </w:tc>
        <w:tc>
          <w:tcPr>
            <w:tcW w:w="1402" w:type="dxa"/>
            <w:tcBorders>
              <w:top w:val="single" w:color="000000" w:sz="4" w:space="0"/>
              <w:left w:val="single" w:color="auto" w:sz="4" w:space="0"/>
              <w:bottom w:val="single" w:color="000000" w:sz="4" w:space="0"/>
              <w:right w:val="single" w:color="000000" w:sz="4" w:space="0"/>
            </w:tcBorders>
            <w:vAlign w:val="center"/>
          </w:tcPr>
          <w:p w14:paraId="3E84F099">
            <w:pPr>
              <w:spacing w:line="360" w:lineRule="exact"/>
              <w:jc w:val="center"/>
              <w:rPr>
                <w:rFonts w:ascii="宋体" w:hAnsi="宋体"/>
                <w:color w:val="auto"/>
                <w:szCs w:val="21"/>
                <w:highlight w:val="none"/>
              </w:rPr>
            </w:pPr>
            <w:r>
              <w:rPr>
                <w:rFonts w:hint="eastAsia" w:ascii="宋体" w:hAnsi="宋体"/>
                <w:color w:val="auto"/>
                <w:szCs w:val="21"/>
                <w:highlight w:val="none"/>
              </w:rPr>
              <w:t>配件</w:t>
            </w:r>
          </w:p>
        </w:tc>
        <w:tc>
          <w:tcPr>
            <w:tcW w:w="704" w:type="dxa"/>
            <w:tcBorders>
              <w:top w:val="single" w:color="000000" w:sz="4" w:space="0"/>
              <w:left w:val="single" w:color="000000" w:sz="4" w:space="0"/>
              <w:bottom w:val="single" w:color="000000" w:sz="4" w:space="0"/>
              <w:right w:val="single" w:color="000000" w:sz="4" w:space="0"/>
            </w:tcBorders>
            <w:vAlign w:val="center"/>
          </w:tcPr>
          <w:p w14:paraId="0D0EE9F0">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703" w:type="dxa"/>
            <w:tcBorders>
              <w:top w:val="single" w:color="auto" w:sz="4" w:space="0"/>
              <w:left w:val="single" w:color="000000" w:sz="4" w:space="0"/>
              <w:bottom w:val="single" w:color="000000" w:sz="4" w:space="0"/>
              <w:right w:val="single" w:color="000000" w:sz="4" w:space="0"/>
            </w:tcBorders>
            <w:vAlign w:val="center"/>
          </w:tcPr>
          <w:p w14:paraId="10315330">
            <w:pPr>
              <w:spacing w:line="360" w:lineRule="exact"/>
              <w:jc w:val="center"/>
              <w:rPr>
                <w:rFonts w:ascii="宋体" w:hAnsi="宋体"/>
                <w:color w:val="auto"/>
                <w:szCs w:val="21"/>
                <w:highlight w:val="none"/>
              </w:rPr>
            </w:pPr>
            <w:r>
              <w:rPr>
                <w:rFonts w:hint="eastAsia" w:ascii="宋体" w:hAnsi="宋体"/>
                <w:color w:val="auto"/>
                <w:szCs w:val="21"/>
                <w:highlight w:val="none"/>
              </w:rPr>
              <w:t>组</w:t>
            </w:r>
          </w:p>
        </w:tc>
        <w:tc>
          <w:tcPr>
            <w:tcW w:w="702" w:type="dxa"/>
            <w:vMerge w:val="continue"/>
            <w:tcBorders>
              <w:left w:val="single" w:color="000000" w:sz="4" w:space="0"/>
              <w:right w:val="single" w:color="000000" w:sz="4" w:space="0"/>
            </w:tcBorders>
            <w:vAlign w:val="center"/>
          </w:tcPr>
          <w:p w14:paraId="4F51185A">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75200C35">
            <w:pPr>
              <w:spacing w:line="360" w:lineRule="exact"/>
              <w:jc w:val="left"/>
              <w:rPr>
                <w:rFonts w:ascii="宋体" w:hAnsi="宋体"/>
                <w:color w:val="auto"/>
                <w:szCs w:val="21"/>
                <w:highlight w:val="none"/>
              </w:rPr>
            </w:pPr>
            <w:r>
              <w:rPr>
                <w:rFonts w:hint="eastAsia" w:ascii="宋体" w:hAnsi="宋体"/>
                <w:color w:val="auto"/>
                <w:szCs w:val="21"/>
                <w:highlight w:val="none"/>
              </w:rPr>
              <w:t>1.包含系统所需的全部连接线材及转接头。</w:t>
            </w:r>
          </w:p>
          <w:p w14:paraId="69815373">
            <w:pPr>
              <w:spacing w:line="360" w:lineRule="exact"/>
              <w:jc w:val="left"/>
              <w:rPr>
                <w:rFonts w:ascii="宋体" w:hAnsi="宋体"/>
                <w:color w:val="auto"/>
                <w:szCs w:val="21"/>
                <w:highlight w:val="none"/>
              </w:rPr>
            </w:pPr>
            <w:r>
              <w:rPr>
                <w:rFonts w:hint="eastAsia" w:ascii="宋体" w:hAnsi="宋体"/>
                <w:color w:val="auto"/>
                <w:szCs w:val="21"/>
                <w:highlight w:val="none"/>
              </w:rPr>
              <w:t>2.SDI线缆：≥3根（长度≥1米），支持12G-SDI。</w:t>
            </w:r>
          </w:p>
          <w:p w14:paraId="216B48E8">
            <w:pPr>
              <w:spacing w:line="360" w:lineRule="exact"/>
              <w:jc w:val="left"/>
              <w:rPr>
                <w:rFonts w:ascii="宋体" w:hAnsi="宋体"/>
                <w:color w:val="auto"/>
                <w:szCs w:val="21"/>
                <w:highlight w:val="none"/>
              </w:rPr>
            </w:pPr>
            <w:r>
              <w:rPr>
                <w:rFonts w:hint="eastAsia" w:ascii="宋体" w:hAnsi="宋体"/>
                <w:color w:val="auto"/>
                <w:szCs w:val="21"/>
                <w:highlight w:val="none"/>
              </w:rPr>
              <w:t>3.HDMI线缆：≥2根（长度≥2米），支持HDMI 2.0。</w:t>
            </w:r>
          </w:p>
          <w:p w14:paraId="2BD8B5DD">
            <w:pPr>
              <w:spacing w:line="360" w:lineRule="exact"/>
              <w:jc w:val="left"/>
              <w:rPr>
                <w:rFonts w:ascii="宋体" w:hAnsi="宋体"/>
                <w:color w:val="auto"/>
                <w:szCs w:val="21"/>
                <w:highlight w:val="none"/>
              </w:rPr>
            </w:pPr>
            <w:r>
              <w:rPr>
                <w:rFonts w:hint="eastAsia" w:ascii="宋体" w:hAnsi="宋体"/>
                <w:color w:val="auto"/>
                <w:szCs w:val="21"/>
                <w:highlight w:val="none"/>
              </w:rPr>
              <w:t>4.音频转接头：BNC、XLR、TRS等多种规格。</w:t>
            </w:r>
          </w:p>
          <w:p w14:paraId="33C5A100">
            <w:pPr>
              <w:spacing w:line="360" w:lineRule="exact"/>
              <w:jc w:val="left"/>
              <w:rPr>
                <w:rFonts w:ascii="宋体" w:hAnsi="宋体"/>
                <w:color w:val="auto"/>
                <w:szCs w:val="21"/>
                <w:highlight w:val="none"/>
              </w:rPr>
            </w:pPr>
            <w:r>
              <w:rPr>
                <w:rFonts w:hint="eastAsia" w:ascii="宋体" w:hAnsi="宋体"/>
                <w:color w:val="auto"/>
                <w:szCs w:val="21"/>
                <w:highlight w:val="none"/>
              </w:rPr>
              <w:t>5.线材材质：铜芯屏蔽编织，信号传输稳定。</w:t>
            </w:r>
          </w:p>
          <w:p w14:paraId="3FBE3BF1">
            <w:pPr>
              <w:spacing w:line="360" w:lineRule="exact"/>
              <w:jc w:val="left"/>
              <w:rPr>
                <w:rFonts w:ascii="宋体" w:hAnsi="宋体"/>
                <w:color w:val="auto"/>
                <w:szCs w:val="21"/>
                <w:highlight w:val="none"/>
              </w:rPr>
            </w:pPr>
            <w:r>
              <w:rPr>
                <w:rFonts w:hint="eastAsia" w:ascii="宋体" w:hAnsi="宋体"/>
                <w:color w:val="auto"/>
                <w:szCs w:val="21"/>
                <w:highlight w:val="none"/>
              </w:rPr>
              <w:t>6.接头工艺：镀铜镀金处理，耐插拔。</w:t>
            </w:r>
          </w:p>
        </w:tc>
      </w:tr>
      <w:tr w14:paraId="7FDE91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410DF7EF">
            <w:pPr>
              <w:jc w:val="center"/>
              <w:rPr>
                <w:rFonts w:ascii="宋体" w:hAnsi="宋体"/>
                <w:color w:val="auto"/>
                <w:szCs w:val="21"/>
                <w:highlight w:val="none"/>
              </w:rPr>
            </w:pPr>
            <w:r>
              <w:rPr>
                <w:rFonts w:hint="eastAsia" w:ascii="宋体" w:hAnsi="宋体"/>
                <w:color w:val="auto"/>
                <w:szCs w:val="21"/>
                <w:highlight w:val="none"/>
              </w:rPr>
              <w:t>30</w:t>
            </w:r>
          </w:p>
        </w:tc>
        <w:tc>
          <w:tcPr>
            <w:tcW w:w="1402" w:type="dxa"/>
            <w:tcBorders>
              <w:top w:val="single" w:color="000000" w:sz="4" w:space="0"/>
              <w:left w:val="single" w:color="auto" w:sz="4" w:space="0"/>
              <w:bottom w:val="single" w:color="000000" w:sz="4" w:space="0"/>
              <w:right w:val="single" w:color="000000" w:sz="4" w:space="0"/>
            </w:tcBorders>
            <w:vAlign w:val="center"/>
          </w:tcPr>
          <w:p w14:paraId="4FED6D02">
            <w:pPr>
              <w:spacing w:line="360" w:lineRule="exact"/>
              <w:jc w:val="center"/>
              <w:rPr>
                <w:rFonts w:ascii="宋体" w:hAnsi="宋体"/>
                <w:color w:val="auto"/>
                <w:szCs w:val="21"/>
                <w:highlight w:val="none"/>
              </w:rPr>
            </w:pPr>
            <w:r>
              <w:rPr>
                <w:rFonts w:hint="eastAsia" w:ascii="宋体" w:hAnsi="宋体"/>
                <w:color w:val="auto"/>
                <w:szCs w:val="21"/>
                <w:highlight w:val="none"/>
              </w:rPr>
              <w:t>柔光灯</w:t>
            </w:r>
          </w:p>
        </w:tc>
        <w:tc>
          <w:tcPr>
            <w:tcW w:w="704" w:type="dxa"/>
            <w:tcBorders>
              <w:top w:val="single" w:color="000000" w:sz="4" w:space="0"/>
              <w:left w:val="single" w:color="000000" w:sz="4" w:space="0"/>
              <w:bottom w:val="single" w:color="000000" w:sz="4" w:space="0"/>
              <w:right w:val="single" w:color="000000" w:sz="4" w:space="0"/>
            </w:tcBorders>
            <w:vAlign w:val="center"/>
          </w:tcPr>
          <w:p w14:paraId="627BBD64">
            <w:pPr>
              <w:spacing w:line="360" w:lineRule="exact"/>
              <w:jc w:val="center"/>
              <w:rPr>
                <w:rFonts w:ascii="宋体" w:hAnsi="宋体"/>
                <w:color w:val="auto"/>
                <w:szCs w:val="21"/>
                <w:highlight w:val="none"/>
              </w:rPr>
            </w:pPr>
            <w:r>
              <w:rPr>
                <w:rFonts w:hint="eastAsia" w:ascii="宋体" w:hAnsi="宋体"/>
                <w:color w:val="auto"/>
                <w:szCs w:val="21"/>
                <w:highlight w:val="none"/>
              </w:rPr>
              <w:t>29</w:t>
            </w:r>
          </w:p>
        </w:tc>
        <w:tc>
          <w:tcPr>
            <w:tcW w:w="703" w:type="dxa"/>
            <w:tcBorders>
              <w:top w:val="single" w:color="auto" w:sz="4" w:space="0"/>
              <w:left w:val="single" w:color="000000" w:sz="4" w:space="0"/>
              <w:bottom w:val="single" w:color="000000" w:sz="4" w:space="0"/>
              <w:right w:val="single" w:color="000000" w:sz="4" w:space="0"/>
            </w:tcBorders>
            <w:vAlign w:val="center"/>
          </w:tcPr>
          <w:p w14:paraId="401D9319">
            <w:pPr>
              <w:spacing w:line="360" w:lineRule="exact"/>
              <w:jc w:val="center"/>
              <w:rPr>
                <w:rFonts w:ascii="宋体" w:hAnsi="宋体"/>
                <w:color w:val="auto"/>
                <w:szCs w:val="21"/>
                <w:highlight w:val="none"/>
              </w:rPr>
            </w:pPr>
            <w:r>
              <w:rPr>
                <w:rFonts w:hint="eastAsia" w:ascii="宋体" w:hAnsi="宋体"/>
                <w:color w:val="auto"/>
                <w:szCs w:val="21"/>
                <w:highlight w:val="none"/>
              </w:rPr>
              <w:t>盏</w:t>
            </w:r>
          </w:p>
        </w:tc>
        <w:tc>
          <w:tcPr>
            <w:tcW w:w="702" w:type="dxa"/>
            <w:vMerge w:val="continue"/>
            <w:tcBorders>
              <w:left w:val="single" w:color="000000" w:sz="4" w:space="0"/>
              <w:right w:val="single" w:color="000000" w:sz="4" w:space="0"/>
            </w:tcBorders>
            <w:vAlign w:val="center"/>
          </w:tcPr>
          <w:p w14:paraId="49A103E4">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411F2B8D">
            <w:pPr>
              <w:spacing w:line="360" w:lineRule="exact"/>
              <w:jc w:val="left"/>
              <w:rPr>
                <w:rFonts w:ascii="宋体" w:hAnsi="宋体"/>
                <w:color w:val="auto"/>
                <w:szCs w:val="21"/>
                <w:highlight w:val="none"/>
              </w:rPr>
            </w:pPr>
            <w:r>
              <w:rPr>
                <w:rFonts w:hint="eastAsia" w:ascii="宋体" w:hAnsi="宋体"/>
                <w:color w:val="auto"/>
                <w:szCs w:val="21"/>
                <w:highlight w:val="none"/>
              </w:rPr>
              <w:t>1.功率：≥100W。</w:t>
            </w:r>
          </w:p>
          <w:p w14:paraId="63D6A560">
            <w:pPr>
              <w:spacing w:line="360" w:lineRule="exact"/>
              <w:jc w:val="left"/>
              <w:rPr>
                <w:rFonts w:ascii="宋体" w:hAnsi="宋体"/>
                <w:color w:val="auto"/>
                <w:szCs w:val="21"/>
                <w:highlight w:val="none"/>
              </w:rPr>
            </w:pPr>
            <w:r>
              <w:rPr>
                <w:rFonts w:hint="eastAsia" w:ascii="宋体" w:hAnsi="宋体"/>
                <w:color w:val="auto"/>
                <w:szCs w:val="21"/>
                <w:highlight w:val="none"/>
              </w:rPr>
              <w:t>2.显色指数：Ra≥95，R9≥90，TLCI≥95。</w:t>
            </w:r>
          </w:p>
          <w:p w14:paraId="3C9335F5">
            <w:pPr>
              <w:spacing w:line="360" w:lineRule="exact"/>
              <w:jc w:val="left"/>
              <w:rPr>
                <w:rFonts w:ascii="宋体" w:hAnsi="宋体"/>
                <w:color w:val="auto"/>
                <w:szCs w:val="21"/>
                <w:highlight w:val="none"/>
              </w:rPr>
            </w:pPr>
            <w:r>
              <w:rPr>
                <w:rFonts w:hint="eastAsia" w:ascii="宋体" w:hAnsi="宋体"/>
                <w:color w:val="auto"/>
                <w:szCs w:val="21"/>
                <w:highlight w:val="none"/>
              </w:rPr>
              <w:t>3.色温：4000K/5600K/3200K—5600K，3种可选。</w:t>
            </w:r>
          </w:p>
          <w:p w14:paraId="7689C8EC">
            <w:pPr>
              <w:spacing w:line="360" w:lineRule="exact"/>
              <w:jc w:val="left"/>
              <w:rPr>
                <w:rFonts w:ascii="宋体" w:hAnsi="宋体"/>
                <w:color w:val="auto"/>
                <w:szCs w:val="21"/>
                <w:highlight w:val="none"/>
              </w:rPr>
            </w:pPr>
            <w:r>
              <w:rPr>
                <w:rFonts w:hint="eastAsia" w:ascii="宋体" w:hAnsi="宋体"/>
                <w:color w:val="auto"/>
                <w:szCs w:val="21"/>
                <w:highlight w:val="none"/>
              </w:rPr>
              <w:t>4.照度：2550LUX/1M 680LUX/2M 320LUX/3M 140LUX/5M。</w:t>
            </w:r>
          </w:p>
          <w:p w14:paraId="1EEE0C88">
            <w:pPr>
              <w:spacing w:line="360" w:lineRule="exact"/>
              <w:jc w:val="left"/>
              <w:rPr>
                <w:rFonts w:ascii="宋体" w:hAnsi="宋体"/>
                <w:color w:val="auto"/>
                <w:szCs w:val="21"/>
                <w:highlight w:val="none"/>
              </w:rPr>
            </w:pPr>
            <w:r>
              <w:rPr>
                <w:rFonts w:hint="eastAsia" w:ascii="宋体" w:hAnsi="宋体"/>
                <w:color w:val="auto"/>
                <w:szCs w:val="21"/>
                <w:highlight w:val="none"/>
              </w:rPr>
              <w:t>5.电压：AC100-240V 50/60Hz。</w:t>
            </w:r>
          </w:p>
          <w:p w14:paraId="2D638E8E">
            <w:pPr>
              <w:spacing w:line="360" w:lineRule="exact"/>
              <w:jc w:val="left"/>
              <w:rPr>
                <w:rFonts w:ascii="宋体" w:hAnsi="宋体"/>
                <w:color w:val="auto"/>
                <w:szCs w:val="21"/>
                <w:highlight w:val="none"/>
              </w:rPr>
            </w:pPr>
            <w:r>
              <w:rPr>
                <w:rFonts w:hint="eastAsia" w:ascii="宋体" w:hAnsi="宋体"/>
                <w:color w:val="auto"/>
                <w:szCs w:val="21"/>
                <w:highlight w:val="none"/>
              </w:rPr>
              <w:t>6.灯珠数量：600颗。</w:t>
            </w:r>
          </w:p>
          <w:p w14:paraId="5F60AC8F">
            <w:pPr>
              <w:spacing w:line="360" w:lineRule="exact"/>
              <w:jc w:val="left"/>
              <w:rPr>
                <w:rFonts w:ascii="宋体" w:hAnsi="宋体"/>
                <w:color w:val="auto"/>
                <w:szCs w:val="21"/>
                <w:highlight w:val="none"/>
              </w:rPr>
            </w:pPr>
            <w:r>
              <w:rPr>
                <w:rFonts w:hint="eastAsia" w:ascii="宋体" w:hAnsi="宋体"/>
                <w:color w:val="auto"/>
                <w:szCs w:val="21"/>
                <w:highlight w:val="none"/>
              </w:rPr>
              <w:t>7.出光角度：120°。</w:t>
            </w:r>
          </w:p>
          <w:p w14:paraId="1AC8D506">
            <w:pPr>
              <w:spacing w:line="360" w:lineRule="exact"/>
              <w:jc w:val="left"/>
              <w:rPr>
                <w:rFonts w:ascii="宋体" w:hAnsi="宋体"/>
                <w:color w:val="auto"/>
                <w:szCs w:val="21"/>
                <w:highlight w:val="none"/>
              </w:rPr>
            </w:pPr>
            <w:r>
              <w:rPr>
                <w:rFonts w:hint="eastAsia" w:ascii="宋体" w:hAnsi="宋体"/>
                <w:color w:val="auto"/>
                <w:szCs w:val="21"/>
                <w:highlight w:val="none"/>
              </w:rPr>
              <w:t>8.CQS:≥95。</w:t>
            </w:r>
          </w:p>
          <w:p w14:paraId="25A11050">
            <w:pPr>
              <w:spacing w:line="360" w:lineRule="exact"/>
              <w:jc w:val="left"/>
              <w:rPr>
                <w:rFonts w:ascii="宋体" w:hAnsi="宋体"/>
                <w:color w:val="auto"/>
                <w:szCs w:val="21"/>
                <w:highlight w:val="none"/>
              </w:rPr>
            </w:pPr>
            <w:r>
              <w:rPr>
                <w:rFonts w:hint="eastAsia" w:ascii="宋体" w:hAnsi="宋体"/>
                <w:color w:val="auto"/>
                <w:szCs w:val="21"/>
                <w:highlight w:val="none"/>
              </w:rPr>
              <w:t>9.TM-30-15:(Rf95, Rg102)。</w:t>
            </w:r>
          </w:p>
          <w:p w14:paraId="2EFB8B54">
            <w:pPr>
              <w:spacing w:line="360" w:lineRule="exact"/>
              <w:jc w:val="left"/>
              <w:rPr>
                <w:rFonts w:ascii="宋体" w:hAnsi="宋体"/>
                <w:color w:val="auto"/>
                <w:szCs w:val="21"/>
                <w:highlight w:val="none"/>
              </w:rPr>
            </w:pPr>
            <w:r>
              <w:rPr>
                <w:rFonts w:hint="eastAsia" w:ascii="宋体" w:hAnsi="宋体"/>
                <w:color w:val="auto"/>
                <w:szCs w:val="21"/>
                <w:highlight w:val="none"/>
              </w:rPr>
              <w:t>10.刷新频率：9kHz，高清拍摄无闪烁。</w:t>
            </w:r>
          </w:p>
          <w:p w14:paraId="031CED30">
            <w:pPr>
              <w:spacing w:line="360" w:lineRule="exact"/>
              <w:jc w:val="left"/>
              <w:rPr>
                <w:rFonts w:ascii="宋体" w:hAnsi="宋体"/>
                <w:color w:val="auto"/>
                <w:szCs w:val="21"/>
                <w:highlight w:val="none"/>
              </w:rPr>
            </w:pPr>
            <w:r>
              <w:rPr>
                <w:rFonts w:hint="eastAsia" w:ascii="宋体" w:hAnsi="宋体"/>
                <w:color w:val="auto"/>
                <w:szCs w:val="21"/>
                <w:highlight w:val="none"/>
              </w:rPr>
              <w:t>11.可达10000级无抖动线性调光。</w:t>
            </w:r>
          </w:p>
          <w:p w14:paraId="07C3EB7C">
            <w:pPr>
              <w:spacing w:line="360" w:lineRule="exact"/>
              <w:jc w:val="left"/>
              <w:rPr>
                <w:rFonts w:ascii="宋体" w:hAnsi="宋体"/>
                <w:color w:val="auto"/>
                <w:szCs w:val="21"/>
                <w:highlight w:val="none"/>
              </w:rPr>
            </w:pPr>
            <w:r>
              <w:rPr>
                <w:rFonts w:hint="eastAsia" w:ascii="宋体" w:hAnsi="宋体"/>
                <w:color w:val="auto"/>
                <w:szCs w:val="21"/>
                <w:highlight w:val="none"/>
              </w:rPr>
              <w:t>12.光效：66lm/W，光通量：6751lm。</w:t>
            </w:r>
          </w:p>
          <w:p w14:paraId="022DAB80">
            <w:pPr>
              <w:spacing w:line="360" w:lineRule="exact"/>
              <w:jc w:val="left"/>
              <w:rPr>
                <w:rFonts w:ascii="宋体" w:hAnsi="宋体"/>
                <w:color w:val="auto"/>
                <w:szCs w:val="21"/>
                <w:highlight w:val="none"/>
              </w:rPr>
            </w:pPr>
            <w:r>
              <w:rPr>
                <w:rFonts w:hint="eastAsia" w:ascii="宋体" w:hAnsi="宋体"/>
                <w:color w:val="auto"/>
                <w:szCs w:val="21"/>
                <w:highlight w:val="none"/>
              </w:rPr>
              <w:t>13.通道数量：1个通道。</w:t>
            </w:r>
          </w:p>
          <w:p w14:paraId="2D19017E">
            <w:pPr>
              <w:spacing w:line="360" w:lineRule="exact"/>
              <w:jc w:val="left"/>
              <w:rPr>
                <w:rFonts w:ascii="宋体" w:hAnsi="宋体"/>
                <w:color w:val="auto"/>
                <w:szCs w:val="21"/>
                <w:highlight w:val="none"/>
              </w:rPr>
            </w:pPr>
            <w:r>
              <w:rPr>
                <w:rFonts w:hint="eastAsia" w:ascii="宋体" w:hAnsi="宋体"/>
                <w:color w:val="auto"/>
                <w:szCs w:val="21"/>
                <w:highlight w:val="none"/>
              </w:rPr>
              <w:t>14.调光方式：0%至100%无级调节。</w:t>
            </w:r>
          </w:p>
          <w:p w14:paraId="335B0B9B">
            <w:pPr>
              <w:spacing w:line="360" w:lineRule="exact"/>
              <w:jc w:val="left"/>
              <w:rPr>
                <w:rFonts w:ascii="宋体" w:hAnsi="宋体"/>
                <w:color w:val="auto"/>
                <w:szCs w:val="21"/>
                <w:highlight w:val="none"/>
              </w:rPr>
            </w:pPr>
            <w:r>
              <w:rPr>
                <w:rFonts w:hint="eastAsia" w:ascii="宋体" w:hAnsi="宋体"/>
                <w:color w:val="auto"/>
                <w:szCs w:val="21"/>
                <w:highlight w:val="none"/>
              </w:rPr>
              <w:t>15.控制面板：数码显示管显示，按键调节地址码和亮度+旋钮调光。</w:t>
            </w:r>
          </w:p>
          <w:p w14:paraId="46D9122C">
            <w:pPr>
              <w:spacing w:line="360" w:lineRule="exact"/>
              <w:jc w:val="left"/>
              <w:rPr>
                <w:rFonts w:ascii="宋体" w:hAnsi="宋体"/>
                <w:color w:val="auto"/>
                <w:szCs w:val="21"/>
                <w:highlight w:val="none"/>
              </w:rPr>
            </w:pPr>
            <w:r>
              <w:rPr>
                <w:rFonts w:hint="eastAsia" w:ascii="宋体" w:hAnsi="宋体"/>
                <w:color w:val="auto"/>
                <w:szCs w:val="21"/>
                <w:highlight w:val="none"/>
              </w:rPr>
              <w:t>16.控制方式：DMX512(1990版）。</w:t>
            </w:r>
          </w:p>
          <w:p w14:paraId="109B0C29">
            <w:pPr>
              <w:spacing w:line="360" w:lineRule="exact"/>
              <w:jc w:val="left"/>
              <w:rPr>
                <w:rFonts w:ascii="宋体" w:hAnsi="宋体"/>
                <w:color w:val="auto"/>
                <w:szCs w:val="21"/>
                <w:highlight w:val="none"/>
              </w:rPr>
            </w:pPr>
            <w:r>
              <w:rPr>
                <w:rFonts w:hint="eastAsia" w:ascii="宋体" w:hAnsi="宋体"/>
                <w:color w:val="auto"/>
                <w:szCs w:val="21"/>
                <w:highlight w:val="none"/>
              </w:rPr>
              <w:t>17.信号链接：三芯卡侬头，输入/输出手拉手连接（接线：3：正，2：负，1：屏蔽）。</w:t>
            </w:r>
          </w:p>
          <w:p w14:paraId="272E4322">
            <w:pPr>
              <w:spacing w:line="360" w:lineRule="exact"/>
              <w:jc w:val="left"/>
              <w:rPr>
                <w:rFonts w:ascii="宋体" w:hAnsi="宋体"/>
                <w:color w:val="auto"/>
                <w:szCs w:val="21"/>
                <w:highlight w:val="none"/>
              </w:rPr>
            </w:pPr>
            <w:r>
              <w:rPr>
                <w:rFonts w:hint="eastAsia" w:ascii="宋体" w:hAnsi="宋体"/>
                <w:color w:val="auto"/>
                <w:szCs w:val="21"/>
                <w:highlight w:val="none"/>
              </w:rPr>
              <w:t>18.电源链接：三芯自锁电源插头，输入/输出手拉手链接。</w:t>
            </w:r>
          </w:p>
          <w:p w14:paraId="34D238B5">
            <w:pPr>
              <w:spacing w:line="360" w:lineRule="exact"/>
              <w:jc w:val="left"/>
              <w:rPr>
                <w:rFonts w:ascii="宋体" w:hAnsi="宋体"/>
                <w:color w:val="auto"/>
                <w:szCs w:val="21"/>
                <w:highlight w:val="none"/>
              </w:rPr>
            </w:pPr>
            <w:r>
              <w:rPr>
                <w:rFonts w:hint="eastAsia" w:ascii="宋体" w:hAnsi="宋体"/>
                <w:color w:val="auto"/>
                <w:szCs w:val="21"/>
                <w:highlight w:val="none"/>
              </w:rPr>
              <w:t>19.冷却系统：自然风，无风机，电源驱动外置散热。</w:t>
            </w:r>
          </w:p>
          <w:p w14:paraId="7FD64AEC">
            <w:pPr>
              <w:spacing w:line="360" w:lineRule="exact"/>
              <w:jc w:val="left"/>
              <w:rPr>
                <w:rFonts w:ascii="宋体" w:hAnsi="宋体"/>
                <w:color w:val="auto"/>
                <w:szCs w:val="21"/>
                <w:highlight w:val="none"/>
              </w:rPr>
            </w:pPr>
            <w:r>
              <w:rPr>
                <w:rFonts w:hint="eastAsia" w:ascii="宋体" w:hAnsi="宋体"/>
                <w:color w:val="auto"/>
                <w:szCs w:val="21"/>
                <w:highlight w:val="none"/>
              </w:rPr>
              <w:t>20.光学处理：进口柔光扩散板，透光率≥90%。</w:t>
            </w:r>
          </w:p>
          <w:p w14:paraId="5B053166">
            <w:pPr>
              <w:spacing w:line="360" w:lineRule="exact"/>
              <w:jc w:val="left"/>
              <w:rPr>
                <w:rFonts w:ascii="宋体" w:hAnsi="宋体"/>
                <w:color w:val="auto"/>
                <w:szCs w:val="21"/>
                <w:highlight w:val="none"/>
              </w:rPr>
            </w:pPr>
            <w:r>
              <w:rPr>
                <w:rFonts w:hint="eastAsia" w:ascii="宋体" w:hAnsi="宋体"/>
                <w:color w:val="auto"/>
                <w:szCs w:val="21"/>
                <w:highlight w:val="none"/>
              </w:rPr>
              <w:t>21.使用寿命：≥50000小时。</w:t>
            </w:r>
          </w:p>
          <w:p w14:paraId="71450505">
            <w:pPr>
              <w:spacing w:line="360" w:lineRule="exact"/>
              <w:jc w:val="left"/>
              <w:rPr>
                <w:rFonts w:ascii="宋体" w:hAnsi="宋体"/>
                <w:color w:val="auto"/>
                <w:szCs w:val="21"/>
                <w:highlight w:val="none"/>
              </w:rPr>
            </w:pPr>
            <w:r>
              <w:rPr>
                <w:rFonts w:hint="eastAsia"/>
                <w:color w:val="auto"/>
                <w:highlight w:val="none"/>
              </w:rPr>
              <w:t>22.</w:t>
            </w:r>
            <w:r>
              <w:rPr>
                <w:rFonts w:hint="eastAsia" w:ascii="宋体" w:hAnsi="宋体"/>
                <w:color w:val="auto"/>
                <w:szCs w:val="21"/>
                <w:highlight w:val="none"/>
              </w:rPr>
              <w:t>成交供应商于供货时必须向采购人提供</w:t>
            </w:r>
            <w:r>
              <w:rPr>
                <w:rFonts w:hint="eastAsia" w:ascii="宋体" w:hAnsi="宋体"/>
                <w:color w:val="auto"/>
                <w:szCs w:val="21"/>
                <w:highlight w:val="none"/>
                <w:lang w:eastAsia="zh-CN"/>
              </w:rPr>
              <w:t>所竞产品</w:t>
            </w:r>
            <w:r>
              <w:rPr>
                <w:rFonts w:hint="eastAsia" w:ascii="宋体" w:hAnsi="宋体"/>
                <w:color w:val="auto"/>
                <w:szCs w:val="21"/>
                <w:highlight w:val="none"/>
              </w:rPr>
              <w:t>生产厂家出具的售后服务承诺书原件，否则不予验收。</w:t>
            </w:r>
          </w:p>
        </w:tc>
      </w:tr>
      <w:tr w14:paraId="5C621D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187C9DD8">
            <w:pPr>
              <w:jc w:val="center"/>
              <w:rPr>
                <w:rFonts w:ascii="宋体" w:hAnsi="宋体"/>
                <w:color w:val="auto"/>
                <w:szCs w:val="21"/>
                <w:highlight w:val="none"/>
              </w:rPr>
            </w:pPr>
            <w:bookmarkStart w:id="76" w:name="OLE_LINK75" w:colFirst="5" w:colLast="5"/>
            <w:bookmarkStart w:id="77" w:name="_Hlk201698462"/>
            <w:r>
              <w:rPr>
                <w:rFonts w:hint="eastAsia" w:ascii="宋体" w:hAnsi="宋体"/>
                <w:color w:val="auto"/>
                <w:szCs w:val="21"/>
                <w:highlight w:val="none"/>
              </w:rPr>
              <w:t>31</w:t>
            </w:r>
          </w:p>
        </w:tc>
        <w:tc>
          <w:tcPr>
            <w:tcW w:w="1402" w:type="dxa"/>
            <w:tcBorders>
              <w:top w:val="single" w:color="000000" w:sz="4" w:space="0"/>
              <w:left w:val="single" w:color="auto" w:sz="4" w:space="0"/>
              <w:bottom w:val="single" w:color="000000" w:sz="4" w:space="0"/>
              <w:right w:val="single" w:color="000000" w:sz="4" w:space="0"/>
            </w:tcBorders>
            <w:vAlign w:val="center"/>
          </w:tcPr>
          <w:p w14:paraId="7FC02C53">
            <w:pPr>
              <w:spacing w:line="360" w:lineRule="exact"/>
              <w:jc w:val="center"/>
              <w:rPr>
                <w:rFonts w:ascii="宋体" w:hAnsi="宋体"/>
                <w:color w:val="auto"/>
                <w:szCs w:val="21"/>
                <w:highlight w:val="none"/>
              </w:rPr>
            </w:pPr>
            <w:r>
              <w:rPr>
                <w:rFonts w:hint="eastAsia" w:ascii="宋体" w:hAnsi="宋体"/>
                <w:color w:val="auto"/>
                <w:szCs w:val="21"/>
                <w:highlight w:val="none"/>
              </w:rPr>
              <w:t>聚光灯</w:t>
            </w:r>
          </w:p>
        </w:tc>
        <w:tc>
          <w:tcPr>
            <w:tcW w:w="704" w:type="dxa"/>
            <w:tcBorders>
              <w:top w:val="single" w:color="000000" w:sz="4" w:space="0"/>
              <w:left w:val="single" w:color="000000" w:sz="4" w:space="0"/>
              <w:bottom w:val="single" w:color="000000" w:sz="4" w:space="0"/>
              <w:right w:val="single" w:color="000000" w:sz="4" w:space="0"/>
            </w:tcBorders>
            <w:vAlign w:val="center"/>
          </w:tcPr>
          <w:p w14:paraId="0A716996">
            <w:pPr>
              <w:spacing w:line="360" w:lineRule="exact"/>
              <w:jc w:val="center"/>
              <w:rPr>
                <w:rFonts w:ascii="宋体" w:hAnsi="宋体"/>
                <w:color w:val="auto"/>
                <w:szCs w:val="21"/>
                <w:highlight w:val="none"/>
              </w:rPr>
            </w:pPr>
            <w:r>
              <w:rPr>
                <w:rFonts w:hint="eastAsia" w:ascii="宋体" w:hAnsi="宋体"/>
                <w:color w:val="auto"/>
                <w:szCs w:val="21"/>
                <w:highlight w:val="none"/>
              </w:rPr>
              <w:t>8</w:t>
            </w:r>
          </w:p>
        </w:tc>
        <w:tc>
          <w:tcPr>
            <w:tcW w:w="703" w:type="dxa"/>
            <w:tcBorders>
              <w:top w:val="single" w:color="auto" w:sz="4" w:space="0"/>
              <w:left w:val="single" w:color="000000" w:sz="4" w:space="0"/>
              <w:bottom w:val="single" w:color="000000" w:sz="4" w:space="0"/>
              <w:right w:val="single" w:color="000000" w:sz="4" w:space="0"/>
            </w:tcBorders>
            <w:vAlign w:val="center"/>
          </w:tcPr>
          <w:p w14:paraId="3BEC55AA">
            <w:pPr>
              <w:spacing w:line="360" w:lineRule="exact"/>
              <w:jc w:val="center"/>
              <w:rPr>
                <w:rFonts w:ascii="宋体" w:hAnsi="宋体"/>
                <w:color w:val="auto"/>
                <w:szCs w:val="21"/>
                <w:highlight w:val="none"/>
              </w:rPr>
            </w:pPr>
            <w:r>
              <w:rPr>
                <w:rFonts w:hint="eastAsia" w:ascii="宋体" w:hAnsi="宋体"/>
                <w:color w:val="auto"/>
                <w:szCs w:val="21"/>
                <w:highlight w:val="none"/>
              </w:rPr>
              <w:t>个</w:t>
            </w:r>
          </w:p>
        </w:tc>
        <w:tc>
          <w:tcPr>
            <w:tcW w:w="702" w:type="dxa"/>
            <w:vMerge w:val="continue"/>
            <w:tcBorders>
              <w:left w:val="single" w:color="000000" w:sz="4" w:space="0"/>
              <w:right w:val="single" w:color="000000" w:sz="4" w:space="0"/>
            </w:tcBorders>
            <w:vAlign w:val="center"/>
          </w:tcPr>
          <w:p w14:paraId="749F411B">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1C91ADA9">
            <w:pPr>
              <w:spacing w:line="360" w:lineRule="exact"/>
              <w:jc w:val="left"/>
              <w:rPr>
                <w:rFonts w:ascii="宋体" w:hAnsi="宋体"/>
                <w:color w:val="auto"/>
                <w:szCs w:val="21"/>
                <w:highlight w:val="none"/>
              </w:rPr>
            </w:pPr>
            <w:r>
              <w:rPr>
                <w:rFonts w:hint="eastAsia" w:ascii="宋体" w:hAnsi="宋体"/>
                <w:color w:val="auto"/>
                <w:szCs w:val="21"/>
                <w:highlight w:val="none"/>
              </w:rPr>
              <w:t>1.额定功率：≥70W。</w:t>
            </w:r>
          </w:p>
          <w:p w14:paraId="1BBFE1D2">
            <w:pPr>
              <w:spacing w:line="360" w:lineRule="exact"/>
              <w:jc w:val="left"/>
              <w:rPr>
                <w:rFonts w:ascii="宋体" w:hAnsi="宋体"/>
                <w:color w:val="auto"/>
                <w:szCs w:val="21"/>
                <w:highlight w:val="none"/>
              </w:rPr>
            </w:pPr>
            <w:r>
              <w:rPr>
                <w:rFonts w:hint="eastAsia" w:ascii="宋体" w:hAnsi="宋体"/>
                <w:color w:val="auto"/>
                <w:szCs w:val="21"/>
                <w:highlight w:val="none"/>
              </w:rPr>
              <w:t>2.显色指数：Ra≥95，R9≥92，TLCI≥95。</w:t>
            </w:r>
          </w:p>
          <w:p w14:paraId="2B46FC53">
            <w:pPr>
              <w:spacing w:line="360" w:lineRule="exact"/>
              <w:jc w:val="left"/>
              <w:rPr>
                <w:rFonts w:ascii="宋体" w:hAnsi="宋体"/>
                <w:color w:val="auto"/>
                <w:szCs w:val="21"/>
                <w:highlight w:val="none"/>
              </w:rPr>
            </w:pPr>
            <w:r>
              <w:rPr>
                <w:rFonts w:hint="eastAsia" w:ascii="宋体" w:hAnsi="宋体"/>
                <w:color w:val="auto"/>
                <w:szCs w:val="21"/>
                <w:highlight w:val="none"/>
              </w:rPr>
              <w:t>3.应用场景：20-60㎡校园电视台，直播间，融媒体中心，演播室，无影棚。</w:t>
            </w:r>
          </w:p>
          <w:p w14:paraId="5D4AB71F">
            <w:pPr>
              <w:spacing w:line="360" w:lineRule="exact"/>
              <w:jc w:val="left"/>
              <w:rPr>
                <w:rFonts w:ascii="宋体" w:hAnsi="宋体"/>
                <w:color w:val="auto"/>
                <w:szCs w:val="21"/>
                <w:highlight w:val="none"/>
              </w:rPr>
            </w:pPr>
            <w:r>
              <w:rPr>
                <w:rFonts w:hint="eastAsia" w:ascii="宋体" w:hAnsi="宋体"/>
                <w:color w:val="auto"/>
                <w:szCs w:val="21"/>
                <w:highlight w:val="none"/>
              </w:rPr>
              <w:t>4.色温：3200K/5600K(±150K），2种可选。</w:t>
            </w:r>
          </w:p>
          <w:p w14:paraId="165FF83B">
            <w:pPr>
              <w:spacing w:line="360" w:lineRule="exact"/>
              <w:jc w:val="left"/>
              <w:rPr>
                <w:rFonts w:ascii="宋体" w:hAnsi="宋体"/>
                <w:color w:val="auto"/>
                <w:szCs w:val="21"/>
                <w:highlight w:val="none"/>
              </w:rPr>
            </w:pPr>
            <w:r>
              <w:rPr>
                <w:rFonts w:hint="eastAsia" w:ascii="宋体" w:hAnsi="宋体"/>
                <w:color w:val="auto"/>
                <w:szCs w:val="21"/>
                <w:highlight w:val="none"/>
              </w:rPr>
              <w:t>5.电压：AC100-240V 50/60Hz。</w:t>
            </w:r>
          </w:p>
          <w:p w14:paraId="7AC2AC59">
            <w:pPr>
              <w:spacing w:line="360" w:lineRule="exact"/>
              <w:jc w:val="left"/>
              <w:rPr>
                <w:rFonts w:ascii="宋体" w:hAnsi="宋体"/>
                <w:color w:val="auto"/>
                <w:szCs w:val="21"/>
                <w:highlight w:val="none"/>
              </w:rPr>
            </w:pPr>
            <w:r>
              <w:rPr>
                <w:rFonts w:hint="eastAsia" w:ascii="宋体" w:hAnsi="宋体"/>
                <w:color w:val="auto"/>
                <w:szCs w:val="21"/>
                <w:highlight w:val="none"/>
              </w:rPr>
              <w:t>6.光源：LED集成灯珠 70W/颗。</w:t>
            </w:r>
          </w:p>
          <w:p w14:paraId="195AC606">
            <w:pPr>
              <w:spacing w:line="360" w:lineRule="exact"/>
              <w:jc w:val="left"/>
              <w:rPr>
                <w:rFonts w:ascii="宋体" w:hAnsi="宋体"/>
                <w:color w:val="auto"/>
                <w:szCs w:val="21"/>
                <w:highlight w:val="none"/>
              </w:rPr>
            </w:pPr>
            <w:r>
              <w:rPr>
                <w:rFonts w:hint="eastAsia" w:ascii="宋体" w:hAnsi="宋体"/>
                <w:color w:val="auto"/>
                <w:szCs w:val="21"/>
                <w:highlight w:val="none"/>
              </w:rPr>
              <w:t>7.光束角度：15-60度。</w:t>
            </w:r>
          </w:p>
          <w:p w14:paraId="4A6B990A">
            <w:pPr>
              <w:spacing w:line="360" w:lineRule="exact"/>
              <w:jc w:val="left"/>
              <w:rPr>
                <w:rFonts w:ascii="宋体" w:hAnsi="宋体"/>
                <w:color w:val="auto"/>
                <w:szCs w:val="21"/>
                <w:highlight w:val="none"/>
              </w:rPr>
            </w:pPr>
            <w:r>
              <w:rPr>
                <w:rFonts w:hint="eastAsia" w:ascii="宋体" w:hAnsi="宋体"/>
                <w:color w:val="auto"/>
                <w:szCs w:val="21"/>
                <w:highlight w:val="none"/>
              </w:rPr>
              <w:t>8.光效：56.5Lm/W，总光通量：3777Lm。</w:t>
            </w:r>
          </w:p>
          <w:p w14:paraId="1CDAEBB4">
            <w:pPr>
              <w:spacing w:line="360" w:lineRule="exact"/>
              <w:jc w:val="left"/>
              <w:rPr>
                <w:rFonts w:ascii="宋体" w:hAnsi="宋体"/>
                <w:color w:val="auto"/>
                <w:szCs w:val="21"/>
                <w:highlight w:val="none"/>
              </w:rPr>
            </w:pPr>
            <w:r>
              <w:rPr>
                <w:rFonts w:hint="eastAsia" w:ascii="宋体" w:hAnsi="宋体"/>
                <w:color w:val="auto"/>
                <w:szCs w:val="21"/>
                <w:highlight w:val="none"/>
              </w:rPr>
              <w:t>9.CQS:≥94。</w:t>
            </w:r>
          </w:p>
          <w:p w14:paraId="15910E6B">
            <w:pPr>
              <w:spacing w:line="360" w:lineRule="exact"/>
              <w:jc w:val="left"/>
              <w:rPr>
                <w:rFonts w:ascii="宋体" w:hAnsi="宋体"/>
                <w:color w:val="auto"/>
                <w:szCs w:val="21"/>
                <w:highlight w:val="none"/>
              </w:rPr>
            </w:pPr>
            <w:r>
              <w:rPr>
                <w:rFonts w:hint="eastAsia" w:ascii="宋体" w:hAnsi="宋体"/>
                <w:color w:val="auto"/>
                <w:szCs w:val="21"/>
                <w:highlight w:val="none"/>
              </w:rPr>
              <w:t>10.TM-30-15:(Rf94, Rg102)。</w:t>
            </w:r>
          </w:p>
          <w:p w14:paraId="78E2D0EC">
            <w:pPr>
              <w:spacing w:line="360" w:lineRule="exact"/>
              <w:jc w:val="left"/>
              <w:rPr>
                <w:rFonts w:ascii="宋体" w:hAnsi="宋体"/>
                <w:color w:val="auto"/>
                <w:szCs w:val="21"/>
                <w:highlight w:val="none"/>
              </w:rPr>
            </w:pPr>
            <w:r>
              <w:rPr>
                <w:rFonts w:hint="eastAsia" w:ascii="宋体" w:hAnsi="宋体"/>
                <w:color w:val="auto"/>
                <w:szCs w:val="21"/>
                <w:highlight w:val="none"/>
              </w:rPr>
              <w:t>11.刷新频率：9kHz，高清拍摄无闪烁。</w:t>
            </w:r>
          </w:p>
          <w:p w14:paraId="3075D476">
            <w:pPr>
              <w:spacing w:line="360" w:lineRule="exact"/>
              <w:jc w:val="left"/>
              <w:rPr>
                <w:rFonts w:ascii="宋体" w:hAnsi="宋体"/>
                <w:color w:val="auto"/>
                <w:szCs w:val="21"/>
                <w:highlight w:val="none"/>
              </w:rPr>
            </w:pPr>
            <w:r>
              <w:rPr>
                <w:rFonts w:hint="eastAsia" w:ascii="宋体" w:hAnsi="宋体"/>
                <w:color w:val="auto"/>
                <w:szCs w:val="21"/>
                <w:highlight w:val="none"/>
              </w:rPr>
              <w:t>12.可达10000级无抖动线性调光。</w:t>
            </w:r>
          </w:p>
          <w:p w14:paraId="33648DE8">
            <w:pPr>
              <w:spacing w:line="360" w:lineRule="exact"/>
              <w:jc w:val="left"/>
              <w:rPr>
                <w:rFonts w:ascii="宋体" w:hAnsi="宋体"/>
                <w:color w:val="auto"/>
                <w:szCs w:val="21"/>
                <w:highlight w:val="none"/>
              </w:rPr>
            </w:pPr>
            <w:r>
              <w:rPr>
                <w:rFonts w:hint="eastAsia" w:ascii="宋体" w:hAnsi="宋体"/>
                <w:color w:val="auto"/>
                <w:szCs w:val="21"/>
                <w:highlight w:val="none"/>
              </w:rPr>
              <w:t>13.光学系统：</w:t>
            </w:r>
            <w:r>
              <w:rPr>
                <w:rFonts w:ascii="宋体" w:hAnsi="宋体"/>
                <w:color w:val="auto"/>
                <w:szCs w:val="21"/>
                <w:highlight w:val="none"/>
              </w:rPr>
              <w:t>聚焦透镜式透镜，透镜直径：≥130mm。</w:t>
            </w:r>
          </w:p>
          <w:p w14:paraId="33A4CB5C">
            <w:pPr>
              <w:spacing w:line="360" w:lineRule="exact"/>
              <w:jc w:val="left"/>
              <w:rPr>
                <w:rFonts w:ascii="宋体" w:hAnsi="宋体"/>
                <w:color w:val="auto"/>
                <w:szCs w:val="21"/>
                <w:highlight w:val="none"/>
              </w:rPr>
            </w:pPr>
            <w:r>
              <w:rPr>
                <w:rFonts w:hint="eastAsia" w:ascii="宋体" w:hAnsi="宋体"/>
                <w:color w:val="auto"/>
                <w:szCs w:val="21"/>
                <w:highlight w:val="none"/>
              </w:rPr>
              <w:t>14.通道数量：1个通道。</w:t>
            </w:r>
          </w:p>
          <w:p w14:paraId="541A463D">
            <w:pPr>
              <w:spacing w:line="360" w:lineRule="exact"/>
              <w:jc w:val="left"/>
              <w:rPr>
                <w:rFonts w:ascii="宋体" w:hAnsi="宋体"/>
                <w:color w:val="auto"/>
                <w:szCs w:val="21"/>
                <w:highlight w:val="none"/>
              </w:rPr>
            </w:pPr>
            <w:r>
              <w:rPr>
                <w:rFonts w:hint="eastAsia" w:ascii="宋体" w:hAnsi="宋体"/>
                <w:color w:val="auto"/>
                <w:szCs w:val="21"/>
                <w:highlight w:val="none"/>
              </w:rPr>
              <w:t>15.调光功能：0%至100%无极调节。</w:t>
            </w:r>
          </w:p>
          <w:p w14:paraId="0F056662">
            <w:pPr>
              <w:spacing w:line="360" w:lineRule="exact"/>
              <w:jc w:val="left"/>
              <w:rPr>
                <w:rFonts w:ascii="宋体" w:hAnsi="宋体"/>
                <w:color w:val="auto"/>
                <w:szCs w:val="21"/>
                <w:highlight w:val="none"/>
              </w:rPr>
            </w:pPr>
            <w:r>
              <w:rPr>
                <w:rFonts w:hint="eastAsia" w:ascii="宋体" w:hAnsi="宋体"/>
                <w:color w:val="auto"/>
                <w:szCs w:val="21"/>
                <w:highlight w:val="none"/>
              </w:rPr>
              <w:t>16.控制协议：DMX512信号。</w:t>
            </w:r>
          </w:p>
          <w:p w14:paraId="5D35775F">
            <w:pPr>
              <w:spacing w:line="360" w:lineRule="exact"/>
              <w:jc w:val="left"/>
              <w:rPr>
                <w:rFonts w:ascii="宋体" w:hAnsi="宋体"/>
                <w:color w:val="auto"/>
                <w:szCs w:val="21"/>
                <w:highlight w:val="none"/>
              </w:rPr>
            </w:pPr>
            <w:r>
              <w:rPr>
                <w:rFonts w:hint="eastAsia" w:ascii="宋体" w:hAnsi="宋体"/>
                <w:color w:val="auto"/>
                <w:szCs w:val="21"/>
                <w:highlight w:val="none"/>
              </w:rPr>
              <w:t>17.操作：数码显示管控制地址码和相对照度。</w:t>
            </w:r>
          </w:p>
          <w:p w14:paraId="67315312">
            <w:pPr>
              <w:spacing w:line="360" w:lineRule="exact"/>
              <w:jc w:val="left"/>
              <w:rPr>
                <w:rFonts w:ascii="宋体" w:hAnsi="宋体"/>
                <w:color w:val="auto"/>
                <w:szCs w:val="21"/>
                <w:highlight w:val="none"/>
              </w:rPr>
            </w:pPr>
            <w:r>
              <w:rPr>
                <w:rFonts w:hint="eastAsia" w:ascii="宋体" w:hAnsi="宋体"/>
                <w:color w:val="auto"/>
                <w:szCs w:val="21"/>
                <w:highlight w:val="none"/>
              </w:rPr>
              <w:t>18.信号线：三芯卡侬头输入/输出。</w:t>
            </w:r>
          </w:p>
          <w:p w14:paraId="6A4CD864">
            <w:pPr>
              <w:spacing w:line="360" w:lineRule="exact"/>
              <w:jc w:val="left"/>
              <w:rPr>
                <w:rFonts w:ascii="宋体" w:hAnsi="宋体"/>
                <w:color w:val="auto"/>
                <w:szCs w:val="21"/>
                <w:highlight w:val="none"/>
              </w:rPr>
            </w:pPr>
            <w:r>
              <w:rPr>
                <w:rFonts w:hint="eastAsia" w:ascii="宋体" w:hAnsi="宋体"/>
                <w:color w:val="auto"/>
                <w:szCs w:val="21"/>
                <w:highlight w:val="none"/>
              </w:rPr>
              <w:t>19.连接方式：电源线in/out，信号线in/out。</w:t>
            </w:r>
          </w:p>
          <w:p w14:paraId="21166206">
            <w:pPr>
              <w:spacing w:line="360" w:lineRule="exact"/>
              <w:jc w:val="left"/>
              <w:rPr>
                <w:rFonts w:ascii="宋体" w:hAnsi="宋体"/>
                <w:color w:val="auto"/>
                <w:szCs w:val="21"/>
                <w:highlight w:val="none"/>
              </w:rPr>
            </w:pPr>
            <w:r>
              <w:rPr>
                <w:rFonts w:hint="eastAsia" w:ascii="宋体" w:hAnsi="宋体"/>
                <w:color w:val="auto"/>
                <w:szCs w:val="21"/>
                <w:highlight w:val="none"/>
              </w:rPr>
              <w:t>20.驱动方式：恒流驱动3500mA。</w:t>
            </w:r>
          </w:p>
          <w:p w14:paraId="72BB5705">
            <w:pPr>
              <w:spacing w:line="360" w:lineRule="exact"/>
              <w:jc w:val="left"/>
              <w:rPr>
                <w:rFonts w:ascii="宋体" w:hAnsi="宋体"/>
                <w:color w:val="auto"/>
                <w:szCs w:val="21"/>
                <w:highlight w:val="none"/>
              </w:rPr>
            </w:pPr>
            <w:r>
              <w:rPr>
                <w:rFonts w:hint="eastAsia" w:ascii="宋体" w:hAnsi="宋体"/>
                <w:color w:val="auto"/>
                <w:szCs w:val="21"/>
                <w:highlight w:val="none"/>
              </w:rPr>
              <w:t>21.冷却系统：对流传热。</w:t>
            </w:r>
          </w:p>
          <w:p w14:paraId="180648AA">
            <w:pPr>
              <w:spacing w:line="360" w:lineRule="exact"/>
              <w:jc w:val="left"/>
              <w:rPr>
                <w:rFonts w:ascii="宋体" w:hAnsi="宋体"/>
                <w:color w:val="auto"/>
                <w:szCs w:val="21"/>
                <w:highlight w:val="none"/>
              </w:rPr>
            </w:pPr>
            <w:r>
              <w:rPr>
                <w:rFonts w:hint="eastAsia" w:ascii="宋体" w:hAnsi="宋体"/>
                <w:color w:val="auto"/>
                <w:szCs w:val="21"/>
                <w:highlight w:val="none"/>
              </w:rPr>
              <w:t>22.使用寿命：≥50000小时。</w:t>
            </w:r>
          </w:p>
          <w:p w14:paraId="441E6053">
            <w:pPr>
              <w:spacing w:line="360" w:lineRule="exact"/>
              <w:jc w:val="left"/>
              <w:rPr>
                <w:rFonts w:ascii="宋体" w:hAnsi="宋体"/>
                <w:color w:val="auto"/>
                <w:szCs w:val="21"/>
                <w:highlight w:val="none"/>
              </w:rPr>
            </w:pPr>
            <w:r>
              <w:rPr>
                <w:rFonts w:hint="eastAsia" w:ascii="宋体" w:hAnsi="宋体"/>
                <w:color w:val="auto"/>
                <w:szCs w:val="21"/>
                <w:highlight w:val="none"/>
              </w:rPr>
              <w:t>23.成交供应商于供货时必须向采购人提供</w:t>
            </w:r>
            <w:r>
              <w:rPr>
                <w:rFonts w:hint="eastAsia" w:ascii="宋体" w:hAnsi="宋体"/>
                <w:color w:val="auto"/>
                <w:szCs w:val="21"/>
                <w:highlight w:val="none"/>
                <w:lang w:eastAsia="zh-CN"/>
              </w:rPr>
              <w:t>所竞产品</w:t>
            </w:r>
            <w:r>
              <w:rPr>
                <w:rFonts w:hint="eastAsia" w:ascii="宋体" w:hAnsi="宋体"/>
                <w:color w:val="auto"/>
                <w:szCs w:val="21"/>
                <w:highlight w:val="none"/>
              </w:rPr>
              <w:t>生产厂家出具的售后服务承诺书原件，否则不予验收。</w:t>
            </w:r>
          </w:p>
        </w:tc>
      </w:tr>
      <w:tr w14:paraId="5899D9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3B0BFCCD">
            <w:pPr>
              <w:jc w:val="center"/>
              <w:rPr>
                <w:rFonts w:ascii="宋体" w:hAnsi="宋体"/>
                <w:color w:val="auto"/>
                <w:szCs w:val="21"/>
                <w:highlight w:val="none"/>
              </w:rPr>
            </w:pPr>
            <w:r>
              <w:rPr>
                <w:rFonts w:hint="eastAsia" w:ascii="宋体" w:hAnsi="宋体"/>
                <w:color w:val="auto"/>
                <w:szCs w:val="21"/>
                <w:highlight w:val="none"/>
              </w:rPr>
              <w:t>32</w:t>
            </w:r>
          </w:p>
        </w:tc>
        <w:tc>
          <w:tcPr>
            <w:tcW w:w="1402" w:type="dxa"/>
            <w:tcBorders>
              <w:top w:val="single" w:color="000000" w:sz="4" w:space="0"/>
              <w:left w:val="single" w:color="auto" w:sz="4" w:space="0"/>
              <w:bottom w:val="single" w:color="000000" w:sz="4" w:space="0"/>
              <w:right w:val="single" w:color="000000" w:sz="4" w:space="0"/>
            </w:tcBorders>
            <w:vAlign w:val="center"/>
          </w:tcPr>
          <w:p w14:paraId="55EE23C8">
            <w:pPr>
              <w:spacing w:line="360" w:lineRule="exact"/>
              <w:jc w:val="center"/>
              <w:rPr>
                <w:rFonts w:ascii="宋体" w:hAnsi="宋体"/>
                <w:color w:val="auto"/>
                <w:szCs w:val="21"/>
                <w:highlight w:val="none"/>
              </w:rPr>
            </w:pPr>
            <w:r>
              <w:rPr>
                <w:rFonts w:hint="eastAsia" w:ascii="宋体" w:hAnsi="宋体"/>
                <w:color w:val="auto"/>
                <w:szCs w:val="21"/>
                <w:highlight w:val="none"/>
              </w:rPr>
              <w:t>灯钩</w:t>
            </w:r>
          </w:p>
        </w:tc>
        <w:tc>
          <w:tcPr>
            <w:tcW w:w="704" w:type="dxa"/>
            <w:tcBorders>
              <w:top w:val="single" w:color="000000" w:sz="4" w:space="0"/>
              <w:left w:val="single" w:color="000000" w:sz="4" w:space="0"/>
              <w:bottom w:val="single" w:color="000000" w:sz="4" w:space="0"/>
              <w:right w:val="single" w:color="000000" w:sz="4" w:space="0"/>
            </w:tcBorders>
            <w:vAlign w:val="center"/>
          </w:tcPr>
          <w:p w14:paraId="2BDF8B4C">
            <w:pPr>
              <w:spacing w:line="360" w:lineRule="exact"/>
              <w:jc w:val="center"/>
              <w:rPr>
                <w:rFonts w:ascii="宋体" w:hAnsi="宋体"/>
                <w:color w:val="auto"/>
                <w:szCs w:val="21"/>
                <w:highlight w:val="none"/>
              </w:rPr>
            </w:pPr>
            <w:r>
              <w:rPr>
                <w:rFonts w:hint="eastAsia" w:ascii="宋体" w:hAnsi="宋体"/>
                <w:color w:val="auto"/>
                <w:szCs w:val="21"/>
                <w:highlight w:val="none"/>
              </w:rPr>
              <w:t>30</w:t>
            </w:r>
          </w:p>
        </w:tc>
        <w:tc>
          <w:tcPr>
            <w:tcW w:w="703" w:type="dxa"/>
            <w:tcBorders>
              <w:top w:val="single" w:color="auto" w:sz="4" w:space="0"/>
              <w:left w:val="single" w:color="000000" w:sz="4" w:space="0"/>
              <w:bottom w:val="single" w:color="000000" w:sz="4" w:space="0"/>
              <w:right w:val="single" w:color="000000" w:sz="4" w:space="0"/>
            </w:tcBorders>
            <w:vAlign w:val="center"/>
          </w:tcPr>
          <w:p w14:paraId="39EF9BB5">
            <w:pPr>
              <w:spacing w:line="360" w:lineRule="exact"/>
              <w:jc w:val="center"/>
              <w:rPr>
                <w:rFonts w:ascii="宋体" w:hAnsi="宋体"/>
                <w:color w:val="auto"/>
                <w:szCs w:val="21"/>
                <w:highlight w:val="none"/>
              </w:rPr>
            </w:pPr>
            <w:r>
              <w:rPr>
                <w:rFonts w:hint="eastAsia" w:ascii="宋体" w:hAnsi="宋体"/>
                <w:color w:val="auto"/>
                <w:szCs w:val="21"/>
                <w:highlight w:val="none"/>
              </w:rPr>
              <w:t>个</w:t>
            </w:r>
          </w:p>
        </w:tc>
        <w:tc>
          <w:tcPr>
            <w:tcW w:w="702" w:type="dxa"/>
            <w:vMerge w:val="continue"/>
            <w:tcBorders>
              <w:left w:val="single" w:color="000000" w:sz="4" w:space="0"/>
              <w:right w:val="single" w:color="000000" w:sz="4" w:space="0"/>
            </w:tcBorders>
            <w:vAlign w:val="center"/>
          </w:tcPr>
          <w:p w14:paraId="383531F7">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6BCAA7F2">
            <w:pPr>
              <w:spacing w:line="360" w:lineRule="exact"/>
              <w:jc w:val="left"/>
              <w:rPr>
                <w:rFonts w:ascii="宋体" w:hAnsi="宋体"/>
                <w:color w:val="auto"/>
                <w:szCs w:val="21"/>
                <w:highlight w:val="none"/>
              </w:rPr>
            </w:pPr>
            <w:r>
              <w:rPr>
                <w:rFonts w:hint="eastAsia" w:ascii="宋体" w:hAnsi="宋体"/>
                <w:color w:val="auto"/>
                <w:szCs w:val="21"/>
                <w:highlight w:val="none"/>
              </w:rPr>
              <w:t>1.承重：≥80KG。</w:t>
            </w:r>
            <w:r>
              <w:rPr>
                <w:rFonts w:hint="eastAsia" w:ascii="宋体" w:hAnsi="宋体"/>
                <w:color w:val="auto"/>
                <w:szCs w:val="21"/>
                <w:highlight w:val="none"/>
              </w:rPr>
              <w:br w:type="textWrapping"/>
            </w:r>
            <w:r>
              <w:rPr>
                <w:rFonts w:hint="eastAsia" w:ascii="宋体" w:hAnsi="宋体"/>
                <w:color w:val="auto"/>
                <w:szCs w:val="21"/>
                <w:highlight w:val="none"/>
              </w:rPr>
              <w:t>2.开口：约6cm，适用于6cm以内方管或圆管。</w:t>
            </w:r>
          </w:p>
        </w:tc>
      </w:tr>
      <w:tr w14:paraId="598E8F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212FC969">
            <w:pPr>
              <w:jc w:val="center"/>
              <w:rPr>
                <w:rFonts w:ascii="宋体" w:hAnsi="宋体"/>
                <w:color w:val="auto"/>
                <w:szCs w:val="21"/>
                <w:highlight w:val="none"/>
              </w:rPr>
            </w:pPr>
            <w:r>
              <w:rPr>
                <w:rFonts w:hint="eastAsia" w:ascii="宋体" w:hAnsi="宋体"/>
                <w:color w:val="auto"/>
                <w:szCs w:val="21"/>
                <w:highlight w:val="none"/>
              </w:rPr>
              <w:t>33</w:t>
            </w:r>
          </w:p>
        </w:tc>
        <w:tc>
          <w:tcPr>
            <w:tcW w:w="1402" w:type="dxa"/>
            <w:tcBorders>
              <w:top w:val="single" w:color="000000" w:sz="4" w:space="0"/>
              <w:left w:val="single" w:color="auto" w:sz="4" w:space="0"/>
              <w:bottom w:val="single" w:color="000000" w:sz="4" w:space="0"/>
              <w:right w:val="single" w:color="000000" w:sz="4" w:space="0"/>
            </w:tcBorders>
            <w:vAlign w:val="center"/>
          </w:tcPr>
          <w:p w14:paraId="414E893A">
            <w:pPr>
              <w:spacing w:line="360" w:lineRule="exact"/>
              <w:jc w:val="center"/>
              <w:rPr>
                <w:rFonts w:ascii="宋体" w:hAnsi="宋体"/>
                <w:color w:val="auto"/>
                <w:szCs w:val="21"/>
                <w:highlight w:val="none"/>
              </w:rPr>
            </w:pPr>
            <w:r>
              <w:rPr>
                <w:rFonts w:hint="eastAsia" w:ascii="宋体" w:hAnsi="宋体"/>
                <w:color w:val="auto"/>
                <w:szCs w:val="21"/>
                <w:highlight w:val="none"/>
              </w:rPr>
              <w:t>电源直通箱</w:t>
            </w:r>
          </w:p>
        </w:tc>
        <w:tc>
          <w:tcPr>
            <w:tcW w:w="704" w:type="dxa"/>
            <w:tcBorders>
              <w:top w:val="single" w:color="000000" w:sz="4" w:space="0"/>
              <w:left w:val="single" w:color="000000" w:sz="4" w:space="0"/>
              <w:bottom w:val="single" w:color="000000" w:sz="4" w:space="0"/>
              <w:right w:val="single" w:color="000000" w:sz="4" w:space="0"/>
            </w:tcBorders>
            <w:vAlign w:val="center"/>
          </w:tcPr>
          <w:p w14:paraId="7CF345DE">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703" w:type="dxa"/>
            <w:tcBorders>
              <w:top w:val="single" w:color="auto" w:sz="4" w:space="0"/>
              <w:left w:val="single" w:color="000000" w:sz="4" w:space="0"/>
              <w:bottom w:val="single" w:color="000000" w:sz="4" w:space="0"/>
              <w:right w:val="single" w:color="000000" w:sz="4" w:space="0"/>
            </w:tcBorders>
            <w:vAlign w:val="center"/>
          </w:tcPr>
          <w:p w14:paraId="1BCC40A6">
            <w:pPr>
              <w:spacing w:line="360" w:lineRule="exact"/>
              <w:jc w:val="center"/>
              <w:rPr>
                <w:rFonts w:ascii="宋体" w:hAnsi="宋体"/>
                <w:color w:val="auto"/>
                <w:szCs w:val="21"/>
                <w:highlight w:val="none"/>
              </w:rPr>
            </w:pPr>
            <w:r>
              <w:rPr>
                <w:rFonts w:hint="eastAsia" w:ascii="宋体" w:hAnsi="宋体"/>
                <w:color w:val="auto"/>
                <w:szCs w:val="21"/>
                <w:highlight w:val="none"/>
              </w:rPr>
              <w:t>台</w:t>
            </w:r>
          </w:p>
        </w:tc>
        <w:tc>
          <w:tcPr>
            <w:tcW w:w="702" w:type="dxa"/>
            <w:vMerge w:val="continue"/>
            <w:tcBorders>
              <w:left w:val="single" w:color="000000" w:sz="4" w:space="0"/>
              <w:right w:val="single" w:color="000000" w:sz="4" w:space="0"/>
            </w:tcBorders>
            <w:vAlign w:val="center"/>
          </w:tcPr>
          <w:p w14:paraId="05D8E278">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6C74D7FA">
            <w:pPr>
              <w:spacing w:line="360" w:lineRule="exact"/>
              <w:jc w:val="left"/>
              <w:rPr>
                <w:rFonts w:hint="eastAsia" w:ascii="宋体" w:hAnsi="宋体"/>
                <w:color w:val="auto"/>
                <w:szCs w:val="21"/>
                <w:highlight w:val="none"/>
              </w:rPr>
            </w:pPr>
            <w:r>
              <w:rPr>
                <w:rFonts w:hint="eastAsia" w:ascii="宋体" w:hAnsi="宋体"/>
                <w:color w:val="auto"/>
                <w:szCs w:val="21"/>
                <w:highlight w:val="none"/>
              </w:rPr>
              <w:t>1.电源输入：三相380V和单相220V/50Hz/60Hz交流电（两种输入方式）。</w:t>
            </w:r>
            <w:r>
              <w:rPr>
                <w:rFonts w:hint="eastAsia" w:ascii="宋体" w:hAnsi="宋体"/>
                <w:color w:val="auto"/>
                <w:szCs w:val="21"/>
                <w:highlight w:val="none"/>
              </w:rPr>
              <w:br w:type="textWrapping"/>
            </w:r>
            <w:r>
              <w:rPr>
                <w:rFonts w:hint="eastAsia" w:ascii="宋体" w:hAnsi="宋体"/>
                <w:color w:val="auto"/>
                <w:szCs w:val="21"/>
                <w:highlight w:val="none"/>
              </w:rPr>
              <w:t>2.电源输出：12路输出（三芯自锁电源插座）。</w:t>
            </w:r>
            <w:r>
              <w:rPr>
                <w:rFonts w:hint="eastAsia" w:ascii="宋体" w:hAnsi="宋体"/>
                <w:color w:val="auto"/>
                <w:szCs w:val="21"/>
                <w:highlight w:val="none"/>
              </w:rPr>
              <w:br w:type="textWrapping"/>
            </w:r>
            <w:r>
              <w:rPr>
                <w:rFonts w:hint="eastAsia" w:ascii="宋体" w:hAnsi="宋体"/>
                <w:color w:val="auto"/>
                <w:szCs w:val="21"/>
                <w:highlight w:val="none"/>
              </w:rPr>
              <w:t>3.控制：20A空气开关过流保护，12路，LED输出指示。</w:t>
            </w:r>
            <w:r>
              <w:rPr>
                <w:rFonts w:hint="eastAsia" w:ascii="宋体" w:hAnsi="宋体"/>
                <w:color w:val="auto"/>
                <w:szCs w:val="21"/>
                <w:highlight w:val="none"/>
              </w:rPr>
              <w:br w:type="textWrapping"/>
            </w:r>
            <w:r>
              <w:rPr>
                <w:rFonts w:hint="eastAsia" w:ascii="宋体" w:hAnsi="宋体"/>
                <w:color w:val="auto"/>
                <w:szCs w:val="21"/>
                <w:highlight w:val="none"/>
              </w:rPr>
              <w:t>4.额定功率：约3520W/路。</w:t>
            </w:r>
            <w:r>
              <w:rPr>
                <w:rFonts w:hint="eastAsia" w:ascii="宋体" w:hAnsi="宋体"/>
                <w:color w:val="auto"/>
                <w:szCs w:val="21"/>
                <w:highlight w:val="none"/>
              </w:rPr>
              <w:br w:type="textWrapping"/>
            </w:r>
            <w:r>
              <w:rPr>
                <w:rFonts w:hint="eastAsia" w:ascii="宋体" w:hAnsi="宋体"/>
                <w:color w:val="auto"/>
                <w:szCs w:val="21"/>
                <w:highlight w:val="none"/>
              </w:rPr>
              <w:t>5.总功率：约42kW。</w:t>
            </w:r>
            <w:r>
              <w:rPr>
                <w:rFonts w:hint="eastAsia" w:ascii="宋体" w:hAnsi="宋体"/>
                <w:color w:val="auto"/>
                <w:szCs w:val="21"/>
                <w:highlight w:val="none"/>
              </w:rPr>
              <w:br w:type="textWrapping"/>
            </w:r>
            <w:r>
              <w:rPr>
                <w:rFonts w:hint="eastAsia" w:ascii="宋体" w:hAnsi="宋体"/>
                <w:color w:val="auto"/>
                <w:szCs w:val="21"/>
                <w:highlight w:val="none"/>
              </w:rPr>
              <w:t>6.输出电压：220V±10%，50Hz。</w:t>
            </w:r>
          </w:p>
        </w:tc>
      </w:tr>
      <w:tr w14:paraId="669B6B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4D230653">
            <w:pPr>
              <w:jc w:val="center"/>
              <w:rPr>
                <w:rFonts w:ascii="宋体" w:hAnsi="宋体"/>
                <w:color w:val="auto"/>
                <w:szCs w:val="21"/>
                <w:highlight w:val="none"/>
              </w:rPr>
            </w:pPr>
            <w:r>
              <w:rPr>
                <w:rFonts w:hint="eastAsia" w:ascii="宋体" w:hAnsi="宋体"/>
                <w:color w:val="auto"/>
                <w:szCs w:val="21"/>
                <w:highlight w:val="none"/>
              </w:rPr>
              <w:t>34</w:t>
            </w:r>
          </w:p>
        </w:tc>
        <w:tc>
          <w:tcPr>
            <w:tcW w:w="1402" w:type="dxa"/>
            <w:tcBorders>
              <w:top w:val="single" w:color="000000" w:sz="4" w:space="0"/>
              <w:left w:val="single" w:color="auto" w:sz="4" w:space="0"/>
              <w:bottom w:val="single" w:color="000000" w:sz="4" w:space="0"/>
              <w:right w:val="single" w:color="000000" w:sz="4" w:space="0"/>
            </w:tcBorders>
            <w:vAlign w:val="center"/>
          </w:tcPr>
          <w:p w14:paraId="53B6712C">
            <w:pPr>
              <w:spacing w:line="360" w:lineRule="exact"/>
              <w:jc w:val="center"/>
              <w:rPr>
                <w:rFonts w:ascii="宋体" w:hAnsi="宋体"/>
                <w:color w:val="auto"/>
                <w:szCs w:val="21"/>
                <w:highlight w:val="none"/>
              </w:rPr>
            </w:pPr>
            <w:r>
              <w:rPr>
                <w:rFonts w:hint="eastAsia" w:ascii="宋体" w:hAnsi="宋体"/>
                <w:color w:val="auto"/>
                <w:szCs w:val="21"/>
                <w:highlight w:val="none"/>
              </w:rPr>
              <w:t>调光台</w:t>
            </w:r>
          </w:p>
        </w:tc>
        <w:tc>
          <w:tcPr>
            <w:tcW w:w="704" w:type="dxa"/>
            <w:tcBorders>
              <w:top w:val="single" w:color="000000" w:sz="4" w:space="0"/>
              <w:left w:val="single" w:color="000000" w:sz="4" w:space="0"/>
              <w:bottom w:val="single" w:color="000000" w:sz="4" w:space="0"/>
              <w:right w:val="single" w:color="000000" w:sz="4" w:space="0"/>
            </w:tcBorders>
            <w:vAlign w:val="center"/>
          </w:tcPr>
          <w:p w14:paraId="192088B7">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703" w:type="dxa"/>
            <w:tcBorders>
              <w:top w:val="single" w:color="auto" w:sz="4" w:space="0"/>
              <w:left w:val="single" w:color="000000" w:sz="4" w:space="0"/>
              <w:bottom w:val="single" w:color="000000" w:sz="4" w:space="0"/>
              <w:right w:val="single" w:color="000000" w:sz="4" w:space="0"/>
            </w:tcBorders>
            <w:vAlign w:val="center"/>
          </w:tcPr>
          <w:p w14:paraId="1029A542">
            <w:pPr>
              <w:spacing w:line="360" w:lineRule="exact"/>
              <w:jc w:val="center"/>
              <w:rPr>
                <w:rFonts w:ascii="宋体" w:hAnsi="宋体"/>
                <w:color w:val="auto"/>
                <w:szCs w:val="21"/>
                <w:highlight w:val="none"/>
              </w:rPr>
            </w:pPr>
            <w:r>
              <w:rPr>
                <w:rFonts w:hint="eastAsia" w:ascii="宋体" w:hAnsi="宋体"/>
                <w:color w:val="auto"/>
                <w:szCs w:val="21"/>
                <w:highlight w:val="none"/>
              </w:rPr>
              <w:t>台</w:t>
            </w:r>
          </w:p>
        </w:tc>
        <w:tc>
          <w:tcPr>
            <w:tcW w:w="702" w:type="dxa"/>
            <w:vMerge w:val="continue"/>
            <w:tcBorders>
              <w:left w:val="single" w:color="000000" w:sz="4" w:space="0"/>
              <w:right w:val="single" w:color="000000" w:sz="4" w:space="0"/>
            </w:tcBorders>
            <w:vAlign w:val="center"/>
          </w:tcPr>
          <w:p w14:paraId="28B5811C">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5626E87C">
            <w:pPr>
              <w:spacing w:line="360" w:lineRule="exact"/>
              <w:jc w:val="left"/>
              <w:rPr>
                <w:rFonts w:hint="eastAsia" w:ascii="宋体" w:hAnsi="宋体"/>
                <w:color w:val="auto"/>
                <w:szCs w:val="21"/>
                <w:highlight w:val="none"/>
              </w:rPr>
            </w:pPr>
            <w:r>
              <w:rPr>
                <w:rFonts w:hint="eastAsia" w:ascii="宋体" w:hAnsi="宋体"/>
                <w:color w:val="auto"/>
                <w:szCs w:val="21"/>
                <w:highlight w:val="none"/>
              </w:rPr>
              <w:t>1.通道：48路独立调光通道，电气隔离输出。</w:t>
            </w:r>
          </w:p>
          <w:p w14:paraId="2DB1CAAB">
            <w:pPr>
              <w:spacing w:line="360" w:lineRule="exact"/>
              <w:jc w:val="left"/>
              <w:rPr>
                <w:rFonts w:hint="eastAsia" w:ascii="宋体" w:hAnsi="宋体"/>
                <w:color w:val="auto"/>
                <w:szCs w:val="21"/>
                <w:highlight w:val="none"/>
              </w:rPr>
            </w:pPr>
            <w:r>
              <w:rPr>
                <w:rFonts w:hint="eastAsia" w:ascii="宋体" w:hAnsi="宋体"/>
                <w:color w:val="auto"/>
                <w:szCs w:val="21"/>
                <w:highlight w:val="none"/>
              </w:rPr>
              <w:t>2.推杆：24个调光推杆。</w:t>
            </w:r>
          </w:p>
          <w:p w14:paraId="18B8D1FF">
            <w:pPr>
              <w:spacing w:line="360" w:lineRule="exact"/>
              <w:jc w:val="left"/>
              <w:rPr>
                <w:rFonts w:hint="eastAsia" w:ascii="宋体" w:hAnsi="宋体"/>
                <w:color w:val="auto"/>
                <w:szCs w:val="21"/>
                <w:highlight w:val="none"/>
              </w:rPr>
            </w:pPr>
            <w:r>
              <w:rPr>
                <w:rFonts w:hint="eastAsia" w:ascii="宋体" w:hAnsi="宋体"/>
                <w:color w:val="auto"/>
                <w:szCs w:val="21"/>
                <w:highlight w:val="none"/>
              </w:rPr>
              <w:t>3.点控：24个点控按键。</w:t>
            </w:r>
          </w:p>
          <w:p w14:paraId="055CEF3E">
            <w:pPr>
              <w:spacing w:line="360" w:lineRule="exact"/>
              <w:jc w:val="left"/>
              <w:rPr>
                <w:rFonts w:hint="eastAsia" w:ascii="宋体" w:hAnsi="宋体"/>
                <w:color w:val="auto"/>
                <w:szCs w:val="21"/>
                <w:highlight w:val="none"/>
              </w:rPr>
            </w:pPr>
            <w:r>
              <w:rPr>
                <w:rFonts w:hint="eastAsia" w:ascii="宋体" w:hAnsi="宋体"/>
                <w:color w:val="auto"/>
                <w:szCs w:val="21"/>
                <w:highlight w:val="none"/>
              </w:rPr>
              <w:t>4.电压：AC88～256V 50/60Hz。</w:t>
            </w:r>
          </w:p>
          <w:p w14:paraId="5952DB90">
            <w:pPr>
              <w:spacing w:line="360" w:lineRule="exact"/>
              <w:jc w:val="left"/>
              <w:rPr>
                <w:rFonts w:hint="eastAsia" w:ascii="宋体" w:hAnsi="宋体"/>
                <w:color w:val="auto"/>
                <w:szCs w:val="21"/>
                <w:highlight w:val="none"/>
              </w:rPr>
            </w:pPr>
            <w:r>
              <w:rPr>
                <w:rFonts w:hint="eastAsia" w:ascii="宋体" w:hAnsi="宋体"/>
                <w:color w:val="auto"/>
                <w:szCs w:val="21"/>
                <w:highlight w:val="none"/>
              </w:rPr>
              <w:t>5.电源输入：三芯带锁输入，输出，手拉手方式。</w:t>
            </w:r>
          </w:p>
          <w:p w14:paraId="5ABE0C70">
            <w:pPr>
              <w:spacing w:line="360" w:lineRule="exact"/>
              <w:jc w:val="left"/>
              <w:rPr>
                <w:rFonts w:hint="eastAsia" w:ascii="宋体" w:hAnsi="宋体"/>
                <w:color w:val="auto"/>
                <w:szCs w:val="21"/>
                <w:highlight w:val="none"/>
              </w:rPr>
            </w:pPr>
            <w:r>
              <w:rPr>
                <w:rFonts w:hint="eastAsia" w:ascii="宋体" w:hAnsi="宋体"/>
                <w:color w:val="auto"/>
                <w:szCs w:val="21"/>
                <w:highlight w:val="none"/>
              </w:rPr>
              <w:t>6.通讯协议：DMX 512（1990版）。</w:t>
            </w:r>
          </w:p>
          <w:p w14:paraId="47EFF875">
            <w:pPr>
              <w:spacing w:line="360" w:lineRule="exact"/>
              <w:jc w:val="left"/>
              <w:rPr>
                <w:rFonts w:hint="eastAsia" w:ascii="宋体" w:hAnsi="宋体"/>
                <w:color w:val="auto"/>
                <w:szCs w:val="21"/>
                <w:highlight w:val="none"/>
              </w:rPr>
            </w:pPr>
            <w:r>
              <w:rPr>
                <w:rFonts w:hint="eastAsia" w:ascii="宋体" w:hAnsi="宋体"/>
                <w:color w:val="auto"/>
                <w:szCs w:val="21"/>
                <w:highlight w:val="none"/>
              </w:rPr>
              <w:t>7.集控/场景：6个场景。</w:t>
            </w:r>
          </w:p>
          <w:p w14:paraId="5C1B7D30">
            <w:pPr>
              <w:spacing w:line="360" w:lineRule="exact"/>
              <w:jc w:val="left"/>
              <w:rPr>
                <w:rFonts w:hint="eastAsia" w:ascii="宋体" w:hAnsi="宋体"/>
                <w:color w:val="auto"/>
                <w:szCs w:val="21"/>
                <w:highlight w:val="none"/>
              </w:rPr>
            </w:pPr>
            <w:r>
              <w:rPr>
                <w:rFonts w:hint="eastAsia" w:ascii="宋体" w:hAnsi="宋体"/>
                <w:color w:val="auto"/>
                <w:szCs w:val="21"/>
                <w:highlight w:val="none"/>
              </w:rPr>
              <w:t>8.集控推杆：6个集控推杆。</w:t>
            </w:r>
          </w:p>
          <w:p w14:paraId="259E8EBA">
            <w:pPr>
              <w:spacing w:line="360" w:lineRule="exact"/>
              <w:jc w:val="left"/>
              <w:rPr>
                <w:rFonts w:hint="eastAsia" w:ascii="宋体" w:hAnsi="宋体"/>
                <w:color w:val="auto"/>
                <w:szCs w:val="21"/>
                <w:highlight w:val="none"/>
              </w:rPr>
            </w:pPr>
            <w:r>
              <w:rPr>
                <w:rFonts w:hint="eastAsia" w:ascii="宋体" w:hAnsi="宋体"/>
                <w:color w:val="auto"/>
                <w:szCs w:val="21"/>
                <w:highlight w:val="none"/>
              </w:rPr>
              <w:t>9.集控按键：6个集控按键。</w:t>
            </w:r>
          </w:p>
          <w:p w14:paraId="4ED64BD0">
            <w:pPr>
              <w:spacing w:line="360" w:lineRule="exact"/>
              <w:jc w:val="left"/>
              <w:rPr>
                <w:rFonts w:hint="eastAsia" w:ascii="宋体" w:hAnsi="宋体"/>
                <w:color w:val="auto"/>
                <w:szCs w:val="21"/>
                <w:highlight w:val="none"/>
              </w:rPr>
            </w:pPr>
            <w:r>
              <w:rPr>
                <w:rFonts w:hint="eastAsia" w:ascii="宋体" w:hAnsi="宋体"/>
                <w:color w:val="auto"/>
                <w:szCs w:val="21"/>
                <w:highlight w:val="none"/>
              </w:rPr>
              <w:t>10.通道翻页：页面1-24和页面 25-28按键通道翻页切换。</w:t>
            </w:r>
          </w:p>
          <w:p w14:paraId="0E274707">
            <w:pPr>
              <w:spacing w:line="360" w:lineRule="exact"/>
              <w:jc w:val="left"/>
              <w:rPr>
                <w:rFonts w:hint="eastAsia" w:ascii="宋体" w:hAnsi="宋体"/>
                <w:color w:val="auto"/>
                <w:szCs w:val="21"/>
                <w:highlight w:val="none"/>
              </w:rPr>
            </w:pPr>
            <w:r>
              <w:rPr>
                <w:rFonts w:hint="eastAsia" w:ascii="宋体" w:hAnsi="宋体"/>
                <w:color w:val="auto"/>
                <w:szCs w:val="21"/>
                <w:highlight w:val="none"/>
              </w:rPr>
              <w:t>11.总调光：1个总控推杆。</w:t>
            </w:r>
          </w:p>
          <w:p w14:paraId="13DC9091">
            <w:pPr>
              <w:spacing w:line="360" w:lineRule="exact"/>
              <w:jc w:val="left"/>
              <w:rPr>
                <w:rFonts w:hint="eastAsia" w:ascii="宋体" w:hAnsi="宋体"/>
                <w:color w:val="auto"/>
                <w:szCs w:val="21"/>
                <w:highlight w:val="none"/>
              </w:rPr>
            </w:pPr>
            <w:r>
              <w:rPr>
                <w:rFonts w:hint="eastAsia" w:ascii="宋体" w:hAnsi="宋体"/>
                <w:color w:val="auto"/>
                <w:szCs w:val="21"/>
                <w:highlight w:val="none"/>
              </w:rPr>
              <w:t>12.按键：蓝色背光显示。</w:t>
            </w:r>
          </w:p>
          <w:p w14:paraId="0FA2C6EC">
            <w:pPr>
              <w:spacing w:line="360" w:lineRule="exact"/>
              <w:jc w:val="left"/>
              <w:rPr>
                <w:rFonts w:hint="eastAsia" w:ascii="宋体" w:hAnsi="宋体"/>
                <w:color w:val="auto"/>
                <w:szCs w:val="21"/>
                <w:highlight w:val="none"/>
              </w:rPr>
            </w:pPr>
            <w:r>
              <w:rPr>
                <w:rFonts w:hint="eastAsia" w:ascii="宋体" w:hAnsi="宋体"/>
                <w:color w:val="auto"/>
                <w:szCs w:val="21"/>
                <w:highlight w:val="none"/>
              </w:rPr>
              <w:t>13.中控控制：RS232/RS485输出口，连接中控实现远程调用集控。</w:t>
            </w:r>
          </w:p>
          <w:p w14:paraId="72B600B5">
            <w:pPr>
              <w:spacing w:line="360" w:lineRule="exact"/>
              <w:jc w:val="left"/>
              <w:rPr>
                <w:rFonts w:hint="eastAsia" w:ascii="宋体" w:hAnsi="宋体"/>
                <w:color w:val="auto"/>
                <w:szCs w:val="21"/>
                <w:highlight w:val="none"/>
              </w:rPr>
            </w:pPr>
            <w:r>
              <w:rPr>
                <w:rFonts w:hint="eastAsia" w:ascii="宋体" w:hAnsi="宋体"/>
                <w:color w:val="auto"/>
                <w:szCs w:val="21"/>
                <w:highlight w:val="none"/>
              </w:rPr>
              <w:t>14.扩展功能：支持主、从机扩展通道，可扩展192个独立通道，连接4台。</w:t>
            </w:r>
          </w:p>
          <w:p w14:paraId="4B4609B4">
            <w:pPr>
              <w:spacing w:line="360" w:lineRule="exact"/>
              <w:jc w:val="left"/>
              <w:rPr>
                <w:rFonts w:hint="eastAsia" w:ascii="宋体" w:hAnsi="宋体"/>
                <w:color w:val="auto"/>
                <w:szCs w:val="21"/>
                <w:highlight w:val="none"/>
              </w:rPr>
            </w:pPr>
            <w:r>
              <w:rPr>
                <w:rFonts w:hint="eastAsia" w:ascii="宋体" w:hAnsi="宋体"/>
                <w:color w:val="auto"/>
                <w:szCs w:val="21"/>
                <w:highlight w:val="none"/>
              </w:rPr>
              <w:t>15.DMX 信号连接：XLR-D3F，三芯卡侬，双路输出（3正2负1屏蔽）。</w:t>
            </w:r>
          </w:p>
          <w:p w14:paraId="58EF123C">
            <w:pPr>
              <w:spacing w:line="360" w:lineRule="exact"/>
              <w:jc w:val="left"/>
              <w:rPr>
                <w:rFonts w:hint="eastAsia" w:ascii="宋体" w:hAnsi="宋体"/>
                <w:color w:val="auto"/>
                <w:szCs w:val="21"/>
                <w:highlight w:val="none"/>
              </w:rPr>
            </w:pPr>
            <w:r>
              <w:rPr>
                <w:rFonts w:hint="eastAsia" w:ascii="宋体" w:hAnsi="宋体"/>
                <w:color w:val="auto"/>
                <w:szCs w:val="21"/>
                <w:highlight w:val="none"/>
              </w:rPr>
              <w:t>16.显示：LCD屏显示参数内容。</w:t>
            </w:r>
          </w:p>
        </w:tc>
      </w:tr>
      <w:tr w14:paraId="2AA4C2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73760AF1">
            <w:pPr>
              <w:jc w:val="center"/>
              <w:rPr>
                <w:rFonts w:ascii="宋体" w:hAnsi="宋体"/>
                <w:color w:val="auto"/>
                <w:szCs w:val="21"/>
                <w:highlight w:val="none"/>
              </w:rPr>
            </w:pPr>
            <w:r>
              <w:rPr>
                <w:rFonts w:hint="eastAsia" w:ascii="宋体" w:hAnsi="宋体"/>
                <w:color w:val="auto"/>
                <w:szCs w:val="21"/>
                <w:highlight w:val="none"/>
              </w:rPr>
              <w:t>35</w:t>
            </w:r>
          </w:p>
        </w:tc>
        <w:tc>
          <w:tcPr>
            <w:tcW w:w="1402" w:type="dxa"/>
            <w:tcBorders>
              <w:top w:val="single" w:color="000000" w:sz="4" w:space="0"/>
              <w:left w:val="single" w:color="auto" w:sz="4" w:space="0"/>
              <w:bottom w:val="single" w:color="000000" w:sz="4" w:space="0"/>
              <w:right w:val="single" w:color="000000" w:sz="4" w:space="0"/>
            </w:tcBorders>
            <w:vAlign w:val="center"/>
          </w:tcPr>
          <w:p w14:paraId="128EBC89">
            <w:pPr>
              <w:spacing w:line="360" w:lineRule="exact"/>
              <w:jc w:val="center"/>
              <w:rPr>
                <w:rFonts w:ascii="宋体" w:hAnsi="宋体"/>
                <w:color w:val="auto"/>
                <w:szCs w:val="21"/>
                <w:highlight w:val="none"/>
              </w:rPr>
            </w:pPr>
            <w:r>
              <w:rPr>
                <w:rFonts w:hint="eastAsia" w:ascii="宋体" w:hAnsi="宋体"/>
                <w:color w:val="auto"/>
                <w:szCs w:val="21"/>
                <w:highlight w:val="none"/>
              </w:rPr>
              <w:t>信号放大器</w:t>
            </w:r>
          </w:p>
        </w:tc>
        <w:tc>
          <w:tcPr>
            <w:tcW w:w="704" w:type="dxa"/>
            <w:tcBorders>
              <w:top w:val="single" w:color="000000" w:sz="4" w:space="0"/>
              <w:left w:val="single" w:color="000000" w:sz="4" w:space="0"/>
              <w:bottom w:val="single" w:color="000000" w:sz="4" w:space="0"/>
              <w:right w:val="single" w:color="000000" w:sz="4" w:space="0"/>
            </w:tcBorders>
            <w:vAlign w:val="center"/>
          </w:tcPr>
          <w:p w14:paraId="08E3865A">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703" w:type="dxa"/>
            <w:tcBorders>
              <w:top w:val="single" w:color="auto" w:sz="4" w:space="0"/>
              <w:left w:val="single" w:color="000000" w:sz="4" w:space="0"/>
              <w:bottom w:val="single" w:color="000000" w:sz="4" w:space="0"/>
              <w:right w:val="single" w:color="000000" w:sz="4" w:space="0"/>
            </w:tcBorders>
            <w:vAlign w:val="center"/>
          </w:tcPr>
          <w:p w14:paraId="1BA5CF1D">
            <w:pPr>
              <w:spacing w:line="360" w:lineRule="exact"/>
              <w:jc w:val="center"/>
              <w:rPr>
                <w:rFonts w:ascii="宋体" w:hAnsi="宋体"/>
                <w:color w:val="auto"/>
                <w:szCs w:val="21"/>
                <w:highlight w:val="none"/>
              </w:rPr>
            </w:pPr>
            <w:r>
              <w:rPr>
                <w:rFonts w:hint="eastAsia" w:ascii="宋体" w:hAnsi="宋体"/>
                <w:color w:val="auto"/>
                <w:szCs w:val="21"/>
                <w:highlight w:val="none"/>
              </w:rPr>
              <w:t>台</w:t>
            </w:r>
          </w:p>
        </w:tc>
        <w:tc>
          <w:tcPr>
            <w:tcW w:w="702" w:type="dxa"/>
            <w:vMerge w:val="continue"/>
            <w:tcBorders>
              <w:left w:val="single" w:color="000000" w:sz="4" w:space="0"/>
              <w:right w:val="single" w:color="000000" w:sz="4" w:space="0"/>
            </w:tcBorders>
            <w:vAlign w:val="center"/>
          </w:tcPr>
          <w:p w14:paraId="430749A7">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09A15567">
            <w:pPr>
              <w:spacing w:line="360" w:lineRule="exact"/>
              <w:jc w:val="left"/>
              <w:rPr>
                <w:rFonts w:ascii="宋体" w:hAnsi="宋体"/>
                <w:color w:val="auto"/>
                <w:szCs w:val="21"/>
                <w:highlight w:val="none"/>
              </w:rPr>
            </w:pPr>
            <w:r>
              <w:rPr>
                <w:rFonts w:hint="eastAsia" w:ascii="宋体" w:hAnsi="宋体"/>
                <w:color w:val="auto"/>
                <w:szCs w:val="21"/>
                <w:highlight w:val="none"/>
              </w:rPr>
              <w:t>1.供电：220-240VAC，50Hz。</w:t>
            </w:r>
          </w:p>
          <w:p w14:paraId="0D55F9B5">
            <w:pPr>
              <w:spacing w:line="360" w:lineRule="exact"/>
              <w:jc w:val="left"/>
              <w:rPr>
                <w:rFonts w:ascii="宋体" w:hAnsi="宋体"/>
                <w:color w:val="auto"/>
                <w:szCs w:val="21"/>
                <w:highlight w:val="none"/>
              </w:rPr>
            </w:pPr>
            <w:r>
              <w:rPr>
                <w:rFonts w:hint="eastAsia" w:ascii="宋体" w:hAnsi="宋体"/>
                <w:color w:val="auto"/>
                <w:szCs w:val="21"/>
                <w:highlight w:val="none"/>
              </w:rPr>
              <w:t>2.DMX数字信号光电耦合隔离2进8出。</w:t>
            </w:r>
          </w:p>
          <w:p w14:paraId="36594B74">
            <w:pPr>
              <w:spacing w:line="360" w:lineRule="exact"/>
              <w:jc w:val="left"/>
              <w:rPr>
                <w:rFonts w:ascii="宋体" w:hAnsi="宋体"/>
                <w:color w:val="auto"/>
                <w:szCs w:val="21"/>
                <w:highlight w:val="none"/>
              </w:rPr>
            </w:pPr>
            <w:r>
              <w:rPr>
                <w:rFonts w:hint="eastAsia" w:ascii="宋体" w:hAnsi="宋体"/>
                <w:color w:val="auto"/>
                <w:szCs w:val="21"/>
                <w:highlight w:val="none"/>
              </w:rPr>
              <w:t>3.要求8位独立放大的DMX信号输出。</w:t>
            </w:r>
          </w:p>
          <w:p w14:paraId="7B594479">
            <w:pPr>
              <w:spacing w:line="360" w:lineRule="exact"/>
              <w:jc w:val="left"/>
              <w:rPr>
                <w:rFonts w:ascii="宋体" w:hAnsi="宋体"/>
                <w:color w:val="auto"/>
                <w:szCs w:val="21"/>
                <w:highlight w:val="none"/>
              </w:rPr>
            </w:pPr>
          </w:p>
        </w:tc>
      </w:tr>
      <w:tr w14:paraId="518F0C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0DB4E768">
            <w:pPr>
              <w:jc w:val="center"/>
              <w:rPr>
                <w:rFonts w:ascii="宋体" w:hAnsi="宋体"/>
                <w:color w:val="auto"/>
                <w:szCs w:val="21"/>
                <w:highlight w:val="none"/>
              </w:rPr>
            </w:pPr>
            <w:r>
              <w:rPr>
                <w:rFonts w:hint="eastAsia" w:ascii="宋体" w:hAnsi="宋体"/>
                <w:color w:val="auto"/>
                <w:szCs w:val="21"/>
                <w:highlight w:val="none"/>
              </w:rPr>
              <w:t>36</w:t>
            </w:r>
          </w:p>
        </w:tc>
        <w:tc>
          <w:tcPr>
            <w:tcW w:w="1402" w:type="dxa"/>
            <w:tcBorders>
              <w:top w:val="single" w:color="000000" w:sz="4" w:space="0"/>
              <w:left w:val="single" w:color="auto" w:sz="4" w:space="0"/>
              <w:bottom w:val="single" w:color="000000" w:sz="4" w:space="0"/>
              <w:right w:val="single" w:color="000000" w:sz="4" w:space="0"/>
            </w:tcBorders>
            <w:vAlign w:val="center"/>
          </w:tcPr>
          <w:p w14:paraId="701E383A">
            <w:pPr>
              <w:spacing w:line="360" w:lineRule="exact"/>
              <w:jc w:val="center"/>
              <w:rPr>
                <w:rFonts w:ascii="宋体" w:hAnsi="宋体"/>
                <w:color w:val="auto"/>
                <w:szCs w:val="21"/>
                <w:highlight w:val="none"/>
              </w:rPr>
            </w:pPr>
            <w:r>
              <w:rPr>
                <w:rFonts w:hint="eastAsia" w:ascii="宋体" w:hAnsi="宋体"/>
                <w:color w:val="auto"/>
                <w:szCs w:val="21"/>
                <w:highlight w:val="none"/>
              </w:rPr>
              <w:t>电源分线盒</w:t>
            </w:r>
          </w:p>
        </w:tc>
        <w:tc>
          <w:tcPr>
            <w:tcW w:w="704" w:type="dxa"/>
            <w:tcBorders>
              <w:top w:val="single" w:color="000000" w:sz="4" w:space="0"/>
              <w:left w:val="single" w:color="000000" w:sz="4" w:space="0"/>
              <w:bottom w:val="single" w:color="000000" w:sz="4" w:space="0"/>
              <w:right w:val="single" w:color="000000" w:sz="4" w:space="0"/>
            </w:tcBorders>
            <w:vAlign w:val="center"/>
          </w:tcPr>
          <w:p w14:paraId="525FF2CB">
            <w:pPr>
              <w:spacing w:line="360" w:lineRule="exact"/>
              <w:jc w:val="center"/>
              <w:rPr>
                <w:rFonts w:ascii="宋体" w:hAnsi="宋体"/>
                <w:color w:val="auto"/>
                <w:szCs w:val="21"/>
                <w:highlight w:val="none"/>
              </w:rPr>
            </w:pPr>
            <w:r>
              <w:rPr>
                <w:rFonts w:hint="eastAsia" w:ascii="宋体" w:hAnsi="宋体"/>
                <w:color w:val="auto"/>
                <w:szCs w:val="21"/>
                <w:highlight w:val="none"/>
              </w:rPr>
              <w:t>3</w:t>
            </w:r>
          </w:p>
        </w:tc>
        <w:tc>
          <w:tcPr>
            <w:tcW w:w="703" w:type="dxa"/>
            <w:tcBorders>
              <w:top w:val="single" w:color="auto" w:sz="4" w:space="0"/>
              <w:left w:val="single" w:color="000000" w:sz="4" w:space="0"/>
              <w:bottom w:val="single" w:color="000000" w:sz="4" w:space="0"/>
              <w:right w:val="single" w:color="000000" w:sz="4" w:space="0"/>
            </w:tcBorders>
            <w:vAlign w:val="center"/>
          </w:tcPr>
          <w:p w14:paraId="45F23AF9">
            <w:pPr>
              <w:spacing w:line="360" w:lineRule="exact"/>
              <w:jc w:val="center"/>
              <w:rPr>
                <w:rFonts w:ascii="宋体" w:hAnsi="宋体"/>
                <w:color w:val="auto"/>
                <w:szCs w:val="21"/>
                <w:highlight w:val="none"/>
              </w:rPr>
            </w:pPr>
            <w:r>
              <w:rPr>
                <w:rFonts w:hint="eastAsia" w:ascii="宋体" w:hAnsi="宋体"/>
                <w:color w:val="auto"/>
                <w:szCs w:val="21"/>
                <w:highlight w:val="none"/>
              </w:rPr>
              <w:t>个</w:t>
            </w:r>
          </w:p>
        </w:tc>
        <w:tc>
          <w:tcPr>
            <w:tcW w:w="702" w:type="dxa"/>
            <w:vMerge w:val="continue"/>
            <w:tcBorders>
              <w:left w:val="single" w:color="000000" w:sz="4" w:space="0"/>
              <w:right w:val="single" w:color="000000" w:sz="4" w:space="0"/>
            </w:tcBorders>
            <w:vAlign w:val="center"/>
          </w:tcPr>
          <w:p w14:paraId="78CD4B81">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76D68706">
            <w:pPr>
              <w:spacing w:line="360" w:lineRule="exact"/>
              <w:jc w:val="left"/>
              <w:rPr>
                <w:rFonts w:ascii="宋体" w:hAnsi="宋体"/>
                <w:color w:val="auto"/>
                <w:szCs w:val="21"/>
                <w:highlight w:val="none"/>
              </w:rPr>
            </w:pPr>
            <w:r>
              <w:rPr>
                <w:rFonts w:hint="eastAsia" w:ascii="宋体" w:hAnsi="宋体"/>
                <w:color w:val="auto"/>
                <w:szCs w:val="21"/>
                <w:highlight w:val="none"/>
              </w:rPr>
              <w:t>1.最大负载：3500W。</w:t>
            </w:r>
          </w:p>
          <w:p w14:paraId="1F06F86D">
            <w:pPr>
              <w:spacing w:line="360" w:lineRule="exact"/>
              <w:jc w:val="left"/>
              <w:rPr>
                <w:rFonts w:ascii="宋体" w:hAnsi="宋体"/>
                <w:color w:val="auto"/>
                <w:szCs w:val="21"/>
                <w:highlight w:val="none"/>
              </w:rPr>
            </w:pPr>
            <w:r>
              <w:rPr>
                <w:rFonts w:hint="eastAsia" w:ascii="宋体" w:hAnsi="宋体"/>
                <w:color w:val="auto"/>
                <w:szCs w:val="21"/>
                <w:highlight w:val="none"/>
              </w:rPr>
              <w:t>2.输入电源：220V/50Hz。</w:t>
            </w:r>
          </w:p>
          <w:p w14:paraId="3ED6CD4E">
            <w:pPr>
              <w:spacing w:line="360" w:lineRule="exact"/>
              <w:jc w:val="left"/>
              <w:rPr>
                <w:rFonts w:ascii="宋体" w:hAnsi="宋体"/>
                <w:color w:val="auto"/>
                <w:szCs w:val="21"/>
                <w:highlight w:val="none"/>
              </w:rPr>
            </w:pPr>
            <w:r>
              <w:rPr>
                <w:rFonts w:hint="eastAsia" w:ascii="宋体" w:hAnsi="宋体"/>
                <w:color w:val="auto"/>
                <w:szCs w:val="21"/>
                <w:highlight w:val="none"/>
              </w:rPr>
              <w:t>3.材料：铸铁，插座插头材质为玻璃纤维。</w:t>
            </w:r>
          </w:p>
        </w:tc>
      </w:tr>
      <w:tr w14:paraId="561AF1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77D5775E">
            <w:pPr>
              <w:jc w:val="center"/>
              <w:rPr>
                <w:rFonts w:ascii="宋体" w:hAnsi="宋体"/>
                <w:color w:val="auto"/>
                <w:szCs w:val="21"/>
                <w:highlight w:val="none"/>
              </w:rPr>
            </w:pPr>
            <w:r>
              <w:rPr>
                <w:rFonts w:hint="eastAsia" w:ascii="宋体" w:hAnsi="宋体"/>
                <w:color w:val="auto"/>
                <w:szCs w:val="21"/>
                <w:highlight w:val="none"/>
              </w:rPr>
              <w:t>37</w:t>
            </w:r>
          </w:p>
        </w:tc>
        <w:tc>
          <w:tcPr>
            <w:tcW w:w="1402" w:type="dxa"/>
            <w:tcBorders>
              <w:top w:val="single" w:color="000000" w:sz="4" w:space="0"/>
              <w:left w:val="single" w:color="auto" w:sz="4" w:space="0"/>
              <w:bottom w:val="single" w:color="000000" w:sz="4" w:space="0"/>
              <w:right w:val="single" w:color="000000" w:sz="4" w:space="0"/>
            </w:tcBorders>
            <w:vAlign w:val="center"/>
          </w:tcPr>
          <w:p w14:paraId="535150FA">
            <w:pPr>
              <w:spacing w:line="360" w:lineRule="exact"/>
              <w:jc w:val="center"/>
              <w:rPr>
                <w:rFonts w:ascii="宋体" w:hAnsi="宋体"/>
                <w:color w:val="auto"/>
                <w:szCs w:val="21"/>
                <w:highlight w:val="none"/>
              </w:rPr>
            </w:pPr>
            <w:r>
              <w:rPr>
                <w:rFonts w:hint="eastAsia" w:ascii="宋体" w:hAnsi="宋体"/>
                <w:color w:val="auto"/>
                <w:szCs w:val="21"/>
                <w:highlight w:val="none"/>
              </w:rPr>
              <w:t>航空自锁电源连接器</w:t>
            </w:r>
          </w:p>
        </w:tc>
        <w:tc>
          <w:tcPr>
            <w:tcW w:w="704" w:type="dxa"/>
            <w:tcBorders>
              <w:top w:val="single" w:color="000000" w:sz="4" w:space="0"/>
              <w:left w:val="single" w:color="000000" w:sz="4" w:space="0"/>
              <w:bottom w:val="single" w:color="000000" w:sz="4" w:space="0"/>
              <w:right w:val="single" w:color="000000" w:sz="4" w:space="0"/>
            </w:tcBorders>
            <w:vAlign w:val="center"/>
          </w:tcPr>
          <w:p w14:paraId="719C5C29">
            <w:pPr>
              <w:spacing w:line="360" w:lineRule="exact"/>
              <w:jc w:val="center"/>
              <w:rPr>
                <w:rFonts w:ascii="宋体" w:hAnsi="宋体"/>
                <w:color w:val="auto"/>
                <w:szCs w:val="21"/>
                <w:highlight w:val="none"/>
              </w:rPr>
            </w:pPr>
            <w:r>
              <w:rPr>
                <w:rFonts w:hint="eastAsia" w:ascii="宋体" w:hAnsi="宋体"/>
                <w:color w:val="auto"/>
                <w:szCs w:val="21"/>
                <w:highlight w:val="none"/>
              </w:rPr>
              <w:t>16</w:t>
            </w:r>
          </w:p>
        </w:tc>
        <w:tc>
          <w:tcPr>
            <w:tcW w:w="703" w:type="dxa"/>
            <w:tcBorders>
              <w:top w:val="single" w:color="auto" w:sz="4" w:space="0"/>
              <w:left w:val="single" w:color="000000" w:sz="4" w:space="0"/>
              <w:bottom w:val="single" w:color="000000" w:sz="4" w:space="0"/>
              <w:right w:val="single" w:color="000000" w:sz="4" w:space="0"/>
            </w:tcBorders>
            <w:vAlign w:val="center"/>
          </w:tcPr>
          <w:p w14:paraId="16888CD4">
            <w:pPr>
              <w:spacing w:line="360" w:lineRule="exact"/>
              <w:jc w:val="center"/>
              <w:rPr>
                <w:rFonts w:ascii="宋体" w:hAnsi="宋体"/>
                <w:color w:val="auto"/>
                <w:szCs w:val="21"/>
                <w:highlight w:val="none"/>
              </w:rPr>
            </w:pPr>
            <w:r>
              <w:rPr>
                <w:rFonts w:hint="eastAsia" w:ascii="宋体" w:hAnsi="宋体"/>
                <w:color w:val="auto"/>
                <w:szCs w:val="21"/>
                <w:highlight w:val="none"/>
              </w:rPr>
              <w:t>个</w:t>
            </w:r>
          </w:p>
        </w:tc>
        <w:tc>
          <w:tcPr>
            <w:tcW w:w="702" w:type="dxa"/>
            <w:vMerge w:val="continue"/>
            <w:tcBorders>
              <w:left w:val="single" w:color="000000" w:sz="4" w:space="0"/>
              <w:right w:val="single" w:color="000000" w:sz="4" w:space="0"/>
            </w:tcBorders>
            <w:vAlign w:val="center"/>
          </w:tcPr>
          <w:p w14:paraId="0F8F6547">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0B2D1A7B">
            <w:pPr>
              <w:spacing w:line="360" w:lineRule="exact"/>
              <w:jc w:val="left"/>
              <w:rPr>
                <w:rFonts w:ascii="宋体" w:hAnsi="宋体"/>
                <w:color w:val="auto"/>
                <w:szCs w:val="21"/>
                <w:highlight w:val="none"/>
              </w:rPr>
            </w:pPr>
            <w:r>
              <w:rPr>
                <w:rFonts w:hint="eastAsia" w:ascii="宋体" w:hAnsi="宋体"/>
                <w:color w:val="auto"/>
                <w:szCs w:val="21"/>
                <w:highlight w:val="none"/>
              </w:rPr>
              <w:t>1.最大功率：3520W。</w:t>
            </w:r>
          </w:p>
          <w:p w14:paraId="5C5D9150">
            <w:pPr>
              <w:spacing w:line="360" w:lineRule="exact"/>
              <w:jc w:val="left"/>
              <w:rPr>
                <w:rFonts w:ascii="宋体" w:hAnsi="宋体"/>
                <w:color w:val="auto"/>
                <w:szCs w:val="21"/>
                <w:highlight w:val="none"/>
              </w:rPr>
            </w:pPr>
            <w:r>
              <w:rPr>
                <w:rFonts w:hint="eastAsia" w:ascii="宋体" w:hAnsi="宋体"/>
                <w:color w:val="auto"/>
                <w:szCs w:val="21"/>
                <w:highlight w:val="none"/>
              </w:rPr>
              <w:t>2.最大电流：16A。</w:t>
            </w:r>
          </w:p>
          <w:p w14:paraId="0C9C7F7C">
            <w:pPr>
              <w:spacing w:line="360" w:lineRule="exact"/>
              <w:jc w:val="left"/>
              <w:rPr>
                <w:rFonts w:ascii="宋体" w:hAnsi="宋体"/>
                <w:color w:val="auto"/>
                <w:szCs w:val="21"/>
                <w:highlight w:val="none"/>
              </w:rPr>
            </w:pPr>
            <w:r>
              <w:rPr>
                <w:rFonts w:hint="eastAsia" w:ascii="宋体" w:hAnsi="宋体"/>
                <w:color w:val="auto"/>
                <w:szCs w:val="21"/>
                <w:highlight w:val="none"/>
              </w:rPr>
              <w:t>3.用途：用于220V电源转接连接。</w:t>
            </w:r>
          </w:p>
          <w:p w14:paraId="6AD36E38">
            <w:pPr>
              <w:spacing w:line="360" w:lineRule="exact"/>
              <w:jc w:val="left"/>
              <w:rPr>
                <w:rFonts w:ascii="宋体" w:hAnsi="宋体"/>
                <w:color w:val="auto"/>
                <w:szCs w:val="21"/>
                <w:highlight w:val="none"/>
              </w:rPr>
            </w:pPr>
            <w:r>
              <w:rPr>
                <w:rFonts w:hint="eastAsia" w:ascii="宋体" w:hAnsi="宋体"/>
                <w:color w:val="auto"/>
                <w:szCs w:val="21"/>
                <w:highlight w:val="none"/>
              </w:rPr>
              <w:t>4.颜色：黑色+橙色。</w:t>
            </w:r>
          </w:p>
          <w:p w14:paraId="4C3840B2">
            <w:pPr>
              <w:spacing w:line="360" w:lineRule="exact"/>
              <w:jc w:val="left"/>
              <w:rPr>
                <w:rFonts w:ascii="宋体" w:hAnsi="宋体"/>
                <w:color w:val="auto"/>
                <w:szCs w:val="21"/>
                <w:highlight w:val="none"/>
              </w:rPr>
            </w:pPr>
            <w:r>
              <w:rPr>
                <w:rFonts w:hint="eastAsia" w:ascii="宋体" w:hAnsi="宋体"/>
                <w:color w:val="auto"/>
                <w:szCs w:val="21"/>
                <w:highlight w:val="none"/>
              </w:rPr>
              <w:t>5.材质：ABS工程塑料。</w:t>
            </w:r>
          </w:p>
          <w:p w14:paraId="761D1E29">
            <w:pPr>
              <w:spacing w:line="360" w:lineRule="exact"/>
              <w:jc w:val="left"/>
              <w:rPr>
                <w:rFonts w:ascii="宋体" w:hAnsi="宋体"/>
                <w:color w:val="auto"/>
                <w:szCs w:val="21"/>
                <w:highlight w:val="none"/>
              </w:rPr>
            </w:pPr>
            <w:r>
              <w:rPr>
                <w:rFonts w:hint="eastAsia" w:ascii="宋体" w:hAnsi="宋体"/>
                <w:color w:val="auto"/>
                <w:szCs w:val="21"/>
                <w:highlight w:val="none"/>
              </w:rPr>
              <w:t>6.防水等级：≥IP65。</w:t>
            </w:r>
          </w:p>
        </w:tc>
      </w:tr>
      <w:tr w14:paraId="440F41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62A2FC93">
            <w:pPr>
              <w:jc w:val="center"/>
              <w:rPr>
                <w:rFonts w:ascii="宋体" w:hAnsi="宋体"/>
                <w:color w:val="auto"/>
                <w:szCs w:val="21"/>
                <w:highlight w:val="none"/>
              </w:rPr>
            </w:pPr>
            <w:r>
              <w:rPr>
                <w:rFonts w:hint="eastAsia" w:ascii="宋体" w:hAnsi="宋体"/>
                <w:color w:val="auto"/>
                <w:szCs w:val="21"/>
                <w:highlight w:val="none"/>
              </w:rPr>
              <w:t>38</w:t>
            </w:r>
          </w:p>
        </w:tc>
        <w:tc>
          <w:tcPr>
            <w:tcW w:w="1402" w:type="dxa"/>
            <w:tcBorders>
              <w:top w:val="single" w:color="000000" w:sz="4" w:space="0"/>
              <w:left w:val="single" w:color="auto" w:sz="4" w:space="0"/>
              <w:bottom w:val="single" w:color="000000" w:sz="4" w:space="0"/>
              <w:right w:val="single" w:color="000000" w:sz="4" w:space="0"/>
            </w:tcBorders>
            <w:vAlign w:val="center"/>
          </w:tcPr>
          <w:p w14:paraId="21C07A35">
            <w:pPr>
              <w:spacing w:line="360" w:lineRule="exact"/>
              <w:jc w:val="center"/>
              <w:rPr>
                <w:rFonts w:ascii="宋体" w:hAnsi="宋体"/>
                <w:color w:val="auto"/>
                <w:szCs w:val="21"/>
                <w:highlight w:val="none"/>
              </w:rPr>
            </w:pPr>
            <w:r>
              <w:rPr>
                <w:rFonts w:hint="eastAsia" w:ascii="宋体" w:hAnsi="宋体"/>
                <w:color w:val="auto"/>
                <w:szCs w:val="21"/>
                <w:highlight w:val="none"/>
              </w:rPr>
              <w:t>灯具保险链及号牌</w:t>
            </w:r>
          </w:p>
        </w:tc>
        <w:tc>
          <w:tcPr>
            <w:tcW w:w="704" w:type="dxa"/>
            <w:tcBorders>
              <w:top w:val="single" w:color="000000" w:sz="4" w:space="0"/>
              <w:left w:val="single" w:color="000000" w:sz="4" w:space="0"/>
              <w:bottom w:val="single" w:color="000000" w:sz="4" w:space="0"/>
              <w:right w:val="single" w:color="000000" w:sz="4" w:space="0"/>
            </w:tcBorders>
            <w:vAlign w:val="center"/>
          </w:tcPr>
          <w:p w14:paraId="701CFED2">
            <w:pPr>
              <w:spacing w:line="360" w:lineRule="exact"/>
              <w:jc w:val="center"/>
              <w:rPr>
                <w:rFonts w:ascii="宋体" w:hAnsi="宋体"/>
                <w:color w:val="auto"/>
                <w:szCs w:val="21"/>
                <w:highlight w:val="none"/>
              </w:rPr>
            </w:pPr>
            <w:r>
              <w:rPr>
                <w:rFonts w:hint="eastAsia" w:ascii="宋体" w:hAnsi="宋体"/>
                <w:color w:val="auto"/>
                <w:szCs w:val="21"/>
                <w:highlight w:val="none"/>
              </w:rPr>
              <w:t>42</w:t>
            </w:r>
          </w:p>
        </w:tc>
        <w:tc>
          <w:tcPr>
            <w:tcW w:w="703" w:type="dxa"/>
            <w:tcBorders>
              <w:top w:val="single" w:color="auto" w:sz="4" w:space="0"/>
              <w:left w:val="single" w:color="000000" w:sz="4" w:space="0"/>
              <w:bottom w:val="single" w:color="000000" w:sz="4" w:space="0"/>
              <w:right w:val="single" w:color="000000" w:sz="4" w:space="0"/>
            </w:tcBorders>
            <w:vAlign w:val="center"/>
          </w:tcPr>
          <w:p w14:paraId="2368A7A4">
            <w:pPr>
              <w:spacing w:line="360" w:lineRule="exact"/>
              <w:jc w:val="center"/>
              <w:rPr>
                <w:rFonts w:ascii="宋体" w:hAnsi="宋体"/>
                <w:color w:val="auto"/>
                <w:szCs w:val="21"/>
                <w:highlight w:val="none"/>
              </w:rPr>
            </w:pPr>
            <w:r>
              <w:rPr>
                <w:rFonts w:hint="eastAsia" w:ascii="宋体" w:hAnsi="宋体"/>
                <w:color w:val="auto"/>
                <w:szCs w:val="21"/>
                <w:highlight w:val="none"/>
              </w:rPr>
              <w:t>组</w:t>
            </w:r>
          </w:p>
        </w:tc>
        <w:tc>
          <w:tcPr>
            <w:tcW w:w="702" w:type="dxa"/>
            <w:vMerge w:val="continue"/>
            <w:tcBorders>
              <w:left w:val="single" w:color="000000" w:sz="4" w:space="0"/>
              <w:right w:val="single" w:color="000000" w:sz="4" w:space="0"/>
            </w:tcBorders>
            <w:vAlign w:val="center"/>
          </w:tcPr>
          <w:p w14:paraId="00F4010B">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2BD8BAE5">
            <w:pPr>
              <w:spacing w:line="360" w:lineRule="exact"/>
              <w:jc w:val="left"/>
              <w:rPr>
                <w:rFonts w:ascii="宋体" w:hAnsi="宋体"/>
                <w:color w:val="auto"/>
                <w:szCs w:val="21"/>
                <w:highlight w:val="none"/>
              </w:rPr>
            </w:pPr>
            <w:r>
              <w:rPr>
                <w:rFonts w:hint="eastAsia" w:ascii="宋体" w:hAnsi="宋体"/>
                <w:color w:val="auto"/>
                <w:szCs w:val="21"/>
                <w:highlight w:val="none"/>
              </w:rPr>
              <w:t>1.用途：保护灯具用的安全绳。</w:t>
            </w:r>
          </w:p>
          <w:p w14:paraId="3486AA00">
            <w:pPr>
              <w:spacing w:line="360" w:lineRule="exact"/>
              <w:jc w:val="left"/>
              <w:rPr>
                <w:rFonts w:ascii="宋体" w:hAnsi="宋体"/>
                <w:color w:val="auto"/>
                <w:szCs w:val="21"/>
                <w:highlight w:val="none"/>
              </w:rPr>
            </w:pPr>
            <w:r>
              <w:rPr>
                <w:rFonts w:hint="eastAsia" w:ascii="宋体" w:hAnsi="宋体"/>
                <w:color w:val="auto"/>
                <w:szCs w:val="21"/>
                <w:highlight w:val="none"/>
              </w:rPr>
              <w:t>2.承重：≥80KG。</w:t>
            </w:r>
          </w:p>
          <w:p w14:paraId="2D3499EE">
            <w:pPr>
              <w:spacing w:line="360" w:lineRule="exact"/>
              <w:jc w:val="left"/>
              <w:rPr>
                <w:rFonts w:ascii="宋体" w:hAnsi="宋体"/>
                <w:color w:val="auto"/>
                <w:szCs w:val="21"/>
                <w:highlight w:val="none"/>
              </w:rPr>
            </w:pPr>
            <w:r>
              <w:rPr>
                <w:rFonts w:hint="eastAsia" w:ascii="宋体" w:hAnsi="宋体"/>
                <w:color w:val="auto"/>
                <w:szCs w:val="21"/>
                <w:highlight w:val="none"/>
              </w:rPr>
              <w:t>3.材质：≥3MM钢丝。</w:t>
            </w:r>
          </w:p>
          <w:p w14:paraId="56020C13">
            <w:pPr>
              <w:spacing w:line="360" w:lineRule="exact"/>
              <w:jc w:val="left"/>
              <w:rPr>
                <w:rFonts w:ascii="宋体" w:hAnsi="宋体"/>
                <w:color w:val="auto"/>
                <w:szCs w:val="21"/>
                <w:highlight w:val="none"/>
              </w:rPr>
            </w:pPr>
            <w:r>
              <w:rPr>
                <w:rFonts w:hint="eastAsia" w:ascii="宋体" w:hAnsi="宋体"/>
                <w:color w:val="auto"/>
                <w:szCs w:val="21"/>
                <w:highlight w:val="none"/>
              </w:rPr>
              <w:t>4.颜色：黑色。</w:t>
            </w:r>
          </w:p>
          <w:p w14:paraId="27961779">
            <w:pPr>
              <w:spacing w:line="360" w:lineRule="exact"/>
              <w:jc w:val="left"/>
              <w:rPr>
                <w:rFonts w:ascii="宋体" w:hAnsi="宋体"/>
                <w:color w:val="auto"/>
                <w:szCs w:val="21"/>
                <w:highlight w:val="none"/>
              </w:rPr>
            </w:pPr>
            <w:r>
              <w:rPr>
                <w:rFonts w:hint="eastAsia" w:ascii="宋体" w:hAnsi="宋体"/>
                <w:color w:val="auto"/>
                <w:szCs w:val="21"/>
                <w:highlight w:val="none"/>
              </w:rPr>
              <w:t>5.规格尺寸：≥长度800mm，带胶钢丝绳4mm+5mm扣件。</w:t>
            </w:r>
          </w:p>
        </w:tc>
      </w:tr>
      <w:tr w14:paraId="161769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18542662">
            <w:pPr>
              <w:jc w:val="center"/>
              <w:rPr>
                <w:rFonts w:ascii="宋体" w:hAnsi="宋体"/>
                <w:color w:val="auto"/>
                <w:szCs w:val="21"/>
                <w:highlight w:val="none"/>
              </w:rPr>
            </w:pPr>
            <w:r>
              <w:rPr>
                <w:rFonts w:hint="eastAsia" w:ascii="宋体" w:hAnsi="宋体"/>
                <w:color w:val="auto"/>
                <w:szCs w:val="21"/>
                <w:highlight w:val="none"/>
              </w:rPr>
              <w:t>39</w:t>
            </w:r>
          </w:p>
        </w:tc>
        <w:tc>
          <w:tcPr>
            <w:tcW w:w="1402" w:type="dxa"/>
            <w:tcBorders>
              <w:top w:val="single" w:color="000000" w:sz="4" w:space="0"/>
              <w:left w:val="single" w:color="auto" w:sz="4" w:space="0"/>
              <w:bottom w:val="single" w:color="000000" w:sz="4" w:space="0"/>
              <w:right w:val="single" w:color="000000" w:sz="4" w:space="0"/>
            </w:tcBorders>
            <w:vAlign w:val="center"/>
          </w:tcPr>
          <w:p w14:paraId="6F513FFC">
            <w:pPr>
              <w:spacing w:line="360" w:lineRule="exact"/>
              <w:jc w:val="center"/>
              <w:rPr>
                <w:rFonts w:ascii="宋体" w:hAnsi="宋体"/>
                <w:color w:val="auto"/>
                <w:szCs w:val="21"/>
                <w:highlight w:val="none"/>
              </w:rPr>
            </w:pPr>
            <w:r>
              <w:rPr>
                <w:rFonts w:hint="eastAsia" w:ascii="宋体" w:hAnsi="宋体"/>
                <w:color w:val="auto"/>
                <w:szCs w:val="21"/>
                <w:highlight w:val="none"/>
              </w:rPr>
              <w:t>灯光配电及线缆接插件</w:t>
            </w:r>
          </w:p>
        </w:tc>
        <w:tc>
          <w:tcPr>
            <w:tcW w:w="704" w:type="dxa"/>
            <w:tcBorders>
              <w:top w:val="single" w:color="000000" w:sz="4" w:space="0"/>
              <w:left w:val="single" w:color="000000" w:sz="4" w:space="0"/>
              <w:bottom w:val="single" w:color="000000" w:sz="4" w:space="0"/>
              <w:right w:val="single" w:color="000000" w:sz="4" w:space="0"/>
            </w:tcBorders>
            <w:vAlign w:val="center"/>
          </w:tcPr>
          <w:p w14:paraId="1B10A434">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703" w:type="dxa"/>
            <w:tcBorders>
              <w:top w:val="single" w:color="auto" w:sz="4" w:space="0"/>
              <w:left w:val="single" w:color="000000" w:sz="4" w:space="0"/>
              <w:bottom w:val="single" w:color="000000" w:sz="4" w:space="0"/>
              <w:right w:val="single" w:color="000000" w:sz="4" w:space="0"/>
            </w:tcBorders>
            <w:vAlign w:val="center"/>
          </w:tcPr>
          <w:p w14:paraId="687829E4">
            <w:pPr>
              <w:spacing w:line="360" w:lineRule="exact"/>
              <w:jc w:val="center"/>
              <w:rPr>
                <w:rFonts w:ascii="宋体" w:hAnsi="宋体"/>
                <w:color w:val="auto"/>
                <w:szCs w:val="21"/>
                <w:highlight w:val="none"/>
              </w:rPr>
            </w:pPr>
            <w:r>
              <w:rPr>
                <w:rFonts w:hint="eastAsia" w:ascii="宋体" w:hAnsi="宋体"/>
                <w:color w:val="auto"/>
                <w:szCs w:val="21"/>
                <w:highlight w:val="none"/>
              </w:rPr>
              <w:t>批</w:t>
            </w:r>
          </w:p>
        </w:tc>
        <w:tc>
          <w:tcPr>
            <w:tcW w:w="702" w:type="dxa"/>
            <w:vMerge w:val="continue"/>
            <w:tcBorders>
              <w:left w:val="single" w:color="000000" w:sz="4" w:space="0"/>
              <w:right w:val="single" w:color="000000" w:sz="4" w:space="0"/>
            </w:tcBorders>
            <w:vAlign w:val="center"/>
          </w:tcPr>
          <w:p w14:paraId="64EC0936">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4E2A4059">
            <w:pPr>
              <w:spacing w:line="360" w:lineRule="exact"/>
              <w:jc w:val="left"/>
              <w:rPr>
                <w:rFonts w:ascii="宋体" w:hAnsi="宋体"/>
                <w:color w:val="auto"/>
                <w:szCs w:val="21"/>
                <w:highlight w:val="none"/>
              </w:rPr>
            </w:pPr>
            <w:r>
              <w:rPr>
                <w:rFonts w:hint="eastAsia" w:ascii="宋体" w:hAnsi="宋体"/>
                <w:color w:val="auto"/>
                <w:szCs w:val="21"/>
                <w:highlight w:val="none"/>
              </w:rPr>
              <w:t>1.导体截面：国标2.5mm²。</w:t>
            </w:r>
          </w:p>
          <w:p w14:paraId="45F3671B">
            <w:pPr>
              <w:spacing w:line="360" w:lineRule="exact"/>
              <w:jc w:val="left"/>
              <w:rPr>
                <w:rFonts w:ascii="宋体" w:hAnsi="宋体"/>
                <w:color w:val="auto"/>
                <w:szCs w:val="21"/>
                <w:highlight w:val="none"/>
              </w:rPr>
            </w:pPr>
            <w:r>
              <w:rPr>
                <w:rFonts w:hint="eastAsia" w:ascii="宋体" w:hAnsi="宋体"/>
                <w:color w:val="auto"/>
                <w:szCs w:val="21"/>
                <w:highlight w:val="none"/>
              </w:rPr>
              <w:t xml:space="preserve">2.额定电压：300/500V。 </w:t>
            </w:r>
          </w:p>
          <w:p w14:paraId="25C7494E">
            <w:pPr>
              <w:spacing w:line="360" w:lineRule="exact"/>
              <w:jc w:val="left"/>
              <w:rPr>
                <w:rFonts w:ascii="宋体" w:hAnsi="宋体"/>
                <w:color w:val="auto"/>
                <w:szCs w:val="21"/>
                <w:highlight w:val="none"/>
              </w:rPr>
            </w:pPr>
            <w:r>
              <w:rPr>
                <w:rFonts w:hint="eastAsia" w:ascii="宋体" w:hAnsi="宋体"/>
                <w:color w:val="auto"/>
                <w:szCs w:val="21"/>
                <w:highlight w:val="none"/>
              </w:rPr>
              <w:t>3.导体材料：无氧铜 。</w:t>
            </w:r>
          </w:p>
          <w:p w14:paraId="69540EA6">
            <w:pPr>
              <w:spacing w:line="360" w:lineRule="exact"/>
              <w:jc w:val="left"/>
              <w:rPr>
                <w:rFonts w:ascii="宋体" w:hAnsi="宋体"/>
                <w:color w:val="auto"/>
                <w:szCs w:val="21"/>
                <w:highlight w:val="none"/>
              </w:rPr>
            </w:pPr>
            <w:r>
              <w:rPr>
                <w:rFonts w:hint="eastAsia" w:ascii="宋体" w:hAnsi="宋体"/>
                <w:color w:val="auto"/>
                <w:szCs w:val="21"/>
                <w:highlight w:val="none"/>
              </w:rPr>
              <w:t xml:space="preserve">4.绝缘材料：聚氯乙烯。 </w:t>
            </w:r>
          </w:p>
          <w:p w14:paraId="58C2E3EC">
            <w:pPr>
              <w:spacing w:line="360" w:lineRule="exact"/>
              <w:jc w:val="left"/>
              <w:rPr>
                <w:rFonts w:ascii="宋体" w:hAnsi="宋体"/>
                <w:color w:val="auto"/>
                <w:szCs w:val="21"/>
                <w:highlight w:val="none"/>
              </w:rPr>
            </w:pPr>
            <w:r>
              <w:rPr>
                <w:rFonts w:hint="eastAsia" w:ascii="宋体" w:hAnsi="宋体"/>
                <w:color w:val="auto"/>
                <w:szCs w:val="21"/>
                <w:highlight w:val="none"/>
              </w:rPr>
              <w:t xml:space="preserve">5.绝缘平均厚度：≥0.8mm。 </w:t>
            </w:r>
          </w:p>
          <w:p w14:paraId="47AECAF9">
            <w:pPr>
              <w:spacing w:line="360" w:lineRule="exact"/>
              <w:jc w:val="left"/>
              <w:rPr>
                <w:rFonts w:ascii="宋体" w:hAnsi="宋体"/>
                <w:color w:val="auto"/>
                <w:szCs w:val="21"/>
                <w:highlight w:val="none"/>
              </w:rPr>
            </w:pPr>
            <w:r>
              <w:rPr>
                <w:rFonts w:hint="eastAsia" w:ascii="宋体" w:hAnsi="宋体"/>
                <w:color w:val="auto"/>
                <w:szCs w:val="21"/>
                <w:highlight w:val="none"/>
              </w:rPr>
              <w:t xml:space="preserve">6.绝缘最薄厚度：≥0.75mm。 </w:t>
            </w:r>
          </w:p>
          <w:p w14:paraId="17AD7E10">
            <w:pPr>
              <w:spacing w:line="360" w:lineRule="exact"/>
              <w:jc w:val="left"/>
              <w:rPr>
                <w:rFonts w:ascii="宋体" w:hAnsi="宋体"/>
                <w:color w:val="auto"/>
                <w:szCs w:val="21"/>
                <w:highlight w:val="none"/>
              </w:rPr>
            </w:pPr>
            <w:r>
              <w:rPr>
                <w:rFonts w:hint="eastAsia" w:ascii="宋体" w:hAnsi="宋体"/>
                <w:color w:val="auto"/>
                <w:szCs w:val="21"/>
                <w:highlight w:val="none"/>
              </w:rPr>
              <w:t xml:space="preserve">7.护套材料：阻燃聚氯乙烯。 </w:t>
            </w:r>
          </w:p>
          <w:p w14:paraId="75C9E9DA">
            <w:pPr>
              <w:spacing w:line="360" w:lineRule="exact"/>
              <w:jc w:val="left"/>
              <w:rPr>
                <w:rFonts w:ascii="宋体" w:hAnsi="宋体"/>
                <w:color w:val="auto"/>
                <w:szCs w:val="21"/>
                <w:highlight w:val="none"/>
              </w:rPr>
            </w:pPr>
            <w:r>
              <w:rPr>
                <w:rFonts w:hint="eastAsia" w:ascii="宋体" w:hAnsi="宋体"/>
                <w:color w:val="auto"/>
                <w:szCs w:val="21"/>
                <w:highlight w:val="none"/>
              </w:rPr>
              <w:t xml:space="preserve">8.护套平均厚度：≥1.0mm。 </w:t>
            </w:r>
          </w:p>
          <w:p w14:paraId="5E1D3951">
            <w:pPr>
              <w:spacing w:line="360" w:lineRule="exact"/>
              <w:jc w:val="left"/>
              <w:rPr>
                <w:rFonts w:ascii="宋体" w:hAnsi="宋体"/>
                <w:color w:val="auto"/>
                <w:szCs w:val="21"/>
                <w:highlight w:val="none"/>
              </w:rPr>
            </w:pPr>
            <w:r>
              <w:rPr>
                <w:rFonts w:hint="eastAsia" w:ascii="宋体" w:hAnsi="宋体"/>
                <w:color w:val="auto"/>
                <w:szCs w:val="21"/>
                <w:highlight w:val="none"/>
              </w:rPr>
              <w:t xml:space="preserve">9.护套最薄厚度：≥0.92mm。 </w:t>
            </w:r>
          </w:p>
          <w:p w14:paraId="222CD2A3">
            <w:pPr>
              <w:spacing w:line="360" w:lineRule="exact"/>
              <w:jc w:val="left"/>
              <w:rPr>
                <w:rFonts w:ascii="宋体" w:hAnsi="宋体"/>
                <w:color w:val="auto"/>
                <w:szCs w:val="21"/>
                <w:highlight w:val="none"/>
              </w:rPr>
            </w:pPr>
            <w:r>
              <w:rPr>
                <w:rFonts w:hint="eastAsia" w:ascii="宋体" w:hAnsi="宋体"/>
                <w:color w:val="auto"/>
                <w:szCs w:val="21"/>
                <w:highlight w:val="none"/>
              </w:rPr>
              <w:t xml:space="preserve">10.20°C导体电阻：7.52Ω/Km。 </w:t>
            </w:r>
          </w:p>
          <w:p w14:paraId="2C997482">
            <w:pPr>
              <w:spacing w:line="360" w:lineRule="exact"/>
              <w:jc w:val="left"/>
              <w:rPr>
                <w:rFonts w:ascii="宋体" w:hAnsi="宋体"/>
                <w:color w:val="auto"/>
                <w:szCs w:val="21"/>
                <w:highlight w:val="none"/>
              </w:rPr>
            </w:pPr>
            <w:r>
              <w:rPr>
                <w:rFonts w:hint="eastAsia" w:ascii="宋体" w:hAnsi="宋体"/>
                <w:color w:val="auto"/>
                <w:szCs w:val="21"/>
                <w:highlight w:val="none"/>
              </w:rPr>
              <w:t>11.20°C绝缘电阻：40MΩ/Km。</w:t>
            </w:r>
          </w:p>
        </w:tc>
      </w:tr>
      <w:tr w14:paraId="5F7DD7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1B252E87">
            <w:pPr>
              <w:jc w:val="center"/>
              <w:rPr>
                <w:rFonts w:ascii="宋体" w:hAnsi="宋体"/>
                <w:color w:val="auto"/>
                <w:szCs w:val="21"/>
                <w:highlight w:val="none"/>
              </w:rPr>
            </w:pPr>
            <w:r>
              <w:rPr>
                <w:rFonts w:hint="eastAsia" w:ascii="宋体" w:hAnsi="宋体"/>
                <w:color w:val="auto"/>
                <w:szCs w:val="21"/>
                <w:highlight w:val="none"/>
              </w:rPr>
              <w:t>40</w:t>
            </w:r>
          </w:p>
        </w:tc>
        <w:tc>
          <w:tcPr>
            <w:tcW w:w="1402" w:type="dxa"/>
            <w:tcBorders>
              <w:top w:val="single" w:color="000000" w:sz="4" w:space="0"/>
              <w:left w:val="single" w:color="auto" w:sz="4" w:space="0"/>
              <w:bottom w:val="single" w:color="000000" w:sz="4" w:space="0"/>
              <w:right w:val="single" w:color="000000" w:sz="4" w:space="0"/>
            </w:tcBorders>
            <w:vAlign w:val="center"/>
          </w:tcPr>
          <w:p w14:paraId="7C76A39E">
            <w:pPr>
              <w:spacing w:line="360" w:lineRule="exact"/>
              <w:jc w:val="center"/>
              <w:rPr>
                <w:rFonts w:ascii="宋体" w:hAnsi="宋体"/>
                <w:color w:val="auto"/>
                <w:szCs w:val="21"/>
                <w:highlight w:val="none"/>
              </w:rPr>
            </w:pPr>
            <w:r>
              <w:rPr>
                <w:rFonts w:hint="eastAsia" w:ascii="宋体" w:hAnsi="宋体"/>
                <w:color w:val="auto"/>
                <w:szCs w:val="21"/>
                <w:highlight w:val="none"/>
              </w:rPr>
              <w:t>灯光葡萄架</w:t>
            </w:r>
          </w:p>
        </w:tc>
        <w:tc>
          <w:tcPr>
            <w:tcW w:w="704" w:type="dxa"/>
            <w:tcBorders>
              <w:top w:val="single" w:color="000000" w:sz="4" w:space="0"/>
              <w:left w:val="single" w:color="000000" w:sz="4" w:space="0"/>
              <w:bottom w:val="single" w:color="000000" w:sz="4" w:space="0"/>
              <w:right w:val="single" w:color="000000" w:sz="4" w:space="0"/>
            </w:tcBorders>
            <w:vAlign w:val="center"/>
          </w:tcPr>
          <w:p w14:paraId="6E6FD58A">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703" w:type="dxa"/>
            <w:tcBorders>
              <w:top w:val="single" w:color="auto" w:sz="4" w:space="0"/>
              <w:left w:val="single" w:color="000000" w:sz="4" w:space="0"/>
              <w:bottom w:val="single" w:color="000000" w:sz="4" w:space="0"/>
              <w:right w:val="single" w:color="000000" w:sz="4" w:space="0"/>
            </w:tcBorders>
            <w:vAlign w:val="center"/>
          </w:tcPr>
          <w:p w14:paraId="535FF3C3">
            <w:pPr>
              <w:spacing w:line="360" w:lineRule="exact"/>
              <w:jc w:val="center"/>
              <w:rPr>
                <w:rFonts w:ascii="宋体" w:hAnsi="宋体"/>
                <w:color w:val="auto"/>
                <w:szCs w:val="21"/>
                <w:highlight w:val="none"/>
              </w:rPr>
            </w:pPr>
            <w:r>
              <w:rPr>
                <w:rFonts w:hint="eastAsia" w:ascii="宋体" w:hAnsi="宋体"/>
                <w:color w:val="auto"/>
                <w:szCs w:val="21"/>
                <w:highlight w:val="none"/>
              </w:rPr>
              <w:t>项</w:t>
            </w:r>
          </w:p>
        </w:tc>
        <w:tc>
          <w:tcPr>
            <w:tcW w:w="702" w:type="dxa"/>
            <w:vMerge w:val="continue"/>
            <w:tcBorders>
              <w:left w:val="single" w:color="000000" w:sz="4" w:space="0"/>
              <w:right w:val="single" w:color="000000" w:sz="4" w:space="0"/>
            </w:tcBorders>
            <w:vAlign w:val="center"/>
          </w:tcPr>
          <w:p w14:paraId="23175795">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5187BD81">
            <w:pPr>
              <w:spacing w:line="360" w:lineRule="exact"/>
              <w:jc w:val="left"/>
              <w:rPr>
                <w:rFonts w:ascii="宋体" w:hAnsi="宋体"/>
                <w:color w:val="auto"/>
                <w:szCs w:val="21"/>
                <w:highlight w:val="none"/>
              </w:rPr>
            </w:pPr>
            <w:r>
              <w:rPr>
                <w:rFonts w:hint="eastAsia" w:ascii="宋体" w:hAnsi="宋体"/>
                <w:color w:val="auto"/>
                <w:szCs w:val="21"/>
                <w:highlight w:val="none"/>
              </w:rPr>
              <w:t>1.产品类型：演播室专用铝合金灯光吊挂葡萄架系统。</w:t>
            </w:r>
            <w:r>
              <w:rPr>
                <w:rFonts w:hint="eastAsia" w:ascii="宋体" w:hAnsi="宋体"/>
                <w:color w:val="auto"/>
                <w:szCs w:val="21"/>
                <w:highlight w:val="none"/>
              </w:rPr>
              <w:br w:type="textWrapping"/>
            </w:r>
            <w:r>
              <w:rPr>
                <w:rFonts w:hint="eastAsia" w:ascii="宋体" w:hAnsi="宋体"/>
                <w:color w:val="auto"/>
                <w:szCs w:val="21"/>
                <w:highlight w:val="none"/>
              </w:rPr>
              <w:t>2.材质：≥1.2mm壁厚铝合金桁架，表面哑光处理。</w:t>
            </w:r>
            <w:r>
              <w:rPr>
                <w:rFonts w:hint="eastAsia" w:ascii="宋体" w:hAnsi="宋体"/>
                <w:color w:val="auto"/>
                <w:szCs w:val="21"/>
                <w:highlight w:val="none"/>
              </w:rPr>
              <w:br w:type="textWrapping"/>
            </w:r>
            <w:r>
              <w:rPr>
                <w:rFonts w:hint="eastAsia" w:ascii="宋体" w:hAnsi="宋体"/>
                <w:color w:val="auto"/>
                <w:szCs w:val="21"/>
                <w:highlight w:val="none"/>
              </w:rPr>
              <w:t>3.覆盖面积：约长1</w:t>
            </w:r>
            <w:r>
              <w:rPr>
                <w:rFonts w:hint="eastAsia" w:ascii="宋体" w:hAnsi="宋体"/>
                <w:color w:val="auto"/>
                <w:szCs w:val="21"/>
                <w:highlight w:val="none"/>
                <w:lang w:val="en-US" w:eastAsia="zh-CN"/>
              </w:rPr>
              <w:t>0</w:t>
            </w:r>
            <w:r>
              <w:rPr>
                <w:rFonts w:hint="eastAsia" w:ascii="宋体" w:hAnsi="宋体"/>
                <w:color w:val="auto"/>
                <w:szCs w:val="21"/>
                <w:highlight w:val="none"/>
              </w:rPr>
              <w:t>米×宽5米，覆盖实景和虚拟区域。</w:t>
            </w:r>
            <w:r>
              <w:rPr>
                <w:rFonts w:hint="eastAsia" w:ascii="宋体" w:hAnsi="宋体"/>
                <w:color w:val="auto"/>
                <w:szCs w:val="21"/>
                <w:highlight w:val="none"/>
              </w:rPr>
              <w:br w:type="textWrapping"/>
            </w:r>
            <w:r>
              <w:rPr>
                <w:rFonts w:hint="eastAsia" w:ascii="宋体" w:hAnsi="宋体"/>
                <w:color w:val="auto"/>
                <w:szCs w:val="21"/>
                <w:highlight w:val="none"/>
                <w:lang w:val="en-US" w:eastAsia="zh-CN"/>
              </w:rPr>
              <w:t>4</w:t>
            </w:r>
            <w:r>
              <w:rPr>
                <w:rFonts w:hint="eastAsia" w:ascii="宋体" w:hAnsi="宋体"/>
                <w:color w:val="auto"/>
                <w:szCs w:val="21"/>
                <w:highlight w:val="none"/>
              </w:rPr>
              <w:t>.高度范围：距地面2.5m~6m</w:t>
            </w:r>
            <w:r>
              <w:rPr>
                <w:rFonts w:hint="eastAsia" w:ascii="宋体" w:hAnsi="宋体"/>
                <w:color w:val="auto"/>
                <w:szCs w:val="21"/>
                <w:highlight w:val="none"/>
                <w:lang w:val="en-US" w:eastAsia="zh-CN"/>
              </w:rPr>
              <w:t>间</w:t>
            </w:r>
            <w:r>
              <w:rPr>
                <w:rFonts w:hint="eastAsia" w:ascii="宋体" w:hAnsi="宋体"/>
                <w:color w:val="auto"/>
                <w:szCs w:val="21"/>
                <w:highlight w:val="none"/>
              </w:rPr>
              <w:t>。</w:t>
            </w:r>
            <w:r>
              <w:rPr>
                <w:rFonts w:hint="eastAsia" w:ascii="宋体" w:hAnsi="宋体"/>
                <w:color w:val="auto"/>
                <w:szCs w:val="21"/>
                <w:highlight w:val="none"/>
              </w:rPr>
              <w:br w:type="textWrapping"/>
            </w:r>
            <w:r>
              <w:rPr>
                <w:rFonts w:hint="eastAsia" w:ascii="宋体" w:hAnsi="宋体"/>
                <w:color w:val="auto"/>
                <w:szCs w:val="21"/>
                <w:highlight w:val="none"/>
                <w:lang w:val="en-US" w:eastAsia="zh-CN"/>
              </w:rPr>
              <w:t>5</w:t>
            </w:r>
            <w:r>
              <w:rPr>
                <w:rFonts w:hint="eastAsia" w:ascii="宋体" w:hAnsi="宋体"/>
                <w:color w:val="auto"/>
                <w:szCs w:val="21"/>
                <w:highlight w:val="none"/>
              </w:rPr>
              <w:t>.设备吊挂符合国家相关安全标准。</w:t>
            </w:r>
            <w:r>
              <w:rPr>
                <w:rFonts w:hint="eastAsia" w:ascii="宋体" w:hAnsi="宋体"/>
                <w:color w:val="auto"/>
                <w:szCs w:val="21"/>
                <w:highlight w:val="none"/>
              </w:rPr>
              <w:br w:type="textWrapping"/>
            </w:r>
            <w:r>
              <w:rPr>
                <w:rFonts w:hint="eastAsia" w:ascii="宋体" w:hAnsi="宋体"/>
                <w:color w:val="auto"/>
                <w:szCs w:val="21"/>
                <w:highlight w:val="none"/>
                <w:lang w:val="en-US" w:eastAsia="zh-CN"/>
              </w:rPr>
              <w:t>6</w:t>
            </w:r>
            <w:r>
              <w:rPr>
                <w:rFonts w:hint="eastAsia" w:ascii="宋体" w:hAnsi="宋体"/>
                <w:color w:val="auto"/>
                <w:szCs w:val="21"/>
                <w:highlight w:val="none"/>
              </w:rPr>
              <w:t>.含安装调试，产品安装调试完成后须通过由国家认可的第三方检测机构检测，检测不合格或不符合上述参数要求的，采购人有权不予验收。供应商将检测费用综合考虑在谈判报价中，采购人不再另外支付相关费用。</w:t>
            </w:r>
          </w:p>
        </w:tc>
      </w:tr>
      <w:tr w14:paraId="2354E8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79C32651">
            <w:pPr>
              <w:jc w:val="center"/>
              <w:rPr>
                <w:rFonts w:ascii="宋体" w:hAnsi="宋体"/>
                <w:color w:val="auto"/>
                <w:szCs w:val="21"/>
                <w:highlight w:val="none"/>
              </w:rPr>
            </w:pPr>
            <w:r>
              <w:rPr>
                <w:rFonts w:hint="eastAsia" w:ascii="宋体" w:hAnsi="宋体"/>
                <w:color w:val="auto"/>
                <w:szCs w:val="21"/>
                <w:highlight w:val="none"/>
              </w:rPr>
              <w:t>41</w:t>
            </w:r>
          </w:p>
        </w:tc>
        <w:tc>
          <w:tcPr>
            <w:tcW w:w="1402" w:type="dxa"/>
            <w:tcBorders>
              <w:top w:val="single" w:color="000000" w:sz="4" w:space="0"/>
              <w:left w:val="single" w:color="auto" w:sz="4" w:space="0"/>
              <w:bottom w:val="single" w:color="000000" w:sz="4" w:space="0"/>
              <w:right w:val="single" w:color="000000" w:sz="4" w:space="0"/>
            </w:tcBorders>
            <w:vAlign w:val="center"/>
          </w:tcPr>
          <w:p w14:paraId="4EA1F96C">
            <w:pPr>
              <w:spacing w:line="360" w:lineRule="exact"/>
              <w:jc w:val="center"/>
              <w:rPr>
                <w:rFonts w:ascii="宋体" w:hAnsi="宋体"/>
                <w:color w:val="auto"/>
                <w:szCs w:val="21"/>
                <w:highlight w:val="none"/>
              </w:rPr>
            </w:pPr>
            <w:r>
              <w:rPr>
                <w:rFonts w:hint="eastAsia" w:ascii="宋体" w:hAnsi="宋体"/>
                <w:color w:val="auto"/>
                <w:szCs w:val="21"/>
                <w:highlight w:val="none"/>
              </w:rPr>
              <w:t>恒力铰链</w:t>
            </w:r>
          </w:p>
        </w:tc>
        <w:tc>
          <w:tcPr>
            <w:tcW w:w="704" w:type="dxa"/>
            <w:tcBorders>
              <w:top w:val="single" w:color="000000" w:sz="4" w:space="0"/>
              <w:left w:val="single" w:color="000000" w:sz="4" w:space="0"/>
              <w:bottom w:val="single" w:color="000000" w:sz="4" w:space="0"/>
              <w:right w:val="single" w:color="000000" w:sz="4" w:space="0"/>
            </w:tcBorders>
            <w:vAlign w:val="center"/>
          </w:tcPr>
          <w:p w14:paraId="36EA71C9">
            <w:pPr>
              <w:spacing w:line="360" w:lineRule="exact"/>
              <w:jc w:val="center"/>
              <w:rPr>
                <w:rFonts w:ascii="宋体" w:hAnsi="宋体"/>
                <w:color w:val="auto"/>
                <w:szCs w:val="21"/>
                <w:highlight w:val="none"/>
              </w:rPr>
            </w:pPr>
            <w:r>
              <w:rPr>
                <w:rFonts w:hint="eastAsia" w:ascii="宋体" w:hAnsi="宋体"/>
                <w:color w:val="auto"/>
                <w:szCs w:val="21"/>
                <w:highlight w:val="none"/>
              </w:rPr>
              <w:t>16</w:t>
            </w:r>
          </w:p>
        </w:tc>
        <w:tc>
          <w:tcPr>
            <w:tcW w:w="703" w:type="dxa"/>
            <w:tcBorders>
              <w:top w:val="single" w:color="auto" w:sz="4" w:space="0"/>
              <w:left w:val="single" w:color="000000" w:sz="4" w:space="0"/>
              <w:bottom w:val="single" w:color="000000" w:sz="4" w:space="0"/>
              <w:right w:val="single" w:color="000000" w:sz="4" w:space="0"/>
            </w:tcBorders>
            <w:vAlign w:val="center"/>
          </w:tcPr>
          <w:p w14:paraId="5B1C05C8">
            <w:pPr>
              <w:spacing w:line="360" w:lineRule="exact"/>
              <w:jc w:val="center"/>
              <w:rPr>
                <w:rFonts w:ascii="宋体" w:hAnsi="宋体"/>
                <w:color w:val="auto"/>
                <w:szCs w:val="21"/>
                <w:highlight w:val="none"/>
              </w:rPr>
            </w:pPr>
            <w:r>
              <w:rPr>
                <w:rFonts w:hint="eastAsia" w:ascii="宋体" w:hAnsi="宋体"/>
                <w:color w:val="auto"/>
                <w:szCs w:val="21"/>
                <w:highlight w:val="none"/>
              </w:rPr>
              <w:t>个</w:t>
            </w:r>
          </w:p>
        </w:tc>
        <w:tc>
          <w:tcPr>
            <w:tcW w:w="702" w:type="dxa"/>
            <w:vMerge w:val="continue"/>
            <w:tcBorders>
              <w:left w:val="single" w:color="000000" w:sz="4" w:space="0"/>
              <w:right w:val="single" w:color="000000" w:sz="4" w:space="0"/>
            </w:tcBorders>
            <w:vAlign w:val="center"/>
          </w:tcPr>
          <w:p w14:paraId="5D16BAB9">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4C0628B8">
            <w:pPr>
              <w:spacing w:line="360" w:lineRule="exact"/>
              <w:jc w:val="left"/>
              <w:rPr>
                <w:rFonts w:ascii="宋体" w:hAnsi="宋体"/>
                <w:color w:val="auto"/>
                <w:szCs w:val="21"/>
                <w:highlight w:val="none"/>
              </w:rPr>
            </w:pPr>
            <w:r>
              <w:rPr>
                <w:rFonts w:hint="eastAsia" w:ascii="宋体" w:hAnsi="宋体"/>
                <w:color w:val="auto"/>
                <w:szCs w:val="21"/>
                <w:highlight w:val="none"/>
              </w:rPr>
              <w:t>1.5M承重范围：2~11KG。</w:t>
            </w:r>
            <w:r>
              <w:rPr>
                <w:rFonts w:hint="eastAsia" w:ascii="宋体" w:hAnsi="宋体"/>
                <w:color w:val="auto"/>
                <w:szCs w:val="21"/>
                <w:highlight w:val="none"/>
              </w:rPr>
              <w:br w:type="textWrapping"/>
            </w:r>
            <w:r>
              <w:rPr>
                <w:rFonts w:hint="eastAsia" w:ascii="宋体" w:hAnsi="宋体"/>
                <w:color w:val="auto"/>
                <w:szCs w:val="21"/>
                <w:highlight w:val="none"/>
                <w:lang w:val="en-US" w:eastAsia="zh-CN"/>
              </w:rPr>
              <w:t>2</w:t>
            </w:r>
            <w:r>
              <w:rPr>
                <w:rFonts w:hint="eastAsia" w:ascii="宋体" w:hAnsi="宋体"/>
                <w:color w:val="auto"/>
                <w:szCs w:val="21"/>
                <w:highlight w:val="none"/>
              </w:rPr>
              <w:t>.材质：铝合金。</w:t>
            </w:r>
            <w:r>
              <w:rPr>
                <w:rFonts w:hint="eastAsia" w:ascii="宋体" w:hAnsi="宋体"/>
                <w:color w:val="auto"/>
                <w:szCs w:val="21"/>
                <w:highlight w:val="none"/>
              </w:rPr>
              <w:br w:type="textWrapping"/>
            </w:r>
            <w:r>
              <w:rPr>
                <w:rFonts w:hint="eastAsia" w:ascii="宋体" w:hAnsi="宋体"/>
                <w:color w:val="auto"/>
                <w:szCs w:val="21"/>
                <w:highlight w:val="none"/>
                <w:lang w:val="en-US" w:eastAsia="zh-CN"/>
              </w:rPr>
              <w:t>3</w:t>
            </w:r>
            <w:r>
              <w:rPr>
                <w:rFonts w:hint="eastAsia" w:ascii="宋体" w:hAnsi="宋体"/>
                <w:color w:val="auto"/>
                <w:szCs w:val="21"/>
                <w:highlight w:val="none"/>
              </w:rPr>
              <w:t>.弹簧：采用高品质弹簧。</w:t>
            </w:r>
            <w:r>
              <w:rPr>
                <w:rFonts w:hint="eastAsia" w:ascii="宋体" w:hAnsi="宋体"/>
                <w:color w:val="auto"/>
                <w:szCs w:val="21"/>
                <w:highlight w:val="none"/>
              </w:rPr>
              <w:br w:type="textWrapping"/>
            </w:r>
            <w:r>
              <w:rPr>
                <w:rFonts w:hint="eastAsia" w:ascii="宋体" w:hAnsi="宋体"/>
                <w:color w:val="auto"/>
                <w:szCs w:val="21"/>
                <w:highlight w:val="none"/>
                <w:lang w:val="en-US" w:eastAsia="zh-CN"/>
              </w:rPr>
              <w:t>4</w:t>
            </w:r>
            <w:r>
              <w:rPr>
                <w:rFonts w:hint="eastAsia" w:ascii="宋体" w:hAnsi="宋体"/>
                <w:color w:val="auto"/>
                <w:szCs w:val="21"/>
                <w:highlight w:val="none"/>
              </w:rPr>
              <w:t>.弹簧厚度：≥0.7mm。</w:t>
            </w:r>
            <w:r>
              <w:rPr>
                <w:rFonts w:hint="eastAsia" w:ascii="宋体" w:hAnsi="宋体"/>
                <w:color w:val="auto"/>
                <w:szCs w:val="21"/>
                <w:highlight w:val="none"/>
              </w:rPr>
              <w:br w:type="textWrapping"/>
            </w:r>
            <w:r>
              <w:rPr>
                <w:rFonts w:hint="eastAsia" w:ascii="宋体" w:hAnsi="宋体"/>
                <w:color w:val="auto"/>
                <w:szCs w:val="21"/>
                <w:highlight w:val="none"/>
                <w:lang w:val="en-US" w:eastAsia="zh-CN"/>
              </w:rPr>
              <w:t>5</w:t>
            </w:r>
            <w:r>
              <w:rPr>
                <w:rFonts w:hint="eastAsia" w:ascii="宋体" w:hAnsi="宋体"/>
                <w:color w:val="auto"/>
                <w:szCs w:val="21"/>
                <w:highlight w:val="none"/>
              </w:rPr>
              <w:t>.弹簧宽度：≥20mm。</w:t>
            </w:r>
            <w:r>
              <w:rPr>
                <w:rFonts w:hint="eastAsia" w:ascii="宋体" w:hAnsi="宋体"/>
                <w:color w:val="auto"/>
                <w:szCs w:val="21"/>
                <w:highlight w:val="none"/>
              </w:rPr>
              <w:br w:type="textWrapping"/>
            </w:r>
            <w:r>
              <w:rPr>
                <w:rFonts w:hint="eastAsia" w:ascii="宋体" w:hAnsi="宋体"/>
                <w:color w:val="auto"/>
                <w:szCs w:val="21"/>
                <w:highlight w:val="none"/>
                <w:lang w:val="en-US" w:eastAsia="zh-CN"/>
              </w:rPr>
              <w:t>6</w:t>
            </w:r>
            <w:r>
              <w:rPr>
                <w:rFonts w:hint="eastAsia" w:ascii="宋体" w:hAnsi="宋体"/>
                <w:color w:val="auto"/>
                <w:szCs w:val="21"/>
                <w:highlight w:val="none"/>
              </w:rPr>
              <w:t>.收缩长度：1.5m收缩约290mm/2m收缩约340mm。</w:t>
            </w:r>
            <w:r>
              <w:rPr>
                <w:rFonts w:hint="eastAsia" w:ascii="宋体" w:hAnsi="宋体"/>
                <w:color w:val="auto"/>
                <w:szCs w:val="21"/>
                <w:highlight w:val="none"/>
              </w:rPr>
              <w:br w:type="textWrapping"/>
            </w:r>
            <w:r>
              <w:rPr>
                <w:rFonts w:hint="eastAsia" w:ascii="宋体" w:hAnsi="宋体"/>
                <w:color w:val="auto"/>
                <w:szCs w:val="21"/>
                <w:highlight w:val="none"/>
                <w:lang w:val="en-US" w:eastAsia="zh-CN"/>
              </w:rPr>
              <w:t>7</w:t>
            </w:r>
            <w:r>
              <w:rPr>
                <w:rFonts w:hint="eastAsia" w:ascii="宋体" w:hAnsi="宋体"/>
                <w:color w:val="auto"/>
                <w:szCs w:val="21"/>
                <w:highlight w:val="none"/>
              </w:rPr>
              <w:t>.抗腐蚀抗疲劳：10000次内不超过1%。</w:t>
            </w:r>
          </w:p>
        </w:tc>
      </w:tr>
      <w:tr w14:paraId="6C1E2D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0B6FC3F1">
            <w:pPr>
              <w:jc w:val="center"/>
              <w:rPr>
                <w:rFonts w:ascii="宋体" w:hAnsi="宋体"/>
                <w:color w:val="auto"/>
                <w:szCs w:val="21"/>
                <w:highlight w:val="none"/>
              </w:rPr>
            </w:pPr>
            <w:r>
              <w:rPr>
                <w:rFonts w:hint="eastAsia" w:ascii="宋体" w:hAnsi="宋体"/>
                <w:color w:val="auto"/>
                <w:szCs w:val="21"/>
                <w:highlight w:val="none"/>
              </w:rPr>
              <w:t>42</w:t>
            </w:r>
          </w:p>
        </w:tc>
        <w:tc>
          <w:tcPr>
            <w:tcW w:w="1402" w:type="dxa"/>
            <w:tcBorders>
              <w:top w:val="single" w:color="000000" w:sz="4" w:space="0"/>
              <w:left w:val="single" w:color="auto" w:sz="4" w:space="0"/>
              <w:bottom w:val="single" w:color="000000" w:sz="4" w:space="0"/>
              <w:right w:val="single" w:color="000000" w:sz="4" w:space="0"/>
            </w:tcBorders>
            <w:vAlign w:val="center"/>
          </w:tcPr>
          <w:p w14:paraId="59BCAEC5">
            <w:pPr>
              <w:spacing w:line="360" w:lineRule="exact"/>
              <w:jc w:val="center"/>
              <w:rPr>
                <w:rFonts w:ascii="宋体" w:hAnsi="宋体"/>
                <w:color w:val="auto"/>
                <w:szCs w:val="21"/>
                <w:highlight w:val="none"/>
              </w:rPr>
            </w:pPr>
            <w:r>
              <w:rPr>
                <w:rFonts w:hint="eastAsia" w:ascii="宋体" w:hAnsi="宋体"/>
                <w:color w:val="auto"/>
                <w:szCs w:val="21"/>
                <w:highlight w:val="none"/>
              </w:rPr>
              <w:t>系统集成线材敷料</w:t>
            </w:r>
          </w:p>
        </w:tc>
        <w:tc>
          <w:tcPr>
            <w:tcW w:w="704" w:type="dxa"/>
            <w:tcBorders>
              <w:top w:val="single" w:color="000000" w:sz="4" w:space="0"/>
              <w:left w:val="single" w:color="000000" w:sz="4" w:space="0"/>
              <w:bottom w:val="single" w:color="000000" w:sz="4" w:space="0"/>
              <w:right w:val="single" w:color="000000" w:sz="4" w:space="0"/>
            </w:tcBorders>
            <w:vAlign w:val="center"/>
          </w:tcPr>
          <w:p w14:paraId="36899A94">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703" w:type="dxa"/>
            <w:tcBorders>
              <w:top w:val="single" w:color="auto" w:sz="4" w:space="0"/>
              <w:left w:val="single" w:color="000000" w:sz="4" w:space="0"/>
              <w:bottom w:val="single" w:color="000000" w:sz="4" w:space="0"/>
              <w:right w:val="single" w:color="000000" w:sz="4" w:space="0"/>
            </w:tcBorders>
            <w:vAlign w:val="center"/>
          </w:tcPr>
          <w:p w14:paraId="57FBDF87">
            <w:pPr>
              <w:spacing w:line="360" w:lineRule="exact"/>
              <w:jc w:val="center"/>
              <w:rPr>
                <w:rFonts w:ascii="宋体" w:hAnsi="宋体"/>
                <w:color w:val="auto"/>
                <w:szCs w:val="21"/>
                <w:highlight w:val="none"/>
              </w:rPr>
            </w:pPr>
            <w:r>
              <w:rPr>
                <w:rFonts w:hint="eastAsia" w:ascii="宋体" w:hAnsi="宋体"/>
                <w:color w:val="auto"/>
                <w:szCs w:val="21"/>
                <w:highlight w:val="none"/>
              </w:rPr>
              <w:t>批</w:t>
            </w:r>
          </w:p>
        </w:tc>
        <w:tc>
          <w:tcPr>
            <w:tcW w:w="702" w:type="dxa"/>
            <w:vMerge w:val="continue"/>
            <w:tcBorders>
              <w:left w:val="single" w:color="000000" w:sz="4" w:space="0"/>
              <w:right w:val="single" w:color="000000" w:sz="4" w:space="0"/>
            </w:tcBorders>
            <w:vAlign w:val="center"/>
          </w:tcPr>
          <w:p w14:paraId="74BB2DFC">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4BE0049F">
            <w:pPr>
              <w:spacing w:line="360" w:lineRule="exact"/>
              <w:jc w:val="left"/>
              <w:rPr>
                <w:rFonts w:ascii="宋体" w:hAnsi="宋体"/>
                <w:color w:val="auto"/>
                <w:szCs w:val="21"/>
                <w:highlight w:val="none"/>
              </w:rPr>
            </w:pPr>
            <w:r>
              <w:rPr>
                <w:rFonts w:hint="eastAsia" w:ascii="宋体" w:hAnsi="宋体"/>
                <w:color w:val="auto"/>
                <w:szCs w:val="21"/>
                <w:highlight w:val="none"/>
              </w:rPr>
              <w:t>系统搭建所需全套视频线、音频线、网线、电源线和工具敷料等，具体包括但不限于：</w:t>
            </w:r>
            <w:r>
              <w:rPr>
                <w:rFonts w:hint="eastAsia" w:ascii="宋体" w:hAnsi="宋体"/>
                <w:color w:val="auto"/>
                <w:szCs w:val="21"/>
                <w:highlight w:val="none"/>
              </w:rPr>
              <w:br w:type="textWrapping"/>
            </w:r>
            <w:r>
              <w:rPr>
                <w:rFonts w:hint="eastAsia" w:ascii="宋体" w:hAnsi="宋体"/>
                <w:color w:val="auto"/>
                <w:szCs w:val="21"/>
                <w:highlight w:val="none"/>
              </w:rPr>
              <w:t>1.SDI视频线缆：12G-SDI标准75Ω同轴电缆（BNC接口），长度≥3m/根，数量≥20根。</w:t>
            </w:r>
            <w:r>
              <w:rPr>
                <w:rFonts w:hint="eastAsia" w:ascii="宋体" w:hAnsi="宋体"/>
                <w:color w:val="auto"/>
                <w:szCs w:val="21"/>
                <w:highlight w:val="none"/>
              </w:rPr>
              <w:br w:type="textWrapping"/>
            </w:r>
            <w:r>
              <w:rPr>
                <w:rFonts w:hint="eastAsia" w:ascii="宋体" w:hAnsi="宋体"/>
                <w:color w:val="auto"/>
                <w:szCs w:val="21"/>
                <w:highlight w:val="none"/>
              </w:rPr>
              <w:t>2.HDMI线缆：HDMI 2.0标准，支持4K@60Hz，长度≥5m/根，数量≥5根。</w:t>
            </w:r>
            <w:r>
              <w:rPr>
                <w:rFonts w:hint="eastAsia" w:ascii="宋体" w:hAnsi="宋体"/>
                <w:color w:val="auto"/>
                <w:szCs w:val="21"/>
                <w:highlight w:val="none"/>
              </w:rPr>
              <w:br w:type="textWrapping"/>
            </w:r>
            <w:r>
              <w:rPr>
                <w:rFonts w:hint="eastAsia" w:ascii="宋体" w:hAnsi="宋体"/>
                <w:color w:val="auto"/>
                <w:szCs w:val="21"/>
                <w:highlight w:val="none"/>
              </w:rPr>
              <w:t>3.音频线缆：平衡卡侬线（XLR），长度≥5m/根，数量≥15根。</w:t>
            </w:r>
            <w:r>
              <w:rPr>
                <w:rFonts w:hint="eastAsia" w:ascii="宋体" w:hAnsi="宋体"/>
                <w:color w:val="auto"/>
                <w:szCs w:val="21"/>
                <w:highlight w:val="none"/>
              </w:rPr>
              <w:br w:type="textWrapping"/>
            </w:r>
            <w:r>
              <w:rPr>
                <w:rFonts w:hint="eastAsia" w:ascii="宋体" w:hAnsi="宋体"/>
                <w:color w:val="auto"/>
                <w:szCs w:val="21"/>
                <w:highlight w:val="none"/>
              </w:rPr>
              <w:t>4.网络线缆：超六类（Cat6A）屏蔽双绞线（RJ45接口），支持万兆传输。</w:t>
            </w:r>
            <w:r>
              <w:rPr>
                <w:rFonts w:hint="eastAsia" w:ascii="宋体" w:hAnsi="宋体"/>
                <w:color w:val="auto"/>
                <w:szCs w:val="21"/>
                <w:highlight w:val="none"/>
              </w:rPr>
              <w:br w:type="textWrapping"/>
            </w:r>
            <w:r>
              <w:rPr>
                <w:rFonts w:hint="eastAsia" w:ascii="宋体" w:hAnsi="宋体"/>
                <w:color w:val="auto"/>
                <w:szCs w:val="21"/>
                <w:highlight w:val="none"/>
              </w:rPr>
              <w:t>5.DMX信号线缆：5芯DMX标准信号线，长度≥10m/根，数量≥10根。</w:t>
            </w:r>
            <w:r>
              <w:rPr>
                <w:rFonts w:hint="eastAsia" w:ascii="宋体" w:hAnsi="宋体"/>
                <w:color w:val="auto"/>
                <w:szCs w:val="21"/>
                <w:highlight w:val="none"/>
              </w:rPr>
              <w:br w:type="textWrapping"/>
            </w:r>
            <w:r>
              <w:rPr>
                <w:rFonts w:hint="eastAsia" w:ascii="宋体" w:hAnsi="宋体"/>
                <w:color w:val="auto"/>
                <w:szCs w:val="21"/>
                <w:highlight w:val="none"/>
              </w:rPr>
              <w:t>6.电源线缆：国标≥1.5mm²截面积铜芯电源线，含PDU电源分配单元≥4个。</w:t>
            </w:r>
            <w:r>
              <w:rPr>
                <w:rFonts w:hint="eastAsia" w:ascii="宋体" w:hAnsi="宋体"/>
                <w:color w:val="auto"/>
                <w:szCs w:val="21"/>
                <w:highlight w:val="none"/>
              </w:rPr>
              <w:br w:type="textWrapping"/>
            </w:r>
            <w:r>
              <w:rPr>
                <w:rFonts w:hint="eastAsia" w:ascii="宋体" w:hAnsi="宋体"/>
                <w:color w:val="auto"/>
                <w:szCs w:val="21"/>
                <w:highlight w:val="none"/>
              </w:rPr>
              <w:t>7.线缆辅料：线槽、扎带、标签纸、热缩管、接线端子等。</w:t>
            </w:r>
            <w:r>
              <w:rPr>
                <w:rFonts w:hint="eastAsia" w:ascii="宋体" w:hAnsi="宋体"/>
                <w:color w:val="auto"/>
                <w:szCs w:val="21"/>
                <w:highlight w:val="none"/>
              </w:rPr>
              <w:br w:type="textWrapping"/>
            </w:r>
            <w:r>
              <w:rPr>
                <w:rFonts w:hint="eastAsia" w:ascii="宋体" w:hAnsi="宋体"/>
                <w:color w:val="auto"/>
                <w:szCs w:val="21"/>
                <w:highlight w:val="none"/>
              </w:rPr>
              <w:t>8.所有线缆均为国标纯铜线芯，具备阻燃等级认证，含光纤跳线≥4根（LC-LC多模），用于设备间高速互联。成交供应商于供货时向采购人提供完整线缆标识及布线图纸，否则采购人有权不予验收。</w:t>
            </w:r>
          </w:p>
        </w:tc>
      </w:tr>
      <w:tr w14:paraId="1A78A0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5CB68EB3">
            <w:pPr>
              <w:jc w:val="center"/>
              <w:rPr>
                <w:rFonts w:ascii="宋体" w:hAnsi="宋体"/>
                <w:color w:val="auto"/>
                <w:szCs w:val="21"/>
                <w:highlight w:val="none"/>
              </w:rPr>
            </w:pPr>
            <w:r>
              <w:rPr>
                <w:rFonts w:hint="eastAsia" w:ascii="宋体" w:hAnsi="宋体"/>
                <w:color w:val="auto"/>
                <w:szCs w:val="21"/>
                <w:highlight w:val="none"/>
              </w:rPr>
              <w:t>43</w:t>
            </w:r>
          </w:p>
        </w:tc>
        <w:tc>
          <w:tcPr>
            <w:tcW w:w="1402" w:type="dxa"/>
            <w:tcBorders>
              <w:top w:val="single" w:color="000000" w:sz="4" w:space="0"/>
              <w:left w:val="single" w:color="auto" w:sz="4" w:space="0"/>
              <w:bottom w:val="single" w:color="000000" w:sz="4" w:space="0"/>
              <w:right w:val="single" w:color="000000" w:sz="4" w:space="0"/>
            </w:tcBorders>
            <w:vAlign w:val="center"/>
          </w:tcPr>
          <w:p w14:paraId="628D53F3">
            <w:pPr>
              <w:spacing w:line="360" w:lineRule="exact"/>
              <w:jc w:val="center"/>
              <w:rPr>
                <w:rFonts w:ascii="宋体" w:hAnsi="宋体"/>
                <w:color w:val="auto"/>
                <w:szCs w:val="21"/>
                <w:highlight w:val="none"/>
              </w:rPr>
            </w:pPr>
            <w:r>
              <w:rPr>
                <w:rFonts w:hint="eastAsia" w:ascii="宋体" w:hAnsi="宋体"/>
                <w:color w:val="auto"/>
                <w:szCs w:val="21"/>
                <w:highlight w:val="none"/>
              </w:rPr>
              <w:t>系统设计安装调试培训</w:t>
            </w:r>
          </w:p>
        </w:tc>
        <w:tc>
          <w:tcPr>
            <w:tcW w:w="704" w:type="dxa"/>
            <w:tcBorders>
              <w:top w:val="single" w:color="000000" w:sz="4" w:space="0"/>
              <w:left w:val="single" w:color="000000" w:sz="4" w:space="0"/>
              <w:bottom w:val="single" w:color="000000" w:sz="4" w:space="0"/>
              <w:right w:val="single" w:color="000000" w:sz="4" w:space="0"/>
            </w:tcBorders>
            <w:vAlign w:val="center"/>
          </w:tcPr>
          <w:p w14:paraId="62DA72D5">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703" w:type="dxa"/>
            <w:tcBorders>
              <w:top w:val="single" w:color="auto" w:sz="4" w:space="0"/>
              <w:left w:val="single" w:color="000000" w:sz="4" w:space="0"/>
              <w:bottom w:val="single" w:color="000000" w:sz="4" w:space="0"/>
              <w:right w:val="single" w:color="000000" w:sz="4" w:space="0"/>
            </w:tcBorders>
            <w:vAlign w:val="center"/>
          </w:tcPr>
          <w:p w14:paraId="7174423F">
            <w:pPr>
              <w:spacing w:line="360" w:lineRule="exact"/>
              <w:jc w:val="center"/>
              <w:rPr>
                <w:rFonts w:ascii="宋体" w:hAnsi="宋体"/>
                <w:color w:val="auto"/>
                <w:szCs w:val="21"/>
                <w:highlight w:val="none"/>
              </w:rPr>
            </w:pPr>
            <w:r>
              <w:rPr>
                <w:rFonts w:hint="eastAsia" w:ascii="宋体" w:hAnsi="宋体"/>
                <w:color w:val="auto"/>
                <w:szCs w:val="21"/>
                <w:highlight w:val="none"/>
              </w:rPr>
              <w:t>项</w:t>
            </w:r>
          </w:p>
        </w:tc>
        <w:tc>
          <w:tcPr>
            <w:tcW w:w="702" w:type="dxa"/>
            <w:vMerge w:val="continue"/>
            <w:tcBorders>
              <w:left w:val="single" w:color="000000" w:sz="4" w:space="0"/>
              <w:right w:val="single" w:color="000000" w:sz="4" w:space="0"/>
            </w:tcBorders>
            <w:vAlign w:val="center"/>
          </w:tcPr>
          <w:p w14:paraId="141E682B">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6D8F0812">
            <w:pPr>
              <w:spacing w:line="360" w:lineRule="exact"/>
              <w:jc w:val="left"/>
              <w:rPr>
                <w:rFonts w:hint="eastAsia" w:ascii="宋体" w:hAnsi="宋体"/>
                <w:color w:val="auto"/>
                <w:szCs w:val="21"/>
                <w:highlight w:val="none"/>
              </w:rPr>
            </w:pPr>
            <w:r>
              <w:rPr>
                <w:rFonts w:hint="eastAsia" w:ascii="宋体" w:hAnsi="宋体"/>
                <w:color w:val="auto"/>
                <w:szCs w:val="21"/>
                <w:highlight w:val="none"/>
              </w:rPr>
              <w:t>1.系统设计：成交供应商于供货前必须向采购人提供演播室整体系统设计方案，包括但不限于项目理解、设备选型、搭配、信号流程设计等。</w:t>
            </w:r>
          </w:p>
          <w:p w14:paraId="23357B33">
            <w:pPr>
              <w:spacing w:line="360" w:lineRule="exact"/>
              <w:jc w:val="left"/>
              <w:rPr>
                <w:rFonts w:hint="eastAsia" w:ascii="宋体" w:hAnsi="宋体"/>
                <w:color w:val="auto"/>
                <w:szCs w:val="21"/>
                <w:highlight w:val="none"/>
              </w:rPr>
            </w:pPr>
            <w:r>
              <w:rPr>
                <w:rFonts w:hint="eastAsia" w:ascii="宋体" w:hAnsi="宋体"/>
                <w:color w:val="auto"/>
                <w:szCs w:val="21"/>
                <w:highlight w:val="none"/>
              </w:rPr>
              <w:t>2.设备安装：包含所有设备的机柜安装、设备上架、线缆敷设及标识、接口连接等。</w:t>
            </w:r>
          </w:p>
          <w:p w14:paraId="55C4134A">
            <w:pPr>
              <w:spacing w:line="360" w:lineRule="exact"/>
              <w:jc w:val="left"/>
              <w:rPr>
                <w:rFonts w:hint="eastAsia" w:ascii="宋体" w:hAnsi="宋体"/>
                <w:color w:val="auto"/>
                <w:szCs w:val="21"/>
                <w:highlight w:val="none"/>
              </w:rPr>
            </w:pPr>
            <w:r>
              <w:rPr>
                <w:rFonts w:hint="eastAsia" w:ascii="宋体" w:hAnsi="宋体"/>
                <w:color w:val="auto"/>
                <w:szCs w:val="21"/>
                <w:highlight w:val="none"/>
              </w:rPr>
              <w:t>3.系统调试：包含视频信号联调、色彩校准（含D65白平衡校准）、音频调校（含声学测量）、网络配置、虚拟演播系统标定等，确保所有设备性能指标达到设计要求。</w:t>
            </w:r>
          </w:p>
          <w:p w14:paraId="5E24EDD3">
            <w:pPr>
              <w:spacing w:line="360" w:lineRule="exact"/>
              <w:jc w:val="left"/>
              <w:rPr>
                <w:rFonts w:hint="eastAsia" w:ascii="宋体" w:hAnsi="宋体"/>
                <w:color w:val="auto"/>
                <w:szCs w:val="21"/>
                <w:highlight w:val="none"/>
              </w:rPr>
            </w:pPr>
            <w:r>
              <w:rPr>
                <w:rFonts w:hint="eastAsia" w:ascii="宋体" w:hAnsi="宋体"/>
                <w:color w:val="auto"/>
                <w:szCs w:val="21"/>
                <w:highlight w:val="none"/>
              </w:rPr>
              <w:t>4.培训服务：提供≥5天现场培训，分三个层次：（1）基础操作培训：面向≥10名采购人操作人员，覆盖设备开关机、基本操作、信号切换等。</w:t>
            </w:r>
          </w:p>
          <w:p w14:paraId="49C49FBA">
            <w:pPr>
              <w:spacing w:line="360" w:lineRule="exact"/>
              <w:jc w:val="left"/>
              <w:rPr>
                <w:rFonts w:hint="eastAsia" w:ascii="宋体" w:hAnsi="宋体"/>
                <w:color w:val="auto"/>
                <w:szCs w:val="21"/>
                <w:highlight w:val="none"/>
              </w:rPr>
            </w:pPr>
            <w:r>
              <w:rPr>
                <w:rFonts w:hint="eastAsia" w:ascii="宋体" w:hAnsi="宋体"/>
                <w:color w:val="auto"/>
                <w:szCs w:val="21"/>
                <w:highlight w:val="none"/>
              </w:rPr>
              <w:t>（2）高级应用培训：面向≥5名采购人技术人员，涵盖虚拟演播系统操作、调色工作流程、媒资管理等进阶应用。</w:t>
            </w:r>
          </w:p>
          <w:p w14:paraId="173087E0">
            <w:pPr>
              <w:spacing w:line="360" w:lineRule="exact"/>
              <w:jc w:val="left"/>
              <w:rPr>
                <w:rFonts w:hint="eastAsia" w:ascii="宋体" w:hAnsi="宋体"/>
                <w:color w:val="auto"/>
                <w:szCs w:val="21"/>
                <w:highlight w:val="none"/>
              </w:rPr>
            </w:pPr>
            <w:r>
              <w:rPr>
                <w:rFonts w:hint="eastAsia" w:ascii="宋体" w:hAnsi="宋体"/>
                <w:color w:val="auto"/>
                <w:szCs w:val="21"/>
                <w:highlight w:val="none"/>
              </w:rPr>
              <w:t>（3）维护管理培训：面向≥3名采购人维护人员，教授日常维护保养、常见故障诊断与排除方法。</w:t>
            </w:r>
          </w:p>
          <w:p w14:paraId="3BD96608">
            <w:pPr>
              <w:spacing w:line="360" w:lineRule="exact"/>
              <w:jc w:val="left"/>
              <w:rPr>
                <w:rFonts w:hint="eastAsia" w:ascii="宋体" w:hAnsi="宋体"/>
                <w:color w:val="auto"/>
                <w:szCs w:val="21"/>
                <w:highlight w:val="none"/>
              </w:rPr>
            </w:pPr>
            <w:r>
              <w:rPr>
                <w:rFonts w:hint="eastAsia" w:ascii="宋体" w:hAnsi="宋体"/>
                <w:color w:val="auto"/>
                <w:szCs w:val="21"/>
                <w:highlight w:val="none"/>
              </w:rPr>
              <w:t>5.文档交付：验收时提供完整的系统竣工文档（含系统拓扑图、设备清单、线缆连接图、操作手册等）。</w:t>
            </w:r>
          </w:p>
          <w:p w14:paraId="1E2C0997">
            <w:pPr>
              <w:spacing w:line="360" w:lineRule="exact"/>
              <w:jc w:val="left"/>
              <w:rPr>
                <w:rFonts w:hint="eastAsia" w:ascii="宋体" w:hAnsi="宋体"/>
                <w:color w:val="auto"/>
                <w:szCs w:val="21"/>
                <w:highlight w:val="none"/>
              </w:rPr>
            </w:pPr>
            <w:r>
              <w:rPr>
                <w:rFonts w:hint="eastAsia" w:ascii="宋体" w:hAnsi="宋体"/>
                <w:color w:val="auto"/>
                <w:szCs w:val="21"/>
                <w:highlight w:val="none"/>
              </w:rPr>
              <w:t>6.售后服务：提供≥1年技术支持服务，响应时间≤4小时，重大故障24小时内到场处理</w:t>
            </w:r>
            <w:r>
              <w:rPr>
                <w:rFonts w:hint="eastAsia" w:ascii="宋体" w:hAnsi="宋体"/>
                <w:color w:val="auto"/>
                <w:szCs w:val="21"/>
                <w:highlight w:val="none"/>
                <w:lang w:eastAsia="zh-CN"/>
              </w:rPr>
              <w:t>（费用包含在谈判报价中，采购人不再另行支付费用）</w:t>
            </w:r>
            <w:r>
              <w:rPr>
                <w:rFonts w:hint="eastAsia" w:ascii="宋体" w:hAnsi="宋体"/>
                <w:color w:val="auto"/>
                <w:szCs w:val="21"/>
                <w:highlight w:val="none"/>
              </w:rPr>
              <w:t>。</w:t>
            </w:r>
          </w:p>
        </w:tc>
      </w:tr>
      <w:tr w14:paraId="480D77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shd w:val="clear" w:color="auto" w:fill="auto"/>
            <w:vAlign w:val="center"/>
          </w:tcPr>
          <w:p w14:paraId="20B8D6E1">
            <w:pPr>
              <w:jc w:val="center"/>
              <w:rPr>
                <w:rFonts w:ascii="宋体" w:hAnsi="宋体"/>
                <w:color w:val="auto"/>
                <w:szCs w:val="21"/>
                <w:highlight w:val="none"/>
              </w:rPr>
            </w:pPr>
            <w:r>
              <w:rPr>
                <w:rFonts w:hint="eastAsia" w:ascii="宋体" w:hAnsi="宋体"/>
                <w:color w:val="auto"/>
                <w:szCs w:val="21"/>
                <w:highlight w:val="none"/>
              </w:rPr>
              <w:t>44</w:t>
            </w:r>
          </w:p>
        </w:tc>
        <w:tc>
          <w:tcPr>
            <w:tcW w:w="1402" w:type="dxa"/>
            <w:tcBorders>
              <w:top w:val="single" w:color="000000" w:sz="4" w:space="0"/>
              <w:left w:val="single" w:color="auto" w:sz="4" w:space="0"/>
              <w:bottom w:val="single" w:color="000000" w:sz="4" w:space="0"/>
              <w:right w:val="single" w:color="000000" w:sz="4" w:space="0"/>
            </w:tcBorders>
            <w:shd w:val="clear" w:color="auto" w:fill="auto"/>
            <w:vAlign w:val="center"/>
          </w:tcPr>
          <w:p w14:paraId="6E183AE5">
            <w:pPr>
              <w:spacing w:line="360" w:lineRule="exact"/>
              <w:jc w:val="center"/>
              <w:rPr>
                <w:rFonts w:ascii="宋体" w:hAnsi="宋体"/>
                <w:color w:val="auto"/>
                <w:szCs w:val="21"/>
                <w:highlight w:val="none"/>
              </w:rPr>
            </w:pPr>
            <w:r>
              <w:rPr>
                <w:rFonts w:hint="eastAsia" w:ascii="宋体" w:hAnsi="宋体"/>
                <w:color w:val="auto"/>
                <w:szCs w:val="21"/>
                <w:highlight w:val="none"/>
              </w:rPr>
              <w:t>影音内容制作工作站</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85622">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703" w:type="dxa"/>
            <w:tcBorders>
              <w:top w:val="single" w:color="auto" w:sz="4" w:space="0"/>
              <w:left w:val="single" w:color="000000" w:sz="4" w:space="0"/>
              <w:bottom w:val="single" w:color="000000" w:sz="4" w:space="0"/>
              <w:right w:val="single" w:color="000000" w:sz="4" w:space="0"/>
            </w:tcBorders>
            <w:vAlign w:val="center"/>
          </w:tcPr>
          <w:p w14:paraId="192D2268">
            <w:pPr>
              <w:spacing w:line="360" w:lineRule="exact"/>
              <w:jc w:val="center"/>
              <w:rPr>
                <w:rFonts w:ascii="宋体" w:hAnsi="宋体"/>
                <w:color w:val="auto"/>
                <w:szCs w:val="21"/>
                <w:highlight w:val="none"/>
              </w:rPr>
            </w:pPr>
            <w:r>
              <w:rPr>
                <w:rFonts w:hint="eastAsia" w:ascii="宋体" w:hAnsi="宋体"/>
                <w:color w:val="auto"/>
                <w:szCs w:val="21"/>
                <w:highlight w:val="none"/>
              </w:rPr>
              <w:t>套</w:t>
            </w:r>
          </w:p>
        </w:tc>
        <w:tc>
          <w:tcPr>
            <w:tcW w:w="702" w:type="dxa"/>
            <w:vMerge w:val="continue"/>
            <w:tcBorders>
              <w:left w:val="single" w:color="000000" w:sz="4" w:space="0"/>
              <w:right w:val="single" w:color="000000" w:sz="4" w:space="0"/>
            </w:tcBorders>
            <w:vAlign w:val="center"/>
          </w:tcPr>
          <w:p w14:paraId="738DB144">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tcPr>
          <w:p w14:paraId="473ECF53">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1.主机：专业图形</w:t>
            </w:r>
            <w:r>
              <w:rPr>
                <w:rFonts w:hint="eastAsia" w:ascii="宋体" w:hAnsi="宋体"/>
                <w:color w:val="auto"/>
                <w:szCs w:val="21"/>
                <w:highlight w:val="none"/>
                <w:lang w:val="en-US" w:eastAsia="zh-CN"/>
              </w:rPr>
              <w:t>工作站（处理器</w:t>
            </w:r>
            <w:r>
              <w:rPr>
                <w:rFonts w:hint="eastAsia" w:ascii="宋体" w:hAnsi="宋体"/>
                <w:color w:val="auto"/>
                <w:szCs w:val="21"/>
                <w:highlight w:val="none"/>
              </w:rPr>
              <w:t>：</w:t>
            </w:r>
            <w:r>
              <w:rPr>
                <w:rFonts w:hint="eastAsia" w:ascii="宋体" w:hAnsi="宋体"/>
                <w:color w:val="auto"/>
                <w:szCs w:val="21"/>
                <w:highlight w:val="none"/>
                <w:lang w:val="en-US" w:eastAsia="zh-CN"/>
              </w:rPr>
              <w:t>参考或相当于</w:t>
            </w:r>
            <w:r>
              <w:rPr>
                <w:rFonts w:hint="eastAsia" w:ascii="宋体" w:hAnsi="宋体"/>
                <w:color w:val="auto"/>
                <w:szCs w:val="21"/>
                <w:highlight w:val="none"/>
              </w:rPr>
              <w:t>Intel I7 13代高性能处理器</w:t>
            </w:r>
            <w:r>
              <w:rPr>
                <w:rFonts w:hint="eastAsia" w:ascii="宋体" w:hAnsi="宋体"/>
                <w:color w:val="auto"/>
                <w:szCs w:val="21"/>
                <w:highlight w:val="none"/>
                <w:lang w:eastAsia="zh-CN"/>
              </w:rPr>
              <w:t>。</w:t>
            </w:r>
          </w:p>
          <w:p w14:paraId="4FA471AD">
            <w:pPr>
              <w:spacing w:line="360" w:lineRule="exact"/>
              <w:jc w:val="left"/>
              <w:rPr>
                <w:rFonts w:ascii="宋体" w:hAnsi="宋体"/>
                <w:color w:val="auto"/>
                <w:szCs w:val="21"/>
                <w:highlight w:val="none"/>
              </w:rPr>
            </w:pPr>
            <w:r>
              <w:rPr>
                <w:rFonts w:hint="eastAsia" w:ascii="宋体" w:hAnsi="宋体"/>
                <w:color w:val="auto"/>
                <w:szCs w:val="21"/>
                <w:highlight w:val="none"/>
              </w:rPr>
              <w:t>2.内存：≥32GB DDR5 。</w:t>
            </w:r>
          </w:p>
          <w:p w14:paraId="32AEC76B">
            <w:pPr>
              <w:spacing w:line="360" w:lineRule="exact"/>
              <w:jc w:val="left"/>
              <w:rPr>
                <w:rFonts w:hint="eastAsia" w:ascii="宋体" w:hAnsi="宋体"/>
                <w:color w:val="auto"/>
                <w:szCs w:val="21"/>
                <w:highlight w:val="none"/>
                <w:lang w:val="en-US" w:eastAsia="zh-CN"/>
              </w:rPr>
            </w:pPr>
            <w:r>
              <w:rPr>
                <w:rFonts w:hint="eastAsia" w:ascii="宋体" w:hAnsi="宋体"/>
                <w:color w:val="auto"/>
                <w:szCs w:val="21"/>
                <w:highlight w:val="none"/>
              </w:rPr>
              <w:t>3.显</w:t>
            </w:r>
            <w:r>
              <w:rPr>
                <w:rFonts w:hint="eastAsia" w:ascii="宋体" w:hAnsi="宋体"/>
                <w:color w:val="auto"/>
                <w:szCs w:val="21"/>
                <w:highlight w:val="none"/>
                <w:lang w:val="en-US" w:eastAsia="zh-CN"/>
              </w:rPr>
              <w:t>存</w:t>
            </w:r>
            <w:r>
              <w:rPr>
                <w:rFonts w:hint="eastAsia" w:ascii="宋体" w:hAnsi="宋体"/>
                <w:color w:val="auto"/>
                <w:szCs w:val="21"/>
                <w:highlight w:val="none"/>
              </w:rPr>
              <w:t>：≥</w:t>
            </w:r>
            <w:r>
              <w:rPr>
                <w:rFonts w:hint="eastAsia" w:ascii="宋体" w:hAnsi="宋体"/>
                <w:color w:val="auto"/>
                <w:szCs w:val="21"/>
                <w:highlight w:val="none"/>
                <w:lang w:val="en-US" w:eastAsia="zh-CN"/>
              </w:rPr>
              <w:t xml:space="preserve"> 12GB GDDR6。</w:t>
            </w:r>
          </w:p>
          <w:p w14:paraId="7A3BC0CF">
            <w:pPr>
              <w:spacing w:line="360" w:lineRule="exact"/>
              <w:jc w:val="left"/>
              <w:rPr>
                <w:rFonts w:ascii="宋体" w:hAnsi="宋体"/>
                <w:color w:val="auto"/>
                <w:szCs w:val="21"/>
                <w:highlight w:val="none"/>
              </w:rPr>
            </w:pPr>
            <w:r>
              <w:rPr>
                <w:rFonts w:hint="eastAsia" w:ascii="宋体" w:hAnsi="宋体"/>
                <w:color w:val="auto"/>
                <w:szCs w:val="21"/>
                <w:highlight w:val="none"/>
              </w:rPr>
              <w:t>4.系统盘：≥2TB SSD。</w:t>
            </w:r>
          </w:p>
          <w:p w14:paraId="7F5070EE">
            <w:pPr>
              <w:spacing w:line="360" w:lineRule="exact"/>
              <w:jc w:val="left"/>
              <w:rPr>
                <w:rFonts w:ascii="宋体" w:hAnsi="宋体"/>
                <w:color w:val="auto"/>
                <w:szCs w:val="21"/>
                <w:highlight w:val="none"/>
              </w:rPr>
            </w:pPr>
            <w:r>
              <w:rPr>
                <w:rFonts w:hint="eastAsia" w:ascii="宋体" w:hAnsi="宋体"/>
                <w:color w:val="auto"/>
                <w:szCs w:val="21"/>
                <w:highlight w:val="none"/>
              </w:rPr>
              <w:t>5.素材盘：≥4TB企业级HDD。</w:t>
            </w:r>
          </w:p>
          <w:p w14:paraId="6DEA4C3E">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6</w:t>
            </w:r>
            <w:r>
              <w:rPr>
                <w:rFonts w:hint="eastAsia" w:ascii="宋体" w:hAnsi="宋体"/>
                <w:color w:val="auto"/>
                <w:szCs w:val="21"/>
                <w:highlight w:val="none"/>
              </w:rPr>
              <w:t>.显示器：≥40英寸</w:t>
            </w:r>
            <w:r>
              <w:rPr>
                <w:rFonts w:hint="eastAsia" w:ascii="宋体" w:hAnsi="宋体"/>
                <w:color w:val="auto"/>
                <w:szCs w:val="21"/>
                <w:highlight w:val="none"/>
                <w:lang w:eastAsia="zh-CN"/>
              </w:rPr>
              <w:t>。</w:t>
            </w:r>
          </w:p>
          <w:p w14:paraId="20BF5490">
            <w:pPr>
              <w:spacing w:line="360" w:lineRule="exact"/>
              <w:jc w:val="left"/>
              <w:rPr>
                <w:rFonts w:hint="eastAsia" w:ascii="宋体" w:hAnsi="宋体"/>
                <w:color w:val="auto"/>
                <w:szCs w:val="21"/>
                <w:highlight w:val="none"/>
              </w:rPr>
            </w:pPr>
            <w:r>
              <w:rPr>
                <w:rFonts w:hint="eastAsia" w:ascii="宋体" w:hAnsi="宋体"/>
                <w:color w:val="auto"/>
                <w:szCs w:val="21"/>
                <w:highlight w:val="none"/>
                <w:lang w:val="en-US" w:eastAsia="zh-CN"/>
              </w:rPr>
              <w:t>7</w:t>
            </w:r>
            <w:r>
              <w:rPr>
                <w:rFonts w:hint="eastAsia" w:ascii="宋体" w:hAnsi="宋体"/>
                <w:color w:val="auto"/>
                <w:szCs w:val="21"/>
                <w:highlight w:val="none"/>
              </w:rPr>
              <w:t>.广播级非线性编辑软件</w:t>
            </w:r>
          </w:p>
          <w:p w14:paraId="42810EFD">
            <w:pPr>
              <w:spacing w:line="360" w:lineRule="exact"/>
              <w:jc w:val="left"/>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1</w:t>
            </w:r>
            <w:r>
              <w:rPr>
                <w:rFonts w:hint="eastAsia" w:ascii="宋体" w:hAnsi="宋体"/>
                <w:color w:val="auto"/>
                <w:szCs w:val="21"/>
                <w:highlight w:val="none"/>
                <w:lang w:eastAsia="zh-CN"/>
              </w:rPr>
              <w:t>）</w:t>
            </w:r>
            <w:r>
              <w:rPr>
                <w:rFonts w:hint="eastAsia" w:ascii="宋体" w:hAnsi="宋体"/>
                <w:color w:val="auto"/>
                <w:szCs w:val="21"/>
                <w:highlight w:val="none"/>
              </w:rPr>
              <w:t>全中文、具有国内自主知识产权的专业版编辑制作软件套装，支持标清、高清、超高清及8K节目独立及混合编辑。</w:t>
            </w:r>
          </w:p>
          <w:p w14:paraId="6DA7A844">
            <w:pPr>
              <w:spacing w:line="360" w:lineRule="exact"/>
              <w:jc w:val="left"/>
              <w:rPr>
                <w:rFonts w:hint="eastAsia"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2</w:t>
            </w:r>
            <w:r>
              <w:rPr>
                <w:rFonts w:hint="eastAsia" w:ascii="宋体" w:hAnsi="宋体"/>
                <w:color w:val="auto"/>
                <w:szCs w:val="21"/>
                <w:highlight w:val="none"/>
                <w:lang w:eastAsia="zh-CN"/>
              </w:rPr>
              <w:t>）</w:t>
            </w:r>
            <w:r>
              <w:rPr>
                <w:rFonts w:hint="eastAsia" w:ascii="宋体" w:hAnsi="宋体"/>
                <w:color w:val="auto"/>
                <w:szCs w:val="21"/>
                <w:highlight w:val="none"/>
              </w:rPr>
              <w:t>软件可以同时在Linux（信创）、windows平台下运行，所有素材包括字幕和工程文件兼容信创和windows平台。</w:t>
            </w:r>
          </w:p>
          <w:p w14:paraId="67C6934A">
            <w:pPr>
              <w:spacing w:line="360" w:lineRule="exact"/>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0</w:t>
            </w:r>
            <w:r>
              <w:rPr>
                <w:rFonts w:hint="eastAsia" w:ascii="宋体" w:hAnsi="宋体"/>
                <w:color w:val="auto"/>
                <w:szCs w:val="21"/>
                <w:highlight w:val="none"/>
              </w:rPr>
              <w:t>.保修期限：≥3年。</w:t>
            </w:r>
          </w:p>
        </w:tc>
      </w:tr>
      <w:tr w14:paraId="48A1AC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47A26F90">
            <w:pPr>
              <w:jc w:val="center"/>
              <w:rPr>
                <w:rFonts w:ascii="宋体" w:hAnsi="宋体"/>
                <w:color w:val="auto"/>
                <w:szCs w:val="21"/>
                <w:highlight w:val="none"/>
              </w:rPr>
            </w:pPr>
            <w:r>
              <w:rPr>
                <w:rFonts w:hint="eastAsia" w:ascii="宋体" w:hAnsi="宋体"/>
                <w:color w:val="auto"/>
                <w:szCs w:val="21"/>
                <w:highlight w:val="none"/>
              </w:rPr>
              <w:t>45</w:t>
            </w:r>
          </w:p>
        </w:tc>
        <w:tc>
          <w:tcPr>
            <w:tcW w:w="1402" w:type="dxa"/>
            <w:tcBorders>
              <w:top w:val="single" w:color="000000" w:sz="4" w:space="0"/>
              <w:left w:val="single" w:color="auto" w:sz="4" w:space="0"/>
              <w:bottom w:val="single" w:color="000000" w:sz="4" w:space="0"/>
              <w:right w:val="single" w:color="000000" w:sz="4" w:space="0"/>
            </w:tcBorders>
            <w:vAlign w:val="center"/>
          </w:tcPr>
          <w:p w14:paraId="3D9EBC35">
            <w:pPr>
              <w:spacing w:line="360" w:lineRule="exact"/>
              <w:jc w:val="center"/>
              <w:rPr>
                <w:rFonts w:ascii="宋体" w:hAnsi="宋体"/>
                <w:color w:val="auto"/>
                <w:szCs w:val="21"/>
                <w:highlight w:val="none"/>
              </w:rPr>
            </w:pPr>
            <w:r>
              <w:rPr>
                <w:rFonts w:hint="eastAsia" w:ascii="宋体" w:hAnsi="宋体"/>
                <w:color w:val="auto"/>
                <w:szCs w:val="21"/>
                <w:highlight w:val="none"/>
              </w:rPr>
              <w:t>虚拟演播室平台</w:t>
            </w:r>
          </w:p>
        </w:tc>
        <w:tc>
          <w:tcPr>
            <w:tcW w:w="704" w:type="dxa"/>
            <w:tcBorders>
              <w:top w:val="single" w:color="000000" w:sz="4" w:space="0"/>
              <w:left w:val="single" w:color="000000" w:sz="4" w:space="0"/>
              <w:bottom w:val="single" w:color="000000" w:sz="4" w:space="0"/>
              <w:right w:val="single" w:color="000000" w:sz="4" w:space="0"/>
            </w:tcBorders>
            <w:vAlign w:val="center"/>
          </w:tcPr>
          <w:p w14:paraId="0DA70F61">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703" w:type="dxa"/>
            <w:tcBorders>
              <w:top w:val="single" w:color="auto" w:sz="4" w:space="0"/>
              <w:left w:val="single" w:color="000000" w:sz="4" w:space="0"/>
              <w:bottom w:val="single" w:color="000000" w:sz="4" w:space="0"/>
              <w:right w:val="single" w:color="000000" w:sz="4" w:space="0"/>
            </w:tcBorders>
            <w:vAlign w:val="center"/>
          </w:tcPr>
          <w:p w14:paraId="5D05B2B6">
            <w:pPr>
              <w:spacing w:line="360" w:lineRule="exact"/>
              <w:jc w:val="center"/>
              <w:rPr>
                <w:rFonts w:ascii="宋体" w:hAnsi="宋体"/>
                <w:color w:val="auto"/>
                <w:szCs w:val="21"/>
                <w:highlight w:val="none"/>
              </w:rPr>
            </w:pPr>
            <w:r>
              <w:rPr>
                <w:rFonts w:hint="eastAsia" w:ascii="宋体" w:hAnsi="宋体"/>
                <w:color w:val="auto"/>
                <w:szCs w:val="21"/>
                <w:highlight w:val="none"/>
              </w:rPr>
              <w:t>套</w:t>
            </w:r>
          </w:p>
        </w:tc>
        <w:tc>
          <w:tcPr>
            <w:tcW w:w="702" w:type="dxa"/>
            <w:vMerge w:val="continue"/>
            <w:tcBorders>
              <w:left w:val="single" w:color="000000" w:sz="4" w:space="0"/>
              <w:right w:val="single" w:color="000000" w:sz="4" w:space="0"/>
            </w:tcBorders>
            <w:vAlign w:val="center"/>
          </w:tcPr>
          <w:p w14:paraId="3EA5CBFB">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798F2A2E">
            <w:pPr>
              <w:spacing w:line="360" w:lineRule="exact"/>
              <w:jc w:val="left"/>
              <w:rPr>
                <w:rFonts w:ascii="宋体" w:hAnsi="宋体"/>
                <w:color w:val="auto"/>
                <w:szCs w:val="21"/>
                <w:highlight w:val="none"/>
              </w:rPr>
            </w:pPr>
            <w:r>
              <w:rPr>
                <w:rFonts w:hint="eastAsia" w:ascii="宋体" w:hAnsi="宋体"/>
                <w:color w:val="auto"/>
                <w:szCs w:val="21"/>
                <w:highlight w:val="none"/>
              </w:rPr>
              <w:t>1.渲染纹理容量：虚拟场景纹理贴图容量＞40GB，支持分辨率≥25000×25000的贴图。</w:t>
            </w:r>
          </w:p>
          <w:p w14:paraId="04522A4A">
            <w:pPr>
              <w:spacing w:line="360" w:lineRule="exact"/>
              <w:jc w:val="left"/>
              <w:rPr>
                <w:rFonts w:ascii="宋体" w:hAnsi="宋体"/>
                <w:color w:val="auto"/>
                <w:szCs w:val="21"/>
                <w:highlight w:val="none"/>
              </w:rPr>
            </w:pPr>
            <w:r>
              <w:rPr>
                <w:rFonts w:hint="eastAsia" w:ascii="宋体" w:hAnsi="宋体"/>
                <w:color w:val="auto"/>
                <w:szCs w:val="21"/>
                <w:highlight w:val="none"/>
              </w:rPr>
              <w:t>2.场景开放编辑：支持虚拟三维场景编辑功能，可修改三维场景内所有物体，包括改变物体纹理、光效、空间位置、大小、透明度、朝向和物体动画等属性；可添加或删除三维物体，可输出查看修改效果及实时光影变幻，可生成并另存为新场景。</w:t>
            </w:r>
          </w:p>
          <w:p w14:paraId="5F2D0ADC">
            <w:pPr>
              <w:spacing w:line="360" w:lineRule="exact"/>
              <w:jc w:val="left"/>
              <w:rPr>
                <w:rFonts w:ascii="宋体" w:hAnsi="宋体"/>
                <w:color w:val="auto"/>
                <w:szCs w:val="21"/>
                <w:highlight w:val="none"/>
              </w:rPr>
            </w:pPr>
            <w:r>
              <w:rPr>
                <w:rFonts w:hint="eastAsia" w:ascii="宋体" w:hAnsi="宋体"/>
                <w:color w:val="auto"/>
                <w:szCs w:val="21"/>
                <w:highlight w:val="none"/>
              </w:rPr>
              <w:t>3.过场动画实时编辑：物体、字幕条模板、视频窗入场/出场模板、三维物体轨迹动画模板、柱状图、饼状图、走势图、折线图动画模板的材质、色彩、运动方式、字体、光影及场景整体变换等所有属性均可组合为独立模板，并可保存为模板调用。</w:t>
            </w:r>
          </w:p>
          <w:p w14:paraId="5E0679AE">
            <w:pPr>
              <w:spacing w:line="360" w:lineRule="exact"/>
              <w:jc w:val="left"/>
              <w:rPr>
                <w:rFonts w:ascii="宋体" w:hAnsi="宋体"/>
                <w:color w:val="auto"/>
                <w:szCs w:val="21"/>
                <w:highlight w:val="none"/>
              </w:rPr>
            </w:pPr>
            <w:r>
              <w:rPr>
                <w:rFonts w:hint="eastAsia" w:ascii="宋体" w:hAnsi="宋体"/>
                <w:color w:val="auto"/>
                <w:szCs w:val="21"/>
                <w:highlight w:val="none"/>
              </w:rPr>
              <w:t>4.多场景同时处理：可一次性同时载入多个三维场景或图片、视频和模型等多种格式场景；三维场景之间支持自定义转场特效（如材质消散、融合等）。</w:t>
            </w:r>
          </w:p>
          <w:p w14:paraId="3976E74C">
            <w:pPr>
              <w:spacing w:line="360" w:lineRule="exact"/>
              <w:jc w:val="left"/>
              <w:rPr>
                <w:rFonts w:ascii="宋体" w:hAnsi="宋体"/>
                <w:color w:val="auto"/>
                <w:szCs w:val="21"/>
                <w:highlight w:val="none"/>
              </w:rPr>
            </w:pPr>
            <w:r>
              <w:rPr>
                <w:rFonts w:hint="eastAsia" w:ascii="宋体" w:hAnsi="宋体"/>
                <w:color w:val="auto"/>
                <w:szCs w:val="21"/>
                <w:highlight w:val="none"/>
              </w:rPr>
              <w:t>5.在线包装：可在节目中实时创建三维文字、三维几何体，导入外来图文或三维模型、动画；可实时调整倒角、厚度、环境光、漫反射、镜面反射参数；所有物件所有面均可实现纹理贴图。</w:t>
            </w:r>
          </w:p>
          <w:p w14:paraId="21941558">
            <w:pPr>
              <w:spacing w:line="360" w:lineRule="exact"/>
              <w:jc w:val="left"/>
              <w:rPr>
                <w:rFonts w:ascii="宋体" w:hAnsi="宋体"/>
                <w:color w:val="auto"/>
                <w:szCs w:val="21"/>
                <w:highlight w:val="none"/>
              </w:rPr>
            </w:pPr>
            <w:r>
              <w:rPr>
                <w:rFonts w:hint="eastAsia" w:ascii="宋体" w:hAnsi="宋体"/>
                <w:color w:val="auto"/>
                <w:szCs w:val="21"/>
                <w:highlight w:val="none"/>
              </w:rPr>
              <w:t>6.虚拟运动机位无轨跟踪：虚拟摄像机运动轨迹≥1000个。</w:t>
            </w:r>
          </w:p>
          <w:p w14:paraId="4903966D">
            <w:pPr>
              <w:spacing w:line="360" w:lineRule="exact"/>
              <w:jc w:val="left"/>
              <w:rPr>
                <w:rFonts w:ascii="宋体" w:hAnsi="宋体"/>
                <w:color w:val="auto"/>
                <w:szCs w:val="21"/>
                <w:highlight w:val="none"/>
              </w:rPr>
            </w:pPr>
            <w:r>
              <w:rPr>
                <w:rFonts w:hint="eastAsia" w:ascii="宋体" w:hAnsi="宋体"/>
                <w:color w:val="auto"/>
                <w:szCs w:val="21"/>
                <w:highlight w:val="none"/>
              </w:rPr>
              <w:t>7.虚拟机位预设：支持≥180个虚拟机位关键帧预设，每个机位可设置独立的摄像机参数（含摄像机位置、各方向角位移、焦段参数等）。</w:t>
            </w:r>
          </w:p>
          <w:p w14:paraId="29AEBC0D">
            <w:pPr>
              <w:spacing w:line="360" w:lineRule="exact"/>
              <w:jc w:val="left"/>
              <w:rPr>
                <w:rFonts w:ascii="宋体" w:hAnsi="宋体"/>
                <w:color w:val="auto"/>
                <w:szCs w:val="21"/>
                <w:highlight w:val="none"/>
              </w:rPr>
            </w:pPr>
            <w:r>
              <w:rPr>
                <w:rFonts w:hint="eastAsia" w:ascii="宋体" w:hAnsi="宋体"/>
                <w:color w:val="auto"/>
                <w:szCs w:val="21"/>
                <w:highlight w:val="none"/>
              </w:rPr>
              <w:t>8.AR植入：实景拍摄时可在画面中植入各类AR内容，通过有轨跟踪保证AR植入内容与实时拍摄画面运动姿态一致、景深一致。</w:t>
            </w:r>
          </w:p>
          <w:p w14:paraId="2F70FA24">
            <w:pPr>
              <w:spacing w:line="360" w:lineRule="exact"/>
              <w:jc w:val="left"/>
              <w:rPr>
                <w:rFonts w:ascii="宋体" w:hAnsi="宋体"/>
                <w:color w:val="auto"/>
                <w:szCs w:val="21"/>
                <w:highlight w:val="none"/>
              </w:rPr>
            </w:pPr>
            <w:r>
              <w:rPr>
                <w:rFonts w:hint="eastAsia" w:ascii="宋体" w:hAnsi="宋体"/>
                <w:color w:val="auto"/>
                <w:szCs w:val="21"/>
                <w:highlight w:val="none"/>
              </w:rPr>
              <w:t>9.多功能色键：内置色键可对摄像机信号、网络信号、NDI信号和本地视频等进行抠像处理；支持多次取色；抠像效果人物边缘无黑边、无蓝（绿）边、无闪烁、无锯齿；人物运动或摆手时无蓝（绿）边、无拖尾。</w:t>
            </w:r>
          </w:p>
          <w:p w14:paraId="1C39127E">
            <w:pPr>
              <w:spacing w:line="360" w:lineRule="exact"/>
              <w:jc w:val="left"/>
              <w:rPr>
                <w:rFonts w:ascii="宋体" w:hAnsi="宋体"/>
                <w:color w:val="auto"/>
                <w:szCs w:val="21"/>
                <w:highlight w:val="none"/>
              </w:rPr>
            </w:pPr>
            <w:r>
              <w:rPr>
                <w:rFonts w:hint="eastAsia" w:ascii="宋体" w:hAnsi="宋体"/>
                <w:color w:val="auto"/>
                <w:szCs w:val="21"/>
                <w:highlight w:val="none"/>
              </w:rPr>
              <w:t>10.一键智能抠像和滤镜美颜：支持将水瓶、头发丝等半透明物体从背景中分离，抠像物体边缘连续完整、无杂色；支持对前景人物进行美肤、美白处理（含轮廓柔化、肤质美化和亮度调整等）；基于示波器肤色线，美颜效果仅对肤色有效；内置≥11种滤镜样式，滤镜强度可调。</w:t>
            </w:r>
          </w:p>
          <w:p w14:paraId="54873653">
            <w:pPr>
              <w:spacing w:line="360" w:lineRule="exact"/>
              <w:jc w:val="left"/>
              <w:rPr>
                <w:rFonts w:ascii="宋体" w:hAnsi="宋体"/>
                <w:color w:val="auto"/>
                <w:szCs w:val="21"/>
                <w:highlight w:val="none"/>
              </w:rPr>
            </w:pPr>
            <w:r>
              <w:rPr>
                <w:rFonts w:hint="eastAsia" w:ascii="宋体" w:hAnsi="宋体"/>
                <w:color w:val="auto"/>
                <w:szCs w:val="21"/>
                <w:highlight w:val="none"/>
              </w:rPr>
              <w:t>11.色彩还原：支持色彩还原功能，可调整画面暗部色彩。</w:t>
            </w:r>
          </w:p>
          <w:p w14:paraId="623C0416">
            <w:pPr>
              <w:spacing w:line="360" w:lineRule="exact"/>
              <w:jc w:val="left"/>
              <w:rPr>
                <w:rFonts w:ascii="宋体" w:hAnsi="宋体"/>
                <w:color w:val="auto"/>
                <w:szCs w:val="21"/>
                <w:highlight w:val="none"/>
              </w:rPr>
            </w:pPr>
            <w:r>
              <w:rPr>
                <w:rFonts w:hint="eastAsia" w:ascii="宋体" w:hAnsi="宋体"/>
                <w:color w:val="auto"/>
                <w:szCs w:val="21"/>
                <w:highlight w:val="none"/>
              </w:rPr>
              <w:t>12.多路抠像：可并行处理≥</w:t>
            </w:r>
            <w:r>
              <w:rPr>
                <w:rFonts w:hint="eastAsia" w:ascii="宋体" w:hAnsi="宋体"/>
                <w:color w:val="auto"/>
                <w:szCs w:val="21"/>
                <w:highlight w:val="none"/>
                <w:lang w:val="en-US" w:eastAsia="zh-CN"/>
              </w:rPr>
              <w:t>12</w:t>
            </w:r>
            <w:r>
              <w:rPr>
                <w:rFonts w:hint="eastAsia" w:ascii="宋体" w:hAnsi="宋体"/>
                <w:color w:val="auto"/>
                <w:szCs w:val="21"/>
                <w:highlight w:val="none"/>
              </w:rPr>
              <w:t>路色键，可独立设置色键参数，独立保存、调用。</w:t>
            </w:r>
          </w:p>
          <w:p w14:paraId="3375BC73">
            <w:pPr>
              <w:spacing w:line="360" w:lineRule="exact"/>
              <w:jc w:val="left"/>
              <w:rPr>
                <w:rFonts w:ascii="宋体" w:hAnsi="宋体"/>
                <w:color w:val="auto"/>
                <w:szCs w:val="21"/>
                <w:highlight w:val="none"/>
              </w:rPr>
            </w:pPr>
            <w:r>
              <w:rPr>
                <w:rFonts w:hint="eastAsia" w:ascii="宋体" w:hAnsi="宋体"/>
                <w:color w:val="auto"/>
                <w:szCs w:val="21"/>
                <w:highlight w:val="none"/>
              </w:rPr>
              <w:t>13.步进时间线：每个分镜头包含≥6个轨道，每个轨道均可添加素材；在步进时间线上点击相应分镜头的播放按钮可播放相应画面。</w:t>
            </w:r>
          </w:p>
          <w:p w14:paraId="46CB564D">
            <w:pPr>
              <w:spacing w:line="360" w:lineRule="exact"/>
              <w:jc w:val="left"/>
              <w:rPr>
                <w:rFonts w:ascii="宋体" w:hAnsi="宋体"/>
                <w:color w:val="auto"/>
                <w:szCs w:val="21"/>
                <w:highlight w:val="none"/>
              </w:rPr>
            </w:pPr>
            <w:r>
              <w:rPr>
                <w:rFonts w:hint="eastAsia" w:ascii="宋体" w:hAnsi="宋体"/>
                <w:color w:val="auto"/>
                <w:szCs w:val="21"/>
                <w:highlight w:val="none"/>
              </w:rPr>
              <w:t>14.提词器控制：可在虚拟软件内将题词文稿发送到提词器主机，并根据导播切换机位自动切换到该主持人的题词内容。</w:t>
            </w:r>
          </w:p>
          <w:p w14:paraId="01BAAF9A">
            <w:pPr>
              <w:spacing w:line="360" w:lineRule="exact"/>
              <w:jc w:val="left"/>
              <w:rPr>
                <w:rFonts w:ascii="宋体" w:hAnsi="宋体"/>
                <w:color w:val="auto"/>
                <w:szCs w:val="21"/>
                <w:highlight w:val="none"/>
              </w:rPr>
            </w:pPr>
            <w:r>
              <w:rPr>
                <w:rFonts w:hint="eastAsia" w:ascii="宋体" w:hAnsi="宋体"/>
                <w:color w:val="auto"/>
                <w:szCs w:val="21"/>
                <w:highlight w:val="none"/>
              </w:rPr>
              <w:t>15.演播室灯光控制：采用DMX512协议，绑定灯光地址码；可在步进时间线上配置灯光亮度（0-255）、开灯/关灯时长、延时开灯/关灯等属性，通过切换步进时间线实现灯光控制。</w:t>
            </w:r>
          </w:p>
          <w:p w14:paraId="71EF6270">
            <w:pPr>
              <w:spacing w:line="360" w:lineRule="exact"/>
              <w:jc w:val="left"/>
              <w:rPr>
                <w:rFonts w:ascii="宋体" w:hAnsi="宋体"/>
                <w:color w:val="auto"/>
                <w:szCs w:val="21"/>
                <w:highlight w:val="none"/>
              </w:rPr>
            </w:pPr>
            <w:r>
              <w:rPr>
                <w:rFonts w:hint="eastAsia" w:ascii="宋体" w:hAnsi="宋体"/>
                <w:color w:val="auto"/>
                <w:szCs w:val="21"/>
                <w:highlight w:val="none"/>
              </w:rPr>
              <w:t>16.内置录制功能：无需外置采集设备即可将4路输入和1路输出的音视频信号录制并生成多种可选格式的视频文件；支持≥200Mbps码率，CQP、VBR、CBR编码可选；音频支持AAC、AC3、MP2、MP3格式；录制文件最高支持2160p60；可同步将录制的4路输入视频导入到板卡进行播放，4路视频帧对齐。</w:t>
            </w:r>
          </w:p>
          <w:p w14:paraId="07A04513">
            <w:pPr>
              <w:spacing w:line="360" w:lineRule="exact"/>
              <w:jc w:val="left"/>
              <w:rPr>
                <w:rFonts w:ascii="宋体" w:hAnsi="宋体"/>
                <w:color w:val="auto"/>
                <w:szCs w:val="21"/>
                <w:highlight w:val="none"/>
              </w:rPr>
            </w:pPr>
            <w:r>
              <w:rPr>
                <w:rFonts w:hint="eastAsia" w:ascii="宋体" w:hAnsi="宋体"/>
                <w:color w:val="auto"/>
                <w:szCs w:val="21"/>
                <w:highlight w:val="none"/>
              </w:rPr>
              <w:t>17.流媒体直播：支持RTMP协议，可设置≥100Mbps码率，视频支持CQP、VBR、CBR编码，音频支持AAC、AC3、MP2、MP3编码，支持同步多平台实时流媒体推送。</w:t>
            </w:r>
          </w:p>
          <w:p w14:paraId="2A86A0FA">
            <w:pPr>
              <w:spacing w:line="360" w:lineRule="exact"/>
              <w:jc w:val="left"/>
              <w:rPr>
                <w:rFonts w:ascii="宋体" w:hAnsi="宋体"/>
                <w:color w:val="auto"/>
                <w:szCs w:val="21"/>
                <w:highlight w:val="none"/>
              </w:rPr>
            </w:pPr>
            <w:r>
              <w:rPr>
                <w:rFonts w:hint="eastAsia" w:ascii="宋体" w:hAnsi="宋体"/>
                <w:color w:val="auto"/>
                <w:szCs w:val="21"/>
                <w:highlight w:val="none"/>
              </w:rPr>
              <w:t>18.软件调音台：可对每路输入音频分别进行音量、均衡、混叠、延时等调节；可对PGM输出音频进行调整；支持断电直通。</w:t>
            </w:r>
          </w:p>
          <w:p w14:paraId="09DA5DB5">
            <w:pPr>
              <w:spacing w:line="360" w:lineRule="exact"/>
              <w:jc w:val="left"/>
              <w:rPr>
                <w:rFonts w:ascii="宋体" w:hAnsi="宋体"/>
                <w:color w:val="auto"/>
                <w:szCs w:val="21"/>
                <w:highlight w:val="none"/>
              </w:rPr>
            </w:pPr>
            <w:r>
              <w:rPr>
                <w:rFonts w:hint="eastAsia" w:ascii="宋体" w:hAnsi="宋体"/>
                <w:color w:val="auto"/>
                <w:szCs w:val="21"/>
                <w:highlight w:val="none"/>
              </w:rPr>
              <w:t>19.TALLY控制：支持高低电压和通断两种协议；支持红绿双色4路或单色8路Tally。</w:t>
            </w:r>
          </w:p>
          <w:p w14:paraId="194995CA">
            <w:pPr>
              <w:spacing w:line="360" w:lineRule="exact"/>
              <w:jc w:val="left"/>
              <w:rPr>
                <w:rFonts w:ascii="宋体" w:hAnsi="宋体"/>
                <w:color w:val="auto"/>
                <w:szCs w:val="21"/>
                <w:highlight w:val="none"/>
              </w:rPr>
            </w:pPr>
            <w:r>
              <w:rPr>
                <w:rFonts w:hint="eastAsia" w:ascii="宋体" w:hAnsi="宋体"/>
                <w:color w:val="auto"/>
                <w:szCs w:val="21"/>
                <w:highlight w:val="none"/>
              </w:rPr>
              <w:t>20.NDI输入输出：可输入4K、高清、标清等各种制式的NDI信号，可作为虚拟背景、虚拟开窗、信号源使用。</w:t>
            </w:r>
          </w:p>
          <w:p w14:paraId="3704203A">
            <w:pPr>
              <w:spacing w:line="360" w:lineRule="exact"/>
              <w:jc w:val="left"/>
              <w:rPr>
                <w:rFonts w:ascii="宋体" w:hAnsi="宋体"/>
                <w:color w:val="auto"/>
                <w:szCs w:val="21"/>
                <w:highlight w:val="none"/>
              </w:rPr>
            </w:pPr>
            <w:r>
              <w:rPr>
                <w:rFonts w:hint="eastAsia" w:ascii="宋体" w:hAnsi="宋体"/>
                <w:color w:val="auto"/>
                <w:szCs w:val="21"/>
                <w:highlight w:val="none"/>
              </w:rPr>
              <w:t>21.动作捕捉设备接入：可将穿戴动捕设备的人物动作数据通过动捕系统实时接入；可实时赋予虚拟三维人物，三维虚拟人物与现场表演者动作一致。</w:t>
            </w:r>
          </w:p>
          <w:p w14:paraId="62728F40">
            <w:pPr>
              <w:spacing w:line="360" w:lineRule="exact"/>
              <w:jc w:val="left"/>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22.具备1.5U 工控机箱，含专用后背接口板；处理器主频不低于 3.4GHZ(20 核 28 线程）；内存：不低于（2×32）64G 内存；具有≥16G 显存专业图形渲染显卡。</w:t>
            </w:r>
          </w:p>
          <w:p w14:paraId="696C140B">
            <w:pPr>
              <w:spacing w:line="360" w:lineRule="exact"/>
              <w:jc w:val="left"/>
              <w:rPr>
                <w:rFonts w:ascii="宋体" w:hAnsi="宋体"/>
                <w:color w:val="auto"/>
                <w:szCs w:val="21"/>
                <w:highlight w:val="none"/>
              </w:rPr>
            </w:pPr>
            <w:r>
              <w:rPr>
                <w:rFonts w:hint="eastAsia" w:ascii="宋体" w:hAnsi="宋体"/>
                <w:color w:val="auto"/>
                <w:szCs w:val="21"/>
                <w:highlight w:val="none"/>
                <w:lang w:val="en-US" w:eastAsia="zh-CN"/>
              </w:rPr>
              <w:t>23.具备广播级多通道板卡</w:t>
            </w:r>
            <w:r>
              <w:rPr>
                <w:rFonts w:hint="eastAsia" w:ascii="宋体" w:hAnsi="宋体"/>
                <w:b/>
                <w:bCs/>
                <w:color w:val="auto"/>
                <w:szCs w:val="21"/>
                <w:highlight w:val="none"/>
                <w:lang w:eastAsia="zh-CN"/>
              </w:rPr>
              <w:t>。</w:t>
            </w:r>
          </w:p>
        </w:tc>
      </w:tr>
      <w:tr w14:paraId="551DB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7D6C1BDB">
            <w:pPr>
              <w:jc w:val="center"/>
              <w:rPr>
                <w:rFonts w:ascii="宋体" w:hAnsi="宋体"/>
                <w:color w:val="auto"/>
                <w:szCs w:val="21"/>
                <w:highlight w:val="none"/>
              </w:rPr>
            </w:pPr>
            <w:r>
              <w:rPr>
                <w:rFonts w:hint="eastAsia" w:ascii="宋体" w:hAnsi="宋体"/>
                <w:color w:val="auto"/>
                <w:szCs w:val="21"/>
                <w:highlight w:val="none"/>
              </w:rPr>
              <w:t>46</w:t>
            </w:r>
          </w:p>
        </w:tc>
        <w:tc>
          <w:tcPr>
            <w:tcW w:w="1402" w:type="dxa"/>
            <w:tcBorders>
              <w:top w:val="single" w:color="000000" w:sz="4" w:space="0"/>
              <w:left w:val="single" w:color="auto" w:sz="4" w:space="0"/>
              <w:bottom w:val="single" w:color="000000" w:sz="4" w:space="0"/>
              <w:right w:val="single" w:color="000000" w:sz="4" w:space="0"/>
            </w:tcBorders>
            <w:vAlign w:val="center"/>
          </w:tcPr>
          <w:p w14:paraId="37759AEB">
            <w:pPr>
              <w:spacing w:line="360" w:lineRule="exact"/>
              <w:jc w:val="center"/>
              <w:rPr>
                <w:rFonts w:ascii="宋体" w:hAnsi="宋体"/>
                <w:color w:val="auto"/>
                <w:szCs w:val="21"/>
                <w:highlight w:val="none"/>
              </w:rPr>
            </w:pPr>
            <w:r>
              <w:rPr>
                <w:rFonts w:hint="eastAsia" w:ascii="宋体" w:hAnsi="宋体"/>
                <w:color w:val="auto"/>
                <w:szCs w:val="21"/>
                <w:highlight w:val="none"/>
              </w:rPr>
              <w:t>超渲染引擎</w:t>
            </w:r>
          </w:p>
        </w:tc>
        <w:tc>
          <w:tcPr>
            <w:tcW w:w="704" w:type="dxa"/>
            <w:tcBorders>
              <w:top w:val="single" w:color="000000" w:sz="4" w:space="0"/>
              <w:left w:val="single" w:color="000000" w:sz="4" w:space="0"/>
              <w:bottom w:val="single" w:color="000000" w:sz="4" w:space="0"/>
              <w:right w:val="single" w:color="000000" w:sz="4" w:space="0"/>
            </w:tcBorders>
            <w:vAlign w:val="center"/>
          </w:tcPr>
          <w:p w14:paraId="35C4F4AD">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703" w:type="dxa"/>
            <w:tcBorders>
              <w:top w:val="single" w:color="auto" w:sz="4" w:space="0"/>
              <w:left w:val="single" w:color="000000" w:sz="4" w:space="0"/>
              <w:bottom w:val="single" w:color="000000" w:sz="4" w:space="0"/>
              <w:right w:val="single" w:color="000000" w:sz="4" w:space="0"/>
            </w:tcBorders>
            <w:vAlign w:val="center"/>
          </w:tcPr>
          <w:p w14:paraId="5FEB5960">
            <w:pPr>
              <w:spacing w:line="360" w:lineRule="exact"/>
              <w:jc w:val="center"/>
              <w:rPr>
                <w:rFonts w:ascii="宋体" w:hAnsi="宋体"/>
                <w:color w:val="auto"/>
                <w:szCs w:val="21"/>
                <w:highlight w:val="none"/>
              </w:rPr>
            </w:pPr>
            <w:r>
              <w:rPr>
                <w:rFonts w:hint="eastAsia" w:ascii="宋体" w:hAnsi="宋体"/>
                <w:color w:val="auto"/>
                <w:szCs w:val="21"/>
                <w:highlight w:val="none"/>
              </w:rPr>
              <w:t>套</w:t>
            </w:r>
          </w:p>
        </w:tc>
        <w:tc>
          <w:tcPr>
            <w:tcW w:w="702" w:type="dxa"/>
            <w:vMerge w:val="continue"/>
            <w:tcBorders>
              <w:left w:val="single" w:color="000000" w:sz="4" w:space="0"/>
              <w:right w:val="single" w:color="000000" w:sz="4" w:space="0"/>
            </w:tcBorders>
            <w:vAlign w:val="center"/>
          </w:tcPr>
          <w:p w14:paraId="62D0B17B">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7B35B451">
            <w:pPr>
              <w:spacing w:line="360" w:lineRule="exact"/>
              <w:jc w:val="left"/>
              <w:rPr>
                <w:rFonts w:ascii="宋体" w:hAnsi="宋体"/>
                <w:color w:val="auto"/>
                <w:szCs w:val="21"/>
                <w:highlight w:val="none"/>
              </w:rPr>
            </w:pPr>
            <w:r>
              <w:rPr>
                <w:rFonts w:hint="eastAsia" w:ascii="宋体" w:hAnsi="宋体"/>
                <w:color w:val="auto"/>
                <w:szCs w:val="21"/>
                <w:highlight w:val="none"/>
              </w:rPr>
              <w:t>1.渲染引擎：应同时支持自研渲染引擎和第三方渲染引擎。</w:t>
            </w:r>
          </w:p>
          <w:p w14:paraId="56537233">
            <w:pPr>
              <w:spacing w:line="360" w:lineRule="exact"/>
              <w:jc w:val="left"/>
              <w:rPr>
                <w:rFonts w:ascii="宋体" w:hAnsi="宋体"/>
                <w:color w:val="auto"/>
                <w:szCs w:val="21"/>
                <w:highlight w:val="none"/>
              </w:rPr>
            </w:pPr>
            <w:r>
              <w:rPr>
                <w:rFonts w:hint="eastAsia" w:ascii="宋体" w:hAnsi="宋体"/>
                <w:color w:val="auto"/>
                <w:szCs w:val="21"/>
                <w:highlight w:val="none"/>
              </w:rPr>
              <w:t>2.基于物理的渲染（PBR）：可调整材质的物理及光照属性；可展示不同物体在空间不同位置的真实光影信息，展现不同材质的真实物理性质。</w:t>
            </w:r>
          </w:p>
          <w:p w14:paraId="5A50E239">
            <w:pPr>
              <w:spacing w:line="360" w:lineRule="exact"/>
              <w:jc w:val="left"/>
              <w:rPr>
                <w:rFonts w:ascii="宋体" w:hAnsi="宋体"/>
                <w:color w:val="auto"/>
                <w:szCs w:val="21"/>
                <w:highlight w:val="none"/>
              </w:rPr>
            </w:pPr>
            <w:r>
              <w:rPr>
                <w:rFonts w:hint="eastAsia" w:ascii="宋体" w:hAnsi="宋体"/>
                <w:color w:val="auto"/>
                <w:szCs w:val="21"/>
                <w:highlight w:val="none"/>
              </w:rPr>
              <w:t>3.实时反射与折射：支持所有材质及VR植入虚拟物体的实时反射、倒影、折射，符合真实世界光学规律。</w:t>
            </w:r>
          </w:p>
          <w:p w14:paraId="6C037A6C">
            <w:pPr>
              <w:spacing w:line="360" w:lineRule="exact"/>
              <w:jc w:val="left"/>
              <w:rPr>
                <w:rFonts w:ascii="宋体" w:hAnsi="宋体"/>
                <w:color w:val="auto"/>
                <w:szCs w:val="21"/>
                <w:highlight w:val="none"/>
              </w:rPr>
            </w:pPr>
            <w:r>
              <w:rPr>
                <w:rFonts w:hint="eastAsia" w:ascii="宋体" w:hAnsi="宋体"/>
                <w:color w:val="auto"/>
                <w:szCs w:val="21"/>
                <w:highlight w:val="none"/>
              </w:rPr>
              <w:t>4.实时阴影：场景调整不同光线角度时，应实时呈现不同的阴影效果。</w:t>
            </w:r>
          </w:p>
          <w:p w14:paraId="5C7C79A5">
            <w:pPr>
              <w:spacing w:line="360" w:lineRule="exact"/>
              <w:jc w:val="left"/>
              <w:rPr>
                <w:rFonts w:ascii="宋体" w:hAnsi="宋体"/>
                <w:color w:val="auto"/>
                <w:szCs w:val="21"/>
                <w:highlight w:val="none"/>
              </w:rPr>
            </w:pPr>
            <w:r>
              <w:rPr>
                <w:rFonts w:hint="eastAsia" w:ascii="宋体" w:hAnsi="宋体"/>
                <w:color w:val="auto"/>
                <w:szCs w:val="21"/>
                <w:highlight w:val="none"/>
              </w:rPr>
              <w:t>5.渲染三角形面片数：实时渲染三角形面片数＞30亿个。</w:t>
            </w:r>
          </w:p>
          <w:p w14:paraId="2E5384E3">
            <w:pPr>
              <w:spacing w:line="360" w:lineRule="exact"/>
              <w:jc w:val="left"/>
              <w:rPr>
                <w:rFonts w:ascii="宋体" w:hAnsi="宋体"/>
                <w:color w:val="auto"/>
                <w:szCs w:val="21"/>
                <w:highlight w:val="none"/>
              </w:rPr>
            </w:pPr>
            <w:r>
              <w:rPr>
                <w:rFonts w:hint="eastAsia" w:ascii="宋体" w:hAnsi="宋体"/>
                <w:color w:val="auto"/>
                <w:szCs w:val="21"/>
                <w:highlight w:val="none"/>
              </w:rPr>
              <w:t>6.三维模型导入：支持FBX、OBJ、UDATASMITH等多种格式的三维模型和虚拟场景导入。</w:t>
            </w:r>
          </w:p>
        </w:tc>
      </w:tr>
      <w:tr w14:paraId="25FE88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70511797">
            <w:pPr>
              <w:jc w:val="center"/>
              <w:rPr>
                <w:rFonts w:ascii="宋体" w:hAnsi="宋体"/>
                <w:color w:val="auto"/>
                <w:szCs w:val="21"/>
                <w:highlight w:val="none"/>
              </w:rPr>
            </w:pPr>
            <w:r>
              <w:rPr>
                <w:rFonts w:hint="eastAsia" w:ascii="宋体" w:hAnsi="宋体"/>
                <w:color w:val="auto"/>
                <w:szCs w:val="21"/>
                <w:highlight w:val="none"/>
              </w:rPr>
              <w:t>47</w:t>
            </w:r>
          </w:p>
        </w:tc>
        <w:tc>
          <w:tcPr>
            <w:tcW w:w="1402" w:type="dxa"/>
            <w:tcBorders>
              <w:top w:val="single" w:color="000000" w:sz="4" w:space="0"/>
              <w:left w:val="single" w:color="auto" w:sz="4" w:space="0"/>
              <w:bottom w:val="single" w:color="000000" w:sz="4" w:space="0"/>
              <w:right w:val="single" w:color="000000" w:sz="4" w:space="0"/>
            </w:tcBorders>
            <w:vAlign w:val="center"/>
          </w:tcPr>
          <w:p w14:paraId="7202DCF6">
            <w:pPr>
              <w:spacing w:line="360" w:lineRule="exact"/>
              <w:jc w:val="center"/>
              <w:rPr>
                <w:rFonts w:ascii="宋体" w:hAnsi="宋体"/>
                <w:color w:val="auto"/>
                <w:szCs w:val="21"/>
                <w:highlight w:val="none"/>
              </w:rPr>
            </w:pPr>
            <w:r>
              <w:rPr>
                <w:rFonts w:hint="eastAsia" w:ascii="宋体" w:hAnsi="宋体"/>
                <w:color w:val="auto"/>
                <w:szCs w:val="21"/>
                <w:highlight w:val="none"/>
              </w:rPr>
              <w:t>特技切换台</w:t>
            </w:r>
          </w:p>
        </w:tc>
        <w:tc>
          <w:tcPr>
            <w:tcW w:w="704" w:type="dxa"/>
            <w:tcBorders>
              <w:top w:val="single" w:color="000000" w:sz="4" w:space="0"/>
              <w:left w:val="single" w:color="000000" w:sz="4" w:space="0"/>
              <w:bottom w:val="single" w:color="000000" w:sz="4" w:space="0"/>
              <w:right w:val="single" w:color="000000" w:sz="4" w:space="0"/>
            </w:tcBorders>
            <w:vAlign w:val="center"/>
          </w:tcPr>
          <w:p w14:paraId="72E3B2CA">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703" w:type="dxa"/>
            <w:tcBorders>
              <w:top w:val="single" w:color="auto" w:sz="4" w:space="0"/>
              <w:left w:val="single" w:color="000000" w:sz="4" w:space="0"/>
              <w:bottom w:val="single" w:color="000000" w:sz="4" w:space="0"/>
              <w:right w:val="single" w:color="000000" w:sz="4" w:space="0"/>
            </w:tcBorders>
            <w:vAlign w:val="center"/>
          </w:tcPr>
          <w:p w14:paraId="244EDF1A">
            <w:pPr>
              <w:spacing w:line="360" w:lineRule="exact"/>
              <w:jc w:val="center"/>
              <w:rPr>
                <w:rFonts w:ascii="宋体" w:hAnsi="宋体"/>
                <w:color w:val="auto"/>
                <w:szCs w:val="21"/>
                <w:highlight w:val="none"/>
              </w:rPr>
            </w:pPr>
            <w:r>
              <w:rPr>
                <w:rFonts w:hint="eastAsia" w:ascii="宋体" w:hAnsi="宋体"/>
                <w:color w:val="auto"/>
                <w:szCs w:val="21"/>
                <w:highlight w:val="none"/>
              </w:rPr>
              <w:t>台</w:t>
            </w:r>
          </w:p>
        </w:tc>
        <w:tc>
          <w:tcPr>
            <w:tcW w:w="702" w:type="dxa"/>
            <w:vMerge w:val="continue"/>
            <w:tcBorders>
              <w:left w:val="single" w:color="000000" w:sz="4" w:space="0"/>
              <w:right w:val="single" w:color="000000" w:sz="4" w:space="0"/>
            </w:tcBorders>
            <w:vAlign w:val="center"/>
          </w:tcPr>
          <w:p w14:paraId="00D1BBB2">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091A4793">
            <w:pPr>
              <w:spacing w:line="360" w:lineRule="exact"/>
              <w:jc w:val="left"/>
              <w:rPr>
                <w:rFonts w:ascii="宋体" w:hAnsi="宋体"/>
                <w:color w:val="auto"/>
                <w:szCs w:val="21"/>
                <w:highlight w:val="none"/>
              </w:rPr>
            </w:pPr>
            <w:r>
              <w:rPr>
                <w:rFonts w:hint="eastAsia" w:ascii="宋体" w:hAnsi="宋体"/>
                <w:color w:val="auto"/>
                <w:szCs w:val="21"/>
                <w:highlight w:val="none"/>
              </w:rPr>
              <w:t>1.切换台功能：外置切换台可实时控制系统进行摄像机控制、虚拟机位运动控制、机位切换、音频控制、推流录制、在线包装控制等；切换台自带OLED大屏，可实时观看PGM、PVW信息及录制、推流状态</w:t>
            </w:r>
            <w:r>
              <w:rPr>
                <w:rFonts w:hint="eastAsia" w:ascii="宋体" w:hAnsi="宋体"/>
                <w:b/>
                <w:bCs/>
                <w:color w:val="auto"/>
                <w:szCs w:val="21"/>
                <w:highlight w:val="none"/>
              </w:rPr>
              <w:t>（供应商于响应文件中必须提供产品符合此项技术指标的相关有效证明材料，可以是由国家认可的第三方检测机构出具的检测报告、产品彩页等，并加盖供应商电子签章）</w:t>
            </w:r>
            <w:r>
              <w:rPr>
                <w:rFonts w:hint="eastAsia" w:ascii="宋体" w:hAnsi="宋体"/>
                <w:color w:val="auto"/>
                <w:szCs w:val="21"/>
                <w:highlight w:val="none"/>
              </w:rPr>
              <w:t>。</w:t>
            </w:r>
          </w:p>
          <w:p w14:paraId="503896D0">
            <w:pPr>
              <w:spacing w:line="360" w:lineRule="exact"/>
              <w:jc w:val="left"/>
              <w:rPr>
                <w:rFonts w:ascii="宋体" w:hAnsi="宋体"/>
                <w:color w:val="auto"/>
                <w:szCs w:val="21"/>
                <w:highlight w:val="none"/>
              </w:rPr>
            </w:pPr>
            <w:r>
              <w:rPr>
                <w:rFonts w:hint="eastAsia" w:ascii="宋体" w:hAnsi="宋体"/>
                <w:color w:val="auto"/>
                <w:szCs w:val="21"/>
                <w:highlight w:val="none"/>
              </w:rPr>
              <w:t>2.监看与操控：原生≥6英寸高清监看屏幕（分辨率≥1920×1080），可监看虚拟主机渲染画面（含PGM、PVW、多画面信号）；采用POE供电及控制信号传输；双色显示按键可清晰显示当前机位和待切机位状态；T型推杆可控制切换速度（0~4096级键程确保平滑过渡）；支持≥80个预编摄像机机位，≥8路字幕叠加，多路特技效果可选；磁感应摇杆可实时控制机位跟踪功能。</w:t>
            </w:r>
          </w:p>
        </w:tc>
      </w:tr>
      <w:tr w14:paraId="5C3642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30CE7EF0">
            <w:pPr>
              <w:jc w:val="center"/>
              <w:rPr>
                <w:rFonts w:ascii="宋体" w:hAnsi="宋体"/>
                <w:color w:val="auto"/>
                <w:szCs w:val="21"/>
                <w:highlight w:val="none"/>
              </w:rPr>
            </w:pPr>
            <w:r>
              <w:rPr>
                <w:rFonts w:hint="eastAsia" w:ascii="宋体" w:hAnsi="宋体"/>
                <w:color w:val="auto"/>
                <w:szCs w:val="21"/>
                <w:highlight w:val="none"/>
              </w:rPr>
              <w:t>48</w:t>
            </w:r>
          </w:p>
        </w:tc>
        <w:tc>
          <w:tcPr>
            <w:tcW w:w="1402" w:type="dxa"/>
            <w:tcBorders>
              <w:top w:val="single" w:color="000000" w:sz="4" w:space="0"/>
              <w:left w:val="single" w:color="auto" w:sz="4" w:space="0"/>
              <w:bottom w:val="single" w:color="000000" w:sz="4" w:space="0"/>
              <w:right w:val="single" w:color="000000" w:sz="4" w:space="0"/>
            </w:tcBorders>
            <w:vAlign w:val="center"/>
          </w:tcPr>
          <w:p w14:paraId="7CE87D19">
            <w:pPr>
              <w:spacing w:line="360" w:lineRule="exact"/>
              <w:jc w:val="center"/>
              <w:rPr>
                <w:rFonts w:ascii="宋体" w:hAnsi="宋体"/>
                <w:color w:val="auto"/>
                <w:szCs w:val="21"/>
                <w:highlight w:val="none"/>
              </w:rPr>
            </w:pPr>
            <w:r>
              <w:rPr>
                <w:rFonts w:hint="eastAsia" w:ascii="宋体" w:hAnsi="宋体"/>
                <w:color w:val="auto"/>
                <w:szCs w:val="21"/>
                <w:highlight w:val="none"/>
              </w:rPr>
              <w:t>智能跟踪单元</w:t>
            </w:r>
          </w:p>
        </w:tc>
        <w:tc>
          <w:tcPr>
            <w:tcW w:w="704" w:type="dxa"/>
            <w:tcBorders>
              <w:top w:val="single" w:color="000000" w:sz="4" w:space="0"/>
              <w:left w:val="single" w:color="000000" w:sz="4" w:space="0"/>
              <w:bottom w:val="single" w:color="000000" w:sz="4" w:space="0"/>
              <w:right w:val="single" w:color="000000" w:sz="4" w:space="0"/>
            </w:tcBorders>
            <w:vAlign w:val="center"/>
          </w:tcPr>
          <w:p w14:paraId="7E1425F5">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703" w:type="dxa"/>
            <w:tcBorders>
              <w:top w:val="single" w:color="auto" w:sz="4" w:space="0"/>
              <w:left w:val="single" w:color="000000" w:sz="4" w:space="0"/>
              <w:bottom w:val="single" w:color="000000" w:sz="4" w:space="0"/>
              <w:right w:val="single" w:color="000000" w:sz="4" w:space="0"/>
            </w:tcBorders>
            <w:vAlign w:val="center"/>
          </w:tcPr>
          <w:p w14:paraId="66012E33">
            <w:pPr>
              <w:spacing w:line="360" w:lineRule="exact"/>
              <w:jc w:val="center"/>
              <w:rPr>
                <w:rFonts w:ascii="宋体" w:hAnsi="宋体"/>
                <w:color w:val="auto"/>
                <w:szCs w:val="21"/>
                <w:highlight w:val="none"/>
              </w:rPr>
            </w:pPr>
            <w:r>
              <w:rPr>
                <w:rFonts w:hint="eastAsia" w:ascii="宋体" w:hAnsi="宋体"/>
                <w:color w:val="auto"/>
                <w:szCs w:val="21"/>
                <w:highlight w:val="none"/>
              </w:rPr>
              <w:t>套</w:t>
            </w:r>
          </w:p>
        </w:tc>
        <w:tc>
          <w:tcPr>
            <w:tcW w:w="702" w:type="dxa"/>
            <w:vMerge w:val="continue"/>
            <w:tcBorders>
              <w:left w:val="single" w:color="000000" w:sz="4" w:space="0"/>
              <w:right w:val="single" w:color="000000" w:sz="4" w:space="0"/>
            </w:tcBorders>
            <w:vAlign w:val="center"/>
          </w:tcPr>
          <w:p w14:paraId="565640A7">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45FB369C">
            <w:pPr>
              <w:spacing w:line="360" w:lineRule="exact"/>
              <w:jc w:val="left"/>
              <w:rPr>
                <w:rFonts w:ascii="宋体" w:hAnsi="宋体"/>
                <w:color w:val="auto"/>
                <w:szCs w:val="21"/>
                <w:highlight w:val="none"/>
              </w:rPr>
            </w:pPr>
            <w:r>
              <w:rPr>
                <w:rFonts w:hint="eastAsia" w:ascii="宋体" w:hAnsi="宋体"/>
                <w:color w:val="auto"/>
                <w:szCs w:val="21"/>
                <w:highlight w:val="none"/>
              </w:rPr>
              <w:t>1.AI智能跟踪：通过视频板卡内嵌自主4K视频处理芯片完成人工智能算法推理，识别摄像机拍摄画面中的人物肢体信息并实时绑定三维场景，实现运动机位在滑轨上运动过程中始终保持主持人居中。</w:t>
            </w:r>
          </w:p>
          <w:p w14:paraId="516AE6BF">
            <w:pPr>
              <w:spacing w:line="360" w:lineRule="exact"/>
              <w:jc w:val="left"/>
              <w:rPr>
                <w:rFonts w:ascii="宋体" w:hAnsi="宋体"/>
                <w:color w:val="auto"/>
                <w:szCs w:val="21"/>
                <w:highlight w:val="none"/>
              </w:rPr>
            </w:pPr>
            <w:r>
              <w:rPr>
                <w:rFonts w:hint="eastAsia" w:ascii="宋体" w:hAnsi="宋体"/>
                <w:color w:val="auto"/>
                <w:szCs w:val="21"/>
                <w:highlight w:val="none"/>
              </w:rPr>
              <w:t>2.跟踪方式：支持全自动跟踪和特技切换台摇杆跟踪两种方式可选。</w:t>
            </w:r>
          </w:p>
          <w:p w14:paraId="0D2312B1">
            <w:pPr>
              <w:spacing w:line="360" w:lineRule="exact"/>
              <w:jc w:val="left"/>
              <w:rPr>
                <w:rFonts w:ascii="宋体" w:hAnsi="宋体"/>
                <w:color w:val="auto"/>
                <w:szCs w:val="21"/>
                <w:highlight w:val="none"/>
              </w:rPr>
            </w:pPr>
            <w:r>
              <w:rPr>
                <w:rFonts w:hint="eastAsia" w:ascii="宋体" w:hAnsi="宋体"/>
                <w:color w:val="auto"/>
                <w:szCs w:val="21"/>
                <w:highlight w:val="none"/>
              </w:rPr>
              <w:t>3.预置机位运动：可通过时间线上预置机位运动模块指定摄像机运动时间、速度、路径，同时将运动信息传输给虚拟主机，实现与字幕、包装、机位切换及大屏播放等特技效果同时合成输出。</w:t>
            </w:r>
          </w:p>
          <w:p w14:paraId="1590D9F5">
            <w:pPr>
              <w:spacing w:line="360" w:lineRule="exact"/>
              <w:jc w:val="left"/>
              <w:rPr>
                <w:rFonts w:ascii="宋体" w:hAnsi="宋体"/>
                <w:color w:val="auto"/>
                <w:szCs w:val="21"/>
                <w:highlight w:val="none"/>
              </w:rPr>
            </w:pPr>
            <w:r>
              <w:rPr>
                <w:rFonts w:hint="eastAsia" w:ascii="宋体" w:hAnsi="宋体"/>
                <w:color w:val="auto"/>
                <w:szCs w:val="21"/>
                <w:highlight w:val="none"/>
              </w:rPr>
              <w:t>4.标识点跟踪防抖系统：采用标识点实时姿态算法，帧级别检出相对摄像机的位姿并进行实时位姿计算，与机械传感数据融合，实现摄像机实时稳定和抖动抑制。</w:t>
            </w:r>
          </w:p>
          <w:p w14:paraId="710654AF">
            <w:pPr>
              <w:spacing w:line="360" w:lineRule="exact"/>
              <w:jc w:val="left"/>
              <w:rPr>
                <w:rFonts w:ascii="宋体" w:hAnsi="宋体"/>
                <w:color w:val="auto"/>
                <w:szCs w:val="21"/>
                <w:highlight w:val="none"/>
              </w:rPr>
            </w:pPr>
            <w:r>
              <w:rPr>
                <w:rFonts w:hint="eastAsia" w:ascii="宋体" w:hAnsi="宋体"/>
                <w:color w:val="auto"/>
                <w:szCs w:val="21"/>
                <w:highlight w:val="none"/>
              </w:rPr>
              <w:t>5.</w:t>
            </w:r>
            <w:r>
              <w:rPr>
                <w:rFonts w:hint="eastAsia" w:ascii="宋体" w:hAnsi="宋体"/>
                <w:color w:val="auto"/>
                <w:szCs w:val="21"/>
                <w:highlight w:val="none"/>
                <w:lang w:val="en-US" w:eastAsia="zh-CN"/>
              </w:rPr>
              <w:t>支持</w:t>
            </w:r>
            <w:r>
              <w:rPr>
                <w:rFonts w:hint="eastAsia" w:ascii="宋体" w:hAnsi="宋体"/>
                <w:color w:val="auto"/>
                <w:szCs w:val="21"/>
                <w:highlight w:val="none"/>
              </w:rPr>
              <w:t>双目跟踪系统：利用双目视觉和高分辨率传感器感知周围对象位置，通过光学传感器高精度检测和机械传感器运动识别，使用定位地图重构技术实时描绘前方三维世界，感知三维空间与运动。</w:t>
            </w:r>
          </w:p>
          <w:p w14:paraId="1AEB9EC2">
            <w:pPr>
              <w:spacing w:line="360" w:lineRule="exact"/>
              <w:jc w:val="left"/>
              <w:rPr>
                <w:rFonts w:ascii="宋体" w:hAnsi="宋体"/>
                <w:color w:val="auto"/>
                <w:szCs w:val="21"/>
                <w:highlight w:val="none"/>
              </w:rPr>
            </w:pPr>
            <w:r>
              <w:rPr>
                <w:rFonts w:hint="eastAsia" w:ascii="宋体" w:hAnsi="宋体"/>
                <w:color w:val="auto"/>
                <w:szCs w:val="21"/>
                <w:highlight w:val="none"/>
              </w:rPr>
              <w:t>6.</w:t>
            </w:r>
            <w:r>
              <w:rPr>
                <w:rFonts w:hint="eastAsia" w:ascii="宋体" w:hAnsi="宋体"/>
                <w:color w:val="auto"/>
                <w:szCs w:val="21"/>
                <w:highlight w:val="none"/>
                <w:lang w:val="en-US" w:eastAsia="zh-CN"/>
              </w:rPr>
              <w:t>支持</w:t>
            </w:r>
            <w:r>
              <w:rPr>
                <w:rFonts w:hint="eastAsia" w:ascii="宋体" w:hAnsi="宋体"/>
                <w:color w:val="auto"/>
                <w:szCs w:val="21"/>
                <w:highlight w:val="none"/>
              </w:rPr>
              <w:t>FreeD协议：支持第三方跟踪数据的FreeD协议，在Aruco码防抖系统校正下实现稳定跟踪、无抖晃。</w:t>
            </w:r>
          </w:p>
        </w:tc>
      </w:tr>
      <w:tr w14:paraId="6FEF31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28A51A42">
            <w:pPr>
              <w:jc w:val="center"/>
              <w:rPr>
                <w:rFonts w:ascii="宋体" w:hAnsi="宋体"/>
                <w:color w:val="auto"/>
                <w:szCs w:val="21"/>
                <w:highlight w:val="none"/>
              </w:rPr>
            </w:pPr>
            <w:r>
              <w:rPr>
                <w:rFonts w:hint="eastAsia" w:ascii="宋体" w:hAnsi="宋体"/>
                <w:color w:val="auto"/>
                <w:szCs w:val="21"/>
                <w:highlight w:val="none"/>
              </w:rPr>
              <w:t>49</w:t>
            </w:r>
          </w:p>
        </w:tc>
        <w:tc>
          <w:tcPr>
            <w:tcW w:w="1402" w:type="dxa"/>
            <w:tcBorders>
              <w:top w:val="single" w:color="000000" w:sz="4" w:space="0"/>
              <w:left w:val="single" w:color="auto" w:sz="4" w:space="0"/>
              <w:bottom w:val="single" w:color="000000" w:sz="4" w:space="0"/>
              <w:right w:val="single" w:color="000000" w:sz="4" w:space="0"/>
            </w:tcBorders>
            <w:vAlign w:val="center"/>
          </w:tcPr>
          <w:p w14:paraId="60ED1E6E">
            <w:pPr>
              <w:spacing w:line="360" w:lineRule="exact"/>
              <w:jc w:val="center"/>
              <w:rPr>
                <w:rFonts w:ascii="宋体" w:hAnsi="宋体"/>
                <w:color w:val="auto"/>
                <w:szCs w:val="21"/>
                <w:highlight w:val="none"/>
              </w:rPr>
            </w:pPr>
            <w:r>
              <w:rPr>
                <w:rFonts w:hint="eastAsia" w:ascii="宋体" w:hAnsi="宋体"/>
                <w:color w:val="auto"/>
                <w:szCs w:val="21"/>
                <w:highlight w:val="none"/>
              </w:rPr>
              <w:t>彩色技术监视器</w:t>
            </w:r>
          </w:p>
        </w:tc>
        <w:tc>
          <w:tcPr>
            <w:tcW w:w="704" w:type="dxa"/>
            <w:tcBorders>
              <w:top w:val="single" w:color="000000" w:sz="4" w:space="0"/>
              <w:left w:val="single" w:color="000000" w:sz="4" w:space="0"/>
              <w:bottom w:val="single" w:color="000000" w:sz="4" w:space="0"/>
              <w:right w:val="single" w:color="000000" w:sz="4" w:space="0"/>
            </w:tcBorders>
            <w:vAlign w:val="center"/>
          </w:tcPr>
          <w:p w14:paraId="03B5549B">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703" w:type="dxa"/>
            <w:tcBorders>
              <w:top w:val="single" w:color="auto" w:sz="4" w:space="0"/>
              <w:left w:val="single" w:color="000000" w:sz="4" w:space="0"/>
              <w:bottom w:val="single" w:color="000000" w:sz="4" w:space="0"/>
              <w:right w:val="single" w:color="000000" w:sz="4" w:space="0"/>
            </w:tcBorders>
            <w:vAlign w:val="center"/>
          </w:tcPr>
          <w:p w14:paraId="5E7B6E56">
            <w:pPr>
              <w:spacing w:line="360" w:lineRule="exact"/>
              <w:jc w:val="center"/>
              <w:rPr>
                <w:rFonts w:ascii="宋体" w:hAnsi="宋体"/>
                <w:color w:val="auto"/>
                <w:szCs w:val="21"/>
                <w:highlight w:val="none"/>
              </w:rPr>
            </w:pPr>
            <w:r>
              <w:rPr>
                <w:rFonts w:hint="eastAsia" w:ascii="宋体" w:hAnsi="宋体"/>
                <w:color w:val="auto"/>
                <w:szCs w:val="21"/>
                <w:highlight w:val="none"/>
              </w:rPr>
              <w:t>台</w:t>
            </w:r>
          </w:p>
        </w:tc>
        <w:tc>
          <w:tcPr>
            <w:tcW w:w="702" w:type="dxa"/>
            <w:vMerge w:val="continue"/>
            <w:tcBorders>
              <w:left w:val="single" w:color="000000" w:sz="4" w:space="0"/>
              <w:right w:val="single" w:color="000000" w:sz="4" w:space="0"/>
            </w:tcBorders>
            <w:vAlign w:val="center"/>
          </w:tcPr>
          <w:p w14:paraId="4044C3A4">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291241B9">
            <w:pPr>
              <w:spacing w:line="360" w:lineRule="exact"/>
              <w:jc w:val="left"/>
              <w:rPr>
                <w:rFonts w:ascii="宋体" w:hAnsi="宋体"/>
                <w:color w:val="auto"/>
                <w:szCs w:val="21"/>
                <w:highlight w:val="none"/>
              </w:rPr>
            </w:pPr>
            <w:r>
              <w:rPr>
                <w:rFonts w:hint="eastAsia" w:ascii="宋体" w:hAnsi="宋体"/>
                <w:color w:val="auto"/>
                <w:szCs w:val="21"/>
                <w:highlight w:val="none"/>
              </w:rPr>
              <w:t>1.屏幕尺寸：≥27英寸，屏幕宽高比：16:9，分辨率：3840×2160，亮度≥1000nits，对比度≥1000:1，色深：1.07B。</w:t>
            </w:r>
          </w:p>
          <w:p w14:paraId="3C701333">
            <w:pPr>
              <w:spacing w:line="360" w:lineRule="exact"/>
              <w:jc w:val="left"/>
              <w:rPr>
                <w:rFonts w:ascii="宋体" w:hAnsi="宋体"/>
                <w:color w:val="auto"/>
                <w:szCs w:val="21"/>
                <w:highlight w:val="none"/>
              </w:rPr>
            </w:pPr>
            <w:r>
              <w:rPr>
                <w:rFonts w:hint="eastAsia" w:ascii="宋体" w:hAnsi="宋体"/>
                <w:color w:val="auto"/>
                <w:szCs w:val="21"/>
                <w:highlight w:val="none"/>
              </w:rPr>
              <w:t>2.≥2路12G-SDI视频输入与环出（向下兼容</w:t>
            </w:r>
          </w:p>
          <w:p w14:paraId="329D5FD3">
            <w:pPr>
              <w:spacing w:line="360" w:lineRule="exact"/>
              <w:jc w:val="left"/>
              <w:rPr>
                <w:rFonts w:ascii="宋体" w:hAnsi="宋体"/>
                <w:color w:val="auto"/>
                <w:szCs w:val="21"/>
                <w:highlight w:val="none"/>
              </w:rPr>
            </w:pPr>
            <w:r>
              <w:rPr>
                <w:rFonts w:hint="eastAsia" w:ascii="宋体" w:hAnsi="宋体"/>
                <w:color w:val="auto"/>
                <w:szCs w:val="21"/>
                <w:highlight w:val="none"/>
              </w:rPr>
              <w:t>6G/3G/HD/SD-SDI)。</w:t>
            </w:r>
          </w:p>
          <w:p w14:paraId="5A71E264">
            <w:pPr>
              <w:spacing w:line="360" w:lineRule="exact"/>
              <w:jc w:val="left"/>
              <w:rPr>
                <w:rFonts w:ascii="宋体" w:hAnsi="宋体"/>
                <w:color w:val="auto"/>
                <w:szCs w:val="21"/>
                <w:highlight w:val="none"/>
              </w:rPr>
            </w:pPr>
            <w:r>
              <w:rPr>
                <w:rFonts w:hint="eastAsia" w:ascii="宋体" w:hAnsi="宋体"/>
                <w:color w:val="auto"/>
                <w:szCs w:val="21"/>
                <w:highlight w:val="none"/>
              </w:rPr>
              <w:t>3.≥2路3G/HD/SD-SDI视频输入，2路环通输出。</w:t>
            </w:r>
          </w:p>
          <w:p w14:paraId="5E06EDC5">
            <w:pPr>
              <w:spacing w:line="360" w:lineRule="exact"/>
              <w:jc w:val="left"/>
              <w:rPr>
                <w:rFonts w:ascii="宋体" w:hAnsi="宋体"/>
                <w:color w:val="auto"/>
                <w:szCs w:val="21"/>
                <w:highlight w:val="none"/>
              </w:rPr>
            </w:pPr>
            <w:r>
              <w:rPr>
                <w:rFonts w:hint="eastAsia" w:ascii="宋体" w:hAnsi="宋体"/>
                <w:color w:val="auto"/>
                <w:szCs w:val="21"/>
                <w:highlight w:val="none"/>
              </w:rPr>
              <w:t>4.≥1路HDMI 2.0输入和1路HDMI 2.0输出；</w:t>
            </w:r>
          </w:p>
          <w:p w14:paraId="4ADC776E">
            <w:pPr>
              <w:spacing w:line="360" w:lineRule="exact"/>
              <w:jc w:val="left"/>
              <w:rPr>
                <w:rFonts w:ascii="宋体" w:hAnsi="宋体"/>
                <w:color w:val="auto"/>
                <w:szCs w:val="21"/>
                <w:highlight w:val="none"/>
              </w:rPr>
            </w:pPr>
            <w:r>
              <w:rPr>
                <w:rFonts w:hint="eastAsia" w:ascii="宋体" w:hAnsi="宋体"/>
                <w:color w:val="auto"/>
                <w:szCs w:val="21"/>
                <w:highlight w:val="none"/>
              </w:rPr>
              <w:t>口输入。</w:t>
            </w:r>
          </w:p>
          <w:p w14:paraId="06DEA123">
            <w:pPr>
              <w:spacing w:line="360" w:lineRule="exact"/>
              <w:jc w:val="left"/>
              <w:rPr>
                <w:rFonts w:ascii="宋体" w:hAnsi="宋体"/>
                <w:color w:val="auto"/>
                <w:szCs w:val="21"/>
                <w:highlight w:val="none"/>
              </w:rPr>
            </w:pPr>
            <w:r>
              <w:rPr>
                <w:rFonts w:hint="eastAsia" w:ascii="宋体" w:hAnsi="宋体"/>
                <w:color w:val="auto"/>
                <w:szCs w:val="21"/>
                <w:highlight w:val="none"/>
              </w:rPr>
              <w:t>5.支持4K信号下转换2K/高清信号，并通过SDI输出。</w:t>
            </w:r>
          </w:p>
          <w:p w14:paraId="25D87DF4">
            <w:pPr>
              <w:spacing w:line="360" w:lineRule="exact"/>
              <w:jc w:val="left"/>
              <w:rPr>
                <w:rFonts w:ascii="宋体" w:hAnsi="宋体"/>
                <w:color w:val="auto"/>
                <w:szCs w:val="21"/>
                <w:highlight w:val="none"/>
              </w:rPr>
            </w:pPr>
            <w:r>
              <w:rPr>
                <w:rFonts w:hint="eastAsia" w:ascii="宋体" w:hAnsi="宋体"/>
                <w:color w:val="auto"/>
                <w:szCs w:val="21"/>
                <w:highlight w:val="none"/>
              </w:rPr>
              <w:t>6.支持HDR下转换SDR信号，并通过SDI输出。</w:t>
            </w:r>
          </w:p>
          <w:p w14:paraId="7D64C2FE">
            <w:pPr>
              <w:spacing w:line="360" w:lineRule="exact"/>
              <w:jc w:val="left"/>
              <w:rPr>
                <w:rFonts w:ascii="宋体" w:hAnsi="宋体"/>
                <w:color w:val="auto"/>
                <w:szCs w:val="21"/>
                <w:highlight w:val="none"/>
              </w:rPr>
            </w:pPr>
            <w:r>
              <w:rPr>
                <w:rFonts w:hint="eastAsia" w:ascii="宋体" w:hAnsi="宋体"/>
                <w:color w:val="auto"/>
                <w:szCs w:val="21"/>
                <w:highlight w:val="none"/>
              </w:rPr>
              <w:t>7.四画分模式支持SDI/HDMI /SFP+不同分辨率&amp;帧率信号同时混合显示。</w:t>
            </w:r>
          </w:p>
          <w:p w14:paraId="1D9983CF">
            <w:pPr>
              <w:spacing w:line="360" w:lineRule="exact"/>
              <w:jc w:val="left"/>
              <w:rPr>
                <w:rFonts w:ascii="宋体" w:hAnsi="宋体"/>
                <w:color w:val="auto"/>
                <w:szCs w:val="21"/>
                <w:highlight w:val="none"/>
              </w:rPr>
            </w:pPr>
            <w:r>
              <w:rPr>
                <w:rFonts w:hint="eastAsia" w:ascii="宋体" w:hAnsi="宋体"/>
                <w:color w:val="auto"/>
                <w:szCs w:val="21"/>
                <w:highlight w:val="none"/>
              </w:rPr>
              <w:t>8.支持 HDR；ST2084 PQ/PQ(softroll),  HLG (1.03/1.11/1.16/1.20/1.27/1.33) 。                                                                   9.12G-SDI 单链路信号最大支持 4096×2160 60p 格式。</w:t>
            </w:r>
          </w:p>
          <w:p w14:paraId="256267A7">
            <w:pPr>
              <w:spacing w:line="360" w:lineRule="exact"/>
              <w:jc w:val="left"/>
              <w:rPr>
                <w:rFonts w:ascii="宋体" w:hAnsi="宋体"/>
                <w:color w:val="auto"/>
                <w:szCs w:val="21"/>
                <w:highlight w:val="none"/>
              </w:rPr>
            </w:pPr>
            <w:r>
              <w:rPr>
                <w:rFonts w:hint="eastAsia" w:ascii="宋体" w:hAnsi="宋体"/>
                <w:color w:val="auto"/>
                <w:szCs w:val="21"/>
                <w:highlight w:val="none"/>
              </w:rPr>
              <w:t>10.支持4K HDR波形图，矢量图，直方图，CIE色度图，CIE显色体积图，RGB 3D立方图。</w:t>
            </w:r>
          </w:p>
          <w:p w14:paraId="4B2F4823">
            <w:pPr>
              <w:spacing w:line="360" w:lineRule="exact"/>
              <w:jc w:val="left"/>
              <w:rPr>
                <w:rFonts w:ascii="宋体" w:hAnsi="宋体"/>
                <w:color w:val="auto"/>
                <w:szCs w:val="21"/>
                <w:highlight w:val="none"/>
              </w:rPr>
            </w:pPr>
            <w:r>
              <w:rPr>
                <w:rFonts w:hint="eastAsia" w:ascii="宋体" w:hAnsi="宋体"/>
                <w:color w:val="auto"/>
                <w:szCs w:val="21"/>
                <w:highlight w:val="none"/>
              </w:rPr>
              <w:t>11.成交供应商于供货时必须向采购人提供</w:t>
            </w:r>
            <w:r>
              <w:rPr>
                <w:rFonts w:hint="eastAsia" w:ascii="宋体" w:hAnsi="宋体"/>
                <w:color w:val="auto"/>
                <w:szCs w:val="21"/>
                <w:highlight w:val="none"/>
                <w:lang w:eastAsia="zh-CN"/>
              </w:rPr>
              <w:t>所竞产品</w:t>
            </w:r>
            <w:r>
              <w:rPr>
                <w:rFonts w:hint="eastAsia" w:ascii="宋体" w:hAnsi="宋体"/>
                <w:color w:val="auto"/>
                <w:szCs w:val="21"/>
                <w:highlight w:val="none"/>
              </w:rPr>
              <w:t>生产厂家出具的售后服务承诺书原件，否则不予验收。</w:t>
            </w:r>
          </w:p>
        </w:tc>
      </w:tr>
      <w:tr w14:paraId="2B553E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29" w:hRule="atLeast"/>
        </w:trPr>
        <w:tc>
          <w:tcPr>
            <w:tcW w:w="675" w:type="dxa"/>
            <w:tcBorders>
              <w:top w:val="single" w:color="000000" w:sz="4" w:space="0"/>
              <w:left w:val="single" w:color="000000" w:sz="4" w:space="0"/>
              <w:bottom w:val="single" w:color="auto" w:sz="4" w:space="0"/>
              <w:right w:val="single" w:color="auto" w:sz="4" w:space="0"/>
            </w:tcBorders>
            <w:vAlign w:val="center"/>
          </w:tcPr>
          <w:p w14:paraId="465332DD">
            <w:pPr>
              <w:jc w:val="center"/>
              <w:rPr>
                <w:rFonts w:ascii="宋体" w:hAnsi="宋体"/>
                <w:color w:val="auto"/>
                <w:szCs w:val="21"/>
                <w:highlight w:val="none"/>
              </w:rPr>
            </w:pPr>
            <w:r>
              <w:rPr>
                <w:rFonts w:hint="eastAsia" w:ascii="宋体" w:hAnsi="宋体"/>
                <w:color w:val="auto"/>
                <w:szCs w:val="21"/>
                <w:highlight w:val="none"/>
              </w:rPr>
              <w:t>50</w:t>
            </w:r>
          </w:p>
        </w:tc>
        <w:tc>
          <w:tcPr>
            <w:tcW w:w="1402" w:type="dxa"/>
            <w:tcBorders>
              <w:top w:val="single" w:color="000000" w:sz="4" w:space="0"/>
              <w:left w:val="single" w:color="auto" w:sz="4" w:space="0"/>
              <w:bottom w:val="single" w:color="auto" w:sz="4" w:space="0"/>
              <w:right w:val="single" w:color="000000" w:sz="4" w:space="0"/>
            </w:tcBorders>
            <w:vAlign w:val="center"/>
          </w:tcPr>
          <w:p w14:paraId="00D32C05">
            <w:pPr>
              <w:spacing w:line="360" w:lineRule="exact"/>
              <w:jc w:val="center"/>
              <w:rPr>
                <w:rFonts w:ascii="宋体" w:hAnsi="宋体"/>
                <w:color w:val="auto"/>
                <w:szCs w:val="21"/>
                <w:highlight w:val="none"/>
              </w:rPr>
            </w:pPr>
            <w:r>
              <w:rPr>
                <w:rFonts w:hint="eastAsia" w:ascii="宋体" w:hAnsi="宋体"/>
                <w:color w:val="auto"/>
                <w:szCs w:val="21"/>
                <w:highlight w:val="none"/>
              </w:rPr>
              <w:t>雷电数据线</w:t>
            </w:r>
          </w:p>
        </w:tc>
        <w:tc>
          <w:tcPr>
            <w:tcW w:w="704" w:type="dxa"/>
            <w:tcBorders>
              <w:top w:val="single" w:color="000000" w:sz="4" w:space="0"/>
              <w:left w:val="single" w:color="000000" w:sz="4" w:space="0"/>
              <w:bottom w:val="single" w:color="auto" w:sz="4" w:space="0"/>
              <w:right w:val="single" w:color="000000" w:sz="4" w:space="0"/>
            </w:tcBorders>
            <w:vAlign w:val="center"/>
          </w:tcPr>
          <w:p w14:paraId="404C663A">
            <w:pPr>
              <w:spacing w:line="360" w:lineRule="exact"/>
              <w:jc w:val="center"/>
              <w:rPr>
                <w:rFonts w:ascii="宋体" w:hAnsi="宋体"/>
                <w:color w:val="auto"/>
                <w:szCs w:val="21"/>
                <w:highlight w:val="none"/>
              </w:rPr>
            </w:pPr>
            <w:r>
              <w:rPr>
                <w:rFonts w:hint="eastAsia" w:ascii="宋体" w:hAnsi="宋体"/>
                <w:color w:val="auto"/>
                <w:szCs w:val="21"/>
                <w:highlight w:val="none"/>
              </w:rPr>
              <w:t>2</w:t>
            </w:r>
          </w:p>
        </w:tc>
        <w:tc>
          <w:tcPr>
            <w:tcW w:w="703" w:type="dxa"/>
            <w:tcBorders>
              <w:top w:val="single" w:color="auto" w:sz="4" w:space="0"/>
              <w:left w:val="single" w:color="000000" w:sz="4" w:space="0"/>
              <w:bottom w:val="single" w:color="auto" w:sz="4" w:space="0"/>
              <w:right w:val="single" w:color="000000" w:sz="4" w:space="0"/>
            </w:tcBorders>
            <w:vAlign w:val="center"/>
          </w:tcPr>
          <w:p w14:paraId="4DFA9191">
            <w:pPr>
              <w:spacing w:line="360" w:lineRule="exact"/>
              <w:jc w:val="center"/>
              <w:rPr>
                <w:rFonts w:ascii="宋体" w:hAnsi="宋体"/>
                <w:color w:val="auto"/>
                <w:szCs w:val="21"/>
                <w:highlight w:val="none"/>
              </w:rPr>
            </w:pPr>
            <w:r>
              <w:rPr>
                <w:rFonts w:hint="eastAsia" w:ascii="宋体" w:hAnsi="宋体"/>
                <w:color w:val="auto"/>
                <w:szCs w:val="21"/>
                <w:highlight w:val="none"/>
              </w:rPr>
              <w:t>条</w:t>
            </w:r>
          </w:p>
        </w:tc>
        <w:tc>
          <w:tcPr>
            <w:tcW w:w="702" w:type="dxa"/>
            <w:vMerge w:val="continue"/>
            <w:tcBorders>
              <w:left w:val="single" w:color="000000" w:sz="4" w:space="0"/>
              <w:bottom w:val="single" w:color="auto" w:sz="4" w:space="0"/>
              <w:right w:val="single" w:color="000000" w:sz="4" w:space="0"/>
            </w:tcBorders>
            <w:vAlign w:val="center"/>
          </w:tcPr>
          <w:p w14:paraId="20AF4C75">
            <w:pPr>
              <w:jc w:val="center"/>
              <w:rPr>
                <w:color w:val="auto"/>
                <w:highlight w:val="none"/>
              </w:rPr>
            </w:pPr>
          </w:p>
        </w:tc>
        <w:tc>
          <w:tcPr>
            <w:tcW w:w="4711" w:type="dxa"/>
            <w:tcBorders>
              <w:top w:val="single" w:color="000000" w:sz="4" w:space="0"/>
              <w:left w:val="single" w:color="000000" w:sz="4" w:space="0"/>
              <w:bottom w:val="single" w:color="auto" w:sz="4" w:space="0"/>
              <w:right w:val="single" w:color="000000" w:sz="4" w:space="0"/>
            </w:tcBorders>
            <w:vAlign w:val="center"/>
          </w:tcPr>
          <w:p w14:paraId="0014E3BF">
            <w:pPr>
              <w:spacing w:line="360" w:lineRule="exact"/>
              <w:jc w:val="left"/>
              <w:rPr>
                <w:rFonts w:ascii="宋体" w:hAnsi="宋体"/>
                <w:color w:val="auto"/>
                <w:szCs w:val="21"/>
                <w:highlight w:val="none"/>
              </w:rPr>
            </w:pPr>
            <w:r>
              <w:rPr>
                <w:rFonts w:hint="eastAsia" w:ascii="宋体" w:hAnsi="宋体"/>
                <w:color w:val="auto"/>
                <w:szCs w:val="21"/>
                <w:highlight w:val="none"/>
              </w:rPr>
              <w:t>1.长度：≥3米。</w:t>
            </w:r>
          </w:p>
          <w:p w14:paraId="3C71D58D">
            <w:pPr>
              <w:spacing w:line="360" w:lineRule="exact"/>
              <w:jc w:val="left"/>
              <w:rPr>
                <w:rFonts w:ascii="宋体" w:hAnsi="宋体"/>
                <w:color w:val="auto"/>
                <w:szCs w:val="21"/>
                <w:highlight w:val="none"/>
              </w:rPr>
            </w:pPr>
            <w:r>
              <w:rPr>
                <w:rFonts w:hint="eastAsia" w:ascii="宋体" w:hAnsi="宋体"/>
                <w:color w:val="auto"/>
                <w:szCs w:val="21"/>
                <w:highlight w:val="none"/>
              </w:rPr>
              <w:t>2.数据带宽：≥40Gb/s。</w:t>
            </w:r>
          </w:p>
          <w:p w14:paraId="190336AD">
            <w:pPr>
              <w:spacing w:line="360" w:lineRule="exact"/>
              <w:jc w:val="left"/>
              <w:rPr>
                <w:rFonts w:ascii="宋体" w:hAnsi="宋体"/>
                <w:color w:val="auto"/>
                <w:szCs w:val="21"/>
                <w:highlight w:val="none"/>
              </w:rPr>
            </w:pPr>
            <w:r>
              <w:rPr>
                <w:rFonts w:hint="eastAsia" w:ascii="宋体" w:hAnsi="宋体"/>
                <w:color w:val="auto"/>
                <w:szCs w:val="21"/>
                <w:highlight w:val="none"/>
              </w:rPr>
              <w:t>3.供电能力：≥100W，可为兼容设备充电。</w:t>
            </w:r>
          </w:p>
        </w:tc>
      </w:tr>
      <w:tr w14:paraId="1580A3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5" w:hRule="atLeast"/>
        </w:trPr>
        <w:tc>
          <w:tcPr>
            <w:tcW w:w="675" w:type="dxa"/>
            <w:tcBorders>
              <w:top w:val="single" w:color="auto" w:sz="4" w:space="0"/>
              <w:left w:val="single" w:color="000000" w:sz="4" w:space="0"/>
              <w:bottom w:val="single" w:color="000000" w:sz="4" w:space="0"/>
              <w:right w:val="single" w:color="auto" w:sz="4" w:space="0"/>
            </w:tcBorders>
            <w:vAlign w:val="center"/>
          </w:tcPr>
          <w:p w14:paraId="003F0816">
            <w:pPr>
              <w:jc w:val="center"/>
              <w:rPr>
                <w:rFonts w:ascii="宋体" w:hAnsi="宋体"/>
                <w:color w:val="auto"/>
                <w:szCs w:val="21"/>
                <w:highlight w:val="none"/>
              </w:rPr>
            </w:pPr>
            <w:r>
              <w:rPr>
                <w:rFonts w:hint="eastAsia" w:ascii="宋体" w:hAnsi="宋体"/>
                <w:color w:val="auto"/>
                <w:szCs w:val="21"/>
                <w:highlight w:val="none"/>
              </w:rPr>
              <w:t>51</w:t>
            </w:r>
          </w:p>
        </w:tc>
        <w:tc>
          <w:tcPr>
            <w:tcW w:w="1402" w:type="dxa"/>
            <w:tcBorders>
              <w:top w:val="single" w:color="auto" w:sz="4" w:space="0"/>
              <w:left w:val="single" w:color="auto" w:sz="4" w:space="0"/>
              <w:bottom w:val="single" w:color="000000" w:sz="4" w:space="0"/>
              <w:right w:val="single" w:color="000000" w:sz="4" w:space="0"/>
            </w:tcBorders>
            <w:vAlign w:val="center"/>
          </w:tcPr>
          <w:p w14:paraId="0D25EF44">
            <w:pPr>
              <w:spacing w:line="360" w:lineRule="exact"/>
              <w:jc w:val="center"/>
              <w:rPr>
                <w:rFonts w:ascii="宋体" w:hAnsi="宋体"/>
                <w:color w:val="auto"/>
                <w:szCs w:val="21"/>
                <w:highlight w:val="none"/>
              </w:rPr>
            </w:pPr>
            <w:r>
              <w:rPr>
                <w:rFonts w:hint="eastAsia" w:ascii="宋体" w:hAnsi="宋体"/>
                <w:color w:val="auto"/>
                <w:szCs w:val="21"/>
                <w:highlight w:val="none"/>
              </w:rPr>
              <w:t>会议平板一体机</w:t>
            </w:r>
          </w:p>
        </w:tc>
        <w:tc>
          <w:tcPr>
            <w:tcW w:w="704" w:type="dxa"/>
            <w:tcBorders>
              <w:top w:val="single" w:color="auto" w:sz="4" w:space="0"/>
              <w:left w:val="single" w:color="000000" w:sz="4" w:space="0"/>
              <w:bottom w:val="single" w:color="000000" w:sz="4" w:space="0"/>
              <w:right w:val="single" w:color="000000" w:sz="4" w:space="0"/>
            </w:tcBorders>
            <w:vAlign w:val="center"/>
          </w:tcPr>
          <w:p w14:paraId="0358AAD2">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703" w:type="dxa"/>
            <w:tcBorders>
              <w:top w:val="single" w:color="auto" w:sz="4" w:space="0"/>
              <w:left w:val="single" w:color="000000" w:sz="4" w:space="0"/>
              <w:bottom w:val="single" w:color="000000" w:sz="4" w:space="0"/>
              <w:right w:val="single" w:color="000000" w:sz="4" w:space="0"/>
            </w:tcBorders>
            <w:vAlign w:val="center"/>
          </w:tcPr>
          <w:p w14:paraId="7B9DF518">
            <w:pPr>
              <w:spacing w:line="360" w:lineRule="exact"/>
              <w:jc w:val="center"/>
              <w:rPr>
                <w:rFonts w:ascii="宋体" w:hAnsi="宋体"/>
                <w:color w:val="auto"/>
                <w:szCs w:val="21"/>
                <w:highlight w:val="none"/>
              </w:rPr>
            </w:pPr>
            <w:r>
              <w:rPr>
                <w:rFonts w:hint="eastAsia" w:ascii="宋体" w:hAnsi="宋体"/>
                <w:color w:val="auto"/>
                <w:szCs w:val="21"/>
                <w:highlight w:val="none"/>
              </w:rPr>
              <w:t>台</w:t>
            </w:r>
          </w:p>
        </w:tc>
        <w:tc>
          <w:tcPr>
            <w:tcW w:w="702" w:type="dxa"/>
            <w:vMerge w:val="restart"/>
            <w:tcBorders>
              <w:top w:val="single" w:color="auto" w:sz="4" w:space="0"/>
              <w:left w:val="single" w:color="000000" w:sz="4" w:space="0"/>
              <w:right w:val="single" w:color="000000" w:sz="4" w:space="0"/>
            </w:tcBorders>
            <w:vAlign w:val="center"/>
          </w:tcPr>
          <w:p w14:paraId="75D0A137">
            <w:pPr>
              <w:jc w:val="center"/>
              <w:rPr>
                <w:color w:val="auto"/>
                <w:highlight w:val="none"/>
              </w:rPr>
            </w:pPr>
          </w:p>
        </w:tc>
        <w:tc>
          <w:tcPr>
            <w:tcW w:w="4711" w:type="dxa"/>
            <w:tcBorders>
              <w:top w:val="single" w:color="auto" w:sz="4" w:space="0"/>
              <w:left w:val="single" w:color="000000" w:sz="4" w:space="0"/>
              <w:bottom w:val="single" w:color="000000" w:sz="4" w:space="0"/>
              <w:right w:val="single" w:color="000000" w:sz="4" w:space="0"/>
            </w:tcBorders>
            <w:vAlign w:val="center"/>
          </w:tcPr>
          <w:p w14:paraId="5FC5ABE5">
            <w:pPr>
              <w:spacing w:line="360" w:lineRule="exact"/>
              <w:jc w:val="left"/>
              <w:rPr>
                <w:rFonts w:ascii="宋体" w:hAnsi="宋体"/>
                <w:color w:val="auto"/>
                <w:szCs w:val="21"/>
                <w:highlight w:val="none"/>
              </w:rPr>
            </w:pPr>
            <w:r>
              <w:rPr>
                <w:rFonts w:hint="eastAsia" w:ascii="宋体" w:hAnsi="宋体"/>
                <w:color w:val="auto"/>
                <w:szCs w:val="21"/>
                <w:highlight w:val="none"/>
              </w:rPr>
              <w:t>1.尺寸：≥75 英寸。</w:t>
            </w:r>
          </w:p>
          <w:p w14:paraId="3D606634">
            <w:pPr>
              <w:spacing w:line="360" w:lineRule="exact"/>
              <w:jc w:val="left"/>
              <w:rPr>
                <w:rFonts w:ascii="宋体" w:hAnsi="宋体"/>
                <w:color w:val="auto"/>
                <w:szCs w:val="21"/>
                <w:highlight w:val="none"/>
              </w:rPr>
            </w:pPr>
            <w:r>
              <w:rPr>
                <w:rFonts w:hint="eastAsia" w:ascii="宋体" w:hAnsi="宋体"/>
                <w:color w:val="auto"/>
                <w:szCs w:val="21"/>
                <w:highlight w:val="none"/>
              </w:rPr>
              <w:t>2.分辨率：≥3840×2160。</w:t>
            </w:r>
          </w:p>
          <w:p w14:paraId="363DB5F4">
            <w:pPr>
              <w:spacing w:line="360" w:lineRule="exact"/>
              <w:jc w:val="left"/>
              <w:rPr>
                <w:rFonts w:ascii="宋体" w:hAnsi="宋体"/>
                <w:color w:val="auto"/>
                <w:szCs w:val="21"/>
                <w:highlight w:val="none"/>
              </w:rPr>
            </w:pPr>
            <w:r>
              <w:rPr>
                <w:rFonts w:hint="eastAsia" w:ascii="宋体" w:hAnsi="宋体"/>
                <w:color w:val="auto"/>
                <w:szCs w:val="21"/>
                <w:highlight w:val="none"/>
              </w:rPr>
              <w:t>3.触摸屏：红外触摸。</w:t>
            </w:r>
          </w:p>
          <w:p w14:paraId="787A1C0B">
            <w:pPr>
              <w:spacing w:line="360" w:lineRule="exact"/>
              <w:jc w:val="left"/>
              <w:rPr>
                <w:rFonts w:ascii="宋体" w:hAnsi="宋体"/>
                <w:color w:val="auto"/>
                <w:szCs w:val="21"/>
                <w:highlight w:val="none"/>
              </w:rPr>
            </w:pPr>
            <w:r>
              <w:rPr>
                <w:rFonts w:hint="eastAsia" w:ascii="宋体" w:hAnsi="宋体"/>
                <w:color w:val="auto"/>
                <w:szCs w:val="21"/>
                <w:highlight w:val="none"/>
              </w:rPr>
              <w:t>4.内存：≥8</w:t>
            </w:r>
            <w:r>
              <w:rPr>
                <w:rFonts w:ascii="宋体" w:hAnsi="宋体"/>
                <w:color w:val="auto"/>
                <w:szCs w:val="21"/>
                <w:highlight w:val="none"/>
              </w:rPr>
              <w:t>GB</w:t>
            </w:r>
            <w:r>
              <w:rPr>
                <w:rFonts w:hint="eastAsia" w:ascii="宋体" w:hAnsi="宋体"/>
                <w:color w:val="auto"/>
                <w:szCs w:val="21"/>
                <w:highlight w:val="none"/>
              </w:rPr>
              <w:t>。</w:t>
            </w:r>
          </w:p>
          <w:p w14:paraId="7F92B9FE">
            <w:pPr>
              <w:spacing w:line="360" w:lineRule="exact"/>
              <w:jc w:val="left"/>
              <w:rPr>
                <w:rFonts w:ascii="宋体" w:hAnsi="宋体"/>
                <w:color w:val="auto"/>
                <w:szCs w:val="21"/>
                <w:highlight w:val="none"/>
              </w:rPr>
            </w:pPr>
            <w:r>
              <w:rPr>
                <w:rFonts w:hint="eastAsia" w:ascii="宋体" w:hAnsi="宋体"/>
                <w:color w:val="auto"/>
                <w:szCs w:val="21"/>
                <w:highlight w:val="none"/>
              </w:rPr>
              <w:t>5.麦克风：≥6阵列。</w:t>
            </w:r>
          </w:p>
          <w:p w14:paraId="3AF649F9">
            <w:pPr>
              <w:spacing w:line="360" w:lineRule="exact"/>
              <w:jc w:val="left"/>
              <w:rPr>
                <w:rFonts w:ascii="宋体" w:hAnsi="宋体"/>
                <w:color w:val="auto"/>
                <w:szCs w:val="21"/>
                <w:highlight w:val="none"/>
              </w:rPr>
            </w:pPr>
            <w:r>
              <w:rPr>
                <w:rFonts w:hint="eastAsia" w:ascii="宋体" w:hAnsi="宋体"/>
                <w:color w:val="auto"/>
                <w:szCs w:val="21"/>
                <w:highlight w:val="none"/>
              </w:rPr>
              <w:t>6.所竞产品必须通过中国强制性产品认证（CCC/3C认证）。</w:t>
            </w:r>
          </w:p>
        </w:tc>
      </w:tr>
      <w:tr w14:paraId="546913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0305DCFA">
            <w:pPr>
              <w:jc w:val="center"/>
              <w:rPr>
                <w:rFonts w:ascii="宋体" w:hAnsi="宋体"/>
                <w:color w:val="auto"/>
                <w:szCs w:val="21"/>
                <w:highlight w:val="none"/>
              </w:rPr>
            </w:pPr>
            <w:r>
              <w:rPr>
                <w:rFonts w:hint="eastAsia" w:ascii="宋体" w:hAnsi="宋体"/>
                <w:color w:val="auto"/>
                <w:szCs w:val="21"/>
                <w:highlight w:val="none"/>
              </w:rPr>
              <w:t>52</w:t>
            </w:r>
          </w:p>
        </w:tc>
        <w:tc>
          <w:tcPr>
            <w:tcW w:w="1402" w:type="dxa"/>
            <w:tcBorders>
              <w:top w:val="single" w:color="000000" w:sz="4" w:space="0"/>
              <w:left w:val="single" w:color="auto" w:sz="4" w:space="0"/>
              <w:bottom w:val="single" w:color="000000" w:sz="4" w:space="0"/>
              <w:right w:val="single" w:color="000000" w:sz="4" w:space="0"/>
            </w:tcBorders>
            <w:vAlign w:val="center"/>
          </w:tcPr>
          <w:p w14:paraId="12FB1D0B">
            <w:pPr>
              <w:spacing w:line="360" w:lineRule="exact"/>
              <w:jc w:val="center"/>
              <w:rPr>
                <w:rFonts w:ascii="宋体" w:hAnsi="宋体"/>
                <w:color w:val="auto"/>
                <w:szCs w:val="21"/>
                <w:highlight w:val="none"/>
              </w:rPr>
            </w:pPr>
            <w:r>
              <w:rPr>
                <w:rFonts w:hint="eastAsia" w:ascii="宋体" w:hAnsi="宋体"/>
                <w:color w:val="auto"/>
                <w:szCs w:val="21"/>
                <w:highlight w:val="none"/>
              </w:rPr>
              <w:t>监看电视-（2）</w:t>
            </w:r>
          </w:p>
        </w:tc>
        <w:tc>
          <w:tcPr>
            <w:tcW w:w="704" w:type="dxa"/>
            <w:tcBorders>
              <w:top w:val="single" w:color="000000" w:sz="4" w:space="0"/>
              <w:left w:val="single" w:color="000000" w:sz="4" w:space="0"/>
              <w:bottom w:val="single" w:color="000000" w:sz="4" w:space="0"/>
              <w:right w:val="single" w:color="000000" w:sz="4" w:space="0"/>
            </w:tcBorders>
            <w:vAlign w:val="center"/>
          </w:tcPr>
          <w:p w14:paraId="4695E7A5">
            <w:pPr>
              <w:spacing w:line="360" w:lineRule="exact"/>
              <w:jc w:val="center"/>
              <w:rPr>
                <w:rFonts w:ascii="宋体" w:hAnsi="宋体"/>
                <w:color w:val="auto"/>
                <w:szCs w:val="21"/>
                <w:highlight w:val="none"/>
              </w:rPr>
            </w:pPr>
            <w:r>
              <w:rPr>
                <w:rFonts w:hint="eastAsia" w:ascii="宋体" w:hAnsi="宋体"/>
                <w:color w:val="auto"/>
                <w:szCs w:val="21"/>
                <w:highlight w:val="none"/>
              </w:rPr>
              <w:t>2</w:t>
            </w:r>
          </w:p>
        </w:tc>
        <w:tc>
          <w:tcPr>
            <w:tcW w:w="703" w:type="dxa"/>
            <w:tcBorders>
              <w:top w:val="single" w:color="auto" w:sz="4" w:space="0"/>
              <w:left w:val="single" w:color="000000" w:sz="4" w:space="0"/>
              <w:bottom w:val="single" w:color="000000" w:sz="4" w:space="0"/>
              <w:right w:val="single" w:color="000000" w:sz="4" w:space="0"/>
            </w:tcBorders>
            <w:vAlign w:val="center"/>
          </w:tcPr>
          <w:p w14:paraId="7FE47BB4">
            <w:pPr>
              <w:spacing w:line="360" w:lineRule="exact"/>
              <w:jc w:val="center"/>
              <w:rPr>
                <w:rFonts w:ascii="宋体" w:hAnsi="宋体"/>
                <w:color w:val="auto"/>
                <w:szCs w:val="21"/>
                <w:highlight w:val="none"/>
              </w:rPr>
            </w:pPr>
            <w:r>
              <w:rPr>
                <w:rFonts w:hint="eastAsia" w:ascii="宋体" w:hAnsi="宋体"/>
                <w:color w:val="auto"/>
                <w:szCs w:val="21"/>
                <w:highlight w:val="none"/>
              </w:rPr>
              <w:t>台</w:t>
            </w:r>
          </w:p>
        </w:tc>
        <w:tc>
          <w:tcPr>
            <w:tcW w:w="702" w:type="dxa"/>
            <w:vMerge w:val="continue"/>
            <w:tcBorders>
              <w:left w:val="single" w:color="000000" w:sz="4" w:space="0"/>
              <w:right w:val="single" w:color="000000" w:sz="4" w:space="0"/>
            </w:tcBorders>
            <w:vAlign w:val="center"/>
          </w:tcPr>
          <w:p w14:paraId="7B6AB5A1">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47C6CA76">
            <w:pPr>
              <w:spacing w:line="360" w:lineRule="exact"/>
              <w:jc w:val="left"/>
              <w:rPr>
                <w:rFonts w:ascii="宋体" w:hAnsi="宋体"/>
                <w:color w:val="auto"/>
                <w:szCs w:val="21"/>
                <w:highlight w:val="none"/>
              </w:rPr>
            </w:pPr>
            <w:r>
              <w:rPr>
                <w:rFonts w:hint="eastAsia" w:ascii="宋体" w:hAnsi="宋体"/>
                <w:color w:val="auto"/>
                <w:szCs w:val="21"/>
                <w:highlight w:val="none"/>
              </w:rPr>
              <w:t>1.尺寸：≥65 英寸。</w:t>
            </w:r>
            <w:r>
              <w:rPr>
                <w:rFonts w:hint="eastAsia" w:ascii="宋体" w:hAnsi="宋体"/>
                <w:color w:val="auto"/>
                <w:szCs w:val="21"/>
                <w:highlight w:val="none"/>
              </w:rPr>
              <w:br w:type="textWrapping"/>
            </w:r>
            <w:r>
              <w:rPr>
                <w:rFonts w:hint="eastAsia" w:ascii="宋体" w:hAnsi="宋体"/>
                <w:color w:val="auto"/>
                <w:szCs w:val="21"/>
                <w:highlight w:val="none"/>
              </w:rPr>
              <w:t>2.分辨率：≥3840×2160。</w:t>
            </w:r>
            <w:r>
              <w:rPr>
                <w:rFonts w:hint="eastAsia" w:ascii="宋体" w:hAnsi="宋体"/>
                <w:color w:val="auto"/>
                <w:szCs w:val="21"/>
                <w:highlight w:val="none"/>
              </w:rPr>
              <w:br w:type="textWrapping"/>
            </w:r>
            <w:r>
              <w:rPr>
                <w:rFonts w:hint="eastAsia" w:ascii="宋体" w:hAnsi="宋体"/>
                <w:color w:val="auto"/>
                <w:szCs w:val="21"/>
                <w:highlight w:val="none"/>
              </w:rPr>
              <w:t>3.屏占比：≥97.6%。</w:t>
            </w:r>
            <w:r>
              <w:rPr>
                <w:rFonts w:hint="eastAsia" w:ascii="宋体" w:hAnsi="宋体"/>
                <w:color w:val="auto"/>
                <w:szCs w:val="21"/>
                <w:highlight w:val="none"/>
              </w:rPr>
              <w:br w:type="textWrapping"/>
            </w:r>
            <w:r>
              <w:rPr>
                <w:rFonts w:hint="eastAsia" w:ascii="宋体" w:hAnsi="宋体"/>
                <w:color w:val="auto"/>
                <w:szCs w:val="21"/>
                <w:highlight w:val="none"/>
              </w:rPr>
              <w:t>4.背光源：D-LED（直下式）。</w:t>
            </w:r>
            <w:r>
              <w:rPr>
                <w:rFonts w:hint="eastAsia" w:ascii="宋体" w:hAnsi="宋体"/>
                <w:color w:val="auto"/>
                <w:szCs w:val="21"/>
                <w:highlight w:val="none"/>
              </w:rPr>
              <w:br w:type="textWrapping"/>
            </w:r>
            <w:r>
              <w:rPr>
                <w:rFonts w:hint="eastAsia" w:ascii="宋体" w:hAnsi="宋体"/>
                <w:color w:val="auto"/>
                <w:szCs w:val="21"/>
                <w:highlight w:val="none"/>
              </w:rPr>
              <w:t>5.HDR：支持。</w:t>
            </w:r>
            <w:r>
              <w:rPr>
                <w:rFonts w:hint="eastAsia" w:ascii="宋体" w:hAnsi="宋体"/>
                <w:color w:val="auto"/>
                <w:szCs w:val="21"/>
                <w:highlight w:val="none"/>
              </w:rPr>
              <w:br w:type="textWrapping"/>
            </w:r>
            <w:r>
              <w:rPr>
                <w:rFonts w:hint="eastAsia" w:ascii="宋体" w:hAnsi="宋体"/>
                <w:color w:val="auto"/>
                <w:szCs w:val="21"/>
                <w:highlight w:val="none"/>
              </w:rPr>
              <w:t>6.CPU：≥ 四核。</w:t>
            </w:r>
            <w:r>
              <w:rPr>
                <w:rFonts w:hint="eastAsia" w:ascii="宋体" w:hAnsi="宋体"/>
                <w:color w:val="auto"/>
                <w:szCs w:val="21"/>
                <w:highlight w:val="none"/>
              </w:rPr>
              <w:br w:type="textWrapping"/>
            </w:r>
            <w:r>
              <w:rPr>
                <w:rFonts w:hint="eastAsia" w:ascii="宋体" w:hAnsi="宋体"/>
                <w:color w:val="auto"/>
                <w:szCs w:val="21"/>
                <w:highlight w:val="none"/>
              </w:rPr>
              <w:t>7.DDR/EMMC：≥3GB/64GB。</w:t>
            </w:r>
            <w:r>
              <w:rPr>
                <w:rFonts w:hint="eastAsia" w:ascii="宋体" w:hAnsi="宋体"/>
                <w:color w:val="auto"/>
                <w:szCs w:val="21"/>
                <w:highlight w:val="none"/>
              </w:rPr>
              <w:br w:type="textWrapping"/>
            </w:r>
            <w:r>
              <w:rPr>
                <w:rFonts w:hint="eastAsia" w:ascii="宋体" w:hAnsi="宋体"/>
                <w:color w:val="auto"/>
                <w:szCs w:val="21"/>
                <w:highlight w:val="none"/>
              </w:rPr>
              <w:t>8.Wi-Fi：≥2.4GHz/5GHz 双频双线。</w:t>
            </w:r>
            <w:r>
              <w:rPr>
                <w:rFonts w:hint="eastAsia" w:ascii="宋体" w:hAnsi="宋体"/>
                <w:color w:val="auto"/>
                <w:szCs w:val="21"/>
                <w:highlight w:val="none"/>
              </w:rPr>
              <w:br w:type="textWrapping"/>
            </w:r>
            <w:r>
              <w:rPr>
                <w:rFonts w:hint="eastAsia" w:ascii="宋体" w:hAnsi="宋体"/>
                <w:color w:val="auto"/>
                <w:szCs w:val="21"/>
                <w:highlight w:val="none"/>
              </w:rPr>
              <w:t>9.蓝牙：支持。</w:t>
            </w:r>
            <w:r>
              <w:rPr>
                <w:rFonts w:hint="eastAsia" w:ascii="宋体" w:hAnsi="宋体"/>
                <w:color w:val="auto"/>
                <w:szCs w:val="21"/>
                <w:highlight w:val="none"/>
              </w:rPr>
              <w:br w:type="textWrapping"/>
            </w:r>
            <w:r>
              <w:rPr>
                <w:rFonts w:hint="eastAsia" w:ascii="宋体" w:hAnsi="宋体"/>
                <w:color w:val="auto"/>
                <w:szCs w:val="21"/>
                <w:highlight w:val="none"/>
              </w:rPr>
              <w:t>10.语音控制：支持。</w:t>
            </w:r>
            <w:r>
              <w:rPr>
                <w:rFonts w:hint="eastAsia" w:ascii="宋体" w:hAnsi="宋体"/>
                <w:color w:val="auto"/>
                <w:szCs w:val="21"/>
                <w:highlight w:val="none"/>
              </w:rPr>
              <w:br w:type="textWrapping"/>
            </w:r>
            <w:r>
              <w:rPr>
                <w:rFonts w:hint="eastAsia" w:ascii="宋体" w:hAnsi="宋体"/>
                <w:color w:val="auto"/>
                <w:szCs w:val="21"/>
                <w:highlight w:val="none"/>
              </w:rPr>
              <w:t>11.多屏互动：支持。</w:t>
            </w:r>
            <w:r>
              <w:rPr>
                <w:rFonts w:hint="eastAsia" w:ascii="宋体" w:hAnsi="宋体"/>
                <w:color w:val="auto"/>
                <w:szCs w:val="21"/>
                <w:highlight w:val="none"/>
              </w:rPr>
              <w:br w:type="textWrapping"/>
            </w:r>
            <w:r>
              <w:rPr>
                <w:rFonts w:hint="eastAsia" w:ascii="宋体" w:hAnsi="宋体"/>
                <w:color w:val="auto"/>
                <w:szCs w:val="21"/>
                <w:highlight w:val="none"/>
              </w:rPr>
              <w:t>12.接口：≥HDMI2.1×3、≥USB2.0×2、≥网口×1、≥数字音频输出×1、≥音视频输入×1。</w:t>
            </w:r>
          </w:p>
          <w:p w14:paraId="3051FD24">
            <w:pPr>
              <w:spacing w:line="360" w:lineRule="exact"/>
              <w:jc w:val="left"/>
              <w:rPr>
                <w:rFonts w:ascii="宋体" w:hAnsi="宋体"/>
                <w:color w:val="auto"/>
                <w:szCs w:val="21"/>
                <w:highlight w:val="none"/>
              </w:rPr>
            </w:pPr>
            <w:r>
              <w:rPr>
                <w:rFonts w:hint="eastAsia" w:ascii="宋体" w:hAnsi="宋体"/>
                <w:color w:val="auto"/>
                <w:szCs w:val="21"/>
                <w:highlight w:val="none"/>
              </w:rPr>
              <w:t>13.所竞产品必须通过中国强制性产品认证（CCC/3C认证）。</w:t>
            </w:r>
          </w:p>
        </w:tc>
      </w:tr>
      <w:tr w14:paraId="5CC9EA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5E223717">
            <w:pPr>
              <w:jc w:val="center"/>
              <w:rPr>
                <w:rFonts w:ascii="宋体" w:hAnsi="宋体"/>
                <w:color w:val="auto"/>
                <w:szCs w:val="21"/>
                <w:highlight w:val="none"/>
              </w:rPr>
            </w:pPr>
            <w:r>
              <w:rPr>
                <w:rFonts w:hint="eastAsia" w:ascii="宋体" w:hAnsi="宋体"/>
                <w:color w:val="auto"/>
                <w:szCs w:val="21"/>
                <w:highlight w:val="none"/>
              </w:rPr>
              <w:t>53</w:t>
            </w:r>
          </w:p>
        </w:tc>
        <w:tc>
          <w:tcPr>
            <w:tcW w:w="1402" w:type="dxa"/>
            <w:tcBorders>
              <w:top w:val="single" w:color="000000" w:sz="4" w:space="0"/>
              <w:left w:val="single" w:color="auto" w:sz="4" w:space="0"/>
              <w:bottom w:val="single" w:color="000000" w:sz="4" w:space="0"/>
              <w:right w:val="single" w:color="000000" w:sz="4" w:space="0"/>
            </w:tcBorders>
            <w:vAlign w:val="center"/>
          </w:tcPr>
          <w:p w14:paraId="61A84B04">
            <w:pPr>
              <w:spacing w:line="360" w:lineRule="exact"/>
              <w:jc w:val="center"/>
              <w:rPr>
                <w:rFonts w:ascii="宋体" w:hAnsi="宋体"/>
                <w:color w:val="auto"/>
                <w:szCs w:val="21"/>
                <w:highlight w:val="none"/>
              </w:rPr>
            </w:pPr>
            <w:r>
              <w:rPr>
                <w:rFonts w:hint="eastAsia" w:ascii="宋体" w:hAnsi="宋体"/>
                <w:color w:val="auto"/>
                <w:szCs w:val="21"/>
                <w:highlight w:val="none"/>
              </w:rPr>
              <w:t>HDMI分配器</w:t>
            </w:r>
          </w:p>
        </w:tc>
        <w:tc>
          <w:tcPr>
            <w:tcW w:w="704" w:type="dxa"/>
            <w:tcBorders>
              <w:top w:val="single" w:color="000000" w:sz="4" w:space="0"/>
              <w:left w:val="single" w:color="000000" w:sz="4" w:space="0"/>
              <w:bottom w:val="single" w:color="000000" w:sz="4" w:space="0"/>
              <w:right w:val="single" w:color="000000" w:sz="4" w:space="0"/>
            </w:tcBorders>
            <w:vAlign w:val="center"/>
          </w:tcPr>
          <w:p w14:paraId="1052B43E">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703" w:type="dxa"/>
            <w:tcBorders>
              <w:top w:val="single" w:color="auto" w:sz="4" w:space="0"/>
              <w:left w:val="single" w:color="000000" w:sz="4" w:space="0"/>
              <w:bottom w:val="single" w:color="000000" w:sz="4" w:space="0"/>
              <w:right w:val="single" w:color="000000" w:sz="4" w:space="0"/>
            </w:tcBorders>
            <w:vAlign w:val="center"/>
          </w:tcPr>
          <w:p w14:paraId="4FD9758E">
            <w:pPr>
              <w:spacing w:line="360" w:lineRule="exact"/>
              <w:jc w:val="center"/>
              <w:rPr>
                <w:rFonts w:ascii="宋体" w:hAnsi="宋体"/>
                <w:color w:val="auto"/>
                <w:szCs w:val="21"/>
                <w:highlight w:val="none"/>
              </w:rPr>
            </w:pPr>
            <w:r>
              <w:rPr>
                <w:rFonts w:hint="eastAsia" w:ascii="宋体" w:hAnsi="宋体"/>
                <w:color w:val="auto"/>
                <w:szCs w:val="21"/>
                <w:highlight w:val="none"/>
              </w:rPr>
              <w:t>个</w:t>
            </w:r>
          </w:p>
        </w:tc>
        <w:tc>
          <w:tcPr>
            <w:tcW w:w="702" w:type="dxa"/>
            <w:vMerge w:val="continue"/>
            <w:tcBorders>
              <w:left w:val="single" w:color="000000" w:sz="4" w:space="0"/>
              <w:right w:val="single" w:color="000000" w:sz="4" w:space="0"/>
            </w:tcBorders>
            <w:vAlign w:val="center"/>
          </w:tcPr>
          <w:p w14:paraId="647FA9EA">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10A67457">
            <w:pPr>
              <w:spacing w:line="360" w:lineRule="exact"/>
              <w:jc w:val="left"/>
              <w:rPr>
                <w:rFonts w:ascii="宋体" w:hAnsi="宋体"/>
                <w:color w:val="auto"/>
                <w:szCs w:val="21"/>
                <w:highlight w:val="none"/>
              </w:rPr>
            </w:pPr>
            <w:r>
              <w:rPr>
                <w:rFonts w:hint="eastAsia" w:ascii="宋体" w:hAnsi="宋体"/>
                <w:color w:val="auto"/>
                <w:szCs w:val="21"/>
                <w:highlight w:val="none"/>
              </w:rPr>
              <w:t>1.≥HDMI2.0矩阵。</w:t>
            </w:r>
            <w:r>
              <w:rPr>
                <w:rFonts w:hint="eastAsia" w:ascii="宋体" w:hAnsi="宋体"/>
                <w:color w:val="auto"/>
                <w:szCs w:val="21"/>
                <w:highlight w:val="none"/>
              </w:rPr>
              <w:br w:type="textWrapping"/>
            </w:r>
            <w:r>
              <w:rPr>
                <w:rFonts w:hint="eastAsia" w:ascii="宋体" w:hAnsi="宋体"/>
                <w:color w:val="auto"/>
                <w:szCs w:val="21"/>
                <w:highlight w:val="none"/>
              </w:rPr>
              <w:t>2.≥4进4出切换器。</w:t>
            </w:r>
            <w:r>
              <w:rPr>
                <w:rFonts w:hint="eastAsia" w:ascii="宋体" w:hAnsi="宋体"/>
                <w:color w:val="auto"/>
                <w:szCs w:val="21"/>
                <w:highlight w:val="none"/>
              </w:rPr>
              <w:br w:type="textWrapping"/>
            </w:r>
            <w:r>
              <w:rPr>
                <w:rFonts w:hint="eastAsia" w:ascii="宋体" w:hAnsi="宋体"/>
                <w:color w:val="auto"/>
                <w:szCs w:val="21"/>
                <w:highlight w:val="none"/>
              </w:rPr>
              <w:t>3.支持切换分配模式自由选择，HDMI输入输出自由切换。</w:t>
            </w:r>
            <w:r>
              <w:rPr>
                <w:rFonts w:hint="eastAsia" w:ascii="宋体" w:hAnsi="宋体"/>
                <w:color w:val="auto"/>
                <w:szCs w:val="21"/>
                <w:highlight w:val="none"/>
              </w:rPr>
              <w:br w:type="textWrapping"/>
            </w:r>
            <w:r>
              <w:rPr>
                <w:rFonts w:hint="eastAsia" w:ascii="宋体" w:hAnsi="宋体"/>
                <w:color w:val="auto"/>
                <w:szCs w:val="21"/>
                <w:highlight w:val="none"/>
              </w:rPr>
              <w:t>4.支持≥4K×2K@60Hz分辨率，3D立体成像技术。</w:t>
            </w:r>
          </w:p>
        </w:tc>
      </w:tr>
      <w:tr w14:paraId="0A72BC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4936E401">
            <w:pPr>
              <w:jc w:val="center"/>
              <w:rPr>
                <w:rFonts w:ascii="宋体" w:hAnsi="宋体"/>
                <w:color w:val="auto"/>
                <w:szCs w:val="21"/>
                <w:highlight w:val="none"/>
              </w:rPr>
            </w:pPr>
            <w:r>
              <w:rPr>
                <w:rFonts w:hint="eastAsia" w:ascii="宋体" w:hAnsi="宋体"/>
                <w:color w:val="auto"/>
                <w:szCs w:val="21"/>
                <w:highlight w:val="none"/>
              </w:rPr>
              <w:t>54</w:t>
            </w:r>
          </w:p>
        </w:tc>
        <w:tc>
          <w:tcPr>
            <w:tcW w:w="1402" w:type="dxa"/>
            <w:tcBorders>
              <w:top w:val="single" w:color="000000" w:sz="4" w:space="0"/>
              <w:left w:val="single" w:color="auto" w:sz="4" w:space="0"/>
              <w:bottom w:val="single" w:color="000000" w:sz="4" w:space="0"/>
              <w:right w:val="single" w:color="000000" w:sz="4" w:space="0"/>
            </w:tcBorders>
            <w:vAlign w:val="center"/>
          </w:tcPr>
          <w:p w14:paraId="59D5E596">
            <w:pPr>
              <w:spacing w:line="360" w:lineRule="exact"/>
              <w:jc w:val="center"/>
              <w:rPr>
                <w:rFonts w:ascii="宋体" w:hAnsi="宋体"/>
                <w:color w:val="auto"/>
                <w:szCs w:val="21"/>
                <w:highlight w:val="none"/>
              </w:rPr>
            </w:pPr>
            <w:r>
              <w:rPr>
                <w:rFonts w:hint="eastAsia" w:ascii="宋体" w:hAnsi="宋体"/>
                <w:color w:val="auto"/>
                <w:szCs w:val="21"/>
                <w:highlight w:val="none"/>
              </w:rPr>
              <w:t>HDMI光纤线</w:t>
            </w:r>
          </w:p>
        </w:tc>
        <w:tc>
          <w:tcPr>
            <w:tcW w:w="704" w:type="dxa"/>
            <w:tcBorders>
              <w:top w:val="single" w:color="000000" w:sz="4" w:space="0"/>
              <w:left w:val="single" w:color="000000" w:sz="4" w:space="0"/>
              <w:bottom w:val="single" w:color="000000" w:sz="4" w:space="0"/>
              <w:right w:val="single" w:color="000000" w:sz="4" w:space="0"/>
            </w:tcBorders>
            <w:vAlign w:val="center"/>
          </w:tcPr>
          <w:p w14:paraId="7DD5828E">
            <w:pPr>
              <w:spacing w:line="360" w:lineRule="exact"/>
              <w:jc w:val="center"/>
              <w:rPr>
                <w:rFonts w:ascii="宋体" w:hAnsi="宋体"/>
                <w:color w:val="auto"/>
                <w:szCs w:val="21"/>
                <w:highlight w:val="none"/>
              </w:rPr>
            </w:pPr>
            <w:r>
              <w:rPr>
                <w:rFonts w:hint="eastAsia" w:ascii="宋体" w:hAnsi="宋体"/>
                <w:color w:val="auto"/>
                <w:szCs w:val="21"/>
                <w:highlight w:val="none"/>
              </w:rPr>
              <w:t>8</w:t>
            </w:r>
          </w:p>
        </w:tc>
        <w:tc>
          <w:tcPr>
            <w:tcW w:w="703" w:type="dxa"/>
            <w:tcBorders>
              <w:top w:val="single" w:color="auto" w:sz="4" w:space="0"/>
              <w:left w:val="single" w:color="000000" w:sz="4" w:space="0"/>
              <w:bottom w:val="single" w:color="000000" w:sz="4" w:space="0"/>
              <w:right w:val="single" w:color="000000" w:sz="4" w:space="0"/>
            </w:tcBorders>
            <w:vAlign w:val="center"/>
          </w:tcPr>
          <w:p w14:paraId="02FE8457">
            <w:pPr>
              <w:spacing w:line="360" w:lineRule="exact"/>
              <w:jc w:val="center"/>
              <w:rPr>
                <w:rFonts w:ascii="宋体" w:hAnsi="宋体"/>
                <w:color w:val="auto"/>
                <w:szCs w:val="21"/>
                <w:highlight w:val="none"/>
              </w:rPr>
            </w:pPr>
            <w:r>
              <w:rPr>
                <w:rFonts w:hint="eastAsia" w:ascii="宋体" w:hAnsi="宋体"/>
                <w:color w:val="auto"/>
                <w:szCs w:val="21"/>
                <w:highlight w:val="none"/>
              </w:rPr>
              <w:t>条</w:t>
            </w:r>
          </w:p>
        </w:tc>
        <w:tc>
          <w:tcPr>
            <w:tcW w:w="702" w:type="dxa"/>
            <w:vMerge w:val="continue"/>
            <w:tcBorders>
              <w:left w:val="single" w:color="000000" w:sz="4" w:space="0"/>
              <w:right w:val="single" w:color="000000" w:sz="4" w:space="0"/>
            </w:tcBorders>
            <w:vAlign w:val="center"/>
          </w:tcPr>
          <w:p w14:paraId="7927AFBB">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028D86A3">
            <w:pPr>
              <w:spacing w:line="360" w:lineRule="exact"/>
              <w:jc w:val="left"/>
              <w:rPr>
                <w:rFonts w:ascii="宋体" w:hAnsi="宋体"/>
                <w:color w:val="auto"/>
                <w:szCs w:val="21"/>
                <w:highlight w:val="none"/>
              </w:rPr>
            </w:pPr>
            <w:r>
              <w:rPr>
                <w:rFonts w:hint="eastAsia" w:ascii="宋体" w:hAnsi="宋体"/>
                <w:color w:val="auto"/>
                <w:szCs w:val="21"/>
                <w:highlight w:val="none"/>
              </w:rPr>
              <w:t>1.接口规格：HDMI2.0  Type A公转Type A公。</w:t>
            </w:r>
            <w:r>
              <w:rPr>
                <w:rFonts w:hint="eastAsia" w:ascii="宋体" w:hAnsi="宋体"/>
                <w:color w:val="auto"/>
                <w:szCs w:val="21"/>
                <w:highlight w:val="none"/>
              </w:rPr>
              <w:br w:type="textWrapping"/>
            </w:r>
            <w:r>
              <w:rPr>
                <w:rFonts w:hint="eastAsia" w:ascii="宋体" w:hAnsi="宋体"/>
                <w:color w:val="auto"/>
                <w:szCs w:val="21"/>
                <w:highlight w:val="none"/>
              </w:rPr>
              <w:t>2.视频规格：≥4K@60Hz。</w:t>
            </w:r>
            <w:r>
              <w:rPr>
                <w:rFonts w:hint="eastAsia" w:ascii="宋体" w:hAnsi="宋体"/>
                <w:color w:val="auto"/>
                <w:szCs w:val="21"/>
                <w:highlight w:val="none"/>
              </w:rPr>
              <w:br w:type="textWrapping"/>
            </w:r>
            <w:r>
              <w:rPr>
                <w:rFonts w:hint="eastAsia" w:ascii="宋体" w:hAnsi="宋体"/>
                <w:color w:val="auto"/>
                <w:szCs w:val="21"/>
                <w:highlight w:val="none"/>
              </w:rPr>
              <w:t>3.线缆长度：≥30米。</w:t>
            </w:r>
            <w:r>
              <w:rPr>
                <w:rFonts w:hint="eastAsia" w:ascii="宋体" w:hAnsi="宋体"/>
                <w:color w:val="auto"/>
                <w:szCs w:val="21"/>
                <w:highlight w:val="none"/>
              </w:rPr>
              <w:br w:type="textWrapping"/>
            </w:r>
            <w:r>
              <w:rPr>
                <w:rFonts w:hint="eastAsia" w:ascii="宋体" w:hAnsi="宋体"/>
                <w:color w:val="auto"/>
                <w:szCs w:val="21"/>
                <w:highlight w:val="none"/>
              </w:rPr>
              <w:t>4.线缆类型：光纤线。</w:t>
            </w:r>
          </w:p>
        </w:tc>
      </w:tr>
      <w:tr w14:paraId="5E10A1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6EB2CD87">
            <w:pPr>
              <w:jc w:val="center"/>
              <w:rPr>
                <w:rFonts w:ascii="宋体" w:hAnsi="宋体"/>
                <w:color w:val="auto"/>
                <w:szCs w:val="21"/>
                <w:highlight w:val="none"/>
              </w:rPr>
            </w:pPr>
            <w:r>
              <w:rPr>
                <w:rFonts w:hint="eastAsia" w:ascii="宋体" w:hAnsi="宋体"/>
                <w:color w:val="auto"/>
                <w:szCs w:val="21"/>
                <w:highlight w:val="none"/>
              </w:rPr>
              <w:t>55</w:t>
            </w:r>
          </w:p>
        </w:tc>
        <w:tc>
          <w:tcPr>
            <w:tcW w:w="1402" w:type="dxa"/>
            <w:tcBorders>
              <w:top w:val="single" w:color="000000" w:sz="4" w:space="0"/>
              <w:left w:val="single" w:color="auto" w:sz="4" w:space="0"/>
              <w:bottom w:val="single" w:color="000000" w:sz="4" w:space="0"/>
              <w:right w:val="single" w:color="000000" w:sz="4" w:space="0"/>
            </w:tcBorders>
            <w:vAlign w:val="center"/>
          </w:tcPr>
          <w:p w14:paraId="5C83AC84">
            <w:pPr>
              <w:spacing w:line="360" w:lineRule="exact"/>
              <w:jc w:val="center"/>
              <w:rPr>
                <w:rFonts w:ascii="宋体" w:hAnsi="宋体"/>
                <w:color w:val="auto"/>
                <w:szCs w:val="21"/>
                <w:highlight w:val="none"/>
              </w:rPr>
            </w:pPr>
            <w:r>
              <w:rPr>
                <w:rFonts w:hint="eastAsia" w:ascii="宋体" w:hAnsi="宋体"/>
                <w:color w:val="auto"/>
                <w:szCs w:val="21"/>
                <w:highlight w:val="none"/>
              </w:rPr>
              <w:t>媒体资源管理器</w:t>
            </w:r>
          </w:p>
        </w:tc>
        <w:tc>
          <w:tcPr>
            <w:tcW w:w="704" w:type="dxa"/>
            <w:tcBorders>
              <w:top w:val="single" w:color="000000" w:sz="4" w:space="0"/>
              <w:left w:val="single" w:color="000000" w:sz="4" w:space="0"/>
              <w:bottom w:val="single" w:color="000000" w:sz="4" w:space="0"/>
              <w:right w:val="single" w:color="000000" w:sz="4" w:space="0"/>
            </w:tcBorders>
            <w:vAlign w:val="center"/>
          </w:tcPr>
          <w:p w14:paraId="427E3804">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703" w:type="dxa"/>
            <w:tcBorders>
              <w:top w:val="single" w:color="auto" w:sz="4" w:space="0"/>
              <w:left w:val="single" w:color="000000" w:sz="4" w:space="0"/>
              <w:bottom w:val="single" w:color="000000" w:sz="4" w:space="0"/>
              <w:right w:val="single" w:color="000000" w:sz="4" w:space="0"/>
            </w:tcBorders>
            <w:vAlign w:val="center"/>
          </w:tcPr>
          <w:p w14:paraId="7F37D926">
            <w:pPr>
              <w:spacing w:line="360" w:lineRule="exact"/>
              <w:jc w:val="center"/>
              <w:rPr>
                <w:rFonts w:ascii="宋体" w:hAnsi="宋体"/>
                <w:color w:val="auto"/>
                <w:szCs w:val="21"/>
                <w:highlight w:val="none"/>
              </w:rPr>
            </w:pPr>
            <w:r>
              <w:rPr>
                <w:rFonts w:hint="eastAsia" w:ascii="宋体" w:hAnsi="宋体"/>
                <w:color w:val="auto"/>
                <w:szCs w:val="21"/>
                <w:highlight w:val="none"/>
              </w:rPr>
              <w:t>套</w:t>
            </w:r>
          </w:p>
        </w:tc>
        <w:tc>
          <w:tcPr>
            <w:tcW w:w="702" w:type="dxa"/>
            <w:vMerge w:val="continue"/>
            <w:tcBorders>
              <w:left w:val="single" w:color="000000" w:sz="4" w:space="0"/>
              <w:right w:val="single" w:color="000000" w:sz="4" w:space="0"/>
            </w:tcBorders>
            <w:vAlign w:val="center"/>
          </w:tcPr>
          <w:p w14:paraId="1C9295FF">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59FE03F2">
            <w:pPr>
              <w:spacing w:line="360" w:lineRule="exact"/>
              <w:jc w:val="left"/>
              <w:rPr>
                <w:rFonts w:hint="eastAsia" w:ascii="宋体" w:hAnsi="宋体"/>
                <w:color w:val="auto"/>
                <w:szCs w:val="21"/>
                <w:highlight w:val="none"/>
              </w:rPr>
            </w:pPr>
            <w:r>
              <w:rPr>
                <w:rFonts w:hint="eastAsia" w:ascii="宋体" w:hAnsi="宋体"/>
                <w:color w:val="auto"/>
                <w:szCs w:val="21"/>
                <w:highlight w:val="none"/>
                <w:lang w:eastAsia="zh-CN"/>
              </w:rPr>
              <w:t>（一）</w:t>
            </w:r>
            <w:r>
              <w:rPr>
                <w:rFonts w:hint="eastAsia" w:ascii="宋体" w:hAnsi="宋体"/>
                <w:color w:val="auto"/>
                <w:szCs w:val="21"/>
                <w:highlight w:val="none"/>
              </w:rPr>
              <w:t>硬件配置</w:t>
            </w:r>
          </w:p>
          <w:p w14:paraId="6540E4EC">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1</w:t>
            </w:r>
            <w:r>
              <w:rPr>
                <w:rFonts w:hint="eastAsia" w:ascii="宋体" w:hAnsi="宋体"/>
                <w:color w:val="auto"/>
                <w:szCs w:val="21"/>
                <w:highlight w:val="none"/>
                <w:lang w:val="en-US" w:eastAsia="zh-CN"/>
              </w:rPr>
              <w:t>.</w:t>
            </w:r>
            <w:r>
              <w:rPr>
                <w:rFonts w:hint="eastAsia" w:ascii="宋体" w:hAnsi="宋体"/>
                <w:color w:val="auto"/>
                <w:szCs w:val="21"/>
                <w:highlight w:val="none"/>
              </w:rPr>
              <w:t>≥2U机架服务器</w:t>
            </w:r>
            <w:r>
              <w:rPr>
                <w:rFonts w:hint="eastAsia" w:ascii="宋体" w:hAnsi="宋体"/>
                <w:color w:val="auto"/>
                <w:szCs w:val="21"/>
                <w:highlight w:val="none"/>
                <w:lang w:eastAsia="zh-CN"/>
              </w:rPr>
              <w:t>，</w:t>
            </w:r>
            <w:r>
              <w:rPr>
                <w:rFonts w:hint="eastAsia" w:ascii="宋体" w:hAnsi="宋体"/>
                <w:color w:val="auto"/>
                <w:szCs w:val="21"/>
                <w:highlight w:val="none"/>
              </w:rPr>
              <w:t>64GB DDR4内存</w:t>
            </w:r>
            <w:r>
              <w:rPr>
                <w:rFonts w:hint="eastAsia" w:ascii="宋体" w:hAnsi="宋体"/>
                <w:color w:val="auto"/>
                <w:szCs w:val="21"/>
                <w:highlight w:val="none"/>
                <w:lang w:eastAsia="zh-CN"/>
              </w:rPr>
              <w:t>。</w:t>
            </w:r>
          </w:p>
          <w:p w14:paraId="73F1E742">
            <w:pPr>
              <w:spacing w:line="360" w:lineRule="exact"/>
              <w:jc w:val="left"/>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w:t>
            </w:r>
            <w:r>
              <w:rPr>
                <w:rFonts w:hint="eastAsia" w:ascii="宋体" w:hAnsi="宋体"/>
                <w:color w:val="auto"/>
                <w:szCs w:val="21"/>
                <w:highlight w:val="none"/>
              </w:rPr>
              <w:t>≥</w:t>
            </w:r>
            <w:r>
              <w:rPr>
                <w:rFonts w:hint="eastAsia" w:ascii="宋体" w:hAnsi="宋体"/>
                <w:color w:val="auto"/>
                <w:szCs w:val="21"/>
                <w:highlight w:val="none"/>
                <w:lang w:val="en-US" w:eastAsia="zh-CN"/>
              </w:rPr>
              <w:t>48</w:t>
            </w:r>
            <w:r>
              <w:rPr>
                <w:rFonts w:hint="eastAsia" w:ascii="宋体" w:hAnsi="宋体"/>
                <w:color w:val="auto"/>
                <w:szCs w:val="21"/>
                <w:highlight w:val="none"/>
              </w:rPr>
              <w:t>T</w:t>
            </w:r>
            <w:r>
              <w:rPr>
                <w:rFonts w:hint="eastAsia" w:ascii="宋体" w:hAnsi="宋体"/>
                <w:color w:val="auto"/>
                <w:szCs w:val="21"/>
                <w:highlight w:val="none"/>
                <w:lang w:val="en-US" w:eastAsia="zh-CN"/>
              </w:rPr>
              <w:t>存储空间</w:t>
            </w:r>
            <w:r>
              <w:rPr>
                <w:rFonts w:hint="eastAsia" w:ascii="宋体" w:hAnsi="宋体"/>
                <w:color w:val="auto"/>
                <w:szCs w:val="21"/>
                <w:highlight w:val="none"/>
              </w:rPr>
              <w:t>。</w:t>
            </w:r>
          </w:p>
          <w:p w14:paraId="6C264008">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3</w:t>
            </w:r>
            <w:r>
              <w:rPr>
                <w:rFonts w:hint="eastAsia" w:ascii="宋体" w:hAnsi="宋体"/>
                <w:color w:val="auto"/>
                <w:szCs w:val="21"/>
                <w:highlight w:val="none"/>
                <w:lang w:val="en-US" w:eastAsia="zh-CN"/>
              </w:rPr>
              <w:t>.要求</w:t>
            </w:r>
            <w:r>
              <w:rPr>
                <w:rFonts w:hint="eastAsia" w:ascii="宋体" w:hAnsi="宋体"/>
                <w:color w:val="auto"/>
                <w:szCs w:val="21"/>
                <w:highlight w:val="none"/>
              </w:rPr>
              <w:t>10G SFP+万兆光纤口</w:t>
            </w:r>
            <w:r>
              <w:rPr>
                <w:rFonts w:hint="eastAsia" w:ascii="宋体" w:hAnsi="宋体"/>
                <w:color w:val="auto"/>
                <w:szCs w:val="21"/>
                <w:highlight w:val="none"/>
                <w:lang w:val="en-US" w:eastAsia="zh-CN"/>
              </w:rPr>
              <w:t>×</w:t>
            </w:r>
            <w:r>
              <w:rPr>
                <w:rFonts w:hint="eastAsia" w:ascii="宋体" w:hAnsi="宋体"/>
                <w:color w:val="auto"/>
                <w:szCs w:val="21"/>
                <w:highlight w:val="none"/>
              </w:rPr>
              <w:t>2</w:t>
            </w:r>
            <w:r>
              <w:rPr>
                <w:rFonts w:hint="eastAsia" w:ascii="宋体" w:hAnsi="宋体"/>
                <w:color w:val="auto"/>
                <w:szCs w:val="21"/>
                <w:highlight w:val="none"/>
                <w:lang w:eastAsia="zh-CN"/>
              </w:rPr>
              <w:t>，</w:t>
            </w:r>
            <w:r>
              <w:rPr>
                <w:rFonts w:hint="eastAsia" w:ascii="宋体" w:hAnsi="宋体"/>
                <w:color w:val="auto"/>
                <w:szCs w:val="21"/>
                <w:highlight w:val="none"/>
              </w:rPr>
              <w:t>1000M</w:t>
            </w:r>
            <w:r>
              <w:rPr>
                <w:rFonts w:hint="eastAsia" w:ascii="宋体" w:hAnsi="宋体"/>
                <w:color w:val="auto"/>
                <w:szCs w:val="21"/>
                <w:highlight w:val="none"/>
                <w:lang w:val="en-US" w:eastAsia="zh-CN"/>
              </w:rPr>
              <w:t>×</w:t>
            </w:r>
            <w:r>
              <w:rPr>
                <w:rFonts w:hint="eastAsia" w:ascii="宋体" w:hAnsi="宋体"/>
                <w:color w:val="auto"/>
                <w:szCs w:val="21"/>
                <w:highlight w:val="none"/>
              </w:rPr>
              <w:t>2网络</w:t>
            </w:r>
            <w:r>
              <w:rPr>
                <w:rFonts w:hint="eastAsia" w:ascii="宋体" w:hAnsi="宋体"/>
                <w:color w:val="auto"/>
                <w:szCs w:val="21"/>
                <w:highlight w:val="none"/>
                <w:lang w:eastAsia="zh-CN"/>
              </w:rPr>
              <w:t>。</w:t>
            </w:r>
          </w:p>
          <w:p w14:paraId="30D0BF4B">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4</w:t>
            </w:r>
            <w:r>
              <w:rPr>
                <w:rFonts w:hint="eastAsia" w:ascii="宋体" w:hAnsi="宋体"/>
                <w:color w:val="auto"/>
                <w:szCs w:val="21"/>
                <w:highlight w:val="none"/>
                <w:lang w:val="en-US" w:eastAsia="zh-CN"/>
              </w:rPr>
              <w:t>.</w:t>
            </w:r>
            <w:r>
              <w:rPr>
                <w:rFonts w:hint="eastAsia" w:ascii="宋体" w:hAnsi="宋体"/>
                <w:color w:val="auto"/>
                <w:szCs w:val="21"/>
                <w:highlight w:val="none"/>
              </w:rPr>
              <w:t>≥专用800W（1+1）服务器冗余电源</w:t>
            </w:r>
            <w:r>
              <w:rPr>
                <w:rFonts w:hint="eastAsia" w:ascii="宋体" w:hAnsi="宋体"/>
                <w:color w:val="auto"/>
                <w:szCs w:val="21"/>
                <w:highlight w:val="none"/>
                <w:lang w:eastAsia="zh-CN"/>
              </w:rPr>
              <w:t>。</w:t>
            </w:r>
          </w:p>
          <w:p w14:paraId="21606AD5">
            <w:pPr>
              <w:spacing w:line="360" w:lineRule="exact"/>
              <w:jc w:val="left"/>
              <w:rPr>
                <w:rFonts w:hint="eastAsia" w:ascii="宋体" w:hAnsi="宋体"/>
                <w:color w:val="auto"/>
                <w:szCs w:val="21"/>
                <w:highlight w:val="none"/>
              </w:rPr>
            </w:pPr>
            <w:r>
              <w:rPr>
                <w:rFonts w:hint="eastAsia" w:ascii="宋体" w:hAnsi="宋体"/>
                <w:color w:val="auto"/>
                <w:szCs w:val="21"/>
                <w:highlight w:val="none"/>
                <w:lang w:eastAsia="zh-CN"/>
              </w:rPr>
              <w:t>（二）</w:t>
            </w:r>
            <w:r>
              <w:rPr>
                <w:rFonts w:hint="eastAsia" w:ascii="宋体" w:hAnsi="宋体"/>
                <w:color w:val="auto"/>
                <w:szCs w:val="21"/>
                <w:highlight w:val="none"/>
              </w:rPr>
              <w:t>系统平台</w:t>
            </w:r>
          </w:p>
          <w:p w14:paraId="56DCFC85">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1</w:t>
            </w:r>
            <w:r>
              <w:rPr>
                <w:rFonts w:hint="eastAsia" w:ascii="宋体" w:hAnsi="宋体"/>
                <w:color w:val="auto"/>
                <w:szCs w:val="21"/>
                <w:highlight w:val="none"/>
                <w:lang w:val="en-US" w:eastAsia="zh-CN"/>
              </w:rPr>
              <w:t>.</w:t>
            </w:r>
            <w:r>
              <w:rPr>
                <w:rFonts w:hint="eastAsia" w:ascii="宋体" w:hAnsi="宋体"/>
                <w:color w:val="auto"/>
                <w:szCs w:val="21"/>
                <w:highlight w:val="none"/>
              </w:rPr>
              <w:t>支持国产统信UOS系统部署</w:t>
            </w:r>
            <w:r>
              <w:rPr>
                <w:rFonts w:hint="eastAsia" w:ascii="宋体" w:hAnsi="宋体"/>
                <w:color w:val="auto"/>
                <w:szCs w:val="21"/>
                <w:highlight w:val="none"/>
                <w:lang w:eastAsia="zh-CN"/>
              </w:rPr>
              <w:t>。</w:t>
            </w:r>
          </w:p>
          <w:p w14:paraId="4942D779">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2.</w:t>
            </w:r>
            <w:r>
              <w:rPr>
                <w:rFonts w:hint="eastAsia" w:ascii="宋体" w:hAnsi="宋体"/>
                <w:color w:val="auto"/>
                <w:szCs w:val="21"/>
                <w:highlight w:val="none"/>
              </w:rPr>
              <w:t>系统支持云端及本地私有化两种部署方式</w:t>
            </w:r>
            <w:r>
              <w:rPr>
                <w:rFonts w:hint="eastAsia" w:ascii="宋体" w:hAnsi="宋体"/>
                <w:color w:val="auto"/>
                <w:szCs w:val="21"/>
                <w:highlight w:val="none"/>
                <w:lang w:eastAsia="zh-CN"/>
              </w:rPr>
              <w:t>。</w:t>
            </w:r>
          </w:p>
          <w:p w14:paraId="1D276374">
            <w:pPr>
              <w:spacing w:line="360" w:lineRule="exact"/>
              <w:jc w:val="left"/>
              <w:rPr>
                <w:rFonts w:hint="eastAsia" w:ascii="宋体" w:hAnsi="宋体"/>
                <w:color w:val="auto"/>
                <w:szCs w:val="21"/>
                <w:highlight w:val="none"/>
              </w:rPr>
            </w:pPr>
            <w:r>
              <w:rPr>
                <w:rFonts w:hint="eastAsia" w:ascii="宋体" w:hAnsi="宋体"/>
                <w:color w:val="auto"/>
                <w:szCs w:val="21"/>
                <w:highlight w:val="none"/>
                <w:lang w:eastAsia="zh-CN"/>
              </w:rPr>
              <w:t>（三）</w:t>
            </w:r>
            <w:r>
              <w:rPr>
                <w:rFonts w:hint="eastAsia" w:ascii="宋体" w:hAnsi="宋体"/>
                <w:color w:val="auto"/>
                <w:szCs w:val="21"/>
                <w:highlight w:val="none"/>
              </w:rPr>
              <w:t>系统安全性</w:t>
            </w:r>
          </w:p>
          <w:p w14:paraId="0B09A4D8">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1</w:t>
            </w:r>
            <w:r>
              <w:rPr>
                <w:rFonts w:hint="eastAsia" w:ascii="宋体" w:hAnsi="宋体"/>
                <w:color w:val="auto"/>
                <w:szCs w:val="21"/>
                <w:highlight w:val="none"/>
                <w:lang w:val="en-US" w:eastAsia="zh-CN"/>
              </w:rPr>
              <w:t>.</w:t>
            </w:r>
            <w:r>
              <w:rPr>
                <w:rFonts w:hint="eastAsia" w:ascii="宋体" w:hAnsi="宋体"/>
                <w:color w:val="auto"/>
                <w:szCs w:val="21"/>
                <w:highlight w:val="none"/>
              </w:rPr>
              <w:t>状态监视-支持快捷入口，可直接切换到工作模块</w:t>
            </w:r>
            <w:r>
              <w:rPr>
                <w:rFonts w:hint="eastAsia" w:ascii="宋体" w:hAnsi="宋体"/>
                <w:color w:val="auto"/>
                <w:szCs w:val="21"/>
                <w:highlight w:val="none"/>
                <w:lang w:eastAsia="zh-CN"/>
              </w:rPr>
              <w:t>。</w:t>
            </w:r>
          </w:p>
          <w:p w14:paraId="6E43B572">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2</w:t>
            </w:r>
            <w:r>
              <w:rPr>
                <w:rFonts w:hint="eastAsia" w:ascii="宋体" w:hAnsi="宋体"/>
                <w:color w:val="auto"/>
                <w:szCs w:val="21"/>
                <w:highlight w:val="none"/>
                <w:lang w:val="en-US" w:eastAsia="zh-CN"/>
              </w:rPr>
              <w:t>.</w:t>
            </w:r>
            <w:r>
              <w:rPr>
                <w:rFonts w:hint="eastAsia" w:ascii="宋体" w:hAnsi="宋体"/>
                <w:color w:val="auto"/>
                <w:szCs w:val="21"/>
                <w:highlight w:val="none"/>
              </w:rPr>
              <w:t>支持服务器状态监视，可分别监视服务器存储、CPU、内存的总量、已用和剩余空间</w:t>
            </w:r>
            <w:r>
              <w:rPr>
                <w:rFonts w:hint="eastAsia" w:ascii="宋体" w:hAnsi="宋体"/>
                <w:color w:val="auto"/>
                <w:szCs w:val="21"/>
                <w:highlight w:val="none"/>
                <w:lang w:eastAsia="zh-CN"/>
              </w:rPr>
              <w:t>。</w:t>
            </w:r>
          </w:p>
          <w:p w14:paraId="3F075469">
            <w:pPr>
              <w:spacing w:line="360" w:lineRule="exact"/>
              <w:jc w:val="left"/>
              <w:rPr>
                <w:rFonts w:hint="eastAsia" w:ascii="宋体" w:hAnsi="宋体"/>
                <w:color w:val="auto"/>
                <w:szCs w:val="21"/>
                <w:highlight w:val="none"/>
              </w:rPr>
            </w:pPr>
            <w:r>
              <w:rPr>
                <w:rFonts w:hint="eastAsia" w:ascii="宋体" w:hAnsi="宋体"/>
                <w:color w:val="auto"/>
                <w:szCs w:val="21"/>
                <w:highlight w:val="none"/>
              </w:rPr>
              <w:t>3</w:t>
            </w:r>
            <w:r>
              <w:rPr>
                <w:rFonts w:hint="eastAsia" w:ascii="宋体" w:hAnsi="宋体"/>
                <w:color w:val="auto"/>
                <w:szCs w:val="21"/>
                <w:highlight w:val="none"/>
                <w:lang w:val="en-US" w:eastAsia="zh-CN"/>
              </w:rPr>
              <w:t>.</w:t>
            </w:r>
            <w:r>
              <w:rPr>
                <w:rFonts w:hint="eastAsia" w:ascii="宋体" w:hAnsi="宋体"/>
                <w:color w:val="auto"/>
                <w:szCs w:val="21"/>
                <w:highlight w:val="none"/>
              </w:rPr>
              <w:t>支持按时间监视存储容量的柱形图表。</w:t>
            </w:r>
          </w:p>
          <w:p w14:paraId="6D4BFE94">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4.</w:t>
            </w:r>
            <w:r>
              <w:rPr>
                <w:rFonts w:hint="eastAsia" w:ascii="宋体" w:hAnsi="宋体"/>
                <w:color w:val="auto"/>
                <w:szCs w:val="21"/>
                <w:highlight w:val="none"/>
              </w:rPr>
              <w:t>文件加密-支持文件保密级别设置，最高3级保密，具有保密权限的用户可搜索下载文件，实现不同保密文件的安全功能</w:t>
            </w:r>
            <w:r>
              <w:rPr>
                <w:rFonts w:hint="eastAsia" w:ascii="宋体" w:hAnsi="宋体"/>
                <w:color w:val="auto"/>
                <w:szCs w:val="21"/>
                <w:highlight w:val="none"/>
                <w:lang w:eastAsia="zh-CN"/>
              </w:rPr>
              <w:t>。</w:t>
            </w:r>
          </w:p>
          <w:p w14:paraId="4DDC84F4">
            <w:pPr>
              <w:spacing w:line="360" w:lineRule="exact"/>
              <w:jc w:val="left"/>
              <w:rPr>
                <w:rFonts w:hint="eastAsia" w:ascii="宋体" w:hAnsi="宋体"/>
                <w:color w:val="auto"/>
                <w:szCs w:val="21"/>
                <w:highlight w:val="none"/>
              </w:rPr>
            </w:pPr>
            <w:r>
              <w:rPr>
                <w:rFonts w:hint="eastAsia" w:ascii="宋体" w:hAnsi="宋体"/>
                <w:color w:val="auto"/>
                <w:szCs w:val="21"/>
                <w:highlight w:val="none"/>
                <w:lang w:eastAsia="zh-CN"/>
              </w:rPr>
              <w:t>（四）</w:t>
            </w:r>
            <w:r>
              <w:rPr>
                <w:rFonts w:hint="eastAsia" w:ascii="宋体" w:hAnsi="宋体"/>
                <w:color w:val="auto"/>
                <w:szCs w:val="21"/>
                <w:highlight w:val="none"/>
              </w:rPr>
              <w:t>应用管理</w:t>
            </w:r>
          </w:p>
          <w:p w14:paraId="5B50ACB6">
            <w:pPr>
              <w:spacing w:line="360" w:lineRule="exact"/>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w:t>
            </w:r>
            <w:r>
              <w:rPr>
                <w:rFonts w:hint="eastAsia" w:ascii="宋体" w:hAnsi="宋体"/>
                <w:color w:val="auto"/>
                <w:szCs w:val="21"/>
                <w:highlight w:val="none"/>
              </w:rPr>
              <w:t>机构管理-支持部门机构管理模式，各机构部门媒体资产分离并可独立管理，可对每个机构进行机构磁盘配额、机构禁用、机构名称及密码修改。</w:t>
            </w:r>
          </w:p>
          <w:p w14:paraId="3AAF19F4">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2</w:t>
            </w:r>
            <w:r>
              <w:rPr>
                <w:rFonts w:hint="eastAsia" w:ascii="宋体" w:hAnsi="宋体"/>
                <w:color w:val="auto"/>
                <w:szCs w:val="21"/>
                <w:highlight w:val="none"/>
                <w:lang w:val="en-US" w:eastAsia="zh-CN"/>
              </w:rPr>
              <w:t>.</w:t>
            </w:r>
            <w:r>
              <w:rPr>
                <w:rFonts w:hint="eastAsia" w:ascii="宋体" w:hAnsi="宋体"/>
                <w:color w:val="auto"/>
                <w:szCs w:val="21"/>
                <w:highlight w:val="none"/>
              </w:rPr>
              <w:t>支持修改登录界面logo、简称、登录页背景图</w:t>
            </w:r>
            <w:r>
              <w:rPr>
                <w:rFonts w:hint="eastAsia" w:ascii="宋体" w:hAnsi="宋体"/>
                <w:color w:val="auto"/>
                <w:szCs w:val="21"/>
                <w:highlight w:val="none"/>
                <w:lang w:eastAsia="zh-CN"/>
              </w:rPr>
              <w:t>。</w:t>
            </w:r>
          </w:p>
          <w:p w14:paraId="59FD3EAB">
            <w:pPr>
              <w:spacing w:line="360" w:lineRule="exact"/>
              <w:jc w:val="left"/>
              <w:rPr>
                <w:rFonts w:hint="eastAsia" w:ascii="宋体" w:hAnsi="宋体"/>
                <w:color w:val="auto"/>
                <w:szCs w:val="21"/>
                <w:highlight w:val="none"/>
              </w:rPr>
            </w:pPr>
            <w:r>
              <w:rPr>
                <w:rFonts w:hint="eastAsia" w:ascii="宋体" w:hAnsi="宋体"/>
                <w:color w:val="auto"/>
                <w:szCs w:val="21"/>
                <w:highlight w:val="none"/>
              </w:rPr>
              <w:t>3</w:t>
            </w:r>
            <w:r>
              <w:rPr>
                <w:rFonts w:hint="eastAsia" w:ascii="宋体" w:hAnsi="宋体"/>
                <w:color w:val="auto"/>
                <w:szCs w:val="21"/>
                <w:highlight w:val="none"/>
                <w:lang w:val="en-US" w:eastAsia="zh-CN"/>
              </w:rPr>
              <w:t>.</w:t>
            </w:r>
            <w:r>
              <w:rPr>
                <w:rFonts w:hint="eastAsia" w:ascii="宋体" w:hAnsi="宋体"/>
                <w:color w:val="auto"/>
                <w:szCs w:val="21"/>
                <w:highlight w:val="none"/>
              </w:rPr>
              <w:t>支持应用管理功能，包含媒体转码、文档预览、保密级别、语音识别、人脸识别、智能标签、急速转码等选配应用。</w:t>
            </w:r>
          </w:p>
          <w:p w14:paraId="3A62B90D">
            <w:pPr>
              <w:spacing w:line="360" w:lineRule="exact"/>
              <w:jc w:val="left"/>
              <w:rPr>
                <w:rFonts w:hint="eastAsia" w:ascii="宋体" w:hAnsi="宋体"/>
                <w:color w:val="auto"/>
                <w:szCs w:val="21"/>
                <w:highlight w:val="none"/>
              </w:rPr>
            </w:pPr>
            <w:r>
              <w:rPr>
                <w:rFonts w:hint="eastAsia" w:ascii="宋体" w:hAnsi="宋体"/>
                <w:color w:val="auto"/>
                <w:szCs w:val="21"/>
                <w:highlight w:val="none"/>
                <w:lang w:eastAsia="zh-CN"/>
              </w:rPr>
              <w:t>（五）</w:t>
            </w:r>
            <w:r>
              <w:rPr>
                <w:rFonts w:hint="eastAsia" w:ascii="宋体" w:hAnsi="宋体"/>
                <w:color w:val="auto"/>
                <w:szCs w:val="21"/>
                <w:highlight w:val="none"/>
              </w:rPr>
              <w:t>系统软件基础功能</w:t>
            </w:r>
          </w:p>
          <w:p w14:paraId="57EF7A5F">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1</w:t>
            </w:r>
            <w:r>
              <w:rPr>
                <w:rFonts w:hint="eastAsia" w:ascii="宋体" w:hAnsi="宋体"/>
                <w:color w:val="auto"/>
                <w:szCs w:val="21"/>
                <w:highlight w:val="none"/>
                <w:lang w:val="en-US" w:eastAsia="zh-CN"/>
              </w:rPr>
              <w:t>.</w:t>
            </w:r>
            <w:r>
              <w:rPr>
                <w:rFonts w:hint="eastAsia" w:ascii="宋体" w:hAnsi="宋体"/>
                <w:color w:val="auto"/>
                <w:szCs w:val="21"/>
                <w:highlight w:val="none"/>
              </w:rPr>
              <w:t>支持主流8K、4K文件的导入、预览、编目、审核和转码下载</w:t>
            </w:r>
            <w:r>
              <w:rPr>
                <w:rFonts w:hint="eastAsia" w:ascii="宋体" w:hAnsi="宋体"/>
                <w:color w:val="auto"/>
                <w:szCs w:val="21"/>
                <w:highlight w:val="none"/>
                <w:lang w:eastAsia="zh-CN"/>
              </w:rPr>
              <w:t>。</w:t>
            </w:r>
          </w:p>
          <w:p w14:paraId="49BB557D">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2</w:t>
            </w:r>
            <w:r>
              <w:rPr>
                <w:rFonts w:hint="eastAsia" w:ascii="宋体" w:hAnsi="宋体"/>
                <w:color w:val="auto"/>
                <w:szCs w:val="21"/>
                <w:highlight w:val="none"/>
                <w:lang w:val="en-US" w:eastAsia="zh-CN"/>
              </w:rPr>
              <w:t>.</w:t>
            </w:r>
            <w:r>
              <w:rPr>
                <w:rFonts w:hint="eastAsia" w:ascii="宋体" w:hAnsi="宋体"/>
                <w:color w:val="auto"/>
                <w:szCs w:val="21"/>
                <w:highlight w:val="none"/>
              </w:rPr>
              <w:t>系统支持文件导入、审核、编目、管理、检索、下载、统计等操作</w:t>
            </w:r>
            <w:r>
              <w:rPr>
                <w:rFonts w:hint="eastAsia" w:ascii="宋体" w:hAnsi="宋体"/>
                <w:color w:val="auto"/>
                <w:szCs w:val="21"/>
                <w:highlight w:val="none"/>
                <w:lang w:eastAsia="zh-CN"/>
              </w:rPr>
              <w:t>。</w:t>
            </w:r>
          </w:p>
          <w:p w14:paraId="44E48901">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3</w:t>
            </w:r>
            <w:r>
              <w:rPr>
                <w:rFonts w:hint="eastAsia" w:ascii="宋体" w:hAnsi="宋体"/>
                <w:color w:val="auto"/>
                <w:szCs w:val="21"/>
                <w:highlight w:val="none"/>
                <w:lang w:val="en-US" w:eastAsia="zh-CN"/>
              </w:rPr>
              <w:t>.</w:t>
            </w:r>
            <w:r>
              <w:rPr>
                <w:rFonts w:hint="eastAsia" w:ascii="宋体" w:hAnsi="宋体"/>
                <w:color w:val="auto"/>
                <w:szCs w:val="21"/>
                <w:highlight w:val="none"/>
              </w:rPr>
              <w:t>自定义编目-支持自定义多级编目项，采用层次化结构设计及目录树管理，满足各个行业的编目需求</w:t>
            </w:r>
            <w:r>
              <w:rPr>
                <w:rFonts w:hint="eastAsia" w:ascii="宋体" w:hAnsi="宋体"/>
                <w:color w:val="auto"/>
                <w:szCs w:val="21"/>
                <w:highlight w:val="none"/>
                <w:lang w:eastAsia="zh-CN"/>
              </w:rPr>
              <w:t>。</w:t>
            </w:r>
          </w:p>
          <w:p w14:paraId="4B02737D">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4</w:t>
            </w:r>
            <w:r>
              <w:rPr>
                <w:rFonts w:hint="eastAsia" w:ascii="宋体" w:hAnsi="宋体"/>
                <w:color w:val="auto"/>
                <w:szCs w:val="21"/>
                <w:highlight w:val="none"/>
                <w:lang w:val="en-US" w:eastAsia="zh-CN"/>
              </w:rPr>
              <w:t>.</w:t>
            </w:r>
            <w:r>
              <w:rPr>
                <w:rFonts w:hint="eastAsia" w:ascii="宋体" w:hAnsi="宋体"/>
                <w:color w:val="auto"/>
                <w:szCs w:val="21"/>
                <w:highlight w:val="none"/>
              </w:rPr>
              <w:t>支持无带化文件及其数据结构的导入，并对主文件进行编目。支持对导入系统的视音频文件添加附件</w:t>
            </w:r>
            <w:r>
              <w:rPr>
                <w:rFonts w:hint="eastAsia" w:ascii="宋体" w:hAnsi="宋体"/>
                <w:color w:val="auto"/>
                <w:szCs w:val="21"/>
                <w:highlight w:val="none"/>
                <w:lang w:eastAsia="zh-CN"/>
              </w:rPr>
              <w:t>。</w:t>
            </w:r>
          </w:p>
          <w:p w14:paraId="2812539C">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5</w:t>
            </w:r>
            <w:r>
              <w:rPr>
                <w:rFonts w:hint="eastAsia" w:ascii="宋体" w:hAnsi="宋体"/>
                <w:color w:val="auto"/>
                <w:szCs w:val="21"/>
                <w:highlight w:val="none"/>
                <w:lang w:val="en-US" w:eastAsia="zh-CN"/>
              </w:rPr>
              <w:t>.</w:t>
            </w:r>
            <w:r>
              <w:rPr>
                <w:rFonts w:hint="eastAsia" w:ascii="宋体" w:hAnsi="宋体"/>
                <w:color w:val="auto"/>
                <w:szCs w:val="21"/>
                <w:highlight w:val="none"/>
              </w:rPr>
              <w:t>自定义入库流程-支持自定义入库工作流程，系统提供流程模板设计工具，根据不同应用环境设定不同的入库流程，流程中可指定用户与部门，同时支持多个入库流程并行工作</w:t>
            </w:r>
            <w:r>
              <w:rPr>
                <w:rFonts w:hint="eastAsia" w:ascii="宋体" w:hAnsi="宋体"/>
                <w:color w:val="auto"/>
                <w:szCs w:val="21"/>
                <w:highlight w:val="none"/>
                <w:lang w:eastAsia="zh-CN"/>
              </w:rPr>
              <w:t>。</w:t>
            </w:r>
          </w:p>
          <w:p w14:paraId="77393C13">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6</w:t>
            </w:r>
            <w:r>
              <w:rPr>
                <w:rFonts w:hint="eastAsia" w:ascii="宋体" w:hAnsi="宋体"/>
                <w:color w:val="auto"/>
                <w:szCs w:val="21"/>
                <w:highlight w:val="none"/>
                <w:lang w:val="en-US" w:eastAsia="zh-CN"/>
              </w:rPr>
              <w:t>.</w:t>
            </w:r>
            <w:r>
              <w:rPr>
                <w:rFonts w:hint="eastAsia" w:ascii="宋体" w:hAnsi="宋体"/>
                <w:color w:val="auto"/>
                <w:szCs w:val="21"/>
                <w:highlight w:val="none"/>
              </w:rPr>
              <w:t>系统支持内部自动化转码，可单独配置额外的转码服务器（可选独立显卡进行GPU转码加速）</w:t>
            </w:r>
            <w:r>
              <w:rPr>
                <w:rFonts w:hint="eastAsia" w:ascii="宋体" w:hAnsi="宋体"/>
                <w:color w:val="auto"/>
                <w:szCs w:val="21"/>
                <w:highlight w:val="none"/>
                <w:lang w:eastAsia="zh-CN"/>
              </w:rPr>
              <w:t>。</w:t>
            </w:r>
          </w:p>
          <w:p w14:paraId="72E12B84">
            <w:pPr>
              <w:spacing w:line="360" w:lineRule="exact"/>
              <w:jc w:val="left"/>
              <w:rPr>
                <w:rFonts w:hint="eastAsia" w:ascii="宋体" w:hAnsi="宋体"/>
                <w:color w:val="auto"/>
                <w:szCs w:val="21"/>
                <w:highlight w:val="none"/>
              </w:rPr>
            </w:pPr>
            <w:r>
              <w:rPr>
                <w:rFonts w:hint="eastAsia" w:ascii="宋体" w:hAnsi="宋体"/>
                <w:color w:val="auto"/>
                <w:szCs w:val="21"/>
                <w:highlight w:val="none"/>
                <w:lang w:eastAsia="zh-CN"/>
              </w:rPr>
              <w:t>（六）</w:t>
            </w:r>
            <w:r>
              <w:rPr>
                <w:rFonts w:hint="eastAsia" w:ascii="宋体" w:hAnsi="宋体"/>
                <w:color w:val="auto"/>
                <w:szCs w:val="21"/>
                <w:highlight w:val="none"/>
              </w:rPr>
              <w:t>文件标签与检索</w:t>
            </w:r>
          </w:p>
          <w:p w14:paraId="3E6B28F6">
            <w:pPr>
              <w:spacing w:line="360" w:lineRule="exact"/>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w:t>
            </w:r>
            <w:r>
              <w:rPr>
                <w:rFonts w:hint="eastAsia" w:ascii="宋体" w:hAnsi="宋体"/>
                <w:color w:val="auto"/>
                <w:szCs w:val="21"/>
                <w:highlight w:val="none"/>
              </w:rPr>
              <w:t>标签和标签库-具有标签功能，可对素材和目录进行标签设置，可选择标签或搜索标签完成素材检索；标签库支持新建标签、标签分类，并可统计每个标签使用次数。</w:t>
            </w:r>
          </w:p>
          <w:p w14:paraId="7FEC04EF">
            <w:pPr>
              <w:spacing w:line="360" w:lineRule="exact"/>
              <w:jc w:val="left"/>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lang w:val="en-US" w:eastAsia="zh-CN"/>
              </w:rPr>
              <w:t>.</w:t>
            </w:r>
            <w:r>
              <w:rPr>
                <w:rFonts w:hint="eastAsia" w:ascii="宋体" w:hAnsi="宋体"/>
                <w:color w:val="auto"/>
                <w:szCs w:val="21"/>
                <w:highlight w:val="none"/>
              </w:rPr>
              <w:t>系统提供方便、快捷的检索工具，根据不同需要自定义检索条件，并提供同音、模糊、精确查询方式。</w:t>
            </w:r>
          </w:p>
          <w:p w14:paraId="7143B69B">
            <w:pPr>
              <w:spacing w:line="360" w:lineRule="exact"/>
              <w:jc w:val="left"/>
              <w:rPr>
                <w:rFonts w:hint="eastAsia" w:ascii="宋体" w:hAnsi="宋体"/>
                <w:color w:val="auto"/>
                <w:szCs w:val="21"/>
                <w:highlight w:val="none"/>
              </w:rPr>
            </w:pPr>
            <w:r>
              <w:rPr>
                <w:rFonts w:hint="eastAsia" w:ascii="宋体" w:hAnsi="宋体"/>
                <w:color w:val="auto"/>
                <w:szCs w:val="21"/>
                <w:highlight w:val="none"/>
                <w:lang w:eastAsia="zh-CN"/>
              </w:rPr>
              <w:t>（七）</w:t>
            </w:r>
            <w:r>
              <w:rPr>
                <w:rFonts w:hint="eastAsia" w:ascii="宋体" w:hAnsi="宋体"/>
                <w:color w:val="auto"/>
                <w:szCs w:val="21"/>
                <w:highlight w:val="none"/>
              </w:rPr>
              <w:t>汇总系统</w:t>
            </w:r>
          </w:p>
          <w:p w14:paraId="136FC094">
            <w:pPr>
              <w:spacing w:line="360" w:lineRule="exact"/>
              <w:jc w:val="left"/>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w:t>
            </w:r>
            <w:r>
              <w:rPr>
                <w:rFonts w:hint="eastAsia" w:ascii="宋体" w:hAnsi="宋体"/>
                <w:color w:val="auto"/>
                <w:szCs w:val="21"/>
                <w:highlight w:val="none"/>
              </w:rPr>
              <w:t>统计功能-支持用户操作统计功能，包含上载、媒体审核、编目、编目审核、下载的操作次数统计。</w:t>
            </w:r>
          </w:p>
          <w:p w14:paraId="3443E969">
            <w:pPr>
              <w:spacing w:line="360" w:lineRule="exact"/>
              <w:jc w:val="left"/>
              <w:rPr>
                <w:rFonts w:hint="eastAsia" w:ascii="宋体" w:hAnsi="宋体" w:eastAsia="宋体"/>
                <w:color w:val="auto"/>
                <w:szCs w:val="21"/>
                <w:highlight w:val="none"/>
                <w:lang w:eastAsia="zh-CN"/>
              </w:rPr>
            </w:pPr>
            <w:r>
              <w:rPr>
                <w:rFonts w:hint="eastAsia" w:ascii="宋体" w:hAnsi="宋体"/>
                <w:color w:val="auto"/>
                <w:szCs w:val="21"/>
                <w:highlight w:val="none"/>
              </w:rPr>
              <w:t>2</w:t>
            </w:r>
            <w:r>
              <w:rPr>
                <w:rFonts w:hint="eastAsia" w:ascii="宋体" w:hAnsi="宋体"/>
                <w:color w:val="auto"/>
                <w:szCs w:val="21"/>
                <w:highlight w:val="none"/>
                <w:lang w:val="en-US" w:eastAsia="zh-CN"/>
              </w:rPr>
              <w:t>.</w:t>
            </w:r>
            <w:r>
              <w:rPr>
                <w:rFonts w:hint="eastAsia" w:ascii="宋体" w:hAnsi="宋体"/>
                <w:color w:val="auto"/>
                <w:szCs w:val="21"/>
                <w:highlight w:val="none"/>
              </w:rPr>
              <w:t>统计波形图支持图片导出，导出格式为excel表格</w:t>
            </w:r>
            <w:r>
              <w:rPr>
                <w:rFonts w:hint="eastAsia" w:ascii="宋体" w:hAnsi="宋体"/>
                <w:color w:val="auto"/>
                <w:szCs w:val="21"/>
                <w:highlight w:val="none"/>
                <w:lang w:eastAsia="zh-CN"/>
              </w:rPr>
              <w:t>。</w:t>
            </w:r>
          </w:p>
          <w:p w14:paraId="3B94F00F">
            <w:pPr>
              <w:spacing w:line="360" w:lineRule="exact"/>
              <w:jc w:val="left"/>
              <w:rPr>
                <w:rFonts w:hint="eastAsia" w:ascii="宋体" w:hAnsi="宋体"/>
                <w:color w:val="auto"/>
                <w:szCs w:val="21"/>
                <w:highlight w:val="none"/>
              </w:rPr>
            </w:pPr>
            <w:r>
              <w:rPr>
                <w:rFonts w:hint="eastAsia" w:ascii="宋体" w:hAnsi="宋体"/>
                <w:color w:val="auto"/>
                <w:szCs w:val="21"/>
                <w:highlight w:val="none"/>
              </w:rPr>
              <w:t>3</w:t>
            </w:r>
            <w:r>
              <w:rPr>
                <w:rFonts w:hint="eastAsia" w:ascii="宋体" w:hAnsi="宋体"/>
                <w:color w:val="auto"/>
                <w:szCs w:val="21"/>
                <w:highlight w:val="none"/>
                <w:lang w:val="en-US" w:eastAsia="zh-CN"/>
              </w:rPr>
              <w:t>.</w:t>
            </w:r>
            <w:r>
              <w:rPr>
                <w:rFonts w:hint="eastAsia" w:ascii="宋体" w:hAnsi="宋体"/>
                <w:color w:val="auto"/>
                <w:szCs w:val="21"/>
                <w:highlight w:val="none"/>
              </w:rPr>
              <w:t>具有日志查询功能，支持筛选查询所有用户和操作类型，记录用户具体操作信息、时间和IP地址。</w:t>
            </w:r>
          </w:p>
          <w:p w14:paraId="57CB86A5">
            <w:pPr>
              <w:spacing w:line="360" w:lineRule="exact"/>
              <w:jc w:val="left"/>
              <w:rPr>
                <w:rFonts w:hint="eastAsia" w:ascii="宋体" w:hAnsi="宋体"/>
                <w:color w:val="auto"/>
                <w:szCs w:val="21"/>
                <w:highlight w:val="none"/>
              </w:rPr>
            </w:pPr>
            <w:r>
              <w:rPr>
                <w:rFonts w:hint="eastAsia" w:ascii="宋体" w:hAnsi="宋体"/>
                <w:color w:val="auto"/>
                <w:szCs w:val="21"/>
                <w:highlight w:val="none"/>
              </w:rPr>
              <w:t>4</w:t>
            </w:r>
            <w:r>
              <w:rPr>
                <w:rFonts w:hint="eastAsia" w:ascii="宋体" w:hAnsi="宋体"/>
                <w:color w:val="auto"/>
                <w:szCs w:val="21"/>
                <w:highlight w:val="none"/>
                <w:lang w:val="en-US" w:eastAsia="zh-CN"/>
              </w:rPr>
              <w:t>.</w:t>
            </w:r>
            <w:r>
              <w:rPr>
                <w:rFonts w:hint="eastAsia" w:ascii="宋体" w:hAnsi="宋体"/>
                <w:color w:val="auto"/>
                <w:szCs w:val="21"/>
                <w:highlight w:val="none"/>
              </w:rPr>
              <w:t>具有工作记录功能，可实时查看当前用户上传素材的状态，清晰明确的记录上传素材传到哪个步骤，方便不熟悉上传流程的用户快速定位素材。</w:t>
            </w:r>
          </w:p>
          <w:p w14:paraId="3E910F9C">
            <w:pPr>
              <w:spacing w:line="360" w:lineRule="exact"/>
              <w:jc w:val="left"/>
              <w:rPr>
                <w:rFonts w:ascii="宋体" w:hAnsi="宋体"/>
                <w:color w:val="auto"/>
                <w:szCs w:val="21"/>
                <w:highlight w:val="none"/>
              </w:rPr>
            </w:pPr>
            <w:r>
              <w:rPr>
                <w:rFonts w:hint="eastAsia" w:ascii="宋体" w:hAnsi="宋体"/>
                <w:color w:val="auto"/>
                <w:szCs w:val="21"/>
                <w:highlight w:val="none"/>
                <w:lang w:eastAsia="zh-CN"/>
              </w:rPr>
              <w:t>（八）</w:t>
            </w:r>
            <w:r>
              <w:rPr>
                <w:rFonts w:hint="eastAsia" w:ascii="宋体" w:hAnsi="宋体"/>
                <w:color w:val="auto"/>
                <w:szCs w:val="21"/>
                <w:highlight w:val="none"/>
              </w:rPr>
              <w:t>支持文件预览，视频格式包括mp4、wmv、mxf、avi、mpg、mov</w:t>
            </w:r>
            <w:r>
              <w:rPr>
                <w:rFonts w:hint="eastAsia" w:ascii="宋体" w:hAnsi="宋体"/>
                <w:color w:val="auto"/>
                <w:szCs w:val="21"/>
                <w:highlight w:val="none"/>
                <w:lang w:eastAsia="zh-CN"/>
              </w:rPr>
              <w:t>；</w:t>
            </w:r>
            <w:r>
              <w:rPr>
                <w:rFonts w:hint="eastAsia" w:ascii="宋体" w:hAnsi="宋体"/>
                <w:color w:val="auto"/>
                <w:szCs w:val="21"/>
                <w:highlight w:val="none"/>
              </w:rPr>
              <w:t>音频格式包括wav、mp3</w:t>
            </w:r>
            <w:r>
              <w:rPr>
                <w:rFonts w:hint="eastAsia" w:ascii="宋体" w:hAnsi="宋体"/>
                <w:color w:val="auto"/>
                <w:szCs w:val="21"/>
                <w:highlight w:val="none"/>
                <w:lang w:eastAsia="zh-CN"/>
              </w:rPr>
              <w:t>；</w:t>
            </w:r>
            <w:r>
              <w:rPr>
                <w:rFonts w:hint="eastAsia" w:ascii="宋体" w:hAnsi="宋体"/>
                <w:color w:val="auto"/>
                <w:szCs w:val="21"/>
                <w:highlight w:val="none"/>
              </w:rPr>
              <w:t>图片格式包括jpg、png</w:t>
            </w:r>
            <w:r>
              <w:rPr>
                <w:rFonts w:hint="eastAsia" w:ascii="宋体" w:hAnsi="宋体"/>
                <w:color w:val="auto"/>
                <w:szCs w:val="21"/>
                <w:highlight w:val="none"/>
                <w:lang w:eastAsia="zh-CN"/>
              </w:rPr>
              <w:t>；</w:t>
            </w:r>
            <w:r>
              <w:rPr>
                <w:rFonts w:hint="eastAsia" w:ascii="宋体" w:hAnsi="宋体"/>
                <w:color w:val="auto"/>
                <w:szCs w:val="21"/>
                <w:highlight w:val="none"/>
              </w:rPr>
              <w:t>文档格式包括：doc、docx、ppt、pptx、xls、xlsx、txt、pdf。</w:t>
            </w:r>
          </w:p>
        </w:tc>
      </w:tr>
      <w:tr w14:paraId="060CE6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3F0E8115">
            <w:pPr>
              <w:jc w:val="center"/>
              <w:rPr>
                <w:rFonts w:ascii="宋体" w:hAnsi="宋体"/>
                <w:color w:val="auto"/>
                <w:szCs w:val="21"/>
                <w:highlight w:val="none"/>
              </w:rPr>
            </w:pPr>
            <w:r>
              <w:rPr>
                <w:rFonts w:hint="eastAsia" w:ascii="宋体" w:hAnsi="宋体"/>
                <w:color w:val="auto"/>
                <w:szCs w:val="21"/>
                <w:highlight w:val="none"/>
              </w:rPr>
              <w:t>56</w:t>
            </w:r>
          </w:p>
        </w:tc>
        <w:tc>
          <w:tcPr>
            <w:tcW w:w="1402" w:type="dxa"/>
            <w:tcBorders>
              <w:top w:val="single" w:color="000000" w:sz="4" w:space="0"/>
              <w:left w:val="single" w:color="auto" w:sz="4" w:space="0"/>
              <w:bottom w:val="single" w:color="000000" w:sz="4" w:space="0"/>
              <w:right w:val="single" w:color="000000" w:sz="4" w:space="0"/>
            </w:tcBorders>
            <w:vAlign w:val="center"/>
          </w:tcPr>
          <w:p w14:paraId="2A7AE756">
            <w:pPr>
              <w:spacing w:line="360" w:lineRule="exact"/>
              <w:jc w:val="center"/>
              <w:rPr>
                <w:rFonts w:ascii="宋体" w:hAnsi="宋体"/>
                <w:color w:val="auto"/>
                <w:szCs w:val="21"/>
                <w:highlight w:val="none"/>
              </w:rPr>
            </w:pPr>
            <w:r>
              <w:rPr>
                <w:rFonts w:hint="eastAsia" w:ascii="宋体" w:hAnsi="宋体"/>
                <w:color w:val="auto"/>
                <w:szCs w:val="21"/>
                <w:highlight w:val="none"/>
              </w:rPr>
              <w:t>影像调色工作站</w:t>
            </w:r>
          </w:p>
        </w:tc>
        <w:tc>
          <w:tcPr>
            <w:tcW w:w="704" w:type="dxa"/>
            <w:tcBorders>
              <w:top w:val="single" w:color="000000" w:sz="4" w:space="0"/>
              <w:left w:val="single" w:color="000000" w:sz="4" w:space="0"/>
              <w:bottom w:val="single" w:color="000000" w:sz="4" w:space="0"/>
              <w:right w:val="single" w:color="000000" w:sz="4" w:space="0"/>
            </w:tcBorders>
            <w:vAlign w:val="center"/>
          </w:tcPr>
          <w:p w14:paraId="48098683">
            <w:pPr>
              <w:spacing w:line="360" w:lineRule="exact"/>
              <w:jc w:val="center"/>
              <w:rPr>
                <w:rFonts w:ascii="宋体" w:hAnsi="宋体"/>
                <w:color w:val="auto"/>
                <w:szCs w:val="21"/>
                <w:highlight w:val="none"/>
              </w:rPr>
            </w:pPr>
            <w:r>
              <w:rPr>
                <w:rFonts w:hint="eastAsia" w:ascii="宋体" w:hAnsi="宋体"/>
                <w:color w:val="auto"/>
                <w:szCs w:val="21"/>
                <w:highlight w:val="none"/>
              </w:rPr>
              <w:t>2</w:t>
            </w:r>
          </w:p>
        </w:tc>
        <w:tc>
          <w:tcPr>
            <w:tcW w:w="703" w:type="dxa"/>
            <w:tcBorders>
              <w:top w:val="single" w:color="auto" w:sz="4" w:space="0"/>
              <w:left w:val="single" w:color="000000" w:sz="4" w:space="0"/>
              <w:bottom w:val="single" w:color="000000" w:sz="4" w:space="0"/>
              <w:right w:val="single" w:color="000000" w:sz="4" w:space="0"/>
            </w:tcBorders>
            <w:vAlign w:val="center"/>
          </w:tcPr>
          <w:p w14:paraId="307A393D">
            <w:pPr>
              <w:spacing w:line="360" w:lineRule="exact"/>
              <w:jc w:val="center"/>
              <w:rPr>
                <w:rFonts w:ascii="宋体" w:hAnsi="宋体"/>
                <w:color w:val="auto"/>
                <w:szCs w:val="21"/>
                <w:highlight w:val="none"/>
              </w:rPr>
            </w:pPr>
            <w:r>
              <w:rPr>
                <w:rFonts w:hint="eastAsia" w:ascii="宋体" w:hAnsi="宋体"/>
                <w:color w:val="auto"/>
                <w:szCs w:val="21"/>
                <w:highlight w:val="none"/>
              </w:rPr>
              <w:t>套</w:t>
            </w:r>
          </w:p>
        </w:tc>
        <w:tc>
          <w:tcPr>
            <w:tcW w:w="702" w:type="dxa"/>
            <w:vMerge w:val="continue"/>
            <w:tcBorders>
              <w:left w:val="single" w:color="000000" w:sz="4" w:space="0"/>
              <w:right w:val="single" w:color="000000" w:sz="4" w:space="0"/>
            </w:tcBorders>
            <w:vAlign w:val="center"/>
          </w:tcPr>
          <w:p w14:paraId="5BF2B758">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tcPr>
          <w:p w14:paraId="0970912D">
            <w:pPr>
              <w:spacing w:line="360" w:lineRule="exact"/>
              <w:jc w:val="left"/>
              <w:rPr>
                <w:rFonts w:ascii="宋体" w:hAnsi="宋体"/>
                <w:color w:val="auto"/>
                <w:szCs w:val="21"/>
                <w:highlight w:val="none"/>
              </w:rPr>
            </w:pPr>
            <w:r>
              <w:rPr>
                <w:rFonts w:hint="eastAsia" w:ascii="宋体" w:hAnsi="宋体"/>
                <w:color w:val="auto"/>
                <w:szCs w:val="21"/>
                <w:highlight w:val="none"/>
              </w:rPr>
              <w:t>1.处理器：参考或相当于Intel Core i7-14700F，≥20核心（8P+12E），≥28线程，最大睿频频率≥5.6GHz。</w:t>
            </w:r>
            <w:r>
              <w:rPr>
                <w:rFonts w:hint="eastAsia" w:ascii="宋体" w:hAnsi="宋体"/>
                <w:color w:val="auto"/>
                <w:szCs w:val="21"/>
                <w:highlight w:val="none"/>
              </w:rPr>
              <w:br w:type="textWrapping"/>
            </w:r>
            <w:r>
              <w:rPr>
                <w:rFonts w:hint="eastAsia" w:ascii="宋体" w:hAnsi="宋体"/>
                <w:color w:val="auto"/>
                <w:szCs w:val="21"/>
                <w:highlight w:val="none"/>
              </w:rPr>
              <w:t>2.内存：≥32GB DDR5（可扩展至≥128GB）。</w:t>
            </w:r>
            <w:r>
              <w:rPr>
                <w:rFonts w:hint="eastAsia" w:ascii="宋体" w:hAnsi="宋体"/>
                <w:color w:val="auto"/>
                <w:szCs w:val="21"/>
                <w:highlight w:val="none"/>
              </w:rPr>
              <w:br w:type="textWrapping"/>
            </w:r>
            <w:r>
              <w:rPr>
                <w:rFonts w:hint="eastAsia" w:ascii="宋体" w:hAnsi="宋体"/>
                <w:color w:val="auto"/>
                <w:szCs w:val="21"/>
                <w:highlight w:val="none"/>
              </w:rPr>
              <w:t>3.固态硬盘：≥1TB NVMe SSD（读速≥5000MB/s）。</w:t>
            </w:r>
            <w:r>
              <w:rPr>
                <w:rFonts w:hint="eastAsia" w:ascii="宋体" w:hAnsi="宋体"/>
                <w:color w:val="auto"/>
                <w:szCs w:val="21"/>
                <w:highlight w:val="none"/>
              </w:rPr>
              <w:br w:type="textWrapping"/>
            </w:r>
            <w:r>
              <w:rPr>
                <w:rFonts w:hint="eastAsia" w:ascii="宋体" w:hAnsi="宋体"/>
                <w:color w:val="auto"/>
                <w:szCs w:val="21"/>
                <w:highlight w:val="none"/>
              </w:rPr>
              <w:t>4.显卡：同等级或更优性能独立显卡，显存≥12GB。</w:t>
            </w:r>
            <w:r>
              <w:rPr>
                <w:rFonts w:hint="eastAsia" w:ascii="宋体" w:hAnsi="宋体"/>
                <w:color w:val="auto"/>
                <w:szCs w:val="21"/>
                <w:highlight w:val="none"/>
              </w:rPr>
              <w:br w:type="textWrapping"/>
            </w:r>
            <w:r>
              <w:rPr>
                <w:rFonts w:hint="eastAsia" w:ascii="宋体" w:hAnsi="宋体"/>
                <w:color w:val="auto"/>
                <w:szCs w:val="21"/>
                <w:highlight w:val="none"/>
              </w:rPr>
              <w:t>5.电源：≥850W，能效等级达到国家一级能效标准。</w:t>
            </w:r>
            <w:r>
              <w:rPr>
                <w:rFonts w:hint="eastAsia" w:ascii="宋体" w:hAnsi="宋体"/>
                <w:color w:val="auto"/>
                <w:szCs w:val="21"/>
                <w:highlight w:val="none"/>
              </w:rPr>
              <w:br w:type="textWrapping"/>
            </w:r>
            <w:r>
              <w:rPr>
                <w:rFonts w:hint="eastAsia" w:ascii="宋体" w:hAnsi="宋体"/>
                <w:color w:val="auto"/>
                <w:szCs w:val="21"/>
                <w:highlight w:val="none"/>
              </w:rPr>
              <w:t>6.操作系统：</w:t>
            </w:r>
            <w:r>
              <w:rPr>
                <w:rFonts w:hint="eastAsia" w:ascii="宋体" w:hAnsi="宋体"/>
                <w:color w:val="auto"/>
                <w:szCs w:val="21"/>
                <w:highlight w:val="none"/>
                <w:lang w:eastAsia="zh-CN"/>
              </w:rPr>
              <w:t>参考或相当于</w:t>
            </w:r>
            <w:r>
              <w:rPr>
                <w:rFonts w:hint="eastAsia" w:ascii="宋体" w:hAnsi="宋体"/>
                <w:color w:val="auto"/>
                <w:szCs w:val="21"/>
                <w:highlight w:val="none"/>
              </w:rPr>
              <w:t>Windows 10 64bit专业版。</w:t>
            </w:r>
            <w:r>
              <w:rPr>
                <w:rFonts w:hint="eastAsia" w:ascii="宋体" w:hAnsi="宋体"/>
                <w:color w:val="auto"/>
                <w:szCs w:val="21"/>
                <w:highlight w:val="none"/>
              </w:rPr>
              <w:br w:type="textWrapping"/>
            </w:r>
            <w:r>
              <w:rPr>
                <w:rFonts w:hint="eastAsia" w:ascii="宋体" w:hAnsi="宋体"/>
                <w:color w:val="auto"/>
                <w:szCs w:val="21"/>
                <w:highlight w:val="none"/>
              </w:rPr>
              <w:t>7.鼠标键盘：USB有线鼠标键盘套装。</w:t>
            </w:r>
            <w:r>
              <w:rPr>
                <w:rFonts w:hint="eastAsia" w:ascii="宋体" w:hAnsi="宋体"/>
                <w:color w:val="auto"/>
                <w:szCs w:val="21"/>
                <w:highlight w:val="none"/>
              </w:rPr>
              <w:br w:type="textWrapping"/>
            </w:r>
            <w:r>
              <w:rPr>
                <w:rFonts w:hint="eastAsia" w:ascii="宋体" w:hAnsi="宋体"/>
                <w:color w:val="auto"/>
                <w:szCs w:val="21"/>
                <w:highlight w:val="none"/>
              </w:rPr>
              <w:t>8.显示器：≥27英寸4K IPS显示器，色域≥99% sRGB（要求可根据采购人需要另配专业监视器）。</w:t>
            </w:r>
            <w:r>
              <w:rPr>
                <w:rFonts w:hint="eastAsia" w:ascii="宋体" w:hAnsi="宋体"/>
                <w:color w:val="auto"/>
                <w:szCs w:val="21"/>
                <w:highlight w:val="none"/>
              </w:rPr>
              <w:br w:type="textWrapping"/>
            </w:r>
            <w:r>
              <w:rPr>
                <w:rFonts w:hint="eastAsia" w:ascii="宋体" w:hAnsi="宋体"/>
                <w:color w:val="auto"/>
                <w:szCs w:val="21"/>
                <w:highlight w:val="none"/>
              </w:rPr>
              <w:t>9.机箱散热：静音工作站设计，支持7×24小时连续运行。</w:t>
            </w:r>
            <w:r>
              <w:rPr>
                <w:rFonts w:hint="eastAsia" w:ascii="宋体" w:hAnsi="宋体"/>
                <w:color w:val="auto"/>
                <w:szCs w:val="21"/>
                <w:highlight w:val="none"/>
              </w:rPr>
              <w:br w:type="textWrapping"/>
            </w:r>
            <w:r>
              <w:rPr>
                <w:rFonts w:hint="eastAsia" w:ascii="宋体" w:hAnsi="宋体"/>
                <w:color w:val="auto"/>
                <w:szCs w:val="21"/>
                <w:highlight w:val="none"/>
              </w:rPr>
              <w:t>10.接口配置：USB 3.2≥4个，HDMI≥1个，DP≥1个，10Gb以太网口≥1个。</w:t>
            </w:r>
          </w:p>
          <w:p w14:paraId="3E7E1588">
            <w:pPr>
              <w:spacing w:line="360" w:lineRule="exact"/>
              <w:jc w:val="left"/>
              <w:rPr>
                <w:rFonts w:ascii="宋体" w:hAnsi="宋体"/>
                <w:color w:val="auto"/>
                <w:szCs w:val="21"/>
                <w:highlight w:val="none"/>
              </w:rPr>
            </w:pPr>
            <w:r>
              <w:rPr>
                <w:rFonts w:hint="eastAsia" w:ascii="宋体" w:hAnsi="宋体"/>
                <w:color w:val="auto"/>
                <w:szCs w:val="21"/>
                <w:highlight w:val="none"/>
              </w:rPr>
              <w:t>11.包括配套正版专业后期制作软件。</w:t>
            </w:r>
            <w:r>
              <w:rPr>
                <w:rFonts w:hint="eastAsia" w:ascii="宋体" w:hAnsi="宋体"/>
                <w:color w:val="auto"/>
                <w:szCs w:val="21"/>
                <w:highlight w:val="none"/>
              </w:rPr>
              <w:br w:type="textWrapping"/>
            </w:r>
            <w:r>
              <w:rPr>
                <w:rFonts w:hint="eastAsia" w:ascii="宋体" w:hAnsi="宋体"/>
                <w:color w:val="auto"/>
                <w:szCs w:val="21"/>
                <w:highlight w:val="none"/>
              </w:rPr>
              <w:t>12.保修期限：≥3年。</w:t>
            </w:r>
          </w:p>
        </w:tc>
      </w:tr>
      <w:tr w14:paraId="48E7D3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37EE3D1A">
            <w:pPr>
              <w:jc w:val="center"/>
              <w:rPr>
                <w:rFonts w:ascii="宋体" w:hAnsi="宋体"/>
                <w:color w:val="auto"/>
                <w:szCs w:val="21"/>
                <w:highlight w:val="none"/>
              </w:rPr>
            </w:pPr>
            <w:r>
              <w:rPr>
                <w:rFonts w:hint="eastAsia" w:ascii="宋体" w:hAnsi="宋体"/>
                <w:color w:val="auto"/>
                <w:szCs w:val="21"/>
                <w:highlight w:val="none"/>
              </w:rPr>
              <w:t>57</w:t>
            </w:r>
          </w:p>
        </w:tc>
        <w:tc>
          <w:tcPr>
            <w:tcW w:w="1402" w:type="dxa"/>
            <w:tcBorders>
              <w:top w:val="single" w:color="000000" w:sz="4" w:space="0"/>
              <w:left w:val="single" w:color="auto" w:sz="4" w:space="0"/>
              <w:bottom w:val="single" w:color="000000" w:sz="4" w:space="0"/>
              <w:right w:val="single" w:color="000000" w:sz="4" w:space="0"/>
            </w:tcBorders>
            <w:vAlign w:val="center"/>
          </w:tcPr>
          <w:p w14:paraId="49AAD494">
            <w:pPr>
              <w:spacing w:line="360" w:lineRule="exact"/>
              <w:jc w:val="center"/>
              <w:rPr>
                <w:rFonts w:ascii="宋体" w:hAnsi="宋体"/>
                <w:color w:val="auto"/>
                <w:szCs w:val="21"/>
                <w:highlight w:val="none"/>
              </w:rPr>
            </w:pPr>
            <w:r>
              <w:rPr>
                <w:rFonts w:hint="eastAsia" w:ascii="宋体" w:hAnsi="宋体"/>
                <w:color w:val="auto"/>
                <w:szCs w:val="21"/>
                <w:highlight w:val="none"/>
              </w:rPr>
              <w:t>摄像专用手机</w:t>
            </w:r>
          </w:p>
        </w:tc>
        <w:tc>
          <w:tcPr>
            <w:tcW w:w="704" w:type="dxa"/>
            <w:tcBorders>
              <w:top w:val="single" w:color="000000" w:sz="4" w:space="0"/>
              <w:left w:val="single" w:color="000000" w:sz="4" w:space="0"/>
              <w:bottom w:val="single" w:color="000000" w:sz="4" w:space="0"/>
              <w:right w:val="single" w:color="000000" w:sz="4" w:space="0"/>
            </w:tcBorders>
            <w:vAlign w:val="center"/>
          </w:tcPr>
          <w:p w14:paraId="39AA0C34">
            <w:pPr>
              <w:spacing w:line="360" w:lineRule="exact"/>
              <w:jc w:val="center"/>
              <w:rPr>
                <w:rFonts w:ascii="宋体" w:hAnsi="宋体"/>
                <w:color w:val="auto"/>
                <w:szCs w:val="21"/>
                <w:highlight w:val="none"/>
              </w:rPr>
            </w:pPr>
            <w:r>
              <w:rPr>
                <w:rFonts w:hint="eastAsia" w:ascii="宋体" w:hAnsi="宋体"/>
                <w:color w:val="auto"/>
                <w:szCs w:val="21"/>
                <w:highlight w:val="none"/>
              </w:rPr>
              <w:t>2</w:t>
            </w:r>
          </w:p>
        </w:tc>
        <w:tc>
          <w:tcPr>
            <w:tcW w:w="703" w:type="dxa"/>
            <w:tcBorders>
              <w:top w:val="single" w:color="auto" w:sz="4" w:space="0"/>
              <w:left w:val="single" w:color="000000" w:sz="4" w:space="0"/>
              <w:bottom w:val="single" w:color="000000" w:sz="4" w:space="0"/>
              <w:right w:val="single" w:color="000000" w:sz="4" w:space="0"/>
            </w:tcBorders>
            <w:vAlign w:val="center"/>
          </w:tcPr>
          <w:p w14:paraId="4BA309F2">
            <w:pPr>
              <w:spacing w:line="360" w:lineRule="exact"/>
              <w:jc w:val="center"/>
              <w:rPr>
                <w:rFonts w:ascii="宋体" w:hAnsi="宋体"/>
                <w:color w:val="auto"/>
                <w:szCs w:val="21"/>
                <w:highlight w:val="none"/>
              </w:rPr>
            </w:pPr>
            <w:r>
              <w:rPr>
                <w:rFonts w:hint="eastAsia" w:ascii="宋体" w:hAnsi="宋体"/>
                <w:color w:val="auto"/>
                <w:szCs w:val="21"/>
                <w:highlight w:val="none"/>
              </w:rPr>
              <w:t>部</w:t>
            </w:r>
          </w:p>
        </w:tc>
        <w:tc>
          <w:tcPr>
            <w:tcW w:w="702" w:type="dxa"/>
            <w:vMerge w:val="continue"/>
            <w:tcBorders>
              <w:left w:val="single" w:color="000000" w:sz="4" w:space="0"/>
              <w:right w:val="single" w:color="000000" w:sz="4" w:space="0"/>
            </w:tcBorders>
            <w:vAlign w:val="center"/>
          </w:tcPr>
          <w:p w14:paraId="48C167B3">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3EB40F40">
            <w:pPr>
              <w:spacing w:line="360" w:lineRule="exact"/>
              <w:jc w:val="left"/>
              <w:rPr>
                <w:rFonts w:ascii="宋体" w:hAnsi="宋体"/>
                <w:color w:val="auto"/>
                <w:szCs w:val="21"/>
                <w:highlight w:val="none"/>
              </w:rPr>
            </w:pPr>
            <w:r>
              <w:rPr>
                <w:rFonts w:hint="eastAsia" w:ascii="宋体" w:hAnsi="宋体"/>
                <w:color w:val="auto"/>
                <w:szCs w:val="21"/>
                <w:highlight w:val="none"/>
              </w:rPr>
              <w:t>1.CPU≥8核，最高主频≥4.6GHz。</w:t>
            </w:r>
          </w:p>
          <w:p w14:paraId="1CB9E032">
            <w:pPr>
              <w:spacing w:line="360" w:lineRule="exact"/>
              <w:jc w:val="left"/>
              <w:rPr>
                <w:rFonts w:ascii="宋体" w:hAnsi="宋体"/>
                <w:color w:val="auto"/>
                <w:szCs w:val="21"/>
                <w:highlight w:val="none"/>
              </w:rPr>
            </w:pPr>
            <w:r>
              <w:rPr>
                <w:rFonts w:hint="eastAsia" w:ascii="宋体" w:hAnsi="宋体"/>
                <w:color w:val="auto"/>
                <w:szCs w:val="21"/>
                <w:highlight w:val="none"/>
              </w:rPr>
              <w:t xml:space="preserve">2.操作系统：参考或相当于Android 16， </w:t>
            </w:r>
          </w:p>
          <w:p w14:paraId="21DA9EC1">
            <w:pPr>
              <w:spacing w:line="360" w:lineRule="exact"/>
              <w:jc w:val="left"/>
              <w:rPr>
                <w:rFonts w:ascii="宋体" w:hAnsi="宋体"/>
                <w:color w:val="auto"/>
                <w:szCs w:val="21"/>
                <w:highlight w:val="none"/>
              </w:rPr>
            </w:pPr>
            <w:r>
              <w:rPr>
                <w:rFonts w:hint="eastAsia" w:ascii="宋体" w:hAnsi="宋体"/>
                <w:color w:val="auto"/>
                <w:szCs w:val="21"/>
                <w:highlight w:val="none"/>
              </w:rPr>
              <w:t>3.屏幕尺寸：≥6.82 英寸。</w:t>
            </w:r>
          </w:p>
          <w:p w14:paraId="5B091B9E">
            <w:pPr>
              <w:spacing w:line="360" w:lineRule="exact"/>
              <w:jc w:val="left"/>
              <w:rPr>
                <w:rFonts w:ascii="宋体" w:hAnsi="宋体"/>
                <w:color w:val="auto"/>
                <w:szCs w:val="21"/>
                <w:highlight w:val="none"/>
              </w:rPr>
            </w:pPr>
            <w:r>
              <w:rPr>
                <w:rFonts w:hint="eastAsia" w:ascii="宋体" w:hAnsi="宋体"/>
                <w:color w:val="auto"/>
                <w:szCs w:val="21"/>
                <w:highlight w:val="none"/>
              </w:rPr>
              <w:t>4.材质：AMOLED或同等及以上。</w:t>
            </w:r>
          </w:p>
          <w:p w14:paraId="07755D82">
            <w:pPr>
              <w:spacing w:line="360" w:lineRule="exact"/>
              <w:jc w:val="left"/>
              <w:rPr>
                <w:rFonts w:ascii="宋体" w:hAnsi="宋体"/>
                <w:color w:val="auto"/>
                <w:szCs w:val="21"/>
                <w:highlight w:val="none"/>
              </w:rPr>
            </w:pPr>
            <w:r>
              <w:rPr>
                <w:rFonts w:hint="eastAsia" w:ascii="宋体" w:hAnsi="宋体"/>
                <w:color w:val="auto"/>
                <w:szCs w:val="21"/>
                <w:highlight w:val="none"/>
              </w:rPr>
              <w:t>5.分辨率：3168×1440 (510 ppi)。</w:t>
            </w:r>
          </w:p>
          <w:p w14:paraId="3C91074A">
            <w:pPr>
              <w:spacing w:line="360" w:lineRule="exact"/>
              <w:jc w:val="left"/>
              <w:rPr>
                <w:rFonts w:ascii="宋体" w:hAnsi="宋体"/>
                <w:color w:val="auto"/>
                <w:szCs w:val="21"/>
                <w:highlight w:val="none"/>
              </w:rPr>
            </w:pPr>
            <w:r>
              <w:rPr>
                <w:rFonts w:hint="eastAsia" w:ascii="宋体" w:hAnsi="宋体"/>
                <w:color w:val="auto"/>
                <w:szCs w:val="21"/>
                <w:highlight w:val="none"/>
              </w:rPr>
              <w:t>6.刷新率：144Hz (1—144Hz 自适应）。</w:t>
            </w:r>
          </w:p>
          <w:p w14:paraId="22D16B2A">
            <w:pPr>
              <w:spacing w:line="360" w:lineRule="exact"/>
              <w:jc w:val="left"/>
              <w:rPr>
                <w:rFonts w:ascii="宋体" w:hAnsi="宋体"/>
                <w:color w:val="auto"/>
                <w:szCs w:val="21"/>
                <w:highlight w:val="none"/>
              </w:rPr>
            </w:pPr>
            <w:r>
              <w:rPr>
                <w:rFonts w:hint="eastAsia" w:ascii="宋体" w:hAnsi="宋体"/>
                <w:color w:val="auto"/>
                <w:szCs w:val="21"/>
                <w:highlight w:val="none"/>
              </w:rPr>
              <w:t>7.影像系统：后置摄像头：35mm f/1.85 （主摄） + 85mm f/2.67 （长焦） + 14mm f/2.0 （超广角）。</w:t>
            </w:r>
          </w:p>
          <w:p w14:paraId="5708F675">
            <w:pPr>
              <w:spacing w:line="360" w:lineRule="exact"/>
              <w:jc w:val="left"/>
              <w:rPr>
                <w:rFonts w:ascii="宋体" w:hAnsi="宋体"/>
                <w:color w:val="auto"/>
                <w:szCs w:val="21"/>
                <w:highlight w:val="none"/>
              </w:rPr>
            </w:pPr>
            <w:r>
              <w:rPr>
                <w:rFonts w:hint="eastAsia" w:ascii="宋体" w:hAnsi="宋体"/>
                <w:color w:val="auto"/>
                <w:szCs w:val="21"/>
                <w:highlight w:val="none"/>
              </w:rPr>
              <w:t>8.防抖：具备</w:t>
            </w:r>
          </w:p>
          <w:p w14:paraId="0DE3DC4B">
            <w:pPr>
              <w:spacing w:line="360" w:lineRule="exact"/>
              <w:jc w:val="left"/>
              <w:rPr>
                <w:rFonts w:ascii="宋体" w:hAnsi="宋体"/>
                <w:color w:val="auto"/>
                <w:szCs w:val="21"/>
                <w:highlight w:val="none"/>
              </w:rPr>
            </w:pPr>
            <w:r>
              <w:rPr>
                <w:rFonts w:hint="eastAsia" w:ascii="宋体" w:hAnsi="宋体"/>
                <w:color w:val="auto"/>
                <w:szCs w:val="21"/>
                <w:highlight w:val="none"/>
              </w:rPr>
              <w:t>9.视频录制：最高8K@30fps，支持4K@120fps 10-bit Log 录制。</w:t>
            </w:r>
          </w:p>
          <w:p w14:paraId="7986F166">
            <w:pPr>
              <w:spacing w:line="360" w:lineRule="exact"/>
              <w:jc w:val="left"/>
              <w:rPr>
                <w:rFonts w:ascii="宋体" w:hAnsi="宋体"/>
                <w:color w:val="auto"/>
                <w:szCs w:val="21"/>
                <w:highlight w:val="none"/>
              </w:rPr>
            </w:pPr>
            <w:r>
              <w:rPr>
                <w:rFonts w:hint="eastAsia" w:ascii="宋体" w:hAnsi="宋体"/>
                <w:color w:val="auto"/>
                <w:szCs w:val="21"/>
                <w:highlight w:val="none"/>
              </w:rPr>
              <w:t>10.所竞产品必须通过中国强制性产品认证（CCC/3C认证）。</w:t>
            </w:r>
          </w:p>
        </w:tc>
      </w:tr>
      <w:tr w14:paraId="2A6FEC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009D991B">
            <w:pPr>
              <w:jc w:val="center"/>
              <w:rPr>
                <w:rFonts w:ascii="宋体" w:hAnsi="宋体"/>
                <w:color w:val="auto"/>
                <w:szCs w:val="21"/>
                <w:highlight w:val="none"/>
              </w:rPr>
            </w:pPr>
            <w:r>
              <w:rPr>
                <w:rFonts w:hint="eastAsia" w:ascii="宋体" w:hAnsi="宋体"/>
                <w:color w:val="auto"/>
                <w:szCs w:val="21"/>
                <w:highlight w:val="none"/>
              </w:rPr>
              <w:t>58</w:t>
            </w:r>
          </w:p>
        </w:tc>
        <w:tc>
          <w:tcPr>
            <w:tcW w:w="1402" w:type="dxa"/>
            <w:tcBorders>
              <w:top w:val="single" w:color="000000" w:sz="4" w:space="0"/>
              <w:left w:val="single" w:color="auto" w:sz="4" w:space="0"/>
              <w:bottom w:val="single" w:color="000000" w:sz="4" w:space="0"/>
              <w:right w:val="single" w:color="000000" w:sz="4" w:space="0"/>
            </w:tcBorders>
            <w:vAlign w:val="center"/>
          </w:tcPr>
          <w:p w14:paraId="39074AEB">
            <w:pPr>
              <w:spacing w:line="360" w:lineRule="exact"/>
              <w:jc w:val="center"/>
              <w:rPr>
                <w:rFonts w:ascii="宋体" w:hAnsi="宋体"/>
                <w:color w:val="auto"/>
                <w:szCs w:val="21"/>
                <w:highlight w:val="none"/>
              </w:rPr>
            </w:pPr>
            <w:r>
              <w:rPr>
                <w:rFonts w:hint="eastAsia" w:ascii="宋体" w:hAnsi="宋体"/>
                <w:color w:val="auto"/>
                <w:szCs w:val="21"/>
                <w:highlight w:val="none"/>
              </w:rPr>
              <w:t>存储卡-（2）</w:t>
            </w:r>
          </w:p>
        </w:tc>
        <w:tc>
          <w:tcPr>
            <w:tcW w:w="704" w:type="dxa"/>
            <w:tcBorders>
              <w:top w:val="single" w:color="000000" w:sz="4" w:space="0"/>
              <w:left w:val="single" w:color="000000" w:sz="4" w:space="0"/>
              <w:bottom w:val="single" w:color="000000" w:sz="4" w:space="0"/>
              <w:right w:val="single" w:color="000000" w:sz="4" w:space="0"/>
            </w:tcBorders>
            <w:vAlign w:val="center"/>
          </w:tcPr>
          <w:p w14:paraId="67D1F65B">
            <w:pPr>
              <w:spacing w:line="360" w:lineRule="exact"/>
              <w:jc w:val="center"/>
              <w:rPr>
                <w:rFonts w:ascii="宋体" w:hAnsi="宋体"/>
                <w:color w:val="auto"/>
                <w:szCs w:val="21"/>
                <w:highlight w:val="none"/>
              </w:rPr>
            </w:pPr>
            <w:r>
              <w:rPr>
                <w:rFonts w:hint="eastAsia" w:ascii="宋体" w:hAnsi="宋体"/>
                <w:color w:val="auto"/>
                <w:szCs w:val="21"/>
                <w:highlight w:val="none"/>
              </w:rPr>
              <w:t>2</w:t>
            </w:r>
          </w:p>
        </w:tc>
        <w:tc>
          <w:tcPr>
            <w:tcW w:w="703" w:type="dxa"/>
            <w:tcBorders>
              <w:top w:val="single" w:color="auto" w:sz="4" w:space="0"/>
              <w:left w:val="single" w:color="000000" w:sz="4" w:space="0"/>
              <w:bottom w:val="single" w:color="000000" w:sz="4" w:space="0"/>
              <w:right w:val="single" w:color="000000" w:sz="4" w:space="0"/>
            </w:tcBorders>
            <w:vAlign w:val="center"/>
          </w:tcPr>
          <w:p w14:paraId="7CE4F651">
            <w:pPr>
              <w:spacing w:line="360" w:lineRule="exact"/>
              <w:jc w:val="center"/>
              <w:rPr>
                <w:rFonts w:ascii="宋体" w:hAnsi="宋体"/>
                <w:color w:val="auto"/>
                <w:szCs w:val="21"/>
                <w:highlight w:val="none"/>
              </w:rPr>
            </w:pPr>
            <w:r>
              <w:rPr>
                <w:rFonts w:hint="eastAsia" w:ascii="宋体" w:hAnsi="宋体"/>
                <w:color w:val="auto"/>
                <w:szCs w:val="21"/>
                <w:highlight w:val="none"/>
              </w:rPr>
              <w:t>张</w:t>
            </w:r>
          </w:p>
        </w:tc>
        <w:tc>
          <w:tcPr>
            <w:tcW w:w="702" w:type="dxa"/>
            <w:vMerge w:val="continue"/>
            <w:tcBorders>
              <w:left w:val="single" w:color="000000" w:sz="4" w:space="0"/>
              <w:right w:val="single" w:color="000000" w:sz="4" w:space="0"/>
            </w:tcBorders>
            <w:vAlign w:val="center"/>
          </w:tcPr>
          <w:p w14:paraId="76CA8BE4">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53659D71">
            <w:pPr>
              <w:spacing w:line="360" w:lineRule="exact"/>
              <w:jc w:val="left"/>
              <w:rPr>
                <w:rFonts w:ascii="宋体" w:hAnsi="宋体"/>
                <w:color w:val="auto"/>
                <w:szCs w:val="21"/>
                <w:highlight w:val="none"/>
              </w:rPr>
            </w:pPr>
            <w:r>
              <w:rPr>
                <w:rFonts w:hint="eastAsia" w:ascii="宋体" w:hAnsi="宋体"/>
                <w:color w:val="auto"/>
                <w:szCs w:val="21"/>
                <w:highlight w:val="none"/>
              </w:rPr>
              <w:t>1.类型：CFexpress Type B存储卡。</w:t>
            </w:r>
          </w:p>
          <w:p w14:paraId="7C55DC60">
            <w:pPr>
              <w:spacing w:line="360" w:lineRule="exact"/>
              <w:jc w:val="left"/>
              <w:rPr>
                <w:rFonts w:ascii="宋体" w:hAnsi="宋体"/>
                <w:color w:val="auto"/>
                <w:szCs w:val="21"/>
                <w:highlight w:val="none"/>
              </w:rPr>
            </w:pPr>
            <w:r>
              <w:rPr>
                <w:rFonts w:hint="eastAsia" w:ascii="宋体" w:hAnsi="宋体"/>
                <w:color w:val="auto"/>
                <w:szCs w:val="21"/>
                <w:highlight w:val="none"/>
              </w:rPr>
              <w:t>2.容量：≥128GB。</w:t>
            </w:r>
          </w:p>
          <w:p w14:paraId="04F45766">
            <w:pPr>
              <w:spacing w:line="360" w:lineRule="exact"/>
              <w:jc w:val="left"/>
              <w:rPr>
                <w:rFonts w:ascii="宋体" w:hAnsi="宋体"/>
                <w:color w:val="auto"/>
                <w:szCs w:val="21"/>
                <w:highlight w:val="none"/>
              </w:rPr>
            </w:pPr>
            <w:r>
              <w:rPr>
                <w:rFonts w:hint="eastAsia" w:ascii="宋体" w:hAnsi="宋体"/>
                <w:color w:val="auto"/>
                <w:szCs w:val="21"/>
                <w:highlight w:val="none"/>
              </w:rPr>
              <w:t>3.读取速度：≥1700MB/s。</w:t>
            </w:r>
          </w:p>
          <w:p w14:paraId="2CC995BC">
            <w:pPr>
              <w:spacing w:line="360" w:lineRule="exact"/>
              <w:jc w:val="left"/>
              <w:rPr>
                <w:rFonts w:ascii="宋体" w:hAnsi="宋体"/>
                <w:color w:val="auto"/>
                <w:szCs w:val="21"/>
                <w:highlight w:val="none"/>
              </w:rPr>
            </w:pPr>
            <w:r>
              <w:rPr>
                <w:rFonts w:hint="eastAsia" w:ascii="宋体" w:hAnsi="宋体"/>
                <w:color w:val="auto"/>
                <w:szCs w:val="21"/>
                <w:highlight w:val="none"/>
              </w:rPr>
              <w:t>4.写入速度：≥1200MB/s。</w:t>
            </w:r>
          </w:p>
          <w:p w14:paraId="4C82112E">
            <w:pPr>
              <w:spacing w:line="360" w:lineRule="exact"/>
              <w:jc w:val="left"/>
              <w:rPr>
                <w:rFonts w:ascii="宋体" w:hAnsi="宋体"/>
                <w:color w:val="auto"/>
                <w:szCs w:val="21"/>
                <w:highlight w:val="none"/>
              </w:rPr>
            </w:pPr>
            <w:r>
              <w:rPr>
                <w:rFonts w:hint="eastAsia" w:ascii="宋体" w:hAnsi="宋体"/>
                <w:color w:val="auto"/>
                <w:szCs w:val="21"/>
                <w:highlight w:val="none"/>
              </w:rPr>
              <w:t>5.接口兼容：PCIe Gen3×2/NVMe 1.3。</w:t>
            </w:r>
          </w:p>
          <w:p w14:paraId="34DA0148">
            <w:pPr>
              <w:spacing w:line="360" w:lineRule="exact"/>
              <w:jc w:val="left"/>
              <w:rPr>
                <w:rFonts w:ascii="宋体" w:hAnsi="宋体"/>
                <w:color w:val="auto"/>
                <w:szCs w:val="21"/>
                <w:highlight w:val="none"/>
              </w:rPr>
            </w:pPr>
            <w:r>
              <w:rPr>
                <w:rFonts w:hint="eastAsia" w:ascii="宋体" w:hAnsi="宋体"/>
                <w:color w:val="auto"/>
                <w:szCs w:val="21"/>
                <w:highlight w:val="none"/>
              </w:rPr>
              <w:t>8.防护设计：防尘防水滴。</w:t>
            </w:r>
          </w:p>
        </w:tc>
      </w:tr>
      <w:tr w14:paraId="7AF8DB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vAlign w:val="center"/>
          </w:tcPr>
          <w:p w14:paraId="22CC8BE0">
            <w:pPr>
              <w:jc w:val="center"/>
              <w:rPr>
                <w:rFonts w:ascii="宋体" w:hAnsi="宋体"/>
                <w:color w:val="auto"/>
                <w:szCs w:val="21"/>
                <w:highlight w:val="none"/>
              </w:rPr>
            </w:pPr>
            <w:r>
              <w:rPr>
                <w:rFonts w:hint="eastAsia" w:ascii="宋体" w:hAnsi="宋体"/>
                <w:color w:val="auto"/>
                <w:szCs w:val="21"/>
                <w:highlight w:val="none"/>
              </w:rPr>
              <w:t>59</w:t>
            </w:r>
          </w:p>
        </w:tc>
        <w:tc>
          <w:tcPr>
            <w:tcW w:w="1402" w:type="dxa"/>
            <w:tcBorders>
              <w:top w:val="single" w:color="000000" w:sz="4" w:space="0"/>
              <w:left w:val="single" w:color="auto" w:sz="4" w:space="0"/>
              <w:bottom w:val="single" w:color="000000" w:sz="4" w:space="0"/>
              <w:right w:val="single" w:color="000000" w:sz="4" w:space="0"/>
            </w:tcBorders>
            <w:vAlign w:val="center"/>
          </w:tcPr>
          <w:p w14:paraId="1C1ED829">
            <w:pPr>
              <w:spacing w:line="360" w:lineRule="exact"/>
              <w:jc w:val="center"/>
              <w:rPr>
                <w:rFonts w:ascii="宋体" w:hAnsi="宋体"/>
                <w:color w:val="auto"/>
                <w:szCs w:val="21"/>
                <w:highlight w:val="none"/>
              </w:rPr>
            </w:pPr>
            <w:r>
              <w:rPr>
                <w:rFonts w:hint="eastAsia" w:ascii="宋体" w:hAnsi="宋体"/>
                <w:color w:val="auto"/>
                <w:szCs w:val="21"/>
                <w:highlight w:val="none"/>
              </w:rPr>
              <w:t>存储卡-（3）</w:t>
            </w:r>
          </w:p>
        </w:tc>
        <w:tc>
          <w:tcPr>
            <w:tcW w:w="704" w:type="dxa"/>
            <w:tcBorders>
              <w:top w:val="single" w:color="000000" w:sz="4" w:space="0"/>
              <w:left w:val="single" w:color="000000" w:sz="4" w:space="0"/>
              <w:bottom w:val="single" w:color="000000" w:sz="4" w:space="0"/>
              <w:right w:val="single" w:color="000000" w:sz="4" w:space="0"/>
            </w:tcBorders>
            <w:vAlign w:val="center"/>
          </w:tcPr>
          <w:p w14:paraId="665750D1">
            <w:pPr>
              <w:spacing w:line="360" w:lineRule="exact"/>
              <w:jc w:val="center"/>
              <w:rPr>
                <w:rFonts w:ascii="宋体" w:hAnsi="宋体"/>
                <w:color w:val="auto"/>
                <w:szCs w:val="21"/>
                <w:highlight w:val="none"/>
              </w:rPr>
            </w:pPr>
            <w:r>
              <w:rPr>
                <w:rFonts w:hint="eastAsia" w:ascii="宋体" w:hAnsi="宋体"/>
                <w:color w:val="auto"/>
                <w:szCs w:val="21"/>
                <w:highlight w:val="none"/>
              </w:rPr>
              <w:t>6</w:t>
            </w:r>
          </w:p>
        </w:tc>
        <w:tc>
          <w:tcPr>
            <w:tcW w:w="703" w:type="dxa"/>
            <w:tcBorders>
              <w:top w:val="single" w:color="auto" w:sz="4" w:space="0"/>
              <w:left w:val="single" w:color="000000" w:sz="4" w:space="0"/>
              <w:bottom w:val="single" w:color="000000" w:sz="4" w:space="0"/>
              <w:right w:val="single" w:color="000000" w:sz="4" w:space="0"/>
            </w:tcBorders>
            <w:vAlign w:val="center"/>
          </w:tcPr>
          <w:p w14:paraId="3EC45D68">
            <w:pPr>
              <w:spacing w:line="360" w:lineRule="exact"/>
              <w:jc w:val="center"/>
              <w:rPr>
                <w:rFonts w:ascii="宋体" w:hAnsi="宋体"/>
                <w:color w:val="auto"/>
                <w:szCs w:val="21"/>
                <w:highlight w:val="none"/>
              </w:rPr>
            </w:pPr>
            <w:r>
              <w:rPr>
                <w:rFonts w:hint="eastAsia" w:ascii="宋体" w:hAnsi="宋体"/>
                <w:color w:val="auto"/>
                <w:szCs w:val="21"/>
                <w:highlight w:val="none"/>
              </w:rPr>
              <w:t>张</w:t>
            </w:r>
          </w:p>
        </w:tc>
        <w:tc>
          <w:tcPr>
            <w:tcW w:w="702" w:type="dxa"/>
            <w:vMerge w:val="continue"/>
            <w:tcBorders>
              <w:left w:val="single" w:color="000000" w:sz="4" w:space="0"/>
              <w:right w:val="single" w:color="000000" w:sz="4" w:space="0"/>
            </w:tcBorders>
            <w:vAlign w:val="center"/>
          </w:tcPr>
          <w:p w14:paraId="0E4045D0">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vAlign w:val="center"/>
          </w:tcPr>
          <w:p w14:paraId="52C2E6AC">
            <w:pPr>
              <w:spacing w:line="360" w:lineRule="exact"/>
              <w:jc w:val="left"/>
              <w:rPr>
                <w:rFonts w:ascii="宋体" w:hAnsi="宋体"/>
                <w:color w:val="auto"/>
                <w:szCs w:val="21"/>
                <w:highlight w:val="none"/>
              </w:rPr>
            </w:pPr>
            <w:r>
              <w:rPr>
                <w:rFonts w:hint="eastAsia" w:ascii="宋体" w:hAnsi="宋体"/>
                <w:color w:val="auto"/>
                <w:szCs w:val="21"/>
                <w:highlight w:val="none"/>
              </w:rPr>
              <w:t>1.类型：SDXC存储卡，UHS-II规格。</w:t>
            </w:r>
          </w:p>
          <w:p w14:paraId="1A183179">
            <w:pPr>
              <w:spacing w:line="360" w:lineRule="exact"/>
              <w:jc w:val="left"/>
              <w:rPr>
                <w:rFonts w:ascii="宋体" w:hAnsi="宋体"/>
                <w:color w:val="auto"/>
                <w:szCs w:val="21"/>
                <w:highlight w:val="none"/>
              </w:rPr>
            </w:pPr>
            <w:r>
              <w:rPr>
                <w:rFonts w:hint="eastAsia" w:ascii="宋体" w:hAnsi="宋体"/>
                <w:color w:val="auto"/>
                <w:szCs w:val="21"/>
                <w:highlight w:val="none"/>
              </w:rPr>
              <w:t>2.容量：≥128GB。</w:t>
            </w:r>
          </w:p>
          <w:p w14:paraId="2D2EB265">
            <w:pPr>
              <w:spacing w:line="360" w:lineRule="exact"/>
              <w:jc w:val="left"/>
              <w:rPr>
                <w:rFonts w:ascii="宋体" w:hAnsi="宋体"/>
                <w:color w:val="auto"/>
                <w:szCs w:val="21"/>
                <w:highlight w:val="none"/>
              </w:rPr>
            </w:pPr>
            <w:r>
              <w:rPr>
                <w:rFonts w:hint="eastAsia" w:ascii="宋体" w:hAnsi="宋体"/>
                <w:color w:val="auto"/>
                <w:szCs w:val="21"/>
                <w:highlight w:val="none"/>
              </w:rPr>
              <w:t>3.读取速度：≥280MB/s。</w:t>
            </w:r>
          </w:p>
          <w:p w14:paraId="737E9272">
            <w:pPr>
              <w:spacing w:line="360" w:lineRule="exact"/>
              <w:jc w:val="left"/>
              <w:rPr>
                <w:rFonts w:ascii="宋体" w:hAnsi="宋体"/>
                <w:color w:val="auto"/>
                <w:szCs w:val="21"/>
                <w:highlight w:val="none"/>
              </w:rPr>
            </w:pPr>
            <w:r>
              <w:rPr>
                <w:rFonts w:hint="eastAsia" w:ascii="宋体" w:hAnsi="宋体"/>
                <w:color w:val="auto"/>
                <w:szCs w:val="21"/>
                <w:highlight w:val="none"/>
              </w:rPr>
              <w:t>4.写入速度：≥100MB/s。</w:t>
            </w:r>
          </w:p>
          <w:p w14:paraId="59C523BC">
            <w:pPr>
              <w:spacing w:line="360" w:lineRule="exact"/>
              <w:jc w:val="left"/>
              <w:rPr>
                <w:rFonts w:ascii="宋体" w:hAnsi="宋体"/>
                <w:color w:val="auto"/>
                <w:szCs w:val="21"/>
                <w:highlight w:val="none"/>
              </w:rPr>
            </w:pPr>
            <w:r>
              <w:rPr>
                <w:rFonts w:hint="eastAsia" w:ascii="宋体" w:hAnsi="宋体"/>
                <w:color w:val="auto"/>
                <w:szCs w:val="21"/>
                <w:highlight w:val="none"/>
              </w:rPr>
              <w:t>5.速度等级：U3/V30。</w:t>
            </w:r>
          </w:p>
        </w:tc>
      </w:tr>
      <w:tr w14:paraId="34BC71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shd w:val="clear" w:color="auto" w:fill="auto"/>
            <w:vAlign w:val="center"/>
          </w:tcPr>
          <w:p w14:paraId="37FA85A8">
            <w:pPr>
              <w:jc w:val="center"/>
              <w:rPr>
                <w:rFonts w:ascii="宋体" w:hAnsi="宋体"/>
                <w:color w:val="auto"/>
                <w:szCs w:val="21"/>
                <w:highlight w:val="none"/>
              </w:rPr>
            </w:pPr>
            <w:r>
              <w:rPr>
                <w:rFonts w:hint="eastAsia" w:ascii="宋体" w:hAnsi="宋体"/>
                <w:color w:val="auto"/>
                <w:szCs w:val="21"/>
                <w:highlight w:val="none"/>
              </w:rPr>
              <w:t>60</w:t>
            </w:r>
          </w:p>
        </w:tc>
        <w:tc>
          <w:tcPr>
            <w:tcW w:w="1402" w:type="dxa"/>
            <w:tcBorders>
              <w:top w:val="single" w:color="000000" w:sz="4" w:space="0"/>
              <w:left w:val="single" w:color="auto" w:sz="4" w:space="0"/>
              <w:bottom w:val="single" w:color="000000" w:sz="4" w:space="0"/>
              <w:right w:val="single" w:color="000000" w:sz="4" w:space="0"/>
            </w:tcBorders>
            <w:shd w:val="clear" w:color="auto" w:fill="auto"/>
            <w:vAlign w:val="center"/>
          </w:tcPr>
          <w:p w14:paraId="20E658C6">
            <w:pPr>
              <w:spacing w:line="360" w:lineRule="exact"/>
              <w:jc w:val="center"/>
              <w:rPr>
                <w:rFonts w:ascii="宋体" w:hAnsi="宋体"/>
                <w:color w:val="auto"/>
                <w:szCs w:val="21"/>
                <w:highlight w:val="none"/>
              </w:rPr>
            </w:pPr>
            <w:r>
              <w:rPr>
                <w:rFonts w:hint="eastAsia" w:ascii="宋体" w:hAnsi="宋体"/>
                <w:color w:val="auto"/>
                <w:szCs w:val="21"/>
                <w:highlight w:val="none"/>
              </w:rPr>
              <w:t>影视补光灯</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85622">
            <w:pPr>
              <w:spacing w:line="360" w:lineRule="exact"/>
              <w:jc w:val="center"/>
              <w:rPr>
                <w:rFonts w:ascii="宋体" w:hAnsi="宋体"/>
                <w:color w:val="auto"/>
                <w:szCs w:val="21"/>
                <w:highlight w:val="none"/>
              </w:rPr>
            </w:pPr>
            <w:r>
              <w:rPr>
                <w:rFonts w:hint="eastAsia" w:ascii="宋体" w:hAnsi="宋体"/>
                <w:color w:val="auto"/>
                <w:szCs w:val="21"/>
                <w:highlight w:val="none"/>
              </w:rPr>
              <w:t>3</w:t>
            </w:r>
          </w:p>
        </w:tc>
        <w:tc>
          <w:tcPr>
            <w:tcW w:w="703" w:type="dxa"/>
            <w:tcBorders>
              <w:top w:val="single" w:color="auto" w:sz="4" w:space="0"/>
              <w:left w:val="single" w:color="000000" w:sz="4" w:space="0"/>
              <w:bottom w:val="single" w:color="000000" w:sz="4" w:space="0"/>
              <w:right w:val="single" w:color="000000" w:sz="4" w:space="0"/>
            </w:tcBorders>
            <w:shd w:val="clear" w:color="auto" w:fill="auto"/>
            <w:vAlign w:val="center"/>
          </w:tcPr>
          <w:p w14:paraId="4F3D24A7">
            <w:pPr>
              <w:spacing w:line="360" w:lineRule="exact"/>
              <w:jc w:val="center"/>
              <w:rPr>
                <w:rFonts w:ascii="宋体" w:hAnsi="宋体"/>
                <w:color w:val="auto"/>
                <w:szCs w:val="21"/>
                <w:highlight w:val="none"/>
              </w:rPr>
            </w:pPr>
            <w:r>
              <w:rPr>
                <w:rFonts w:hint="eastAsia" w:ascii="宋体" w:hAnsi="宋体"/>
                <w:color w:val="auto"/>
                <w:szCs w:val="21"/>
                <w:highlight w:val="none"/>
              </w:rPr>
              <w:t>套</w:t>
            </w:r>
          </w:p>
        </w:tc>
        <w:tc>
          <w:tcPr>
            <w:tcW w:w="702" w:type="dxa"/>
            <w:vMerge w:val="continue"/>
            <w:tcBorders>
              <w:left w:val="single" w:color="000000" w:sz="4" w:space="0"/>
              <w:right w:val="single" w:color="000000" w:sz="4" w:space="0"/>
            </w:tcBorders>
            <w:shd w:val="clear" w:color="auto" w:fill="auto"/>
            <w:vAlign w:val="center"/>
          </w:tcPr>
          <w:p w14:paraId="77B3ED63">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6DD2F">
            <w:pPr>
              <w:spacing w:line="360" w:lineRule="exact"/>
              <w:jc w:val="left"/>
              <w:rPr>
                <w:rFonts w:ascii="宋体" w:hAnsi="宋体"/>
                <w:color w:val="auto"/>
                <w:szCs w:val="21"/>
                <w:highlight w:val="none"/>
              </w:rPr>
            </w:pPr>
            <w:r>
              <w:rPr>
                <w:rFonts w:hint="eastAsia" w:ascii="宋体" w:hAnsi="宋体"/>
                <w:color w:val="auto"/>
                <w:szCs w:val="21"/>
                <w:highlight w:val="none"/>
              </w:rPr>
              <w:t>1.类型：补光灯。</w:t>
            </w:r>
          </w:p>
          <w:p w14:paraId="38803568">
            <w:pPr>
              <w:spacing w:line="360" w:lineRule="exact"/>
              <w:jc w:val="left"/>
              <w:rPr>
                <w:rFonts w:ascii="宋体" w:hAnsi="宋体"/>
                <w:color w:val="auto"/>
                <w:szCs w:val="21"/>
                <w:highlight w:val="none"/>
              </w:rPr>
            </w:pPr>
            <w:r>
              <w:rPr>
                <w:rFonts w:hint="eastAsia" w:ascii="宋体" w:hAnsi="宋体"/>
                <w:color w:val="auto"/>
                <w:szCs w:val="21"/>
                <w:highlight w:val="none"/>
              </w:rPr>
              <w:t>2.色温：RGB全彩。</w:t>
            </w:r>
          </w:p>
          <w:p w14:paraId="298DAEC0">
            <w:pPr>
              <w:spacing w:line="360" w:lineRule="exact"/>
              <w:jc w:val="left"/>
              <w:rPr>
                <w:rFonts w:ascii="宋体" w:hAnsi="宋体"/>
                <w:color w:val="auto"/>
                <w:szCs w:val="21"/>
                <w:highlight w:val="none"/>
              </w:rPr>
            </w:pPr>
            <w:r>
              <w:rPr>
                <w:rFonts w:hint="eastAsia" w:ascii="宋体" w:hAnsi="宋体"/>
                <w:color w:val="auto"/>
                <w:szCs w:val="21"/>
                <w:highlight w:val="none"/>
              </w:rPr>
              <w:t>3.光源：COB 集成光源。</w:t>
            </w:r>
          </w:p>
          <w:p w14:paraId="3B75B8AB">
            <w:pPr>
              <w:spacing w:line="360" w:lineRule="exact"/>
              <w:jc w:val="left"/>
              <w:rPr>
                <w:rFonts w:ascii="宋体" w:hAnsi="宋体"/>
                <w:color w:val="auto"/>
                <w:szCs w:val="21"/>
                <w:highlight w:val="none"/>
              </w:rPr>
            </w:pPr>
            <w:r>
              <w:rPr>
                <w:rFonts w:hint="eastAsia" w:ascii="宋体" w:hAnsi="宋体"/>
                <w:color w:val="auto"/>
                <w:szCs w:val="21"/>
                <w:highlight w:val="none"/>
              </w:rPr>
              <w:t>4.显色指数：CRI≥95。</w:t>
            </w:r>
          </w:p>
          <w:p w14:paraId="2E3A4573">
            <w:pPr>
              <w:spacing w:line="360" w:lineRule="exact"/>
              <w:jc w:val="left"/>
              <w:rPr>
                <w:rFonts w:ascii="宋体" w:hAnsi="宋体"/>
                <w:color w:val="auto"/>
                <w:szCs w:val="21"/>
                <w:highlight w:val="none"/>
              </w:rPr>
            </w:pPr>
            <w:r>
              <w:rPr>
                <w:rFonts w:hint="eastAsia" w:ascii="宋体" w:hAnsi="宋体"/>
                <w:color w:val="auto"/>
                <w:szCs w:val="21"/>
                <w:highlight w:val="none"/>
              </w:rPr>
              <w:t>5.功率：≥300W。</w:t>
            </w:r>
          </w:p>
          <w:p w14:paraId="0C8711A4">
            <w:pPr>
              <w:spacing w:line="360" w:lineRule="exact"/>
              <w:jc w:val="left"/>
              <w:rPr>
                <w:rFonts w:ascii="宋体" w:hAnsi="宋体"/>
                <w:color w:val="auto"/>
                <w:szCs w:val="21"/>
                <w:highlight w:val="none"/>
              </w:rPr>
            </w:pPr>
            <w:r>
              <w:rPr>
                <w:rFonts w:hint="eastAsia" w:ascii="宋体" w:hAnsi="宋体"/>
                <w:color w:val="auto"/>
                <w:szCs w:val="21"/>
                <w:highlight w:val="none"/>
              </w:rPr>
              <w:t>6.附件：柔光箱、配套灯架。</w:t>
            </w:r>
          </w:p>
        </w:tc>
      </w:tr>
      <w:tr w14:paraId="50BA20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shd w:val="clear" w:color="auto" w:fill="auto"/>
            <w:vAlign w:val="center"/>
          </w:tcPr>
          <w:p w14:paraId="3C52B38B">
            <w:pPr>
              <w:jc w:val="center"/>
              <w:rPr>
                <w:rFonts w:ascii="宋体" w:hAnsi="宋体"/>
                <w:color w:val="auto"/>
                <w:szCs w:val="21"/>
                <w:highlight w:val="none"/>
              </w:rPr>
            </w:pPr>
            <w:r>
              <w:rPr>
                <w:rFonts w:hint="eastAsia" w:ascii="宋体" w:hAnsi="宋体"/>
                <w:color w:val="auto"/>
                <w:szCs w:val="21"/>
                <w:highlight w:val="none"/>
              </w:rPr>
              <w:t>61</w:t>
            </w:r>
          </w:p>
        </w:tc>
        <w:tc>
          <w:tcPr>
            <w:tcW w:w="1402" w:type="dxa"/>
            <w:tcBorders>
              <w:top w:val="single" w:color="000000" w:sz="4" w:space="0"/>
              <w:left w:val="single" w:color="auto" w:sz="4" w:space="0"/>
              <w:bottom w:val="single" w:color="000000" w:sz="4" w:space="0"/>
              <w:right w:val="single" w:color="000000" w:sz="4" w:space="0"/>
            </w:tcBorders>
            <w:shd w:val="clear" w:color="auto" w:fill="auto"/>
            <w:vAlign w:val="center"/>
          </w:tcPr>
          <w:p w14:paraId="4BBEB3E9">
            <w:pPr>
              <w:spacing w:line="360" w:lineRule="exact"/>
              <w:jc w:val="center"/>
              <w:rPr>
                <w:rFonts w:ascii="宋体" w:hAnsi="宋体"/>
                <w:color w:val="auto"/>
                <w:szCs w:val="21"/>
                <w:highlight w:val="none"/>
              </w:rPr>
            </w:pPr>
            <w:r>
              <w:rPr>
                <w:rFonts w:hint="eastAsia" w:ascii="宋体" w:hAnsi="宋体"/>
                <w:color w:val="auto"/>
                <w:szCs w:val="21"/>
                <w:highlight w:val="none"/>
              </w:rPr>
              <w:t>手持云台相机稳定器</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8D85E">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703" w:type="dxa"/>
            <w:tcBorders>
              <w:top w:val="single" w:color="auto" w:sz="4" w:space="0"/>
              <w:left w:val="single" w:color="000000" w:sz="4" w:space="0"/>
              <w:bottom w:val="single" w:color="000000" w:sz="4" w:space="0"/>
              <w:right w:val="single" w:color="000000" w:sz="4" w:space="0"/>
            </w:tcBorders>
            <w:shd w:val="clear" w:color="auto" w:fill="auto"/>
            <w:vAlign w:val="center"/>
          </w:tcPr>
          <w:p w14:paraId="64618F79">
            <w:pPr>
              <w:spacing w:line="360" w:lineRule="exact"/>
              <w:jc w:val="center"/>
              <w:rPr>
                <w:rFonts w:ascii="宋体" w:hAnsi="宋体"/>
                <w:color w:val="auto"/>
                <w:szCs w:val="21"/>
                <w:highlight w:val="none"/>
              </w:rPr>
            </w:pPr>
            <w:r>
              <w:rPr>
                <w:rFonts w:hint="eastAsia" w:ascii="宋体" w:hAnsi="宋体"/>
                <w:color w:val="auto"/>
                <w:szCs w:val="21"/>
                <w:highlight w:val="none"/>
              </w:rPr>
              <w:t>套</w:t>
            </w:r>
          </w:p>
        </w:tc>
        <w:tc>
          <w:tcPr>
            <w:tcW w:w="702" w:type="dxa"/>
            <w:vMerge w:val="continue"/>
            <w:tcBorders>
              <w:left w:val="single" w:color="000000" w:sz="4" w:space="0"/>
              <w:right w:val="single" w:color="000000" w:sz="4" w:space="0"/>
            </w:tcBorders>
            <w:shd w:val="clear" w:color="auto" w:fill="auto"/>
            <w:vAlign w:val="center"/>
          </w:tcPr>
          <w:p w14:paraId="0DCA0295">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1B7A4">
            <w:pPr>
              <w:spacing w:line="360" w:lineRule="exact"/>
              <w:jc w:val="left"/>
              <w:rPr>
                <w:rFonts w:ascii="宋体" w:hAnsi="宋体"/>
                <w:color w:val="auto"/>
                <w:szCs w:val="21"/>
                <w:highlight w:val="none"/>
              </w:rPr>
            </w:pPr>
            <w:r>
              <w:rPr>
                <w:rFonts w:hint="eastAsia" w:ascii="宋体" w:hAnsi="宋体"/>
                <w:color w:val="auto"/>
                <w:szCs w:val="21"/>
                <w:highlight w:val="none"/>
              </w:rPr>
              <w:t>1.负载重量：</w:t>
            </w:r>
            <w:r>
              <w:rPr>
                <w:rFonts w:hint="eastAsia" w:ascii="Arial" w:hAnsi="Arial" w:cs="Arial"/>
                <w:color w:val="auto"/>
                <w:szCs w:val="21"/>
                <w:highlight w:val="none"/>
              </w:rPr>
              <w:t>≥</w:t>
            </w:r>
            <w:r>
              <w:rPr>
                <w:rFonts w:hint="eastAsia" w:ascii="宋体" w:hAnsi="宋体"/>
                <w:color w:val="auto"/>
                <w:szCs w:val="21"/>
                <w:highlight w:val="none"/>
              </w:rPr>
              <w:t>3.0千克。</w:t>
            </w:r>
          </w:p>
          <w:p w14:paraId="1D7EDA2F">
            <w:pPr>
              <w:spacing w:line="360" w:lineRule="exact"/>
              <w:jc w:val="left"/>
              <w:rPr>
                <w:rFonts w:ascii="宋体" w:hAnsi="宋体"/>
                <w:color w:val="auto"/>
                <w:szCs w:val="21"/>
                <w:highlight w:val="none"/>
              </w:rPr>
            </w:pPr>
            <w:r>
              <w:rPr>
                <w:rFonts w:hint="eastAsia" w:ascii="宋体" w:hAnsi="宋体"/>
                <w:color w:val="auto"/>
                <w:szCs w:val="21"/>
                <w:highlight w:val="none"/>
              </w:rPr>
              <w:t>2.最大可控转速：</w:t>
            </w:r>
          </w:p>
          <w:p w14:paraId="2684FB1E">
            <w:pPr>
              <w:spacing w:line="360" w:lineRule="exact"/>
              <w:jc w:val="left"/>
              <w:rPr>
                <w:rFonts w:ascii="宋体" w:hAnsi="宋体"/>
                <w:color w:val="auto"/>
                <w:szCs w:val="21"/>
                <w:highlight w:val="none"/>
              </w:rPr>
            </w:pPr>
            <w:r>
              <w:rPr>
                <w:rFonts w:hint="eastAsia" w:ascii="宋体" w:hAnsi="宋体"/>
                <w:color w:val="auto"/>
                <w:szCs w:val="21"/>
                <w:highlight w:val="none"/>
              </w:rPr>
              <w:t>（1）平移方向：360°/秒；</w:t>
            </w:r>
          </w:p>
          <w:p w14:paraId="56A270A9">
            <w:pPr>
              <w:spacing w:line="360" w:lineRule="exact"/>
              <w:jc w:val="left"/>
              <w:rPr>
                <w:rFonts w:ascii="宋体" w:hAnsi="宋体"/>
                <w:color w:val="auto"/>
                <w:szCs w:val="21"/>
                <w:highlight w:val="none"/>
              </w:rPr>
            </w:pPr>
            <w:r>
              <w:rPr>
                <w:rFonts w:hint="eastAsia" w:ascii="宋体" w:hAnsi="宋体"/>
                <w:color w:val="auto"/>
                <w:szCs w:val="21"/>
                <w:highlight w:val="none"/>
              </w:rPr>
              <w:t>（2）俯仰方向：360°/秒；</w:t>
            </w:r>
          </w:p>
          <w:p w14:paraId="30C8D72A">
            <w:pPr>
              <w:spacing w:line="360" w:lineRule="exact"/>
              <w:jc w:val="left"/>
              <w:rPr>
                <w:rFonts w:ascii="宋体" w:hAnsi="宋体"/>
                <w:color w:val="auto"/>
                <w:szCs w:val="21"/>
                <w:highlight w:val="none"/>
              </w:rPr>
            </w:pPr>
            <w:r>
              <w:rPr>
                <w:rFonts w:hint="eastAsia" w:ascii="宋体" w:hAnsi="宋体"/>
                <w:color w:val="auto"/>
                <w:szCs w:val="21"/>
                <w:highlight w:val="none"/>
              </w:rPr>
              <w:t>（3）横滚方向：360°/秒。</w:t>
            </w:r>
          </w:p>
          <w:p w14:paraId="23F342F2">
            <w:pPr>
              <w:spacing w:line="360" w:lineRule="exact"/>
              <w:jc w:val="left"/>
              <w:rPr>
                <w:rFonts w:ascii="宋体" w:hAnsi="宋体"/>
                <w:color w:val="auto"/>
                <w:szCs w:val="21"/>
                <w:highlight w:val="none"/>
              </w:rPr>
            </w:pPr>
            <w:r>
              <w:rPr>
                <w:rFonts w:hint="eastAsia" w:ascii="宋体" w:hAnsi="宋体"/>
                <w:color w:val="auto"/>
                <w:szCs w:val="21"/>
                <w:highlight w:val="none"/>
              </w:rPr>
              <w:t>3.机械限位范围</w:t>
            </w:r>
          </w:p>
          <w:p w14:paraId="465C0BD7">
            <w:pPr>
              <w:spacing w:line="360" w:lineRule="exact"/>
              <w:jc w:val="left"/>
              <w:rPr>
                <w:rFonts w:ascii="宋体" w:hAnsi="宋体"/>
                <w:color w:val="auto"/>
                <w:szCs w:val="21"/>
                <w:highlight w:val="none"/>
              </w:rPr>
            </w:pPr>
            <w:r>
              <w:rPr>
                <w:rFonts w:hint="eastAsia" w:ascii="宋体" w:hAnsi="宋体"/>
                <w:color w:val="auto"/>
                <w:szCs w:val="21"/>
                <w:highlight w:val="none"/>
              </w:rPr>
              <w:t>（1）平移轴：无限位；</w:t>
            </w:r>
          </w:p>
          <w:p w14:paraId="543F0D59">
            <w:pPr>
              <w:spacing w:line="360" w:lineRule="exact"/>
              <w:jc w:val="left"/>
              <w:rPr>
                <w:rFonts w:ascii="宋体" w:hAnsi="宋体"/>
                <w:color w:val="auto"/>
                <w:szCs w:val="21"/>
                <w:highlight w:val="none"/>
              </w:rPr>
            </w:pPr>
            <w:r>
              <w:rPr>
                <w:rFonts w:hint="eastAsia" w:ascii="宋体" w:hAnsi="宋体"/>
                <w:color w:val="auto"/>
                <w:szCs w:val="21"/>
                <w:highlight w:val="none"/>
              </w:rPr>
              <w:t>（2）横滚轴： -95°至 240°；</w:t>
            </w:r>
          </w:p>
          <w:p w14:paraId="11EFEBCC">
            <w:pPr>
              <w:spacing w:line="360" w:lineRule="exact"/>
              <w:jc w:val="left"/>
              <w:rPr>
                <w:rFonts w:ascii="宋体" w:hAnsi="宋体"/>
                <w:color w:val="auto"/>
                <w:szCs w:val="21"/>
                <w:highlight w:val="none"/>
              </w:rPr>
            </w:pPr>
            <w:r>
              <w:rPr>
                <w:rFonts w:hint="eastAsia" w:ascii="宋体" w:hAnsi="宋体"/>
                <w:color w:val="auto"/>
                <w:szCs w:val="21"/>
                <w:highlight w:val="none"/>
              </w:rPr>
              <w:t>（3）俯仰轴： -112°至 214°。</w:t>
            </w:r>
          </w:p>
          <w:p w14:paraId="3C35AA21">
            <w:pPr>
              <w:spacing w:line="360" w:lineRule="exact"/>
              <w:jc w:val="left"/>
              <w:rPr>
                <w:rFonts w:ascii="宋体" w:hAnsi="宋体"/>
                <w:color w:val="auto"/>
                <w:szCs w:val="21"/>
                <w:highlight w:val="none"/>
              </w:rPr>
            </w:pPr>
            <w:r>
              <w:rPr>
                <w:rFonts w:hint="eastAsia" w:ascii="宋体" w:hAnsi="宋体"/>
                <w:color w:val="auto"/>
                <w:szCs w:val="21"/>
                <w:highlight w:val="none"/>
              </w:rPr>
              <w:t>4.轴锁：自动。</w:t>
            </w:r>
          </w:p>
          <w:p w14:paraId="71CC9697">
            <w:pPr>
              <w:spacing w:line="360" w:lineRule="exact"/>
              <w:jc w:val="left"/>
              <w:rPr>
                <w:rFonts w:ascii="宋体" w:hAnsi="宋体"/>
                <w:color w:val="auto"/>
                <w:szCs w:val="21"/>
                <w:highlight w:val="none"/>
              </w:rPr>
            </w:pPr>
            <w:r>
              <w:rPr>
                <w:rFonts w:hint="eastAsia" w:ascii="宋体" w:hAnsi="宋体"/>
                <w:color w:val="auto"/>
                <w:szCs w:val="21"/>
                <w:highlight w:val="none"/>
              </w:rPr>
              <w:t>5.竖排：支持。</w:t>
            </w:r>
          </w:p>
        </w:tc>
      </w:tr>
      <w:tr w14:paraId="0CD595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shd w:val="clear" w:color="auto" w:fill="auto"/>
            <w:vAlign w:val="center"/>
          </w:tcPr>
          <w:p w14:paraId="0F7FD19D">
            <w:pPr>
              <w:jc w:val="center"/>
              <w:rPr>
                <w:rFonts w:ascii="宋体" w:hAnsi="宋体"/>
                <w:color w:val="auto"/>
                <w:szCs w:val="21"/>
                <w:highlight w:val="none"/>
              </w:rPr>
            </w:pPr>
            <w:r>
              <w:rPr>
                <w:rFonts w:hint="eastAsia" w:ascii="宋体" w:hAnsi="宋体"/>
                <w:color w:val="auto"/>
                <w:szCs w:val="21"/>
                <w:highlight w:val="none"/>
              </w:rPr>
              <w:t>62</w:t>
            </w:r>
          </w:p>
        </w:tc>
        <w:tc>
          <w:tcPr>
            <w:tcW w:w="1402" w:type="dxa"/>
            <w:tcBorders>
              <w:top w:val="single" w:color="000000" w:sz="4" w:space="0"/>
              <w:left w:val="single" w:color="auto" w:sz="4" w:space="0"/>
              <w:bottom w:val="single" w:color="000000" w:sz="4" w:space="0"/>
              <w:right w:val="single" w:color="000000" w:sz="4" w:space="0"/>
            </w:tcBorders>
            <w:shd w:val="clear" w:color="auto" w:fill="auto"/>
            <w:vAlign w:val="center"/>
          </w:tcPr>
          <w:p w14:paraId="35992856">
            <w:pPr>
              <w:spacing w:line="360" w:lineRule="exact"/>
              <w:jc w:val="center"/>
              <w:rPr>
                <w:rFonts w:ascii="宋体" w:hAnsi="宋体"/>
                <w:color w:val="auto"/>
                <w:szCs w:val="21"/>
                <w:highlight w:val="none"/>
              </w:rPr>
            </w:pPr>
            <w:r>
              <w:rPr>
                <w:rFonts w:hint="eastAsia" w:ascii="宋体" w:hAnsi="宋体"/>
                <w:color w:val="auto"/>
                <w:szCs w:val="21"/>
                <w:highlight w:val="none"/>
              </w:rPr>
              <w:t>可调减光镜</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D3CD7">
            <w:pPr>
              <w:spacing w:line="360" w:lineRule="exact"/>
              <w:jc w:val="center"/>
              <w:rPr>
                <w:rFonts w:ascii="宋体" w:hAnsi="宋体"/>
                <w:color w:val="auto"/>
                <w:szCs w:val="21"/>
                <w:highlight w:val="none"/>
              </w:rPr>
            </w:pPr>
            <w:r>
              <w:rPr>
                <w:rFonts w:hint="eastAsia" w:ascii="宋体" w:hAnsi="宋体"/>
                <w:color w:val="auto"/>
                <w:szCs w:val="21"/>
                <w:highlight w:val="none"/>
              </w:rPr>
              <w:t>2</w:t>
            </w:r>
          </w:p>
        </w:tc>
        <w:tc>
          <w:tcPr>
            <w:tcW w:w="703" w:type="dxa"/>
            <w:tcBorders>
              <w:top w:val="single" w:color="auto" w:sz="4" w:space="0"/>
              <w:left w:val="single" w:color="000000" w:sz="4" w:space="0"/>
              <w:bottom w:val="single" w:color="000000" w:sz="4" w:space="0"/>
              <w:right w:val="single" w:color="000000" w:sz="4" w:space="0"/>
            </w:tcBorders>
            <w:shd w:val="clear" w:color="auto" w:fill="auto"/>
            <w:vAlign w:val="center"/>
          </w:tcPr>
          <w:p w14:paraId="4403D687">
            <w:pPr>
              <w:spacing w:line="360" w:lineRule="exact"/>
              <w:jc w:val="center"/>
              <w:rPr>
                <w:rFonts w:ascii="宋体" w:hAnsi="宋体"/>
                <w:color w:val="auto"/>
                <w:szCs w:val="21"/>
                <w:highlight w:val="none"/>
              </w:rPr>
            </w:pPr>
            <w:r>
              <w:rPr>
                <w:rFonts w:hint="eastAsia" w:ascii="宋体" w:hAnsi="宋体"/>
                <w:color w:val="auto"/>
                <w:szCs w:val="21"/>
                <w:highlight w:val="none"/>
              </w:rPr>
              <w:t>个</w:t>
            </w:r>
          </w:p>
        </w:tc>
        <w:tc>
          <w:tcPr>
            <w:tcW w:w="702" w:type="dxa"/>
            <w:vMerge w:val="continue"/>
            <w:tcBorders>
              <w:left w:val="single" w:color="000000" w:sz="4" w:space="0"/>
              <w:right w:val="single" w:color="000000" w:sz="4" w:space="0"/>
            </w:tcBorders>
            <w:shd w:val="clear" w:color="auto" w:fill="auto"/>
            <w:vAlign w:val="center"/>
          </w:tcPr>
          <w:p w14:paraId="6249CB63">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C86B5">
            <w:pPr>
              <w:spacing w:line="360" w:lineRule="exact"/>
              <w:jc w:val="left"/>
              <w:rPr>
                <w:rFonts w:ascii="宋体" w:hAnsi="宋体"/>
                <w:color w:val="auto"/>
                <w:szCs w:val="21"/>
                <w:highlight w:val="none"/>
              </w:rPr>
            </w:pPr>
            <w:r>
              <w:rPr>
                <w:rFonts w:hint="eastAsia" w:ascii="宋体" w:hAnsi="宋体"/>
                <w:color w:val="auto"/>
                <w:szCs w:val="21"/>
                <w:highlight w:val="none"/>
              </w:rPr>
              <w:t>1.类型：可调中灰密度滤镜。</w:t>
            </w:r>
          </w:p>
          <w:p w14:paraId="2F989D41">
            <w:pPr>
              <w:spacing w:line="360" w:lineRule="exact"/>
              <w:jc w:val="left"/>
              <w:rPr>
                <w:rFonts w:ascii="宋体" w:hAnsi="宋体"/>
                <w:color w:val="auto"/>
                <w:szCs w:val="21"/>
                <w:highlight w:val="none"/>
              </w:rPr>
            </w:pPr>
            <w:r>
              <w:rPr>
                <w:rFonts w:hint="eastAsia" w:ascii="宋体" w:hAnsi="宋体"/>
                <w:color w:val="auto"/>
                <w:szCs w:val="21"/>
                <w:highlight w:val="none"/>
              </w:rPr>
              <w:t>2.档位：ND2至ND32（1-5档）无级可调。</w:t>
            </w:r>
          </w:p>
        </w:tc>
      </w:tr>
      <w:tr w14:paraId="00F95C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shd w:val="clear" w:color="auto" w:fill="auto"/>
            <w:vAlign w:val="center"/>
          </w:tcPr>
          <w:p w14:paraId="78DE464E">
            <w:pPr>
              <w:jc w:val="center"/>
              <w:rPr>
                <w:rFonts w:ascii="宋体" w:hAnsi="宋体"/>
                <w:color w:val="auto"/>
                <w:szCs w:val="21"/>
                <w:highlight w:val="none"/>
              </w:rPr>
            </w:pPr>
            <w:r>
              <w:rPr>
                <w:rFonts w:hint="eastAsia" w:ascii="宋体" w:hAnsi="宋体"/>
                <w:color w:val="auto"/>
                <w:szCs w:val="21"/>
                <w:highlight w:val="none"/>
              </w:rPr>
              <w:t>63</w:t>
            </w:r>
          </w:p>
        </w:tc>
        <w:tc>
          <w:tcPr>
            <w:tcW w:w="1402" w:type="dxa"/>
            <w:tcBorders>
              <w:top w:val="single" w:color="000000" w:sz="4" w:space="0"/>
              <w:left w:val="single" w:color="auto" w:sz="4" w:space="0"/>
              <w:bottom w:val="single" w:color="000000" w:sz="4" w:space="0"/>
              <w:right w:val="single" w:color="000000" w:sz="4" w:space="0"/>
            </w:tcBorders>
            <w:shd w:val="clear" w:color="auto" w:fill="auto"/>
            <w:vAlign w:val="center"/>
          </w:tcPr>
          <w:p w14:paraId="023C0597">
            <w:pPr>
              <w:spacing w:line="360" w:lineRule="exact"/>
              <w:jc w:val="center"/>
              <w:rPr>
                <w:rFonts w:ascii="宋体" w:hAnsi="宋体"/>
                <w:color w:val="auto"/>
                <w:szCs w:val="21"/>
                <w:highlight w:val="none"/>
              </w:rPr>
            </w:pPr>
            <w:r>
              <w:rPr>
                <w:rFonts w:hint="eastAsia" w:ascii="宋体" w:hAnsi="宋体"/>
                <w:color w:val="auto"/>
                <w:szCs w:val="21"/>
                <w:highlight w:val="none"/>
              </w:rPr>
              <w:t>通用型滤镜转接环</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F3105">
            <w:pPr>
              <w:spacing w:line="360" w:lineRule="exact"/>
              <w:jc w:val="center"/>
              <w:rPr>
                <w:rFonts w:ascii="宋体" w:hAnsi="宋体"/>
                <w:color w:val="auto"/>
                <w:szCs w:val="21"/>
                <w:highlight w:val="none"/>
              </w:rPr>
            </w:pPr>
            <w:r>
              <w:rPr>
                <w:rFonts w:hint="eastAsia" w:ascii="宋体" w:hAnsi="宋体"/>
                <w:color w:val="auto"/>
                <w:szCs w:val="21"/>
                <w:highlight w:val="none"/>
              </w:rPr>
              <w:t>2</w:t>
            </w:r>
          </w:p>
        </w:tc>
        <w:tc>
          <w:tcPr>
            <w:tcW w:w="703" w:type="dxa"/>
            <w:tcBorders>
              <w:top w:val="single" w:color="auto" w:sz="4" w:space="0"/>
              <w:left w:val="single" w:color="000000" w:sz="4" w:space="0"/>
              <w:bottom w:val="single" w:color="000000" w:sz="4" w:space="0"/>
              <w:right w:val="single" w:color="000000" w:sz="4" w:space="0"/>
            </w:tcBorders>
            <w:shd w:val="clear" w:color="auto" w:fill="auto"/>
            <w:vAlign w:val="center"/>
          </w:tcPr>
          <w:p w14:paraId="02F86B62">
            <w:pPr>
              <w:spacing w:line="360" w:lineRule="exact"/>
              <w:jc w:val="center"/>
              <w:rPr>
                <w:rFonts w:ascii="宋体" w:hAnsi="宋体"/>
                <w:color w:val="auto"/>
                <w:szCs w:val="21"/>
                <w:highlight w:val="none"/>
              </w:rPr>
            </w:pPr>
            <w:r>
              <w:rPr>
                <w:rFonts w:hint="eastAsia" w:ascii="宋体" w:hAnsi="宋体"/>
                <w:color w:val="auto"/>
                <w:szCs w:val="21"/>
                <w:highlight w:val="none"/>
              </w:rPr>
              <w:t>个</w:t>
            </w:r>
          </w:p>
        </w:tc>
        <w:tc>
          <w:tcPr>
            <w:tcW w:w="702" w:type="dxa"/>
            <w:vMerge w:val="continue"/>
            <w:tcBorders>
              <w:left w:val="single" w:color="000000" w:sz="4" w:space="0"/>
              <w:right w:val="single" w:color="000000" w:sz="4" w:space="0"/>
            </w:tcBorders>
            <w:shd w:val="clear" w:color="auto" w:fill="auto"/>
            <w:vAlign w:val="center"/>
          </w:tcPr>
          <w:p w14:paraId="0F3C3B90">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5B632">
            <w:pPr>
              <w:spacing w:line="360" w:lineRule="exact"/>
              <w:jc w:val="left"/>
              <w:rPr>
                <w:rFonts w:ascii="宋体" w:hAnsi="宋体"/>
                <w:color w:val="auto"/>
                <w:szCs w:val="21"/>
                <w:highlight w:val="none"/>
              </w:rPr>
            </w:pPr>
            <w:r>
              <w:rPr>
                <w:rFonts w:hint="eastAsia" w:ascii="宋体" w:hAnsi="宋体"/>
                <w:color w:val="auto"/>
                <w:szCs w:val="21"/>
                <w:highlight w:val="none"/>
              </w:rPr>
              <w:t>1.类型：通用型滤镜转接环套装。</w:t>
            </w:r>
          </w:p>
          <w:p w14:paraId="7FEB4D17">
            <w:pPr>
              <w:spacing w:line="360" w:lineRule="exact"/>
              <w:jc w:val="left"/>
              <w:rPr>
                <w:rFonts w:ascii="宋体" w:hAnsi="宋体"/>
                <w:color w:val="auto"/>
                <w:szCs w:val="21"/>
                <w:highlight w:val="none"/>
              </w:rPr>
            </w:pPr>
            <w:r>
              <w:rPr>
                <w:rFonts w:hint="eastAsia" w:ascii="宋体" w:hAnsi="宋体"/>
                <w:color w:val="auto"/>
                <w:szCs w:val="21"/>
                <w:highlight w:val="none"/>
              </w:rPr>
              <w:t>2.包含口径：40.5mm/49mm/52mm/58mm转67mm，67mm转82mm，82mm转105mm。</w:t>
            </w:r>
          </w:p>
        </w:tc>
      </w:tr>
      <w:tr w14:paraId="046555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shd w:val="clear" w:color="auto" w:fill="auto"/>
            <w:vAlign w:val="center"/>
          </w:tcPr>
          <w:p w14:paraId="7964185B">
            <w:pPr>
              <w:jc w:val="center"/>
              <w:rPr>
                <w:rFonts w:ascii="宋体" w:hAnsi="宋体"/>
                <w:color w:val="auto"/>
                <w:szCs w:val="21"/>
                <w:highlight w:val="none"/>
              </w:rPr>
            </w:pPr>
            <w:r>
              <w:rPr>
                <w:rFonts w:hint="eastAsia" w:ascii="宋体" w:hAnsi="宋体"/>
                <w:color w:val="auto"/>
                <w:szCs w:val="21"/>
                <w:highlight w:val="none"/>
              </w:rPr>
              <w:t>64</w:t>
            </w:r>
          </w:p>
        </w:tc>
        <w:tc>
          <w:tcPr>
            <w:tcW w:w="1402" w:type="dxa"/>
            <w:tcBorders>
              <w:top w:val="single" w:color="000000" w:sz="4" w:space="0"/>
              <w:left w:val="single" w:color="auto" w:sz="4" w:space="0"/>
              <w:bottom w:val="single" w:color="000000" w:sz="4" w:space="0"/>
              <w:right w:val="single" w:color="000000" w:sz="4" w:space="0"/>
            </w:tcBorders>
            <w:shd w:val="clear" w:color="auto" w:fill="auto"/>
            <w:vAlign w:val="center"/>
          </w:tcPr>
          <w:p w14:paraId="100742EA">
            <w:pPr>
              <w:spacing w:line="360" w:lineRule="exact"/>
              <w:jc w:val="center"/>
              <w:rPr>
                <w:rFonts w:ascii="宋体" w:hAnsi="宋体"/>
                <w:color w:val="auto"/>
                <w:szCs w:val="21"/>
                <w:highlight w:val="none"/>
              </w:rPr>
            </w:pPr>
            <w:r>
              <w:rPr>
                <w:rFonts w:hint="eastAsia" w:ascii="宋体" w:hAnsi="宋体"/>
                <w:color w:val="auto"/>
                <w:szCs w:val="21"/>
                <w:highlight w:val="none"/>
              </w:rPr>
              <w:t>可调ND</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EC096">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703" w:type="dxa"/>
            <w:tcBorders>
              <w:top w:val="single" w:color="auto" w:sz="4" w:space="0"/>
              <w:left w:val="single" w:color="000000" w:sz="4" w:space="0"/>
              <w:bottom w:val="single" w:color="000000" w:sz="4" w:space="0"/>
              <w:right w:val="single" w:color="000000" w:sz="4" w:space="0"/>
            </w:tcBorders>
            <w:shd w:val="clear" w:color="auto" w:fill="auto"/>
            <w:vAlign w:val="center"/>
          </w:tcPr>
          <w:p w14:paraId="424EE919">
            <w:pPr>
              <w:spacing w:line="360" w:lineRule="exact"/>
              <w:jc w:val="center"/>
              <w:rPr>
                <w:rFonts w:ascii="宋体" w:hAnsi="宋体"/>
                <w:color w:val="auto"/>
                <w:szCs w:val="21"/>
                <w:highlight w:val="none"/>
              </w:rPr>
            </w:pPr>
            <w:r>
              <w:rPr>
                <w:rFonts w:hint="eastAsia" w:ascii="宋体" w:hAnsi="宋体"/>
                <w:color w:val="auto"/>
                <w:szCs w:val="21"/>
                <w:highlight w:val="none"/>
              </w:rPr>
              <w:t>个</w:t>
            </w:r>
          </w:p>
        </w:tc>
        <w:tc>
          <w:tcPr>
            <w:tcW w:w="702" w:type="dxa"/>
            <w:vMerge w:val="continue"/>
            <w:tcBorders>
              <w:left w:val="single" w:color="000000" w:sz="4" w:space="0"/>
              <w:right w:val="single" w:color="000000" w:sz="4" w:space="0"/>
            </w:tcBorders>
            <w:shd w:val="clear" w:color="auto" w:fill="auto"/>
            <w:vAlign w:val="center"/>
          </w:tcPr>
          <w:p w14:paraId="68513D2C">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4A52B">
            <w:pPr>
              <w:spacing w:line="360" w:lineRule="exact"/>
              <w:jc w:val="left"/>
              <w:rPr>
                <w:rFonts w:ascii="宋体" w:hAnsi="宋体"/>
                <w:color w:val="auto"/>
                <w:szCs w:val="21"/>
                <w:highlight w:val="none"/>
              </w:rPr>
            </w:pPr>
            <w:r>
              <w:rPr>
                <w:rFonts w:hint="eastAsia" w:ascii="宋体" w:hAnsi="宋体"/>
                <w:color w:val="auto"/>
                <w:szCs w:val="21"/>
                <w:highlight w:val="none"/>
              </w:rPr>
              <w:t>1.类型：可调中灰密度滤镜（Variable ND）。</w:t>
            </w:r>
          </w:p>
          <w:p w14:paraId="3A61107A">
            <w:pPr>
              <w:spacing w:line="360" w:lineRule="exact"/>
              <w:jc w:val="left"/>
              <w:rPr>
                <w:rFonts w:ascii="宋体" w:hAnsi="宋体"/>
                <w:color w:val="auto"/>
                <w:szCs w:val="21"/>
                <w:highlight w:val="none"/>
              </w:rPr>
            </w:pPr>
            <w:r>
              <w:rPr>
                <w:rFonts w:hint="eastAsia" w:ascii="宋体" w:hAnsi="宋体"/>
                <w:color w:val="auto"/>
                <w:szCs w:val="21"/>
                <w:highlight w:val="none"/>
              </w:rPr>
              <w:t>2.口径：约67mm。</w:t>
            </w:r>
          </w:p>
          <w:p w14:paraId="38C1F874">
            <w:pPr>
              <w:spacing w:line="360" w:lineRule="exact"/>
              <w:jc w:val="left"/>
              <w:rPr>
                <w:rFonts w:ascii="宋体" w:hAnsi="宋体"/>
                <w:color w:val="auto"/>
                <w:szCs w:val="21"/>
                <w:highlight w:val="none"/>
              </w:rPr>
            </w:pPr>
            <w:r>
              <w:rPr>
                <w:rFonts w:hint="eastAsia" w:ascii="宋体" w:hAnsi="宋体"/>
                <w:color w:val="auto"/>
                <w:szCs w:val="21"/>
                <w:highlight w:val="none"/>
              </w:rPr>
              <w:t>3.档位：ND2至ND400无级可调。</w:t>
            </w:r>
          </w:p>
        </w:tc>
      </w:tr>
      <w:tr w14:paraId="783C02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shd w:val="clear" w:color="auto" w:fill="auto"/>
            <w:vAlign w:val="center"/>
          </w:tcPr>
          <w:p w14:paraId="3E95B2E2">
            <w:pPr>
              <w:jc w:val="center"/>
              <w:rPr>
                <w:rFonts w:ascii="宋体" w:hAnsi="宋体"/>
                <w:color w:val="auto"/>
                <w:szCs w:val="21"/>
                <w:highlight w:val="none"/>
              </w:rPr>
            </w:pPr>
            <w:r>
              <w:rPr>
                <w:rFonts w:hint="eastAsia" w:ascii="宋体" w:hAnsi="宋体"/>
                <w:color w:val="auto"/>
                <w:szCs w:val="21"/>
                <w:highlight w:val="none"/>
              </w:rPr>
              <w:t>65</w:t>
            </w:r>
          </w:p>
        </w:tc>
        <w:tc>
          <w:tcPr>
            <w:tcW w:w="1402" w:type="dxa"/>
            <w:tcBorders>
              <w:top w:val="single" w:color="000000" w:sz="4" w:space="0"/>
              <w:left w:val="single" w:color="auto" w:sz="4" w:space="0"/>
              <w:bottom w:val="single" w:color="000000" w:sz="4" w:space="0"/>
              <w:right w:val="single" w:color="000000" w:sz="4" w:space="0"/>
            </w:tcBorders>
            <w:shd w:val="clear" w:color="auto" w:fill="auto"/>
            <w:vAlign w:val="center"/>
          </w:tcPr>
          <w:p w14:paraId="0FFC4F70">
            <w:pPr>
              <w:spacing w:line="360" w:lineRule="exact"/>
              <w:jc w:val="center"/>
              <w:rPr>
                <w:rFonts w:ascii="宋体" w:hAnsi="宋体"/>
                <w:color w:val="auto"/>
                <w:szCs w:val="21"/>
                <w:highlight w:val="none"/>
              </w:rPr>
            </w:pPr>
            <w:r>
              <w:rPr>
                <w:rFonts w:hint="eastAsia" w:ascii="宋体" w:hAnsi="宋体"/>
                <w:color w:val="auto"/>
                <w:szCs w:val="21"/>
                <w:highlight w:val="none"/>
              </w:rPr>
              <w:t>支架接环</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02C2A">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703" w:type="dxa"/>
            <w:tcBorders>
              <w:top w:val="single" w:color="auto" w:sz="4" w:space="0"/>
              <w:left w:val="single" w:color="000000" w:sz="4" w:space="0"/>
              <w:bottom w:val="single" w:color="000000" w:sz="4" w:space="0"/>
              <w:right w:val="single" w:color="000000" w:sz="4" w:space="0"/>
            </w:tcBorders>
            <w:shd w:val="clear" w:color="auto" w:fill="auto"/>
            <w:vAlign w:val="center"/>
          </w:tcPr>
          <w:p w14:paraId="192B351B">
            <w:pPr>
              <w:spacing w:line="360" w:lineRule="exact"/>
              <w:jc w:val="center"/>
              <w:rPr>
                <w:rFonts w:ascii="宋体" w:hAnsi="宋体"/>
                <w:color w:val="auto"/>
                <w:szCs w:val="21"/>
                <w:highlight w:val="none"/>
              </w:rPr>
            </w:pPr>
            <w:r>
              <w:rPr>
                <w:rFonts w:hint="eastAsia" w:ascii="宋体" w:hAnsi="宋体"/>
                <w:color w:val="auto"/>
                <w:szCs w:val="21"/>
                <w:highlight w:val="none"/>
              </w:rPr>
              <w:t>个</w:t>
            </w:r>
          </w:p>
        </w:tc>
        <w:tc>
          <w:tcPr>
            <w:tcW w:w="702" w:type="dxa"/>
            <w:vMerge w:val="continue"/>
            <w:tcBorders>
              <w:left w:val="single" w:color="000000" w:sz="4" w:space="0"/>
              <w:right w:val="single" w:color="000000" w:sz="4" w:space="0"/>
            </w:tcBorders>
            <w:shd w:val="clear" w:color="auto" w:fill="auto"/>
            <w:vAlign w:val="center"/>
          </w:tcPr>
          <w:p w14:paraId="29A10B3A">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86F50">
            <w:pPr>
              <w:spacing w:line="360" w:lineRule="exact"/>
              <w:jc w:val="left"/>
              <w:rPr>
                <w:rFonts w:ascii="宋体" w:hAnsi="宋体"/>
                <w:color w:val="auto"/>
                <w:szCs w:val="21"/>
                <w:highlight w:val="none"/>
              </w:rPr>
            </w:pPr>
            <w:r>
              <w:rPr>
                <w:rFonts w:hint="eastAsia" w:ascii="宋体" w:hAnsi="宋体"/>
                <w:color w:val="auto"/>
                <w:szCs w:val="21"/>
                <w:highlight w:val="none"/>
              </w:rPr>
              <w:t>1.类型：镜头转接环/支架接环。</w:t>
            </w:r>
          </w:p>
          <w:p w14:paraId="6A130F3A">
            <w:pPr>
              <w:spacing w:line="360" w:lineRule="exact"/>
              <w:jc w:val="left"/>
              <w:rPr>
                <w:rFonts w:ascii="宋体" w:hAnsi="宋体"/>
                <w:color w:val="auto"/>
                <w:szCs w:val="21"/>
                <w:highlight w:val="none"/>
              </w:rPr>
            </w:pPr>
            <w:r>
              <w:rPr>
                <w:rFonts w:hint="eastAsia" w:ascii="宋体" w:hAnsi="宋体"/>
                <w:color w:val="auto"/>
                <w:szCs w:val="21"/>
                <w:highlight w:val="none"/>
              </w:rPr>
              <w:t>2.口径转换：55mm转67mm。</w:t>
            </w:r>
          </w:p>
        </w:tc>
      </w:tr>
      <w:tr w14:paraId="2E9A6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shd w:val="clear" w:color="auto" w:fill="auto"/>
            <w:vAlign w:val="center"/>
          </w:tcPr>
          <w:p w14:paraId="313DBD2C">
            <w:pPr>
              <w:jc w:val="center"/>
              <w:rPr>
                <w:rFonts w:ascii="宋体" w:hAnsi="宋体"/>
                <w:color w:val="auto"/>
                <w:szCs w:val="21"/>
                <w:highlight w:val="none"/>
              </w:rPr>
            </w:pPr>
            <w:r>
              <w:rPr>
                <w:rFonts w:hint="eastAsia" w:ascii="宋体" w:hAnsi="宋体"/>
                <w:color w:val="auto"/>
                <w:szCs w:val="21"/>
                <w:highlight w:val="none"/>
              </w:rPr>
              <w:t>66</w:t>
            </w:r>
          </w:p>
        </w:tc>
        <w:tc>
          <w:tcPr>
            <w:tcW w:w="1402" w:type="dxa"/>
            <w:tcBorders>
              <w:top w:val="single" w:color="000000" w:sz="4" w:space="0"/>
              <w:left w:val="single" w:color="auto" w:sz="4" w:space="0"/>
              <w:bottom w:val="single" w:color="000000" w:sz="4" w:space="0"/>
              <w:right w:val="single" w:color="000000" w:sz="4" w:space="0"/>
            </w:tcBorders>
            <w:shd w:val="clear" w:color="auto" w:fill="auto"/>
            <w:vAlign w:val="center"/>
          </w:tcPr>
          <w:p w14:paraId="288EFD01">
            <w:pPr>
              <w:spacing w:line="360" w:lineRule="exact"/>
              <w:jc w:val="center"/>
              <w:rPr>
                <w:rFonts w:ascii="宋体" w:hAnsi="宋体"/>
                <w:color w:val="auto"/>
                <w:szCs w:val="21"/>
                <w:highlight w:val="none"/>
              </w:rPr>
            </w:pPr>
            <w:r>
              <w:rPr>
                <w:rFonts w:hint="eastAsia" w:ascii="宋体" w:hAnsi="宋体"/>
                <w:color w:val="auto"/>
                <w:szCs w:val="21"/>
                <w:highlight w:val="none"/>
              </w:rPr>
              <w:t>双色温补光灯</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CD5CD">
            <w:pPr>
              <w:spacing w:line="360" w:lineRule="exact"/>
              <w:jc w:val="center"/>
              <w:rPr>
                <w:rFonts w:ascii="宋体" w:hAnsi="宋体"/>
                <w:color w:val="auto"/>
                <w:szCs w:val="21"/>
                <w:highlight w:val="none"/>
              </w:rPr>
            </w:pPr>
            <w:r>
              <w:rPr>
                <w:rFonts w:hint="eastAsia" w:ascii="宋体" w:hAnsi="宋体"/>
                <w:color w:val="auto"/>
                <w:szCs w:val="21"/>
                <w:highlight w:val="none"/>
              </w:rPr>
              <w:t>2</w:t>
            </w:r>
          </w:p>
        </w:tc>
        <w:tc>
          <w:tcPr>
            <w:tcW w:w="703" w:type="dxa"/>
            <w:tcBorders>
              <w:top w:val="single" w:color="auto" w:sz="4" w:space="0"/>
              <w:left w:val="single" w:color="000000" w:sz="4" w:space="0"/>
              <w:bottom w:val="single" w:color="000000" w:sz="4" w:space="0"/>
              <w:right w:val="single" w:color="000000" w:sz="4" w:space="0"/>
            </w:tcBorders>
            <w:shd w:val="clear" w:color="auto" w:fill="auto"/>
            <w:vAlign w:val="center"/>
          </w:tcPr>
          <w:p w14:paraId="05F2C310">
            <w:pPr>
              <w:spacing w:line="360" w:lineRule="exact"/>
              <w:jc w:val="center"/>
              <w:rPr>
                <w:rFonts w:ascii="宋体" w:hAnsi="宋体"/>
                <w:color w:val="auto"/>
                <w:szCs w:val="21"/>
                <w:highlight w:val="none"/>
              </w:rPr>
            </w:pPr>
            <w:r>
              <w:rPr>
                <w:rFonts w:hint="eastAsia" w:ascii="宋体" w:hAnsi="宋体"/>
                <w:color w:val="auto"/>
                <w:szCs w:val="21"/>
                <w:highlight w:val="none"/>
              </w:rPr>
              <w:t>个</w:t>
            </w:r>
          </w:p>
        </w:tc>
        <w:tc>
          <w:tcPr>
            <w:tcW w:w="702" w:type="dxa"/>
            <w:vMerge w:val="continue"/>
            <w:tcBorders>
              <w:left w:val="single" w:color="000000" w:sz="4" w:space="0"/>
              <w:right w:val="single" w:color="000000" w:sz="4" w:space="0"/>
            </w:tcBorders>
            <w:shd w:val="clear" w:color="auto" w:fill="auto"/>
            <w:vAlign w:val="center"/>
          </w:tcPr>
          <w:p w14:paraId="4D31E905">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5451A">
            <w:pPr>
              <w:spacing w:line="360" w:lineRule="exact"/>
              <w:jc w:val="left"/>
              <w:rPr>
                <w:rFonts w:ascii="宋体" w:hAnsi="宋体"/>
                <w:color w:val="auto"/>
                <w:szCs w:val="21"/>
                <w:highlight w:val="none"/>
              </w:rPr>
            </w:pPr>
            <w:r>
              <w:rPr>
                <w:rFonts w:hint="eastAsia" w:ascii="宋体" w:hAnsi="宋体"/>
                <w:color w:val="auto"/>
                <w:szCs w:val="21"/>
                <w:highlight w:val="none"/>
              </w:rPr>
              <w:t>1.功率：≥120W。</w:t>
            </w:r>
          </w:p>
          <w:p w14:paraId="40F8B995">
            <w:pPr>
              <w:spacing w:line="360" w:lineRule="exact"/>
              <w:jc w:val="left"/>
              <w:rPr>
                <w:rFonts w:ascii="宋体" w:hAnsi="宋体"/>
                <w:color w:val="auto"/>
                <w:szCs w:val="21"/>
                <w:highlight w:val="none"/>
              </w:rPr>
            </w:pPr>
            <w:r>
              <w:rPr>
                <w:rFonts w:hint="eastAsia" w:ascii="宋体" w:hAnsi="宋体"/>
                <w:color w:val="auto"/>
                <w:szCs w:val="21"/>
                <w:highlight w:val="none"/>
              </w:rPr>
              <w:t>2.色温范围：2700K—6500K双色温可调。</w:t>
            </w:r>
          </w:p>
          <w:p w14:paraId="20F45961">
            <w:pPr>
              <w:spacing w:line="360" w:lineRule="exact"/>
              <w:jc w:val="left"/>
              <w:rPr>
                <w:rFonts w:ascii="宋体" w:hAnsi="宋体"/>
                <w:color w:val="auto"/>
                <w:szCs w:val="21"/>
                <w:highlight w:val="none"/>
              </w:rPr>
            </w:pPr>
            <w:r>
              <w:rPr>
                <w:rFonts w:hint="eastAsia" w:ascii="宋体" w:hAnsi="宋体"/>
                <w:color w:val="auto"/>
                <w:szCs w:val="21"/>
                <w:highlight w:val="none"/>
              </w:rPr>
              <w:t>3.显色指数：Ra≥95，TLCI≥95。</w:t>
            </w:r>
          </w:p>
          <w:p w14:paraId="5915A651">
            <w:pPr>
              <w:spacing w:line="360" w:lineRule="exact"/>
              <w:jc w:val="left"/>
              <w:rPr>
                <w:rFonts w:ascii="宋体" w:hAnsi="宋体"/>
                <w:color w:val="auto"/>
                <w:szCs w:val="21"/>
                <w:highlight w:val="none"/>
              </w:rPr>
            </w:pPr>
            <w:r>
              <w:rPr>
                <w:rFonts w:hint="eastAsia" w:ascii="宋体" w:hAnsi="宋体"/>
                <w:color w:val="auto"/>
                <w:szCs w:val="21"/>
                <w:highlight w:val="none"/>
              </w:rPr>
              <w:t>4.重量：≤1.5kg（不含电池）。</w:t>
            </w:r>
          </w:p>
        </w:tc>
      </w:tr>
      <w:tr w14:paraId="77DD51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shd w:val="clear" w:color="auto" w:fill="auto"/>
            <w:vAlign w:val="center"/>
          </w:tcPr>
          <w:p w14:paraId="7484D07D">
            <w:pPr>
              <w:jc w:val="center"/>
              <w:rPr>
                <w:rFonts w:ascii="宋体" w:hAnsi="宋体"/>
                <w:color w:val="auto"/>
                <w:szCs w:val="21"/>
                <w:highlight w:val="none"/>
              </w:rPr>
            </w:pPr>
            <w:r>
              <w:rPr>
                <w:rFonts w:hint="eastAsia" w:ascii="宋体" w:hAnsi="宋体"/>
                <w:color w:val="auto"/>
                <w:szCs w:val="21"/>
                <w:highlight w:val="none"/>
              </w:rPr>
              <w:t>67</w:t>
            </w:r>
          </w:p>
        </w:tc>
        <w:tc>
          <w:tcPr>
            <w:tcW w:w="1402" w:type="dxa"/>
            <w:tcBorders>
              <w:top w:val="single" w:color="000000" w:sz="4" w:space="0"/>
              <w:left w:val="single" w:color="auto" w:sz="4" w:space="0"/>
              <w:bottom w:val="single" w:color="000000" w:sz="4" w:space="0"/>
              <w:right w:val="single" w:color="000000" w:sz="4" w:space="0"/>
            </w:tcBorders>
            <w:shd w:val="clear" w:color="auto" w:fill="auto"/>
            <w:vAlign w:val="center"/>
          </w:tcPr>
          <w:p w14:paraId="263F33F0">
            <w:pPr>
              <w:spacing w:line="360" w:lineRule="exact"/>
              <w:jc w:val="center"/>
              <w:rPr>
                <w:rFonts w:ascii="宋体" w:hAnsi="宋体"/>
                <w:color w:val="auto"/>
                <w:szCs w:val="21"/>
                <w:highlight w:val="none"/>
              </w:rPr>
            </w:pPr>
            <w:r>
              <w:rPr>
                <w:rFonts w:hint="eastAsia" w:ascii="宋体" w:hAnsi="宋体"/>
                <w:color w:val="auto"/>
                <w:szCs w:val="21"/>
                <w:highlight w:val="none"/>
              </w:rPr>
              <w:t>可调便携常亮夜拍灯</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840A6">
            <w:pPr>
              <w:spacing w:line="360" w:lineRule="exact"/>
              <w:jc w:val="center"/>
              <w:rPr>
                <w:rFonts w:ascii="宋体" w:hAnsi="宋体"/>
                <w:color w:val="auto"/>
                <w:szCs w:val="21"/>
                <w:highlight w:val="none"/>
              </w:rPr>
            </w:pPr>
            <w:r>
              <w:rPr>
                <w:rFonts w:hint="eastAsia" w:ascii="宋体" w:hAnsi="宋体"/>
                <w:color w:val="auto"/>
                <w:szCs w:val="21"/>
                <w:highlight w:val="none"/>
              </w:rPr>
              <w:t>2</w:t>
            </w:r>
          </w:p>
        </w:tc>
        <w:tc>
          <w:tcPr>
            <w:tcW w:w="703" w:type="dxa"/>
            <w:tcBorders>
              <w:top w:val="single" w:color="auto" w:sz="4" w:space="0"/>
              <w:left w:val="single" w:color="000000" w:sz="4" w:space="0"/>
              <w:bottom w:val="single" w:color="000000" w:sz="4" w:space="0"/>
              <w:right w:val="single" w:color="000000" w:sz="4" w:space="0"/>
            </w:tcBorders>
            <w:shd w:val="clear" w:color="auto" w:fill="auto"/>
            <w:vAlign w:val="center"/>
          </w:tcPr>
          <w:p w14:paraId="7494FE90">
            <w:pPr>
              <w:spacing w:line="360" w:lineRule="exact"/>
              <w:jc w:val="center"/>
              <w:rPr>
                <w:rFonts w:ascii="宋体" w:hAnsi="宋体"/>
                <w:color w:val="auto"/>
                <w:szCs w:val="21"/>
                <w:highlight w:val="none"/>
              </w:rPr>
            </w:pPr>
            <w:r>
              <w:rPr>
                <w:rFonts w:hint="eastAsia" w:ascii="宋体" w:hAnsi="宋体"/>
                <w:color w:val="auto"/>
                <w:szCs w:val="21"/>
                <w:highlight w:val="none"/>
              </w:rPr>
              <w:t>个</w:t>
            </w:r>
          </w:p>
        </w:tc>
        <w:tc>
          <w:tcPr>
            <w:tcW w:w="702" w:type="dxa"/>
            <w:vMerge w:val="continue"/>
            <w:tcBorders>
              <w:left w:val="single" w:color="000000" w:sz="4" w:space="0"/>
              <w:right w:val="single" w:color="000000" w:sz="4" w:space="0"/>
            </w:tcBorders>
            <w:shd w:val="clear" w:color="auto" w:fill="auto"/>
            <w:vAlign w:val="center"/>
          </w:tcPr>
          <w:p w14:paraId="12F6C77C">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FAC8D">
            <w:pPr>
              <w:spacing w:line="360" w:lineRule="exact"/>
              <w:jc w:val="left"/>
              <w:rPr>
                <w:rFonts w:ascii="宋体" w:hAnsi="宋体"/>
                <w:color w:val="auto"/>
                <w:szCs w:val="21"/>
                <w:highlight w:val="none"/>
              </w:rPr>
            </w:pPr>
            <w:r>
              <w:rPr>
                <w:rFonts w:hint="eastAsia" w:ascii="宋体" w:hAnsi="宋体"/>
                <w:color w:val="auto"/>
                <w:szCs w:val="21"/>
                <w:highlight w:val="none"/>
              </w:rPr>
              <w:t>1.色温范围：3200K—5600K双色温可调。</w:t>
            </w:r>
          </w:p>
          <w:p w14:paraId="2B9B6229">
            <w:pPr>
              <w:spacing w:line="360" w:lineRule="exact"/>
              <w:jc w:val="left"/>
              <w:rPr>
                <w:rFonts w:ascii="宋体" w:hAnsi="宋体"/>
                <w:color w:val="auto"/>
                <w:szCs w:val="21"/>
                <w:highlight w:val="none"/>
              </w:rPr>
            </w:pPr>
            <w:r>
              <w:rPr>
                <w:rFonts w:hint="eastAsia" w:ascii="宋体" w:hAnsi="宋体"/>
                <w:color w:val="auto"/>
                <w:szCs w:val="21"/>
                <w:highlight w:val="none"/>
              </w:rPr>
              <w:t>2.显色指数：Ra≥95。</w:t>
            </w:r>
          </w:p>
          <w:p w14:paraId="03117692">
            <w:pPr>
              <w:spacing w:line="360" w:lineRule="exact"/>
              <w:jc w:val="left"/>
              <w:rPr>
                <w:rFonts w:ascii="宋体" w:hAnsi="宋体"/>
                <w:color w:val="auto"/>
                <w:szCs w:val="21"/>
                <w:highlight w:val="none"/>
              </w:rPr>
            </w:pPr>
            <w:r>
              <w:rPr>
                <w:rFonts w:hint="eastAsia" w:ascii="宋体" w:hAnsi="宋体"/>
                <w:color w:val="auto"/>
                <w:szCs w:val="21"/>
                <w:highlight w:val="none"/>
              </w:rPr>
              <w:t>3.最大功率：≥30W。</w:t>
            </w:r>
          </w:p>
          <w:p w14:paraId="4FFE70F1">
            <w:pPr>
              <w:spacing w:line="360" w:lineRule="exact"/>
              <w:jc w:val="left"/>
              <w:rPr>
                <w:rFonts w:ascii="宋体" w:hAnsi="宋体"/>
                <w:color w:val="auto"/>
                <w:szCs w:val="21"/>
                <w:highlight w:val="none"/>
              </w:rPr>
            </w:pPr>
            <w:r>
              <w:rPr>
                <w:rFonts w:hint="eastAsia" w:ascii="宋体" w:hAnsi="宋体"/>
                <w:color w:val="auto"/>
                <w:szCs w:val="21"/>
                <w:highlight w:val="none"/>
              </w:rPr>
              <w:t>4.调光方式：0%—100%无级调节。</w:t>
            </w:r>
          </w:p>
          <w:p w14:paraId="6F3FA657">
            <w:pPr>
              <w:spacing w:line="360" w:lineRule="exact"/>
              <w:jc w:val="left"/>
              <w:rPr>
                <w:rFonts w:ascii="宋体" w:hAnsi="宋体"/>
                <w:color w:val="auto"/>
                <w:szCs w:val="21"/>
                <w:highlight w:val="none"/>
              </w:rPr>
            </w:pPr>
            <w:r>
              <w:rPr>
                <w:rFonts w:hint="eastAsia" w:ascii="宋体" w:hAnsi="宋体"/>
                <w:color w:val="auto"/>
                <w:szCs w:val="21"/>
                <w:highlight w:val="none"/>
              </w:rPr>
              <w:t>5.供电方式：H型电池手柄（兼容NP-F系列电池）。</w:t>
            </w:r>
          </w:p>
        </w:tc>
      </w:tr>
      <w:tr w14:paraId="15BB09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shd w:val="clear" w:color="auto" w:fill="auto"/>
            <w:vAlign w:val="center"/>
          </w:tcPr>
          <w:p w14:paraId="00987C4C">
            <w:pPr>
              <w:jc w:val="center"/>
              <w:rPr>
                <w:rFonts w:ascii="宋体" w:hAnsi="宋体"/>
                <w:color w:val="auto"/>
                <w:szCs w:val="21"/>
                <w:highlight w:val="none"/>
              </w:rPr>
            </w:pPr>
            <w:r>
              <w:rPr>
                <w:rFonts w:hint="eastAsia" w:ascii="宋体" w:hAnsi="宋体"/>
                <w:color w:val="auto"/>
                <w:szCs w:val="21"/>
                <w:highlight w:val="none"/>
              </w:rPr>
              <w:t>68</w:t>
            </w:r>
          </w:p>
        </w:tc>
        <w:tc>
          <w:tcPr>
            <w:tcW w:w="1402" w:type="dxa"/>
            <w:tcBorders>
              <w:top w:val="single" w:color="000000" w:sz="4" w:space="0"/>
              <w:left w:val="single" w:color="auto" w:sz="4" w:space="0"/>
              <w:bottom w:val="single" w:color="000000" w:sz="4" w:space="0"/>
              <w:right w:val="single" w:color="000000" w:sz="4" w:space="0"/>
            </w:tcBorders>
            <w:shd w:val="clear" w:color="auto" w:fill="auto"/>
            <w:vAlign w:val="center"/>
          </w:tcPr>
          <w:p w14:paraId="74E51A17">
            <w:pPr>
              <w:spacing w:line="360" w:lineRule="exact"/>
              <w:jc w:val="center"/>
              <w:rPr>
                <w:rFonts w:ascii="宋体" w:hAnsi="宋体"/>
                <w:color w:val="auto"/>
                <w:szCs w:val="21"/>
                <w:highlight w:val="none"/>
              </w:rPr>
            </w:pPr>
            <w:r>
              <w:rPr>
                <w:rFonts w:hint="eastAsia" w:ascii="宋体" w:hAnsi="宋体"/>
                <w:color w:val="auto"/>
                <w:szCs w:val="21"/>
                <w:highlight w:val="none"/>
              </w:rPr>
              <w:t>迷你柔光箱</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6E430">
            <w:pPr>
              <w:spacing w:line="360" w:lineRule="exact"/>
              <w:jc w:val="center"/>
              <w:rPr>
                <w:rFonts w:ascii="宋体" w:hAnsi="宋体"/>
                <w:color w:val="auto"/>
                <w:szCs w:val="21"/>
                <w:highlight w:val="none"/>
              </w:rPr>
            </w:pPr>
            <w:r>
              <w:rPr>
                <w:rFonts w:hint="eastAsia" w:ascii="宋体" w:hAnsi="宋体"/>
                <w:color w:val="auto"/>
                <w:szCs w:val="21"/>
                <w:highlight w:val="none"/>
              </w:rPr>
              <w:t>2</w:t>
            </w:r>
          </w:p>
        </w:tc>
        <w:tc>
          <w:tcPr>
            <w:tcW w:w="703" w:type="dxa"/>
            <w:tcBorders>
              <w:top w:val="single" w:color="auto" w:sz="4" w:space="0"/>
              <w:left w:val="single" w:color="000000" w:sz="4" w:space="0"/>
              <w:bottom w:val="single" w:color="000000" w:sz="4" w:space="0"/>
              <w:right w:val="single" w:color="000000" w:sz="4" w:space="0"/>
            </w:tcBorders>
            <w:shd w:val="clear" w:color="auto" w:fill="auto"/>
            <w:vAlign w:val="center"/>
          </w:tcPr>
          <w:p w14:paraId="330CBFCF">
            <w:pPr>
              <w:spacing w:line="360" w:lineRule="exact"/>
              <w:jc w:val="center"/>
              <w:rPr>
                <w:rFonts w:ascii="宋体" w:hAnsi="宋体"/>
                <w:color w:val="auto"/>
                <w:szCs w:val="21"/>
                <w:highlight w:val="none"/>
              </w:rPr>
            </w:pPr>
            <w:r>
              <w:rPr>
                <w:rFonts w:hint="eastAsia" w:ascii="宋体" w:hAnsi="宋体"/>
                <w:color w:val="auto"/>
                <w:szCs w:val="21"/>
                <w:highlight w:val="none"/>
              </w:rPr>
              <w:t>个</w:t>
            </w:r>
          </w:p>
        </w:tc>
        <w:tc>
          <w:tcPr>
            <w:tcW w:w="702" w:type="dxa"/>
            <w:vMerge w:val="continue"/>
            <w:tcBorders>
              <w:left w:val="single" w:color="000000" w:sz="4" w:space="0"/>
              <w:right w:val="single" w:color="000000" w:sz="4" w:space="0"/>
            </w:tcBorders>
            <w:shd w:val="clear" w:color="auto" w:fill="auto"/>
            <w:vAlign w:val="center"/>
          </w:tcPr>
          <w:p w14:paraId="0B272EC9">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A8C8A">
            <w:pPr>
              <w:spacing w:line="360" w:lineRule="exact"/>
              <w:jc w:val="left"/>
              <w:rPr>
                <w:rFonts w:ascii="宋体" w:hAnsi="宋体"/>
                <w:color w:val="auto"/>
                <w:szCs w:val="21"/>
                <w:highlight w:val="none"/>
              </w:rPr>
            </w:pPr>
            <w:r>
              <w:rPr>
                <w:rFonts w:hint="eastAsia" w:ascii="宋体" w:hAnsi="宋体"/>
                <w:color w:val="auto"/>
                <w:szCs w:val="21"/>
                <w:highlight w:val="none"/>
              </w:rPr>
              <w:t>1.类型：深口八角柔光箱。</w:t>
            </w:r>
          </w:p>
          <w:p w14:paraId="562E7AD3">
            <w:pPr>
              <w:spacing w:line="360" w:lineRule="exact"/>
              <w:jc w:val="left"/>
              <w:rPr>
                <w:rFonts w:ascii="宋体" w:hAnsi="宋体"/>
                <w:color w:val="auto"/>
                <w:szCs w:val="21"/>
                <w:highlight w:val="none"/>
              </w:rPr>
            </w:pPr>
            <w:r>
              <w:rPr>
                <w:rFonts w:hint="eastAsia" w:ascii="宋体" w:hAnsi="宋体"/>
                <w:color w:val="auto"/>
                <w:szCs w:val="21"/>
                <w:highlight w:val="none"/>
              </w:rPr>
              <w:t>2.直径：约45cm。</w:t>
            </w:r>
          </w:p>
          <w:p w14:paraId="502AD1AF">
            <w:pPr>
              <w:spacing w:line="360" w:lineRule="exact"/>
              <w:jc w:val="left"/>
              <w:rPr>
                <w:rFonts w:ascii="宋体" w:hAnsi="宋体"/>
                <w:color w:val="auto"/>
                <w:szCs w:val="21"/>
                <w:highlight w:val="none"/>
              </w:rPr>
            </w:pPr>
            <w:r>
              <w:rPr>
                <w:rFonts w:hint="eastAsia" w:ascii="宋体" w:hAnsi="宋体"/>
                <w:color w:val="auto"/>
                <w:szCs w:val="21"/>
                <w:highlight w:val="none"/>
              </w:rPr>
              <w:t>3.卡口类型：标准保荣卡口（Bowens Mount）。</w:t>
            </w:r>
          </w:p>
        </w:tc>
      </w:tr>
      <w:tr w14:paraId="68BC10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shd w:val="clear" w:color="auto" w:fill="auto"/>
            <w:vAlign w:val="center"/>
          </w:tcPr>
          <w:p w14:paraId="4356454F">
            <w:pPr>
              <w:jc w:val="center"/>
              <w:rPr>
                <w:rFonts w:ascii="宋体" w:hAnsi="宋体"/>
                <w:color w:val="auto"/>
                <w:szCs w:val="21"/>
                <w:highlight w:val="none"/>
              </w:rPr>
            </w:pPr>
            <w:r>
              <w:rPr>
                <w:rFonts w:hint="eastAsia" w:ascii="宋体" w:hAnsi="宋体"/>
                <w:color w:val="auto"/>
                <w:szCs w:val="21"/>
                <w:highlight w:val="none"/>
              </w:rPr>
              <w:t>69</w:t>
            </w:r>
          </w:p>
        </w:tc>
        <w:tc>
          <w:tcPr>
            <w:tcW w:w="1402" w:type="dxa"/>
            <w:tcBorders>
              <w:top w:val="single" w:color="000000" w:sz="4" w:space="0"/>
              <w:left w:val="single" w:color="auto" w:sz="4" w:space="0"/>
              <w:bottom w:val="single" w:color="000000" w:sz="4" w:space="0"/>
              <w:right w:val="single" w:color="000000" w:sz="4" w:space="0"/>
            </w:tcBorders>
            <w:shd w:val="clear" w:color="auto" w:fill="auto"/>
            <w:vAlign w:val="center"/>
          </w:tcPr>
          <w:p w14:paraId="5FADB386">
            <w:pPr>
              <w:spacing w:line="360" w:lineRule="exact"/>
              <w:jc w:val="center"/>
              <w:rPr>
                <w:rFonts w:ascii="宋体" w:hAnsi="宋体"/>
                <w:color w:val="auto"/>
                <w:szCs w:val="21"/>
                <w:highlight w:val="none"/>
              </w:rPr>
            </w:pPr>
            <w:r>
              <w:rPr>
                <w:rFonts w:hint="eastAsia" w:ascii="宋体" w:hAnsi="宋体"/>
                <w:color w:val="auto"/>
                <w:szCs w:val="21"/>
                <w:highlight w:val="none"/>
              </w:rPr>
              <w:t>便携灯架三脚架</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D14FE">
            <w:pPr>
              <w:spacing w:line="360" w:lineRule="exact"/>
              <w:jc w:val="center"/>
              <w:rPr>
                <w:rFonts w:ascii="宋体" w:hAnsi="宋体"/>
                <w:color w:val="auto"/>
                <w:szCs w:val="21"/>
                <w:highlight w:val="none"/>
              </w:rPr>
            </w:pPr>
            <w:r>
              <w:rPr>
                <w:rFonts w:hint="eastAsia" w:ascii="宋体" w:hAnsi="宋体"/>
                <w:color w:val="auto"/>
                <w:szCs w:val="21"/>
                <w:highlight w:val="none"/>
              </w:rPr>
              <w:t>2</w:t>
            </w:r>
          </w:p>
        </w:tc>
        <w:tc>
          <w:tcPr>
            <w:tcW w:w="703" w:type="dxa"/>
            <w:tcBorders>
              <w:top w:val="single" w:color="auto" w:sz="4" w:space="0"/>
              <w:left w:val="single" w:color="000000" w:sz="4" w:space="0"/>
              <w:bottom w:val="single" w:color="000000" w:sz="4" w:space="0"/>
              <w:right w:val="single" w:color="000000" w:sz="4" w:space="0"/>
            </w:tcBorders>
            <w:shd w:val="clear" w:color="auto" w:fill="auto"/>
            <w:vAlign w:val="center"/>
          </w:tcPr>
          <w:p w14:paraId="47AB0AAC">
            <w:pPr>
              <w:spacing w:line="360" w:lineRule="exact"/>
              <w:jc w:val="center"/>
              <w:rPr>
                <w:rFonts w:ascii="宋体" w:hAnsi="宋体"/>
                <w:color w:val="auto"/>
                <w:szCs w:val="21"/>
                <w:highlight w:val="none"/>
              </w:rPr>
            </w:pPr>
            <w:r>
              <w:rPr>
                <w:rFonts w:hint="eastAsia" w:ascii="宋体" w:hAnsi="宋体"/>
                <w:color w:val="auto"/>
                <w:szCs w:val="21"/>
                <w:highlight w:val="none"/>
              </w:rPr>
              <w:t>把</w:t>
            </w:r>
          </w:p>
        </w:tc>
        <w:tc>
          <w:tcPr>
            <w:tcW w:w="702" w:type="dxa"/>
            <w:vMerge w:val="continue"/>
            <w:tcBorders>
              <w:left w:val="single" w:color="000000" w:sz="4" w:space="0"/>
              <w:right w:val="single" w:color="000000" w:sz="4" w:space="0"/>
            </w:tcBorders>
            <w:shd w:val="clear" w:color="auto" w:fill="auto"/>
            <w:vAlign w:val="center"/>
          </w:tcPr>
          <w:p w14:paraId="07C53D62">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0845C">
            <w:pPr>
              <w:spacing w:line="360" w:lineRule="exact"/>
              <w:jc w:val="left"/>
              <w:rPr>
                <w:rFonts w:ascii="宋体" w:hAnsi="宋体"/>
                <w:color w:val="auto"/>
                <w:szCs w:val="21"/>
                <w:highlight w:val="none"/>
              </w:rPr>
            </w:pPr>
            <w:r>
              <w:rPr>
                <w:rFonts w:hint="eastAsia" w:ascii="宋体" w:hAnsi="宋体"/>
                <w:color w:val="auto"/>
                <w:szCs w:val="21"/>
                <w:highlight w:val="none"/>
              </w:rPr>
              <w:t>1.类型：反折叠收纳式便携三脚架。</w:t>
            </w:r>
          </w:p>
          <w:p w14:paraId="3E729A42">
            <w:pPr>
              <w:spacing w:line="360" w:lineRule="exact"/>
              <w:jc w:val="left"/>
              <w:rPr>
                <w:rFonts w:ascii="宋体" w:hAnsi="宋体"/>
                <w:color w:val="auto"/>
                <w:szCs w:val="21"/>
                <w:highlight w:val="none"/>
              </w:rPr>
            </w:pPr>
            <w:r>
              <w:rPr>
                <w:rFonts w:hint="eastAsia" w:ascii="宋体" w:hAnsi="宋体"/>
                <w:color w:val="auto"/>
                <w:szCs w:val="21"/>
                <w:highlight w:val="none"/>
              </w:rPr>
              <w:t>2.最大高度：≥2.1米。</w:t>
            </w:r>
          </w:p>
          <w:p w14:paraId="4D94B1D7">
            <w:pPr>
              <w:spacing w:line="360" w:lineRule="exact"/>
              <w:jc w:val="left"/>
              <w:rPr>
                <w:rFonts w:ascii="宋体" w:hAnsi="宋体"/>
                <w:color w:val="auto"/>
                <w:szCs w:val="21"/>
                <w:highlight w:val="none"/>
              </w:rPr>
            </w:pPr>
            <w:r>
              <w:rPr>
                <w:rFonts w:hint="eastAsia" w:ascii="宋体" w:hAnsi="宋体"/>
                <w:color w:val="auto"/>
                <w:szCs w:val="21"/>
                <w:highlight w:val="none"/>
              </w:rPr>
              <w:t>3.收纳高度：≤50cm。</w:t>
            </w:r>
          </w:p>
          <w:p w14:paraId="5C77531B">
            <w:pPr>
              <w:spacing w:line="360" w:lineRule="exact"/>
              <w:jc w:val="left"/>
              <w:rPr>
                <w:rFonts w:ascii="宋体" w:hAnsi="宋体"/>
                <w:color w:val="auto"/>
                <w:szCs w:val="21"/>
                <w:highlight w:val="none"/>
              </w:rPr>
            </w:pPr>
            <w:r>
              <w:rPr>
                <w:rFonts w:hint="eastAsia" w:ascii="宋体" w:hAnsi="宋体"/>
                <w:color w:val="auto"/>
                <w:szCs w:val="21"/>
                <w:highlight w:val="none"/>
              </w:rPr>
              <w:t>4.重量：≤1.2kg。</w:t>
            </w:r>
          </w:p>
        </w:tc>
      </w:tr>
      <w:tr w14:paraId="643CD1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shd w:val="clear" w:color="auto" w:fill="auto"/>
            <w:vAlign w:val="center"/>
          </w:tcPr>
          <w:p w14:paraId="11BF6829">
            <w:pPr>
              <w:jc w:val="center"/>
              <w:rPr>
                <w:rFonts w:ascii="宋体" w:hAnsi="宋体"/>
                <w:color w:val="auto"/>
                <w:szCs w:val="21"/>
                <w:highlight w:val="none"/>
              </w:rPr>
            </w:pPr>
            <w:r>
              <w:rPr>
                <w:rFonts w:hint="eastAsia" w:ascii="宋体" w:hAnsi="宋体"/>
                <w:color w:val="auto"/>
                <w:szCs w:val="21"/>
                <w:highlight w:val="none"/>
              </w:rPr>
              <w:t>70</w:t>
            </w:r>
          </w:p>
        </w:tc>
        <w:tc>
          <w:tcPr>
            <w:tcW w:w="1402" w:type="dxa"/>
            <w:tcBorders>
              <w:top w:val="single" w:color="000000" w:sz="4" w:space="0"/>
              <w:left w:val="single" w:color="auto" w:sz="4" w:space="0"/>
              <w:bottom w:val="single" w:color="000000" w:sz="4" w:space="0"/>
              <w:right w:val="single" w:color="000000" w:sz="4" w:space="0"/>
            </w:tcBorders>
            <w:shd w:val="clear" w:color="auto" w:fill="auto"/>
            <w:vAlign w:val="center"/>
          </w:tcPr>
          <w:p w14:paraId="770BA649">
            <w:pPr>
              <w:spacing w:line="360" w:lineRule="exact"/>
              <w:jc w:val="center"/>
              <w:rPr>
                <w:rFonts w:ascii="宋体" w:hAnsi="宋体"/>
                <w:color w:val="auto"/>
                <w:szCs w:val="21"/>
                <w:highlight w:val="none"/>
              </w:rPr>
            </w:pPr>
            <w:r>
              <w:rPr>
                <w:rFonts w:hint="eastAsia" w:ascii="宋体" w:hAnsi="宋体"/>
                <w:color w:val="auto"/>
                <w:szCs w:val="21"/>
                <w:highlight w:val="none"/>
              </w:rPr>
              <w:t>穿戴相机</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743F8">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703" w:type="dxa"/>
            <w:tcBorders>
              <w:top w:val="single" w:color="auto" w:sz="4" w:space="0"/>
              <w:left w:val="single" w:color="000000" w:sz="4" w:space="0"/>
              <w:bottom w:val="single" w:color="000000" w:sz="4" w:space="0"/>
              <w:right w:val="single" w:color="000000" w:sz="4" w:space="0"/>
            </w:tcBorders>
            <w:shd w:val="clear" w:color="auto" w:fill="auto"/>
            <w:vAlign w:val="center"/>
          </w:tcPr>
          <w:p w14:paraId="6CF747E6">
            <w:pPr>
              <w:spacing w:line="360" w:lineRule="exact"/>
              <w:jc w:val="center"/>
              <w:rPr>
                <w:rFonts w:ascii="宋体" w:hAnsi="宋体"/>
                <w:color w:val="auto"/>
                <w:szCs w:val="21"/>
                <w:highlight w:val="none"/>
              </w:rPr>
            </w:pPr>
            <w:r>
              <w:rPr>
                <w:rFonts w:hint="eastAsia" w:ascii="宋体" w:hAnsi="宋体"/>
                <w:color w:val="auto"/>
                <w:szCs w:val="21"/>
                <w:highlight w:val="none"/>
              </w:rPr>
              <w:t>台</w:t>
            </w:r>
          </w:p>
        </w:tc>
        <w:tc>
          <w:tcPr>
            <w:tcW w:w="702" w:type="dxa"/>
            <w:vMerge w:val="continue"/>
            <w:tcBorders>
              <w:left w:val="single" w:color="000000" w:sz="4" w:space="0"/>
              <w:right w:val="single" w:color="000000" w:sz="4" w:space="0"/>
            </w:tcBorders>
            <w:shd w:val="clear" w:color="auto" w:fill="auto"/>
            <w:vAlign w:val="center"/>
          </w:tcPr>
          <w:p w14:paraId="658E3558">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1554D">
            <w:pPr>
              <w:spacing w:line="360" w:lineRule="exact"/>
              <w:jc w:val="left"/>
              <w:rPr>
                <w:rFonts w:ascii="宋体" w:hAnsi="宋体"/>
                <w:color w:val="auto"/>
                <w:szCs w:val="21"/>
                <w:highlight w:val="none"/>
              </w:rPr>
            </w:pPr>
            <w:r>
              <w:rPr>
                <w:rFonts w:hint="eastAsia" w:ascii="宋体" w:hAnsi="宋体"/>
                <w:color w:val="auto"/>
                <w:szCs w:val="21"/>
                <w:highlight w:val="none"/>
              </w:rPr>
              <w:t>1.视频分辨率：支持4K@30fps/1080P@60fps。</w:t>
            </w:r>
          </w:p>
          <w:p w14:paraId="175226C5">
            <w:pPr>
              <w:spacing w:line="360" w:lineRule="exact"/>
              <w:jc w:val="left"/>
              <w:rPr>
                <w:rFonts w:ascii="宋体" w:hAnsi="宋体"/>
                <w:color w:val="auto"/>
                <w:szCs w:val="21"/>
                <w:highlight w:val="none"/>
              </w:rPr>
            </w:pPr>
            <w:r>
              <w:rPr>
                <w:rFonts w:hint="eastAsia" w:ascii="宋体" w:hAnsi="宋体"/>
                <w:color w:val="auto"/>
                <w:szCs w:val="21"/>
                <w:highlight w:val="none"/>
              </w:rPr>
              <w:t>2.传感器：CMOS传感器。</w:t>
            </w:r>
          </w:p>
          <w:p w14:paraId="45A60518">
            <w:pPr>
              <w:spacing w:line="360" w:lineRule="exact"/>
              <w:jc w:val="left"/>
              <w:rPr>
                <w:rFonts w:ascii="宋体" w:hAnsi="宋体"/>
                <w:color w:val="auto"/>
                <w:szCs w:val="21"/>
                <w:highlight w:val="none"/>
              </w:rPr>
            </w:pPr>
            <w:r>
              <w:rPr>
                <w:rFonts w:hint="eastAsia" w:ascii="宋体" w:hAnsi="宋体"/>
                <w:color w:val="auto"/>
                <w:szCs w:val="21"/>
                <w:highlight w:val="none"/>
              </w:rPr>
              <w:t>3.镜头：广角镜头，视角≥150°。</w:t>
            </w:r>
          </w:p>
          <w:p w14:paraId="0D1E4609">
            <w:pPr>
              <w:spacing w:line="360" w:lineRule="exact"/>
              <w:jc w:val="left"/>
              <w:rPr>
                <w:rFonts w:ascii="宋体" w:hAnsi="宋体"/>
                <w:color w:val="auto"/>
                <w:szCs w:val="21"/>
                <w:highlight w:val="none"/>
              </w:rPr>
            </w:pPr>
            <w:r>
              <w:rPr>
                <w:rFonts w:hint="eastAsia" w:ascii="宋体" w:hAnsi="宋体"/>
                <w:color w:val="auto"/>
                <w:szCs w:val="21"/>
                <w:highlight w:val="none"/>
              </w:rPr>
              <w:t>4.防抖：电子防抖（EIS）。</w:t>
            </w:r>
          </w:p>
          <w:p w14:paraId="5D71725A">
            <w:pPr>
              <w:spacing w:line="360" w:lineRule="exact"/>
              <w:jc w:val="left"/>
              <w:rPr>
                <w:rFonts w:ascii="宋体" w:hAnsi="宋体"/>
                <w:color w:val="auto"/>
                <w:szCs w:val="21"/>
                <w:highlight w:val="none"/>
              </w:rPr>
            </w:pPr>
            <w:r>
              <w:rPr>
                <w:rFonts w:hint="eastAsia" w:ascii="宋体" w:hAnsi="宋体"/>
                <w:color w:val="auto"/>
                <w:szCs w:val="21"/>
                <w:highlight w:val="none"/>
              </w:rPr>
              <w:t>5.连接方式：Wi-Fi/蓝牙/USB-C。</w:t>
            </w:r>
          </w:p>
        </w:tc>
      </w:tr>
      <w:tr w14:paraId="7AA1E2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shd w:val="clear" w:color="auto" w:fill="auto"/>
            <w:vAlign w:val="center"/>
          </w:tcPr>
          <w:p w14:paraId="0C3F9C16">
            <w:pPr>
              <w:jc w:val="center"/>
              <w:rPr>
                <w:rFonts w:ascii="宋体" w:hAnsi="宋体"/>
                <w:color w:val="auto"/>
                <w:szCs w:val="21"/>
                <w:highlight w:val="none"/>
              </w:rPr>
            </w:pPr>
            <w:r>
              <w:rPr>
                <w:rFonts w:hint="eastAsia" w:ascii="宋体" w:hAnsi="宋体"/>
                <w:color w:val="auto"/>
                <w:szCs w:val="21"/>
                <w:highlight w:val="none"/>
              </w:rPr>
              <w:t>71</w:t>
            </w:r>
          </w:p>
        </w:tc>
        <w:tc>
          <w:tcPr>
            <w:tcW w:w="1402" w:type="dxa"/>
            <w:tcBorders>
              <w:top w:val="single" w:color="000000" w:sz="4" w:space="0"/>
              <w:left w:val="single" w:color="auto" w:sz="4" w:space="0"/>
              <w:bottom w:val="single" w:color="000000" w:sz="4" w:space="0"/>
              <w:right w:val="single" w:color="000000" w:sz="4" w:space="0"/>
            </w:tcBorders>
            <w:shd w:val="clear" w:color="auto" w:fill="auto"/>
            <w:vAlign w:val="center"/>
          </w:tcPr>
          <w:p w14:paraId="7F53C29E">
            <w:pPr>
              <w:spacing w:line="360" w:lineRule="exact"/>
              <w:jc w:val="center"/>
              <w:rPr>
                <w:rFonts w:ascii="宋体" w:hAnsi="宋体"/>
                <w:color w:val="auto"/>
                <w:szCs w:val="21"/>
                <w:highlight w:val="none"/>
              </w:rPr>
            </w:pPr>
            <w:r>
              <w:rPr>
                <w:rFonts w:hint="eastAsia" w:ascii="宋体" w:hAnsi="宋体"/>
                <w:color w:val="auto"/>
                <w:szCs w:val="21"/>
                <w:highlight w:val="none"/>
              </w:rPr>
              <w:t>口袋云台相机</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E244E">
            <w:pPr>
              <w:spacing w:line="360" w:lineRule="exact"/>
              <w:jc w:val="center"/>
              <w:rPr>
                <w:rFonts w:ascii="宋体" w:hAnsi="宋体"/>
                <w:color w:val="auto"/>
                <w:szCs w:val="21"/>
                <w:highlight w:val="none"/>
              </w:rPr>
            </w:pPr>
            <w:r>
              <w:rPr>
                <w:rFonts w:hint="eastAsia" w:ascii="宋体" w:hAnsi="宋体"/>
                <w:color w:val="auto"/>
                <w:szCs w:val="21"/>
                <w:highlight w:val="none"/>
              </w:rPr>
              <w:t>2</w:t>
            </w:r>
          </w:p>
        </w:tc>
        <w:tc>
          <w:tcPr>
            <w:tcW w:w="703" w:type="dxa"/>
            <w:tcBorders>
              <w:top w:val="single" w:color="auto" w:sz="4" w:space="0"/>
              <w:left w:val="single" w:color="000000" w:sz="4" w:space="0"/>
              <w:bottom w:val="single" w:color="000000" w:sz="4" w:space="0"/>
              <w:right w:val="single" w:color="000000" w:sz="4" w:space="0"/>
            </w:tcBorders>
            <w:shd w:val="clear" w:color="auto" w:fill="auto"/>
            <w:vAlign w:val="center"/>
          </w:tcPr>
          <w:p w14:paraId="75A39661">
            <w:pPr>
              <w:spacing w:line="360" w:lineRule="exact"/>
              <w:jc w:val="center"/>
              <w:rPr>
                <w:rFonts w:ascii="宋体" w:hAnsi="宋体"/>
                <w:color w:val="auto"/>
                <w:szCs w:val="21"/>
                <w:highlight w:val="none"/>
              </w:rPr>
            </w:pPr>
            <w:r>
              <w:rPr>
                <w:rFonts w:hint="eastAsia" w:ascii="宋体" w:hAnsi="宋体"/>
                <w:color w:val="auto"/>
                <w:szCs w:val="21"/>
                <w:highlight w:val="none"/>
              </w:rPr>
              <w:t>台</w:t>
            </w:r>
          </w:p>
        </w:tc>
        <w:tc>
          <w:tcPr>
            <w:tcW w:w="702" w:type="dxa"/>
            <w:vMerge w:val="continue"/>
            <w:tcBorders>
              <w:left w:val="single" w:color="000000" w:sz="4" w:space="0"/>
              <w:right w:val="single" w:color="000000" w:sz="4" w:space="0"/>
            </w:tcBorders>
            <w:shd w:val="clear" w:color="auto" w:fill="auto"/>
            <w:vAlign w:val="center"/>
          </w:tcPr>
          <w:p w14:paraId="1FCD0379">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AF2BB">
            <w:pPr>
              <w:spacing w:line="360" w:lineRule="exact"/>
              <w:jc w:val="left"/>
              <w:rPr>
                <w:rFonts w:ascii="宋体" w:hAnsi="宋体"/>
                <w:color w:val="auto"/>
                <w:szCs w:val="21"/>
                <w:highlight w:val="none"/>
              </w:rPr>
            </w:pPr>
            <w:r>
              <w:rPr>
                <w:rFonts w:hint="eastAsia" w:ascii="宋体" w:hAnsi="宋体"/>
                <w:color w:val="auto"/>
                <w:szCs w:val="21"/>
                <w:highlight w:val="none"/>
              </w:rPr>
              <w:t>1.拍照：1/8000 秒至 4 秒。</w:t>
            </w:r>
          </w:p>
          <w:p w14:paraId="1A0EA523">
            <w:pPr>
              <w:spacing w:line="360" w:lineRule="exact"/>
              <w:jc w:val="left"/>
              <w:rPr>
                <w:rFonts w:ascii="宋体" w:hAnsi="宋体"/>
                <w:color w:val="auto"/>
                <w:szCs w:val="21"/>
                <w:highlight w:val="none"/>
              </w:rPr>
            </w:pPr>
            <w:r>
              <w:rPr>
                <w:rFonts w:hint="eastAsia" w:ascii="宋体" w:hAnsi="宋体"/>
                <w:color w:val="auto"/>
                <w:szCs w:val="21"/>
                <w:highlight w:val="none"/>
              </w:rPr>
              <w:t>2.录像 Auto：1/8000 秒至帧率限制快门。</w:t>
            </w:r>
          </w:p>
          <w:p w14:paraId="3EE1E1D8">
            <w:pPr>
              <w:spacing w:line="360" w:lineRule="exact"/>
              <w:jc w:val="left"/>
              <w:rPr>
                <w:rFonts w:ascii="宋体" w:hAnsi="宋体"/>
                <w:color w:val="auto"/>
                <w:szCs w:val="21"/>
                <w:highlight w:val="none"/>
              </w:rPr>
            </w:pPr>
            <w:r>
              <w:rPr>
                <w:rFonts w:hint="eastAsia" w:ascii="宋体" w:hAnsi="宋体"/>
                <w:color w:val="auto"/>
                <w:szCs w:val="21"/>
                <w:highlight w:val="none"/>
              </w:rPr>
              <w:t>3.录像 M：1/8000 秒至 1/4 秒 4K（16:9）：3840 ×2160。</w:t>
            </w:r>
          </w:p>
        </w:tc>
      </w:tr>
      <w:tr w14:paraId="0B675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shd w:val="clear" w:color="auto" w:fill="auto"/>
            <w:vAlign w:val="center"/>
          </w:tcPr>
          <w:p w14:paraId="2F86A951">
            <w:pPr>
              <w:jc w:val="center"/>
              <w:rPr>
                <w:rFonts w:ascii="宋体" w:hAnsi="宋体"/>
                <w:color w:val="auto"/>
                <w:szCs w:val="21"/>
                <w:highlight w:val="none"/>
              </w:rPr>
            </w:pPr>
            <w:r>
              <w:rPr>
                <w:rFonts w:hint="eastAsia" w:ascii="宋体" w:hAnsi="宋体"/>
                <w:color w:val="auto"/>
                <w:szCs w:val="21"/>
                <w:highlight w:val="none"/>
              </w:rPr>
              <w:t>72</w:t>
            </w:r>
          </w:p>
        </w:tc>
        <w:tc>
          <w:tcPr>
            <w:tcW w:w="1402" w:type="dxa"/>
            <w:tcBorders>
              <w:top w:val="single" w:color="000000" w:sz="4" w:space="0"/>
              <w:left w:val="single" w:color="auto" w:sz="4" w:space="0"/>
              <w:bottom w:val="single" w:color="000000" w:sz="4" w:space="0"/>
              <w:right w:val="single" w:color="000000" w:sz="4" w:space="0"/>
            </w:tcBorders>
            <w:shd w:val="clear" w:color="auto" w:fill="auto"/>
            <w:vAlign w:val="center"/>
          </w:tcPr>
          <w:p w14:paraId="5C1A4FFB">
            <w:pPr>
              <w:spacing w:line="360" w:lineRule="exact"/>
              <w:jc w:val="center"/>
              <w:rPr>
                <w:rFonts w:ascii="宋体" w:hAnsi="宋体"/>
                <w:color w:val="auto"/>
                <w:szCs w:val="21"/>
                <w:highlight w:val="none"/>
              </w:rPr>
            </w:pPr>
            <w:r>
              <w:rPr>
                <w:rFonts w:hint="eastAsia" w:ascii="宋体" w:hAnsi="宋体"/>
                <w:color w:val="auto"/>
                <w:szCs w:val="21"/>
                <w:highlight w:val="none"/>
              </w:rPr>
              <w:t>迷你无线麦克风</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B3BED">
            <w:pPr>
              <w:spacing w:line="360" w:lineRule="exact"/>
              <w:jc w:val="center"/>
              <w:rPr>
                <w:rFonts w:ascii="宋体" w:hAnsi="宋体"/>
                <w:color w:val="auto"/>
                <w:szCs w:val="21"/>
                <w:highlight w:val="none"/>
              </w:rPr>
            </w:pPr>
            <w:r>
              <w:rPr>
                <w:rFonts w:hint="eastAsia" w:ascii="宋体" w:hAnsi="宋体"/>
                <w:color w:val="auto"/>
                <w:szCs w:val="21"/>
                <w:highlight w:val="none"/>
              </w:rPr>
              <w:t>2</w:t>
            </w:r>
          </w:p>
        </w:tc>
        <w:tc>
          <w:tcPr>
            <w:tcW w:w="703" w:type="dxa"/>
            <w:tcBorders>
              <w:top w:val="single" w:color="auto" w:sz="4" w:space="0"/>
              <w:left w:val="single" w:color="000000" w:sz="4" w:space="0"/>
              <w:bottom w:val="single" w:color="000000" w:sz="4" w:space="0"/>
              <w:right w:val="single" w:color="000000" w:sz="4" w:space="0"/>
            </w:tcBorders>
            <w:shd w:val="clear" w:color="auto" w:fill="auto"/>
            <w:vAlign w:val="center"/>
          </w:tcPr>
          <w:p w14:paraId="2AB6FAF2">
            <w:pPr>
              <w:spacing w:line="360" w:lineRule="exact"/>
              <w:jc w:val="center"/>
              <w:rPr>
                <w:rFonts w:ascii="宋体" w:hAnsi="宋体"/>
                <w:color w:val="auto"/>
                <w:szCs w:val="21"/>
                <w:highlight w:val="none"/>
              </w:rPr>
            </w:pPr>
            <w:r>
              <w:rPr>
                <w:rFonts w:hint="eastAsia" w:ascii="宋体" w:hAnsi="宋体"/>
                <w:color w:val="auto"/>
                <w:szCs w:val="21"/>
                <w:highlight w:val="none"/>
              </w:rPr>
              <w:t>套</w:t>
            </w:r>
          </w:p>
        </w:tc>
        <w:tc>
          <w:tcPr>
            <w:tcW w:w="702" w:type="dxa"/>
            <w:vMerge w:val="continue"/>
            <w:tcBorders>
              <w:left w:val="single" w:color="000000" w:sz="4" w:space="0"/>
              <w:right w:val="single" w:color="000000" w:sz="4" w:space="0"/>
            </w:tcBorders>
            <w:shd w:val="clear" w:color="auto" w:fill="auto"/>
            <w:vAlign w:val="center"/>
          </w:tcPr>
          <w:p w14:paraId="48C5D587">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D7E0C">
            <w:pPr>
              <w:spacing w:line="360" w:lineRule="exact"/>
              <w:jc w:val="left"/>
              <w:rPr>
                <w:rFonts w:ascii="宋体" w:hAnsi="宋体"/>
                <w:color w:val="auto"/>
                <w:szCs w:val="21"/>
                <w:highlight w:val="none"/>
              </w:rPr>
            </w:pPr>
            <w:r>
              <w:rPr>
                <w:rFonts w:hint="eastAsia" w:ascii="宋体" w:hAnsi="宋体"/>
                <w:color w:val="auto"/>
                <w:szCs w:val="21"/>
                <w:highlight w:val="none"/>
              </w:rPr>
              <w:t>1.无线模式：Wi-Fi:802.11 a/b/g/n/ac/ax。</w:t>
            </w:r>
          </w:p>
          <w:p w14:paraId="7CF982AC">
            <w:pPr>
              <w:spacing w:line="360" w:lineRule="exact"/>
              <w:jc w:val="left"/>
              <w:rPr>
                <w:rFonts w:ascii="宋体" w:hAnsi="宋体"/>
                <w:color w:val="auto"/>
                <w:szCs w:val="21"/>
                <w:highlight w:val="none"/>
              </w:rPr>
            </w:pPr>
            <w:r>
              <w:rPr>
                <w:rFonts w:hint="eastAsia" w:ascii="宋体" w:hAnsi="宋体"/>
                <w:color w:val="auto"/>
                <w:szCs w:val="21"/>
                <w:highlight w:val="none"/>
              </w:rPr>
              <w:t>2.SDR：自定义。</w:t>
            </w:r>
          </w:p>
          <w:p w14:paraId="0B170B68">
            <w:pPr>
              <w:spacing w:line="360" w:lineRule="exact"/>
              <w:jc w:val="left"/>
              <w:rPr>
                <w:rFonts w:ascii="宋体" w:hAnsi="宋体"/>
                <w:color w:val="auto"/>
                <w:szCs w:val="21"/>
                <w:highlight w:val="none"/>
              </w:rPr>
            </w:pPr>
            <w:r>
              <w:rPr>
                <w:rFonts w:hint="eastAsia" w:ascii="宋体" w:hAnsi="宋体"/>
                <w:color w:val="auto"/>
                <w:szCs w:val="21"/>
                <w:highlight w:val="none"/>
              </w:rPr>
              <w:t>3.等效全向辐射功耗（EIRP）。</w:t>
            </w:r>
          </w:p>
          <w:p w14:paraId="0E1D3F45">
            <w:pPr>
              <w:spacing w:line="360" w:lineRule="exact"/>
              <w:jc w:val="left"/>
              <w:rPr>
                <w:rFonts w:ascii="宋体" w:hAnsi="宋体"/>
                <w:color w:val="auto"/>
                <w:szCs w:val="21"/>
                <w:highlight w:val="none"/>
              </w:rPr>
            </w:pPr>
            <w:r>
              <w:rPr>
                <w:rFonts w:hint="eastAsia" w:ascii="宋体" w:hAnsi="宋体"/>
                <w:color w:val="auto"/>
                <w:szCs w:val="21"/>
                <w:highlight w:val="none"/>
              </w:rPr>
              <w:t>4.Wi-Fi:2.400 GHz 至 2.4835 GHz：</w:t>
            </w:r>
          </w:p>
          <w:p w14:paraId="1310ED2C">
            <w:pPr>
              <w:spacing w:line="360" w:lineRule="exact"/>
              <w:jc w:val="left"/>
              <w:rPr>
                <w:rFonts w:ascii="宋体" w:hAnsi="宋体"/>
                <w:color w:val="auto"/>
                <w:szCs w:val="21"/>
                <w:highlight w:val="none"/>
              </w:rPr>
            </w:pPr>
            <w:r>
              <w:rPr>
                <w:rFonts w:hint="eastAsia" w:ascii="宋体" w:hAnsi="宋体"/>
                <w:color w:val="auto"/>
                <w:szCs w:val="21"/>
                <w:highlight w:val="none"/>
              </w:rPr>
              <w:t>5.工作时间：≥8小时。</w:t>
            </w:r>
          </w:p>
        </w:tc>
      </w:tr>
      <w:tr w14:paraId="662BA5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shd w:val="clear" w:color="auto" w:fill="auto"/>
            <w:vAlign w:val="center"/>
          </w:tcPr>
          <w:p w14:paraId="17D39C8F">
            <w:pPr>
              <w:jc w:val="center"/>
              <w:rPr>
                <w:rFonts w:ascii="宋体" w:hAnsi="宋体"/>
                <w:color w:val="auto"/>
                <w:szCs w:val="21"/>
                <w:highlight w:val="none"/>
              </w:rPr>
            </w:pPr>
            <w:r>
              <w:rPr>
                <w:rFonts w:hint="eastAsia" w:ascii="宋体" w:hAnsi="宋体"/>
                <w:color w:val="auto"/>
                <w:szCs w:val="21"/>
                <w:highlight w:val="none"/>
              </w:rPr>
              <w:t>73</w:t>
            </w:r>
          </w:p>
        </w:tc>
        <w:tc>
          <w:tcPr>
            <w:tcW w:w="1402" w:type="dxa"/>
            <w:tcBorders>
              <w:top w:val="single" w:color="000000" w:sz="4" w:space="0"/>
              <w:left w:val="single" w:color="auto" w:sz="4" w:space="0"/>
              <w:bottom w:val="single" w:color="000000" w:sz="4" w:space="0"/>
              <w:right w:val="single" w:color="000000" w:sz="4" w:space="0"/>
            </w:tcBorders>
            <w:shd w:val="clear" w:color="auto" w:fill="auto"/>
            <w:vAlign w:val="center"/>
          </w:tcPr>
          <w:p w14:paraId="2C29E64D">
            <w:pPr>
              <w:spacing w:line="360" w:lineRule="exact"/>
              <w:jc w:val="center"/>
              <w:rPr>
                <w:rFonts w:ascii="宋体" w:hAnsi="宋体"/>
                <w:color w:val="auto"/>
                <w:szCs w:val="21"/>
                <w:highlight w:val="none"/>
              </w:rPr>
            </w:pPr>
            <w:r>
              <w:rPr>
                <w:rFonts w:hint="eastAsia" w:ascii="宋体" w:hAnsi="宋体"/>
                <w:color w:val="auto"/>
                <w:szCs w:val="21"/>
                <w:highlight w:val="none"/>
              </w:rPr>
              <w:t>运动相机</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4F555">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703" w:type="dxa"/>
            <w:tcBorders>
              <w:top w:val="single" w:color="auto" w:sz="4" w:space="0"/>
              <w:left w:val="single" w:color="000000" w:sz="4" w:space="0"/>
              <w:bottom w:val="single" w:color="000000" w:sz="4" w:space="0"/>
              <w:right w:val="single" w:color="000000" w:sz="4" w:space="0"/>
            </w:tcBorders>
            <w:shd w:val="clear" w:color="auto" w:fill="auto"/>
            <w:vAlign w:val="center"/>
          </w:tcPr>
          <w:p w14:paraId="47F4A428">
            <w:pPr>
              <w:spacing w:line="360" w:lineRule="exact"/>
              <w:jc w:val="center"/>
              <w:rPr>
                <w:rFonts w:ascii="宋体" w:hAnsi="宋体"/>
                <w:color w:val="auto"/>
                <w:szCs w:val="21"/>
                <w:highlight w:val="none"/>
              </w:rPr>
            </w:pPr>
            <w:r>
              <w:rPr>
                <w:rFonts w:hint="eastAsia" w:ascii="宋体" w:hAnsi="宋体"/>
                <w:color w:val="auto"/>
                <w:szCs w:val="21"/>
                <w:highlight w:val="none"/>
              </w:rPr>
              <w:t>台</w:t>
            </w:r>
          </w:p>
        </w:tc>
        <w:tc>
          <w:tcPr>
            <w:tcW w:w="702" w:type="dxa"/>
            <w:vMerge w:val="continue"/>
            <w:tcBorders>
              <w:left w:val="single" w:color="000000" w:sz="4" w:space="0"/>
              <w:right w:val="single" w:color="000000" w:sz="4" w:space="0"/>
            </w:tcBorders>
            <w:shd w:val="clear" w:color="auto" w:fill="auto"/>
            <w:vAlign w:val="center"/>
          </w:tcPr>
          <w:p w14:paraId="0F4A6A0D">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32E32">
            <w:pPr>
              <w:spacing w:line="360" w:lineRule="exact"/>
              <w:jc w:val="left"/>
              <w:rPr>
                <w:rFonts w:ascii="宋体" w:hAnsi="宋体"/>
                <w:color w:val="auto"/>
                <w:szCs w:val="21"/>
                <w:highlight w:val="none"/>
              </w:rPr>
            </w:pPr>
            <w:r>
              <w:rPr>
                <w:rFonts w:hint="eastAsia" w:ascii="宋体" w:hAnsi="宋体"/>
                <w:color w:val="auto"/>
                <w:szCs w:val="21"/>
                <w:highlight w:val="none"/>
              </w:rPr>
              <w:t>1.影像传感器：1.1 英寸 CMOS</w:t>
            </w:r>
          </w:p>
          <w:p w14:paraId="249FF3DB">
            <w:pPr>
              <w:spacing w:line="360" w:lineRule="exact"/>
              <w:jc w:val="left"/>
              <w:rPr>
                <w:rFonts w:ascii="宋体" w:hAnsi="宋体"/>
                <w:color w:val="auto"/>
                <w:szCs w:val="21"/>
                <w:highlight w:val="none"/>
              </w:rPr>
            </w:pPr>
            <w:r>
              <w:rPr>
                <w:rFonts w:hint="eastAsia" w:ascii="宋体" w:hAnsi="宋体"/>
                <w:color w:val="auto"/>
                <w:szCs w:val="21"/>
                <w:highlight w:val="none"/>
              </w:rPr>
              <w:t>2.镜头：视场角：155°。</w:t>
            </w:r>
          </w:p>
          <w:p w14:paraId="275ADB2C">
            <w:pPr>
              <w:spacing w:line="360" w:lineRule="exact"/>
              <w:jc w:val="left"/>
              <w:rPr>
                <w:rFonts w:ascii="宋体" w:hAnsi="宋体"/>
                <w:color w:val="auto"/>
                <w:szCs w:val="21"/>
                <w:highlight w:val="none"/>
              </w:rPr>
            </w:pPr>
            <w:r>
              <w:rPr>
                <w:rFonts w:hint="eastAsia" w:ascii="宋体" w:hAnsi="宋体"/>
                <w:color w:val="auto"/>
                <w:szCs w:val="21"/>
                <w:highlight w:val="none"/>
              </w:rPr>
              <w:t>3.光圈：f/2.0-f/4.0。</w:t>
            </w:r>
          </w:p>
          <w:p w14:paraId="6396ECD1">
            <w:pPr>
              <w:spacing w:line="360" w:lineRule="exact"/>
              <w:jc w:val="left"/>
              <w:rPr>
                <w:rFonts w:ascii="宋体" w:hAnsi="宋体"/>
                <w:color w:val="auto"/>
                <w:szCs w:val="21"/>
                <w:highlight w:val="none"/>
              </w:rPr>
            </w:pPr>
            <w:r>
              <w:rPr>
                <w:rFonts w:hint="eastAsia" w:ascii="宋体" w:hAnsi="宋体"/>
                <w:color w:val="auto"/>
                <w:szCs w:val="21"/>
                <w:highlight w:val="none"/>
              </w:rPr>
              <w:t>4.焦点范围：在光圈 f/4.0 时，焦点范围为0.2 米至无穷远。</w:t>
            </w:r>
          </w:p>
          <w:p w14:paraId="3007F2DB">
            <w:pPr>
              <w:spacing w:line="360" w:lineRule="exact"/>
              <w:jc w:val="left"/>
              <w:rPr>
                <w:rFonts w:ascii="宋体" w:hAnsi="宋体"/>
                <w:color w:val="auto"/>
                <w:szCs w:val="21"/>
                <w:highlight w:val="none"/>
              </w:rPr>
            </w:pPr>
            <w:r>
              <w:rPr>
                <w:rFonts w:hint="eastAsia" w:ascii="宋体" w:hAnsi="宋体"/>
                <w:color w:val="auto"/>
                <w:szCs w:val="21"/>
                <w:highlight w:val="none"/>
              </w:rPr>
              <w:t>5.ISO 范围</w:t>
            </w:r>
          </w:p>
          <w:p w14:paraId="3BFC88BC">
            <w:pPr>
              <w:spacing w:line="360" w:lineRule="exact"/>
              <w:jc w:val="left"/>
              <w:rPr>
                <w:rFonts w:ascii="宋体" w:hAnsi="宋体"/>
                <w:color w:val="auto"/>
                <w:szCs w:val="21"/>
                <w:highlight w:val="none"/>
              </w:rPr>
            </w:pPr>
            <w:r>
              <w:rPr>
                <w:rFonts w:hint="eastAsia" w:ascii="宋体" w:hAnsi="宋体"/>
                <w:color w:val="auto"/>
                <w:szCs w:val="21"/>
                <w:highlight w:val="none"/>
              </w:rPr>
              <w:t>（1）拍照：100 至 25600。</w:t>
            </w:r>
          </w:p>
          <w:p w14:paraId="62167195">
            <w:pPr>
              <w:spacing w:line="360" w:lineRule="exact"/>
              <w:jc w:val="left"/>
              <w:rPr>
                <w:rFonts w:ascii="宋体" w:hAnsi="宋体"/>
                <w:color w:val="auto"/>
                <w:szCs w:val="21"/>
                <w:highlight w:val="none"/>
              </w:rPr>
            </w:pPr>
            <w:r>
              <w:rPr>
                <w:rFonts w:hint="eastAsia" w:ascii="宋体" w:hAnsi="宋体"/>
                <w:color w:val="auto"/>
                <w:szCs w:val="21"/>
                <w:highlight w:val="none"/>
              </w:rPr>
              <w:t>（2）录像：100 至 51200。</w:t>
            </w:r>
          </w:p>
          <w:p w14:paraId="12104071">
            <w:pPr>
              <w:spacing w:line="360" w:lineRule="exact"/>
              <w:jc w:val="left"/>
              <w:rPr>
                <w:rFonts w:ascii="宋体" w:hAnsi="宋体"/>
                <w:color w:val="auto"/>
                <w:szCs w:val="21"/>
                <w:highlight w:val="none"/>
              </w:rPr>
            </w:pPr>
            <w:r>
              <w:rPr>
                <w:rFonts w:hint="eastAsia" w:ascii="宋体" w:hAnsi="宋体"/>
                <w:color w:val="auto"/>
                <w:szCs w:val="21"/>
                <w:highlight w:val="none"/>
              </w:rPr>
              <w:t>6.电子快门速度</w:t>
            </w:r>
          </w:p>
          <w:p w14:paraId="1484E454">
            <w:pPr>
              <w:spacing w:line="360" w:lineRule="exact"/>
              <w:jc w:val="left"/>
              <w:rPr>
                <w:rFonts w:ascii="宋体" w:hAnsi="宋体"/>
                <w:color w:val="auto"/>
                <w:szCs w:val="21"/>
                <w:highlight w:val="none"/>
              </w:rPr>
            </w:pPr>
            <w:r>
              <w:rPr>
                <w:rFonts w:hint="eastAsia" w:ascii="宋体" w:hAnsi="宋体"/>
                <w:color w:val="auto"/>
                <w:szCs w:val="21"/>
                <w:highlight w:val="none"/>
              </w:rPr>
              <w:t>（1）拍照：1/8000 秒至 30 秒。</w:t>
            </w:r>
          </w:p>
          <w:p w14:paraId="4938239C">
            <w:pPr>
              <w:spacing w:line="360" w:lineRule="exact"/>
              <w:jc w:val="left"/>
              <w:rPr>
                <w:rFonts w:ascii="宋体" w:hAnsi="宋体"/>
                <w:color w:val="auto"/>
                <w:szCs w:val="21"/>
                <w:highlight w:val="none"/>
              </w:rPr>
            </w:pPr>
            <w:r>
              <w:rPr>
                <w:rFonts w:hint="eastAsia" w:ascii="宋体" w:hAnsi="宋体"/>
                <w:color w:val="auto"/>
                <w:szCs w:val="21"/>
                <w:highlight w:val="none"/>
              </w:rPr>
              <w:t>（2）录像：1/8000 秒至帧率限制快门。</w:t>
            </w:r>
          </w:p>
          <w:p w14:paraId="09BB0140">
            <w:pPr>
              <w:spacing w:line="360" w:lineRule="exact"/>
              <w:jc w:val="left"/>
              <w:rPr>
                <w:rFonts w:ascii="宋体" w:hAnsi="宋体"/>
                <w:color w:val="auto"/>
                <w:szCs w:val="21"/>
                <w:highlight w:val="none"/>
              </w:rPr>
            </w:pPr>
            <w:r>
              <w:rPr>
                <w:rFonts w:hint="eastAsia" w:ascii="宋体" w:hAnsi="宋体"/>
                <w:color w:val="auto"/>
                <w:szCs w:val="21"/>
                <w:highlight w:val="none"/>
              </w:rPr>
              <w:t>7.照片最大分辨率：7168×5376。</w:t>
            </w:r>
          </w:p>
        </w:tc>
      </w:tr>
      <w:tr w14:paraId="5D0B31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shd w:val="clear" w:color="auto" w:fill="auto"/>
            <w:vAlign w:val="center"/>
          </w:tcPr>
          <w:p w14:paraId="3369C0C5">
            <w:pPr>
              <w:jc w:val="center"/>
              <w:rPr>
                <w:rFonts w:ascii="宋体" w:hAnsi="宋体"/>
                <w:color w:val="auto"/>
                <w:szCs w:val="21"/>
                <w:highlight w:val="none"/>
              </w:rPr>
            </w:pPr>
            <w:r>
              <w:rPr>
                <w:rFonts w:hint="eastAsia" w:ascii="宋体" w:hAnsi="宋体"/>
                <w:color w:val="auto"/>
                <w:szCs w:val="21"/>
                <w:highlight w:val="none"/>
              </w:rPr>
              <w:t>74</w:t>
            </w:r>
          </w:p>
        </w:tc>
        <w:tc>
          <w:tcPr>
            <w:tcW w:w="1402" w:type="dxa"/>
            <w:tcBorders>
              <w:top w:val="single" w:color="000000" w:sz="4" w:space="0"/>
              <w:left w:val="single" w:color="auto" w:sz="4" w:space="0"/>
              <w:bottom w:val="single" w:color="000000" w:sz="4" w:space="0"/>
              <w:right w:val="single" w:color="000000" w:sz="4" w:space="0"/>
            </w:tcBorders>
            <w:shd w:val="clear" w:color="auto" w:fill="auto"/>
            <w:vAlign w:val="center"/>
          </w:tcPr>
          <w:p w14:paraId="7B1515BD">
            <w:pPr>
              <w:spacing w:line="360" w:lineRule="exact"/>
              <w:jc w:val="center"/>
              <w:rPr>
                <w:rFonts w:ascii="宋体" w:hAnsi="宋体"/>
                <w:color w:val="auto"/>
                <w:szCs w:val="21"/>
                <w:highlight w:val="none"/>
              </w:rPr>
            </w:pPr>
            <w:r>
              <w:rPr>
                <w:rFonts w:hint="eastAsia" w:ascii="宋体" w:hAnsi="宋体"/>
                <w:color w:val="auto"/>
                <w:szCs w:val="21"/>
                <w:highlight w:val="none"/>
              </w:rPr>
              <w:t>存储卡-（4）</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FDB22">
            <w:pPr>
              <w:spacing w:line="360" w:lineRule="exact"/>
              <w:jc w:val="center"/>
              <w:rPr>
                <w:rFonts w:ascii="宋体" w:hAnsi="宋体"/>
                <w:color w:val="auto"/>
                <w:szCs w:val="21"/>
                <w:highlight w:val="none"/>
              </w:rPr>
            </w:pPr>
            <w:r>
              <w:rPr>
                <w:rFonts w:hint="eastAsia" w:ascii="宋体" w:hAnsi="宋体"/>
                <w:color w:val="auto"/>
                <w:szCs w:val="21"/>
                <w:highlight w:val="none"/>
              </w:rPr>
              <w:t>4</w:t>
            </w:r>
          </w:p>
        </w:tc>
        <w:tc>
          <w:tcPr>
            <w:tcW w:w="703" w:type="dxa"/>
            <w:tcBorders>
              <w:top w:val="single" w:color="auto" w:sz="4" w:space="0"/>
              <w:left w:val="single" w:color="000000" w:sz="4" w:space="0"/>
              <w:bottom w:val="single" w:color="000000" w:sz="4" w:space="0"/>
              <w:right w:val="single" w:color="000000" w:sz="4" w:space="0"/>
            </w:tcBorders>
            <w:shd w:val="clear" w:color="auto" w:fill="auto"/>
            <w:vAlign w:val="center"/>
          </w:tcPr>
          <w:p w14:paraId="76B6A1B5">
            <w:pPr>
              <w:spacing w:line="360" w:lineRule="exact"/>
              <w:jc w:val="center"/>
              <w:rPr>
                <w:rFonts w:ascii="宋体" w:hAnsi="宋体"/>
                <w:color w:val="auto"/>
                <w:szCs w:val="21"/>
                <w:highlight w:val="none"/>
              </w:rPr>
            </w:pPr>
            <w:r>
              <w:rPr>
                <w:rFonts w:hint="eastAsia" w:ascii="宋体" w:hAnsi="宋体"/>
                <w:color w:val="auto"/>
                <w:szCs w:val="21"/>
                <w:highlight w:val="none"/>
              </w:rPr>
              <w:t>张</w:t>
            </w:r>
          </w:p>
        </w:tc>
        <w:tc>
          <w:tcPr>
            <w:tcW w:w="702" w:type="dxa"/>
            <w:vMerge w:val="continue"/>
            <w:tcBorders>
              <w:left w:val="single" w:color="000000" w:sz="4" w:space="0"/>
              <w:right w:val="single" w:color="000000" w:sz="4" w:space="0"/>
            </w:tcBorders>
            <w:shd w:val="clear" w:color="auto" w:fill="auto"/>
            <w:vAlign w:val="center"/>
          </w:tcPr>
          <w:p w14:paraId="57668E6B">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28DD8">
            <w:pPr>
              <w:spacing w:line="360" w:lineRule="exact"/>
              <w:jc w:val="left"/>
              <w:rPr>
                <w:rFonts w:ascii="宋体" w:hAnsi="宋体"/>
                <w:color w:val="auto"/>
                <w:szCs w:val="21"/>
                <w:highlight w:val="none"/>
              </w:rPr>
            </w:pPr>
            <w:r>
              <w:rPr>
                <w:rFonts w:hint="eastAsia" w:ascii="宋体" w:hAnsi="宋体"/>
                <w:color w:val="auto"/>
                <w:szCs w:val="21"/>
                <w:highlight w:val="none"/>
              </w:rPr>
              <w:t>1.类型：microSDXC存储卡。</w:t>
            </w:r>
          </w:p>
          <w:p w14:paraId="09B84B53">
            <w:pPr>
              <w:spacing w:line="360" w:lineRule="exact"/>
              <w:jc w:val="left"/>
              <w:rPr>
                <w:rFonts w:ascii="宋体" w:hAnsi="宋体"/>
                <w:color w:val="auto"/>
                <w:szCs w:val="21"/>
                <w:highlight w:val="none"/>
              </w:rPr>
            </w:pPr>
            <w:r>
              <w:rPr>
                <w:rFonts w:hint="eastAsia" w:ascii="宋体" w:hAnsi="宋体"/>
                <w:color w:val="auto"/>
                <w:szCs w:val="21"/>
                <w:highlight w:val="none"/>
              </w:rPr>
              <w:t>2.容量：≥128GB。</w:t>
            </w:r>
          </w:p>
          <w:p w14:paraId="7E2E56F0">
            <w:pPr>
              <w:spacing w:line="360" w:lineRule="exact"/>
              <w:jc w:val="left"/>
              <w:rPr>
                <w:rFonts w:ascii="宋体" w:hAnsi="宋体"/>
                <w:color w:val="auto"/>
                <w:szCs w:val="21"/>
                <w:highlight w:val="none"/>
              </w:rPr>
            </w:pPr>
            <w:r>
              <w:rPr>
                <w:rFonts w:hint="eastAsia" w:ascii="宋体" w:hAnsi="宋体"/>
                <w:color w:val="auto"/>
                <w:szCs w:val="21"/>
                <w:highlight w:val="none"/>
              </w:rPr>
              <w:t>3.速度等级：UHS-I U3/V30。</w:t>
            </w:r>
          </w:p>
          <w:p w14:paraId="52CA2056">
            <w:pPr>
              <w:spacing w:line="360" w:lineRule="exact"/>
              <w:jc w:val="left"/>
              <w:rPr>
                <w:rFonts w:ascii="宋体" w:hAnsi="宋体"/>
                <w:color w:val="auto"/>
                <w:szCs w:val="21"/>
                <w:highlight w:val="none"/>
              </w:rPr>
            </w:pPr>
            <w:r>
              <w:rPr>
                <w:rFonts w:hint="eastAsia" w:ascii="宋体" w:hAnsi="宋体"/>
                <w:color w:val="auto"/>
                <w:szCs w:val="21"/>
                <w:highlight w:val="none"/>
              </w:rPr>
              <w:t>4.读取速度：≥160MB/s。</w:t>
            </w:r>
          </w:p>
          <w:p w14:paraId="2F47537E">
            <w:pPr>
              <w:spacing w:line="360" w:lineRule="exact"/>
              <w:jc w:val="left"/>
              <w:rPr>
                <w:rFonts w:ascii="宋体" w:hAnsi="宋体"/>
                <w:color w:val="auto"/>
                <w:szCs w:val="21"/>
                <w:highlight w:val="none"/>
              </w:rPr>
            </w:pPr>
            <w:r>
              <w:rPr>
                <w:rFonts w:hint="eastAsia" w:ascii="宋体" w:hAnsi="宋体"/>
                <w:color w:val="auto"/>
                <w:szCs w:val="21"/>
                <w:highlight w:val="none"/>
              </w:rPr>
              <w:t>5.写入速度：≥60MB/s。</w:t>
            </w:r>
          </w:p>
          <w:p w14:paraId="5E5AD0DA">
            <w:pPr>
              <w:spacing w:line="360" w:lineRule="exact"/>
              <w:jc w:val="left"/>
              <w:rPr>
                <w:rFonts w:ascii="宋体" w:hAnsi="宋体"/>
                <w:color w:val="auto"/>
                <w:szCs w:val="21"/>
                <w:highlight w:val="none"/>
              </w:rPr>
            </w:pPr>
            <w:r>
              <w:rPr>
                <w:rFonts w:hint="eastAsia" w:ascii="宋体" w:hAnsi="宋体"/>
                <w:color w:val="auto"/>
                <w:szCs w:val="21"/>
                <w:highlight w:val="none"/>
              </w:rPr>
              <w:t>6.适用设备：运动相机、无人机、手机等。</w:t>
            </w:r>
          </w:p>
        </w:tc>
      </w:tr>
      <w:tr w14:paraId="2AF90F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shd w:val="clear" w:color="auto" w:fill="auto"/>
            <w:vAlign w:val="center"/>
          </w:tcPr>
          <w:p w14:paraId="11715B0F">
            <w:pPr>
              <w:jc w:val="center"/>
              <w:rPr>
                <w:rFonts w:ascii="宋体" w:hAnsi="宋体"/>
                <w:color w:val="auto"/>
                <w:szCs w:val="21"/>
                <w:highlight w:val="none"/>
              </w:rPr>
            </w:pPr>
            <w:r>
              <w:rPr>
                <w:rFonts w:hint="eastAsia" w:ascii="宋体" w:hAnsi="宋体"/>
                <w:color w:val="auto"/>
                <w:szCs w:val="21"/>
                <w:highlight w:val="none"/>
              </w:rPr>
              <w:t>75</w:t>
            </w:r>
          </w:p>
        </w:tc>
        <w:tc>
          <w:tcPr>
            <w:tcW w:w="1402" w:type="dxa"/>
            <w:tcBorders>
              <w:top w:val="single" w:color="000000" w:sz="4" w:space="0"/>
              <w:left w:val="single" w:color="auto" w:sz="4" w:space="0"/>
              <w:bottom w:val="single" w:color="000000" w:sz="4" w:space="0"/>
              <w:right w:val="single" w:color="000000" w:sz="4" w:space="0"/>
            </w:tcBorders>
            <w:shd w:val="clear" w:color="auto" w:fill="auto"/>
            <w:vAlign w:val="center"/>
          </w:tcPr>
          <w:p w14:paraId="44BF109C">
            <w:pPr>
              <w:spacing w:line="360" w:lineRule="exact"/>
              <w:jc w:val="center"/>
              <w:rPr>
                <w:rFonts w:ascii="宋体" w:hAnsi="宋体"/>
                <w:color w:val="auto"/>
                <w:szCs w:val="21"/>
                <w:highlight w:val="none"/>
              </w:rPr>
            </w:pPr>
            <w:r>
              <w:rPr>
                <w:rFonts w:hint="eastAsia" w:ascii="宋体" w:hAnsi="宋体"/>
                <w:color w:val="auto"/>
                <w:szCs w:val="21"/>
                <w:highlight w:val="none"/>
              </w:rPr>
              <w:t>航拍无人机</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D196B">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703" w:type="dxa"/>
            <w:tcBorders>
              <w:top w:val="single" w:color="auto" w:sz="4" w:space="0"/>
              <w:left w:val="single" w:color="000000" w:sz="4" w:space="0"/>
              <w:bottom w:val="single" w:color="000000" w:sz="4" w:space="0"/>
              <w:right w:val="single" w:color="000000" w:sz="4" w:space="0"/>
            </w:tcBorders>
            <w:shd w:val="clear" w:color="auto" w:fill="auto"/>
            <w:vAlign w:val="center"/>
          </w:tcPr>
          <w:p w14:paraId="52F51B86">
            <w:pPr>
              <w:spacing w:line="360" w:lineRule="exact"/>
              <w:jc w:val="center"/>
              <w:rPr>
                <w:rFonts w:ascii="宋体" w:hAnsi="宋体"/>
                <w:color w:val="auto"/>
                <w:szCs w:val="21"/>
                <w:highlight w:val="none"/>
              </w:rPr>
            </w:pPr>
            <w:r>
              <w:rPr>
                <w:rFonts w:hint="eastAsia" w:ascii="宋体" w:hAnsi="宋体"/>
                <w:color w:val="auto"/>
                <w:szCs w:val="21"/>
                <w:highlight w:val="none"/>
              </w:rPr>
              <w:t>台</w:t>
            </w:r>
          </w:p>
        </w:tc>
        <w:tc>
          <w:tcPr>
            <w:tcW w:w="702" w:type="dxa"/>
            <w:vMerge w:val="continue"/>
            <w:tcBorders>
              <w:left w:val="single" w:color="000000" w:sz="4" w:space="0"/>
              <w:right w:val="single" w:color="000000" w:sz="4" w:space="0"/>
            </w:tcBorders>
            <w:shd w:val="clear" w:color="auto" w:fill="auto"/>
            <w:vAlign w:val="center"/>
          </w:tcPr>
          <w:p w14:paraId="202DD50C">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30062">
            <w:pPr>
              <w:spacing w:line="360" w:lineRule="exact"/>
              <w:jc w:val="left"/>
              <w:rPr>
                <w:rFonts w:ascii="宋体" w:hAnsi="宋体"/>
                <w:color w:val="auto"/>
                <w:szCs w:val="21"/>
                <w:highlight w:val="none"/>
              </w:rPr>
            </w:pPr>
            <w:r>
              <w:rPr>
                <w:rFonts w:hint="eastAsia" w:ascii="宋体" w:hAnsi="宋体"/>
                <w:color w:val="auto"/>
                <w:szCs w:val="21"/>
                <w:highlight w:val="none"/>
              </w:rPr>
              <w:t>1.最大上升速度：</w:t>
            </w:r>
          </w:p>
          <w:p w14:paraId="20426CF8">
            <w:pPr>
              <w:spacing w:line="360" w:lineRule="exact"/>
              <w:jc w:val="left"/>
              <w:rPr>
                <w:rFonts w:ascii="宋体" w:hAnsi="宋体"/>
                <w:color w:val="auto"/>
                <w:szCs w:val="21"/>
                <w:highlight w:val="none"/>
              </w:rPr>
            </w:pPr>
            <w:r>
              <w:rPr>
                <w:rFonts w:hint="eastAsia" w:ascii="宋体" w:hAnsi="宋体"/>
                <w:color w:val="auto"/>
                <w:szCs w:val="21"/>
                <w:highlight w:val="none"/>
              </w:rPr>
              <w:t>（1）10 米/秒（运动档）。</w:t>
            </w:r>
          </w:p>
          <w:p w14:paraId="2F5B36DE">
            <w:pPr>
              <w:spacing w:line="360" w:lineRule="exact"/>
              <w:jc w:val="left"/>
              <w:rPr>
                <w:rFonts w:ascii="宋体" w:hAnsi="宋体"/>
                <w:color w:val="auto"/>
                <w:szCs w:val="21"/>
                <w:highlight w:val="none"/>
              </w:rPr>
            </w:pPr>
            <w:r>
              <w:rPr>
                <w:rFonts w:hint="eastAsia" w:ascii="宋体" w:hAnsi="宋体"/>
                <w:color w:val="auto"/>
                <w:szCs w:val="21"/>
                <w:highlight w:val="none"/>
              </w:rPr>
              <w:t>（2）6 米/秒（普通档）。</w:t>
            </w:r>
          </w:p>
          <w:p w14:paraId="5954B525">
            <w:pPr>
              <w:spacing w:line="360" w:lineRule="exact"/>
              <w:jc w:val="left"/>
              <w:rPr>
                <w:rFonts w:ascii="宋体" w:hAnsi="宋体"/>
                <w:color w:val="auto"/>
                <w:szCs w:val="21"/>
                <w:highlight w:val="none"/>
              </w:rPr>
            </w:pPr>
            <w:r>
              <w:rPr>
                <w:rFonts w:hint="eastAsia" w:ascii="宋体" w:hAnsi="宋体"/>
                <w:color w:val="auto"/>
                <w:szCs w:val="21"/>
                <w:highlight w:val="none"/>
              </w:rPr>
              <w:t>（3）6 米/秒（平稳档）。</w:t>
            </w:r>
          </w:p>
          <w:p w14:paraId="21B625C2">
            <w:pPr>
              <w:spacing w:line="360" w:lineRule="exact"/>
              <w:jc w:val="left"/>
              <w:rPr>
                <w:rFonts w:ascii="宋体" w:hAnsi="宋体"/>
                <w:color w:val="auto"/>
                <w:szCs w:val="21"/>
                <w:highlight w:val="none"/>
              </w:rPr>
            </w:pPr>
            <w:r>
              <w:rPr>
                <w:rFonts w:hint="eastAsia" w:ascii="宋体" w:hAnsi="宋体"/>
                <w:color w:val="auto"/>
                <w:szCs w:val="21"/>
                <w:highlight w:val="none"/>
              </w:rPr>
              <w:t>2.最大下降速度</w:t>
            </w:r>
          </w:p>
          <w:p w14:paraId="63D34ABB">
            <w:pPr>
              <w:spacing w:line="360" w:lineRule="exact"/>
              <w:jc w:val="left"/>
              <w:rPr>
                <w:rFonts w:ascii="宋体" w:hAnsi="宋体"/>
                <w:color w:val="auto"/>
                <w:szCs w:val="21"/>
                <w:highlight w:val="none"/>
              </w:rPr>
            </w:pPr>
            <w:r>
              <w:rPr>
                <w:rFonts w:hint="eastAsia" w:ascii="宋体" w:hAnsi="宋体"/>
                <w:color w:val="auto"/>
                <w:szCs w:val="21"/>
                <w:highlight w:val="none"/>
              </w:rPr>
              <w:t>（1）10 米/秒（运动档）。</w:t>
            </w:r>
          </w:p>
          <w:p w14:paraId="3BE6DE2C">
            <w:pPr>
              <w:spacing w:line="360" w:lineRule="exact"/>
              <w:jc w:val="left"/>
              <w:rPr>
                <w:rFonts w:ascii="宋体" w:hAnsi="宋体"/>
                <w:color w:val="auto"/>
                <w:szCs w:val="21"/>
                <w:highlight w:val="none"/>
              </w:rPr>
            </w:pPr>
            <w:r>
              <w:rPr>
                <w:rFonts w:hint="eastAsia" w:ascii="宋体" w:hAnsi="宋体"/>
                <w:color w:val="auto"/>
                <w:szCs w:val="21"/>
                <w:highlight w:val="none"/>
              </w:rPr>
              <w:t>（2）6 米/秒（普通档）。</w:t>
            </w:r>
          </w:p>
          <w:p w14:paraId="22E60997">
            <w:pPr>
              <w:spacing w:line="360" w:lineRule="exact"/>
              <w:jc w:val="left"/>
              <w:rPr>
                <w:rFonts w:ascii="宋体" w:hAnsi="宋体"/>
                <w:color w:val="auto"/>
                <w:szCs w:val="21"/>
                <w:highlight w:val="none"/>
              </w:rPr>
            </w:pPr>
            <w:r>
              <w:rPr>
                <w:rFonts w:hint="eastAsia" w:ascii="宋体" w:hAnsi="宋体"/>
                <w:color w:val="auto"/>
                <w:szCs w:val="21"/>
                <w:highlight w:val="none"/>
              </w:rPr>
              <w:t>（3）6 米/秒（平稳档）。</w:t>
            </w:r>
          </w:p>
          <w:p w14:paraId="6E0AA3E5">
            <w:pPr>
              <w:spacing w:line="360" w:lineRule="exact"/>
              <w:jc w:val="left"/>
              <w:rPr>
                <w:rFonts w:ascii="宋体" w:hAnsi="宋体"/>
                <w:color w:val="auto"/>
                <w:szCs w:val="21"/>
                <w:highlight w:val="none"/>
              </w:rPr>
            </w:pPr>
            <w:r>
              <w:rPr>
                <w:rFonts w:hint="eastAsia" w:ascii="宋体" w:hAnsi="宋体"/>
                <w:color w:val="auto"/>
                <w:szCs w:val="21"/>
                <w:highlight w:val="none"/>
              </w:rPr>
              <w:t>3.最大水平飞行速度</w:t>
            </w:r>
          </w:p>
          <w:p w14:paraId="293E7151">
            <w:pPr>
              <w:spacing w:line="360" w:lineRule="exact"/>
              <w:jc w:val="left"/>
              <w:rPr>
                <w:rFonts w:ascii="宋体" w:hAnsi="宋体"/>
                <w:color w:val="auto"/>
                <w:szCs w:val="21"/>
                <w:highlight w:val="none"/>
              </w:rPr>
            </w:pPr>
            <w:r>
              <w:rPr>
                <w:rFonts w:hint="eastAsia" w:ascii="宋体" w:hAnsi="宋体"/>
                <w:color w:val="auto"/>
                <w:szCs w:val="21"/>
                <w:highlight w:val="none"/>
              </w:rPr>
              <w:t>（1）等效海平面，等效无风环境：</w:t>
            </w:r>
          </w:p>
          <w:p w14:paraId="5B8E0445">
            <w:pPr>
              <w:spacing w:line="360" w:lineRule="exact"/>
              <w:jc w:val="left"/>
              <w:rPr>
                <w:rFonts w:ascii="宋体" w:hAnsi="宋体"/>
                <w:color w:val="auto"/>
                <w:szCs w:val="21"/>
                <w:highlight w:val="none"/>
              </w:rPr>
            </w:pPr>
            <w:r>
              <w:rPr>
                <w:rFonts w:hint="eastAsia" w:ascii="宋体" w:hAnsi="宋体"/>
                <w:color w:val="auto"/>
                <w:szCs w:val="21"/>
                <w:highlight w:val="none"/>
              </w:rPr>
              <w:t>①25 米/秒（运动档）。</w:t>
            </w:r>
          </w:p>
          <w:p w14:paraId="7246AEB8">
            <w:pPr>
              <w:spacing w:line="360" w:lineRule="exact"/>
              <w:jc w:val="left"/>
              <w:rPr>
                <w:rFonts w:ascii="宋体" w:hAnsi="宋体"/>
                <w:color w:val="auto"/>
                <w:szCs w:val="21"/>
                <w:highlight w:val="none"/>
              </w:rPr>
            </w:pPr>
            <w:r>
              <w:rPr>
                <w:rFonts w:hint="eastAsia" w:ascii="宋体" w:hAnsi="宋体"/>
                <w:color w:val="auto"/>
                <w:szCs w:val="21"/>
                <w:highlight w:val="none"/>
              </w:rPr>
              <w:t>②15 米/秒（跟随模式）。</w:t>
            </w:r>
          </w:p>
          <w:p w14:paraId="1CA9B904">
            <w:pPr>
              <w:spacing w:line="360" w:lineRule="exact"/>
              <w:jc w:val="left"/>
              <w:rPr>
                <w:rFonts w:ascii="宋体" w:hAnsi="宋体"/>
                <w:color w:val="auto"/>
                <w:szCs w:val="21"/>
                <w:highlight w:val="none"/>
              </w:rPr>
            </w:pPr>
            <w:r>
              <w:rPr>
                <w:rFonts w:hint="eastAsia" w:ascii="宋体" w:hAnsi="宋体"/>
                <w:color w:val="auto"/>
                <w:szCs w:val="21"/>
                <w:highlight w:val="none"/>
              </w:rPr>
              <w:t>（2）等效海平面，2 米/秒等效顺风环境，无人机飞行方向与风向一致：</w:t>
            </w:r>
          </w:p>
          <w:p w14:paraId="362B7EC8">
            <w:pPr>
              <w:spacing w:line="360" w:lineRule="exact"/>
              <w:jc w:val="left"/>
              <w:rPr>
                <w:rFonts w:ascii="宋体" w:hAnsi="宋体"/>
                <w:color w:val="auto"/>
                <w:szCs w:val="21"/>
                <w:highlight w:val="none"/>
              </w:rPr>
            </w:pPr>
            <w:r>
              <w:rPr>
                <w:rFonts w:hint="eastAsia" w:ascii="宋体" w:hAnsi="宋体"/>
                <w:color w:val="auto"/>
                <w:szCs w:val="21"/>
                <w:highlight w:val="none"/>
              </w:rPr>
              <w:t>①27 米/秒（运动档）。</w:t>
            </w:r>
          </w:p>
          <w:p w14:paraId="3DAB9E91">
            <w:pPr>
              <w:spacing w:line="360" w:lineRule="exact"/>
              <w:jc w:val="left"/>
              <w:rPr>
                <w:rFonts w:ascii="宋体" w:hAnsi="宋体"/>
                <w:color w:val="auto"/>
                <w:szCs w:val="21"/>
                <w:highlight w:val="none"/>
              </w:rPr>
            </w:pPr>
            <w:r>
              <w:rPr>
                <w:rFonts w:hint="eastAsia" w:ascii="宋体" w:hAnsi="宋体"/>
                <w:color w:val="auto"/>
                <w:szCs w:val="21"/>
                <w:highlight w:val="none"/>
              </w:rPr>
              <w:t>②15 米/秒（跟随模式）。</w:t>
            </w:r>
          </w:p>
          <w:p w14:paraId="7BEEE754">
            <w:pPr>
              <w:spacing w:line="360" w:lineRule="exact"/>
              <w:jc w:val="left"/>
              <w:rPr>
                <w:rFonts w:ascii="宋体" w:hAnsi="宋体"/>
                <w:color w:val="auto"/>
                <w:szCs w:val="21"/>
                <w:highlight w:val="none"/>
              </w:rPr>
            </w:pPr>
            <w:r>
              <w:rPr>
                <w:rFonts w:hint="eastAsia" w:ascii="宋体" w:hAnsi="宋体"/>
                <w:color w:val="auto"/>
                <w:szCs w:val="21"/>
                <w:highlight w:val="none"/>
              </w:rPr>
              <w:t>4.悬停精度</w:t>
            </w:r>
          </w:p>
          <w:p w14:paraId="172D8CBC">
            <w:pPr>
              <w:spacing w:line="360" w:lineRule="exact"/>
              <w:jc w:val="left"/>
              <w:rPr>
                <w:rFonts w:ascii="宋体" w:hAnsi="宋体"/>
                <w:color w:val="auto"/>
                <w:szCs w:val="21"/>
                <w:highlight w:val="none"/>
              </w:rPr>
            </w:pPr>
            <w:r>
              <w:rPr>
                <w:rFonts w:hint="eastAsia" w:ascii="宋体" w:hAnsi="宋体"/>
                <w:color w:val="auto"/>
                <w:szCs w:val="21"/>
                <w:highlight w:val="none"/>
              </w:rPr>
              <w:t>（1）垂直：</w:t>
            </w:r>
          </w:p>
          <w:p w14:paraId="497CCEA7">
            <w:pPr>
              <w:spacing w:line="360" w:lineRule="exact"/>
              <w:jc w:val="left"/>
              <w:rPr>
                <w:rFonts w:ascii="宋体" w:hAnsi="宋体"/>
                <w:color w:val="auto"/>
                <w:szCs w:val="21"/>
                <w:highlight w:val="none"/>
              </w:rPr>
            </w:pPr>
            <w:r>
              <w:rPr>
                <w:rFonts w:hint="eastAsia" w:ascii="宋体" w:hAnsi="宋体"/>
                <w:color w:val="auto"/>
                <w:szCs w:val="21"/>
                <w:highlight w:val="none"/>
              </w:rPr>
              <w:t>±0.1 米（视觉定位正常工作时）。</w:t>
            </w:r>
          </w:p>
          <w:p w14:paraId="5410CC03">
            <w:pPr>
              <w:spacing w:line="360" w:lineRule="exact"/>
              <w:jc w:val="left"/>
              <w:rPr>
                <w:rFonts w:ascii="宋体" w:hAnsi="宋体"/>
                <w:color w:val="auto"/>
                <w:szCs w:val="21"/>
                <w:highlight w:val="none"/>
              </w:rPr>
            </w:pPr>
            <w:r>
              <w:rPr>
                <w:rFonts w:hint="eastAsia" w:ascii="宋体" w:hAnsi="宋体"/>
                <w:color w:val="auto"/>
                <w:szCs w:val="21"/>
                <w:highlight w:val="none"/>
              </w:rPr>
              <w:t>±0.5 米（卫星定位正常工作时）。</w:t>
            </w:r>
          </w:p>
          <w:p w14:paraId="236F65C9">
            <w:pPr>
              <w:spacing w:line="360" w:lineRule="exact"/>
              <w:jc w:val="left"/>
              <w:rPr>
                <w:rFonts w:ascii="宋体" w:hAnsi="宋体"/>
                <w:color w:val="auto"/>
                <w:szCs w:val="21"/>
                <w:highlight w:val="none"/>
              </w:rPr>
            </w:pPr>
            <w:r>
              <w:rPr>
                <w:rFonts w:hint="eastAsia" w:ascii="宋体" w:hAnsi="宋体"/>
                <w:color w:val="auto"/>
                <w:szCs w:val="21"/>
                <w:highlight w:val="none"/>
              </w:rPr>
              <w:t>（2）水平：</w:t>
            </w:r>
          </w:p>
          <w:p w14:paraId="03A08992">
            <w:pPr>
              <w:spacing w:line="360" w:lineRule="exact"/>
              <w:jc w:val="left"/>
              <w:rPr>
                <w:rFonts w:ascii="宋体" w:hAnsi="宋体"/>
                <w:color w:val="auto"/>
                <w:szCs w:val="21"/>
                <w:highlight w:val="none"/>
              </w:rPr>
            </w:pPr>
            <w:r>
              <w:rPr>
                <w:rFonts w:hint="eastAsia" w:ascii="宋体" w:hAnsi="宋体"/>
                <w:color w:val="auto"/>
                <w:szCs w:val="21"/>
                <w:highlight w:val="none"/>
              </w:rPr>
              <w:t>±0.3 米（视觉定位正常工作时）。</w:t>
            </w:r>
          </w:p>
          <w:p w14:paraId="40CA4655">
            <w:pPr>
              <w:spacing w:line="360" w:lineRule="exact"/>
              <w:jc w:val="left"/>
              <w:rPr>
                <w:rFonts w:ascii="宋体" w:hAnsi="宋体"/>
                <w:color w:val="auto"/>
                <w:szCs w:val="21"/>
                <w:highlight w:val="none"/>
              </w:rPr>
            </w:pPr>
            <w:r>
              <w:rPr>
                <w:rFonts w:hint="eastAsia" w:ascii="宋体" w:hAnsi="宋体"/>
                <w:color w:val="auto"/>
                <w:szCs w:val="21"/>
                <w:highlight w:val="none"/>
              </w:rPr>
              <w:t>±0.5 米（卫星定位正常工作时）。</w:t>
            </w:r>
          </w:p>
        </w:tc>
      </w:tr>
      <w:tr w14:paraId="07A9B0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shd w:val="clear" w:color="auto" w:fill="auto"/>
            <w:vAlign w:val="center"/>
          </w:tcPr>
          <w:p w14:paraId="2FDD6582">
            <w:pPr>
              <w:jc w:val="center"/>
              <w:rPr>
                <w:rFonts w:ascii="宋体" w:hAnsi="宋体"/>
                <w:color w:val="auto"/>
                <w:szCs w:val="21"/>
                <w:highlight w:val="none"/>
              </w:rPr>
            </w:pPr>
            <w:r>
              <w:rPr>
                <w:rFonts w:hint="eastAsia" w:ascii="宋体" w:hAnsi="宋体"/>
                <w:color w:val="auto"/>
                <w:szCs w:val="21"/>
                <w:highlight w:val="none"/>
              </w:rPr>
              <w:t>76</w:t>
            </w:r>
          </w:p>
        </w:tc>
        <w:tc>
          <w:tcPr>
            <w:tcW w:w="1402" w:type="dxa"/>
            <w:tcBorders>
              <w:top w:val="single" w:color="000000" w:sz="4" w:space="0"/>
              <w:left w:val="single" w:color="auto" w:sz="4" w:space="0"/>
              <w:bottom w:val="single" w:color="000000" w:sz="4" w:space="0"/>
              <w:right w:val="single" w:color="000000" w:sz="4" w:space="0"/>
            </w:tcBorders>
            <w:shd w:val="clear" w:color="auto" w:fill="auto"/>
            <w:vAlign w:val="center"/>
          </w:tcPr>
          <w:p w14:paraId="5B8BE745">
            <w:pPr>
              <w:spacing w:line="360" w:lineRule="exact"/>
              <w:jc w:val="center"/>
              <w:rPr>
                <w:rFonts w:ascii="宋体" w:hAnsi="宋体"/>
                <w:color w:val="auto"/>
                <w:szCs w:val="21"/>
                <w:highlight w:val="none"/>
              </w:rPr>
            </w:pPr>
            <w:r>
              <w:rPr>
                <w:rFonts w:hint="eastAsia" w:ascii="宋体" w:hAnsi="宋体"/>
                <w:color w:val="auto"/>
                <w:szCs w:val="21"/>
                <w:highlight w:val="none"/>
              </w:rPr>
              <w:t>SSD固态硬盘</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42101">
            <w:pPr>
              <w:spacing w:line="360" w:lineRule="exact"/>
              <w:jc w:val="center"/>
              <w:rPr>
                <w:rFonts w:ascii="宋体" w:hAnsi="宋体"/>
                <w:color w:val="auto"/>
                <w:szCs w:val="21"/>
                <w:highlight w:val="none"/>
              </w:rPr>
            </w:pPr>
            <w:r>
              <w:rPr>
                <w:rFonts w:hint="eastAsia" w:ascii="宋体" w:hAnsi="宋体"/>
                <w:color w:val="auto"/>
                <w:szCs w:val="21"/>
                <w:highlight w:val="none"/>
              </w:rPr>
              <w:t>2</w:t>
            </w:r>
          </w:p>
        </w:tc>
        <w:tc>
          <w:tcPr>
            <w:tcW w:w="703" w:type="dxa"/>
            <w:tcBorders>
              <w:top w:val="single" w:color="auto" w:sz="4" w:space="0"/>
              <w:left w:val="single" w:color="000000" w:sz="4" w:space="0"/>
              <w:bottom w:val="single" w:color="000000" w:sz="4" w:space="0"/>
              <w:right w:val="single" w:color="000000" w:sz="4" w:space="0"/>
            </w:tcBorders>
            <w:shd w:val="clear" w:color="auto" w:fill="auto"/>
            <w:vAlign w:val="center"/>
          </w:tcPr>
          <w:p w14:paraId="67E2DC28">
            <w:pPr>
              <w:spacing w:line="360" w:lineRule="exact"/>
              <w:jc w:val="center"/>
              <w:rPr>
                <w:rFonts w:ascii="宋体" w:hAnsi="宋体"/>
                <w:color w:val="auto"/>
                <w:szCs w:val="21"/>
                <w:highlight w:val="none"/>
              </w:rPr>
            </w:pPr>
            <w:r>
              <w:rPr>
                <w:rFonts w:hint="eastAsia" w:ascii="宋体" w:hAnsi="宋体"/>
                <w:color w:val="auto"/>
                <w:szCs w:val="21"/>
                <w:highlight w:val="none"/>
              </w:rPr>
              <w:t>个</w:t>
            </w:r>
          </w:p>
        </w:tc>
        <w:tc>
          <w:tcPr>
            <w:tcW w:w="702" w:type="dxa"/>
            <w:vMerge w:val="continue"/>
            <w:tcBorders>
              <w:left w:val="single" w:color="000000" w:sz="4" w:space="0"/>
              <w:right w:val="single" w:color="000000" w:sz="4" w:space="0"/>
            </w:tcBorders>
            <w:shd w:val="clear" w:color="auto" w:fill="auto"/>
            <w:vAlign w:val="center"/>
          </w:tcPr>
          <w:p w14:paraId="0524DE99">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C54EB">
            <w:pPr>
              <w:spacing w:line="360" w:lineRule="exact"/>
              <w:jc w:val="left"/>
              <w:rPr>
                <w:rFonts w:ascii="宋体" w:hAnsi="宋体"/>
                <w:color w:val="auto"/>
                <w:szCs w:val="21"/>
                <w:highlight w:val="none"/>
              </w:rPr>
            </w:pPr>
            <w:r>
              <w:rPr>
                <w:rFonts w:hint="eastAsia" w:ascii="宋体" w:hAnsi="宋体"/>
                <w:color w:val="auto"/>
                <w:szCs w:val="21"/>
                <w:highlight w:val="none"/>
              </w:rPr>
              <w:t>1.容量：≥2TB。</w:t>
            </w:r>
          </w:p>
          <w:p w14:paraId="26D2A433">
            <w:pPr>
              <w:spacing w:line="360" w:lineRule="exact"/>
              <w:jc w:val="left"/>
              <w:rPr>
                <w:rFonts w:ascii="宋体" w:hAnsi="宋体"/>
                <w:color w:val="auto"/>
                <w:szCs w:val="21"/>
                <w:highlight w:val="none"/>
              </w:rPr>
            </w:pPr>
            <w:r>
              <w:rPr>
                <w:rFonts w:hint="eastAsia" w:ascii="宋体" w:hAnsi="宋体"/>
                <w:color w:val="auto"/>
                <w:szCs w:val="21"/>
                <w:highlight w:val="none"/>
              </w:rPr>
              <w:t>2.类型：SSD固态硬盘。</w:t>
            </w:r>
          </w:p>
          <w:p w14:paraId="79F1F07F">
            <w:pPr>
              <w:spacing w:line="360" w:lineRule="exact"/>
              <w:jc w:val="left"/>
              <w:rPr>
                <w:rFonts w:ascii="宋体" w:hAnsi="宋体"/>
                <w:color w:val="auto"/>
                <w:szCs w:val="21"/>
                <w:highlight w:val="none"/>
              </w:rPr>
            </w:pPr>
            <w:r>
              <w:rPr>
                <w:rFonts w:hint="eastAsia" w:ascii="宋体" w:hAnsi="宋体"/>
                <w:color w:val="auto"/>
                <w:szCs w:val="21"/>
                <w:highlight w:val="none"/>
              </w:rPr>
              <w:t>3.接口：NVMe M.2。</w:t>
            </w:r>
          </w:p>
          <w:p w14:paraId="51A42C46">
            <w:pPr>
              <w:spacing w:line="360" w:lineRule="exact"/>
              <w:jc w:val="left"/>
              <w:rPr>
                <w:rFonts w:ascii="宋体" w:hAnsi="宋体"/>
                <w:color w:val="auto"/>
                <w:szCs w:val="21"/>
                <w:highlight w:val="none"/>
              </w:rPr>
            </w:pPr>
            <w:r>
              <w:rPr>
                <w:rFonts w:hint="eastAsia" w:ascii="宋体" w:hAnsi="宋体"/>
                <w:color w:val="auto"/>
                <w:szCs w:val="21"/>
                <w:highlight w:val="none"/>
              </w:rPr>
              <w:t>4.NAND类型：3D NAND TLC。</w:t>
            </w:r>
          </w:p>
          <w:p w14:paraId="22436840">
            <w:pPr>
              <w:spacing w:line="360" w:lineRule="exact"/>
              <w:jc w:val="left"/>
              <w:rPr>
                <w:rFonts w:ascii="宋体" w:hAnsi="宋体"/>
                <w:color w:val="auto"/>
                <w:szCs w:val="21"/>
                <w:highlight w:val="none"/>
              </w:rPr>
            </w:pPr>
            <w:r>
              <w:rPr>
                <w:rFonts w:hint="eastAsia" w:ascii="宋体" w:hAnsi="宋体"/>
                <w:color w:val="auto"/>
                <w:szCs w:val="21"/>
                <w:highlight w:val="none"/>
              </w:rPr>
              <w:t>5.读取速度：≥3500MB/s。</w:t>
            </w:r>
          </w:p>
          <w:p w14:paraId="0F032B88">
            <w:pPr>
              <w:spacing w:line="360" w:lineRule="exact"/>
              <w:jc w:val="left"/>
              <w:rPr>
                <w:rFonts w:ascii="宋体" w:hAnsi="宋体"/>
                <w:color w:val="auto"/>
                <w:szCs w:val="21"/>
                <w:highlight w:val="none"/>
              </w:rPr>
            </w:pPr>
            <w:r>
              <w:rPr>
                <w:rFonts w:hint="eastAsia" w:ascii="宋体" w:hAnsi="宋体"/>
                <w:color w:val="auto"/>
                <w:szCs w:val="21"/>
                <w:highlight w:val="none"/>
              </w:rPr>
              <w:t>6.写入速度：≥3000MB/s。</w:t>
            </w:r>
          </w:p>
        </w:tc>
      </w:tr>
      <w:tr w14:paraId="06263A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shd w:val="clear" w:color="auto" w:fill="auto"/>
            <w:vAlign w:val="center"/>
          </w:tcPr>
          <w:p w14:paraId="13E27CBA">
            <w:pPr>
              <w:jc w:val="center"/>
              <w:rPr>
                <w:rFonts w:ascii="宋体" w:hAnsi="宋体"/>
                <w:color w:val="auto"/>
                <w:szCs w:val="21"/>
                <w:highlight w:val="none"/>
              </w:rPr>
            </w:pPr>
            <w:r>
              <w:rPr>
                <w:rFonts w:hint="eastAsia" w:ascii="宋体" w:hAnsi="宋体"/>
                <w:color w:val="auto"/>
                <w:szCs w:val="21"/>
                <w:highlight w:val="none"/>
              </w:rPr>
              <w:t>77</w:t>
            </w:r>
          </w:p>
        </w:tc>
        <w:tc>
          <w:tcPr>
            <w:tcW w:w="1402" w:type="dxa"/>
            <w:tcBorders>
              <w:top w:val="single" w:color="000000" w:sz="4" w:space="0"/>
              <w:left w:val="single" w:color="auto" w:sz="4" w:space="0"/>
              <w:bottom w:val="single" w:color="000000" w:sz="4" w:space="0"/>
              <w:right w:val="single" w:color="000000" w:sz="4" w:space="0"/>
            </w:tcBorders>
            <w:shd w:val="clear" w:color="auto" w:fill="auto"/>
            <w:vAlign w:val="center"/>
          </w:tcPr>
          <w:p w14:paraId="72D79C59">
            <w:pPr>
              <w:spacing w:line="360" w:lineRule="exact"/>
              <w:jc w:val="center"/>
              <w:rPr>
                <w:rFonts w:ascii="宋体" w:hAnsi="宋体"/>
                <w:color w:val="auto"/>
                <w:szCs w:val="21"/>
                <w:highlight w:val="none"/>
              </w:rPr>
            </w:pPr>
            <w:r>
              <w:rPr>
                <w:rFonts w:hint="eastAsia" w:ascii="宋体" w:hAnsi="宋体"/>
                <w:color w:val="auto"/>
                <w:szCs w:val="21"/>
                <w:highlight w:val="none"/>
              </w:rPr>
              <w:t>相机三脚架</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5E5B0">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703" w:type="dxa"/>
            <w:tcBorders>
              <w:top w:val="single" w:color="auto" w:sz="4" w:space="0"/>
              <w:left w:val="single" w:color="000000" w:sz="4" w:space="0"/>
              <w:bottom w:val="single" w:color="000000" w:sz="4" w:space="0"/>
              <w:right w:val="single" w:color="000000" w:sz="4" w:space="0"/>
            </w:tcBorders>
            <w:shd w:val="clear" w:color="auto" w:fill="auto"/>
            <w:vAlign w:val="center"/>
          </w:tcPr>
          <w:p w14:paraId="15996562">
            <w:pPr>
              <w:spacing w:line="360" w:lineRule="exact"/>
              <w:jc w:val="center"/>
              <w:rPr>
                <w:rFonts w:ascii="宋体" w:hAnsi="宋体"/>
                <w:color w:val="auto"/>
                <w:szCs w:val="21"/>
                <w:highlight w:val="none"/>
              </w:rPr>
            </w:pPr>
            <w:r>
              <w:rPr>
                <w:rFonts w:hint="eastAsia" w:ascii="宋体" w:hAnsi="宋体"/>
                <w:color w:val="auto"/>
                <w:szCs w:val="21"/>
                <w:highlight w:val="none"/>
              </w:rPr>
              <w:t>个</w:t>
            </w:r>
          </w:p>
        </w:tc>
        <w:tc>
          <w:tcPr>
            <w:tcW w:w="702" w:type="dxa"/>
            <w:vMerge w:val="continue"/>
            <w:tcBorders>
              <w:left w:val="single" w:color="000000" w:sz="4" w:space="0"/>
              <w:right w:val="single" w:color="000000" w:sz="4" w:space="0"/>
            </w:tcBorders>
            <w:shd w:val="clear" w:color="auto" w:fill="auto"/>
            <w:vAlign w:val="center"/>
          </w:tcPr>
          <w:p w14:paraId="38D32F47">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985FF">
            <w:pPr>
              <w:spacing w:line="360" w:lineRule="exact"/>
              <w:jc w:val="left"/>
              <w:rPr>
                <w:rFonts w:ascii="宋体" w:hAnsi="宋体"/>
                <w:color w:val="auto"/>
                <w:szCs w:val="21"/>
                <w:highlight w:val="none"/>
              </w:rPr>
            </w:pPr>
            <w:r>
              <w:rPr>
                <w:rFonts w:hint="eastAsia" w:ascii="宋体" w:hAnsi="宋体"/>
                <w:color w:val="auto"/>
                <w:szCs w:val="21"/>
                <w:highlight w:val="none"/>
              </w:rPr>
              <w:t>1.产品材质：碳纤维。</w:t>
            </w:r>
            <w:r>
              <w:rPr>
                <w:rFonts w:hint="eastAsia" w:ascii="宋体" w:hAnsi="宋体"/>
                <w:color w:val="auto"/>
                <w:szCs w:val="21"/>
                <w:highlight w:val="none"/>
              </w:rPr>
              <w:br w:type="textWrapping"/>
            </w:r>
            <w:r>
              <w:rPr>
                <w:rFonts w:hint="eastAsia" w:ascii="宋体" w:hAnsi="宋体"/>
                <w:color w:val="auto"/>
                <w:szCs w:val="21"/>
                <w:highlight w:val="none"/>
              </w:rPr>
              <w:t>2.自重：约1.8kg。</w:t>
            </w:r>
            <w:r>
              <w:rPr>
                <w:rFonts w:hint="eastAsia" w:ascii="宋体" w:hAnsi="宋体"/>
                <w:color w:val="auto"/>
                <w:szCs w:val="21"/>
                <w:highlight w:val="none"/>
              </w:rPr>
              <w:br w:type="textWrapping"/>
            </w:r>
            <w:r>
              <w:rPr>
                <w:rFonts w:hint="eastAsia" w:ascii="宋体" w:hAnsi="宋体"/>
                <w:color w:val="auto"/>
                <w:szCs w:val="21"/>
                <w:highlight w:val="none"/>
              </w:rPr>
              <w:t>3.脚架节数：5节。</w:t>
            </w:r>
            <w:r>
              <w:rPr>
                <w:rFonts w:hint="eastAsia" w:ascii="宋体" w:hAnsi="宋体"/>
                <w:color w:val="auto"/>
                <w:szCs w:val="21"/>
                <w:highlight w:val="none"/>
              </w:rPr>
              <w:br w:type="textWrapping"/>
            </w:r>
            <w:r>
              <w:rPr>
                <w:rFonts w:hint="eastAsia" w:ascii="宋体" w:hAnsi="宋体"/>
                <w:color w:val="auto"/>
                <w:szCs w:val="21"/>
                <w:highlight w:val="none"/>
              </w:rPr>
              <w:t>4.云台类型：液压云台。</w:t>
            </w:r>
          </w:p>
        </w:tc>
      </w:tr>
      <w:tr w14:paraId="79A1F3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shd w:val="clear" w:color="auto" w:fill="auto"/>
            <w:vAlign w:val="center"/>
          </w:tcPr>
          <w:p w14:paraId="03ADF999">
            <w:pPr>
              <w:jc w:val="center"/>
              <w:rPr>
                <w:rFonts w:ascii="宋体" w:hAnsi="宋体"/>
                <w:color w:val="auto"/>
                <w:szCs w:val="21"/>
                <w:highlight w:val="none"/>
              </w:rPr>
            </w:pPr>
            <w:r>
              <w:rPr>
                <w:rFonts w:hint="eastAsia" w:ascii="宋体" w:hAnsi="宋体"/>
                <w:color w:val="auto"/>
                <w:szCs w:val="21"/>
                <w:highlight w:val="none"/>
              </w:rPr>
              <w:t>78</w:t>
            </w:r>
          </w:p>
        </w:tc>
        <w:tc>
          <w:tcPr>
            <w:tcW w:w="1402" w:type="dxa"/>
            <w:tcBorders>
              <w:top w:val="single" w:color="000000" w:sz="4" w:space="0"/>
              <w:left w:val="single" w:color="auto" w:sz="4" w:space="0"/>
              <w:bottom w:val="single" w:color="000000" w:sz="4" w:space="0"/>
              <w:right w:val="single" w:color="000000" w:sz="4" w:space="0"/>
            </w:tcBorders>
            <w:shd w:val="clear" w:color="auto" w:fill="auto"/>
            <w:vAlign w:val="center"/>
          </w:tcPr>
          <w:p w14:paraId="444D21F9">
            <w:pPr>
              <w:spacing w:line="360" w:lineRule="exact"/>
              <w:jc w:val="center"/>
              <w:rPr>
                <w:rFonts w:ascii="宋体" w:hAnsi="宋体"/>
                <w:color w:val="auto"/>
                <w:szCs w:val="21"/>
                <w:highlight w:val="none"/>
              </w:rPr>
            </w:pPr>
            <w:r>
              <w:rPr>
                <w:rFonts w:hint="eastAsia" w:ascii="宋体" w:hAnsi="宋体"/>
                <w:color w:val="auto"/>
                <w:szCs w:val="21"/>
                <w:highlight w:val="none"/>
              </w:rPr>
              <w:t>相机清洁套装</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D1A8F">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703" w:type="dxa"/>
            <w:tcBorders>
              <w:top w:val="single" w:color="auto" w:sz="4" w:space="0"/>
              <w:left w:val="single" w:color="000000" w:sz="4" w:space="0"/>
              <w:bottom w:val="single" w:color="000000" w:sz="4" w:space="0"/>
              <w:right w:val="single" w:color="000000" w:sz="4" w:space="0"/>
            </w:tcBorders>
            <w:shd w:val="clear" w:color="auto" w:fill="auto"/>
            <w:vAlign w:val="center"/>
          </w:tcPr>
          <w:p w14:paraId="1D90B645">
            <w:pPr>
              <w:spacing w:line="360" w:lineRule="exact"/>
              <w:jc w:val="center"/>
              <w:rPr>
                <w:rFonts w:ascii="宋体" w:hAnsi="宋体"/>
                <w:color w:val="auto"/>
                <w:szCs w:val="21"/>
                <w:highlight w:val="none"/>
              </w:rPr>
            </w:pPr>
            <w:r>
              <w:rPr>
                <w:rFonts w:hint="eastAsia" w:ascii="宋体" w:hAnsi="宋体"/>
                <w:color w:val="auto"/>
                <w:szCs w:val="21"/>
                <w:highlight w:val="none"/>
              </w:rPr>
              <w:t>个</w:t>
            </w:r>
          </w:p>
        </w:tc>
        <w:tc>
          <w:tcPr>
            <w:tcW w:w="702" w:type="dxa"/>
            <w:vMerge w:val="continue"/>
            <w:tcBorders>
              <w:left w:val="single" w:color="000000" w:sz="4" w:space="0"/>
              <w:right w:val="single" w:color="000000" w:sz="4" w:space="0"/>
            </w:tcBorders>
            <w:shd w:val="clear" w:color="auto" w:fill="auto"/>
            <w:vAlign w:val="center"/>
          </w:tcPr>
          <w:p w14:paraId="53AD3222">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91D9D">
            <w:pPr>
              <w:spacing w:line="360" w:lineRule="exact"/>
              <w:jc w:val="left"/>
              <w:rPr>
                <w:rFonts w:ascii="宋体" w:hAnsi="宋体"/>
                <w:color w:val="auto"/>
                <w:szCs w:val="21"/>
                <w:highlight w:val="none"/>
              </w:rPr>
            </w:pPr>
            <w:r>
              <w:rPr>
                <w:rFonts w:hint="eastAsia" w:ascii="宋体" w:hAnsi="宋体"/>
                <w:color w:val="auto"/>
                <w:szCs w:val="21"/>
                <w:highlight w:val="none"/>
              </w:rPr>
              <w:t>包含内容：气吹×1、清洁液×1、镜头笔×1、传感器清洁棒×1、超细纤维布×2、毛刷×1。</w:t>
            </w:r>
          </w:p>
        </w:tc>
      </w:tr>
      <w:tr w14:paraId="1C8442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shd w:val="clear" w:color="auto" w:fill="auto"/>
            <w:vAlign w:val="center"/>
          </w:tcPr>
          <w:p w14:paraId="54F4B845">
            <w:pPr>
              <w:jc w:val="center"/>
              <w:rPr>
                <w:rFonts w:ascii="宋体" w:hAnsi="宋体"/>
                <w:color w:val="auto"/>
                <w:szCs w:val="21"/>
                <w:highlight w:val="none"/>
              </w:rPr>
            </w:pPr>
            <w:r>
              <w:rPr>
                <w:rFonts w:hint="eastAsia" w:ascii="宋体" w:hAnsi="宋体"/>
                <w:color w:val="auto"/>
                <w:szCs w:val="21"/>
                <w:highlight w:val="none"/>
              </w:rPr>
              <w:t>79</w:t>
            </w:r>
          </w:p>
        </w:tc>
        <w:tc>
          <w:tcPr>
            <w:tcW w:w="1402" w:type="dxa"/>
            <w:tcBorders>
              <w:top w:val="single" w:color="000000" w:sz="4" w:space="0"/>
              <w:left w:val="single" w:color="auto" w:sz="4" w:space="0"/>
              <w:bottom w:val="single" w:color="000000" w:sz="4" w:space="0"/>
              <w:right w:val="single" w:color="000000" w:sz="4" w:space="0"/>
            </w:tcBorders>
            <w:shd w:val="clear" w:color="auto" w:fill="auto"/>
            <w:vAlign w:val="center"/>
          </w:tcPr>
          <w:p w14:paraId="4B4E0469">
            <w:pPr>
              <w:spacing w:line="360" w:lineRule="exact"/>
              <w:jc w:val="center"/>
              <w:rPr>
                <w:rFonts w:ascii="宋体" w:hAnsi="宋体"/>
                <w:color w:val="auto"/>
                <w:szCs w:val="21"/>
                <w:highlight w:val="none"/>
              </w:rPr>
            </w:pPr>
            <w:r>
              <w:rPr>
                <w:rFonts w:hint="eastAsia" w:ascii="宋体" w:hAnsi="宋体"/>
                <w:color w:val="auto"/>
                <w:szCs w:val="21"/>
                <w:highlight w:val="none"/>
              </w:rPr>
              <w:t>硅胶气吹</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C05B7">
            <w:pPr>
              <w:spacing w:line="360" w:lineRule="exact"/>
              <w:jc w:val="center"/>
              <w:rPr>
                <w:rFonts w:ascii="宋体" w:hAnsi="宋体"/>
                <w:color w:val="auto"/>
                <w:szCs w:val="21"/>
                <w:highlight w:val="none"/>
              </w:rPr>
            </w:pPr>
            <w:r>
              <w:rPr>
                <w:rFonts w:hint="eastAsia" w:ascii="宋体" w:hAnsi="宋体"/>
                <w:color w:val="auto"/>
                <w:szCs w:val="21"/>
                <w:highlight w:val="none"/>
              </w:rPr>
              <w:t>2</w:t>
            </w:r>
          </w:p>
        </w:tc>
        <w:tc>
          <w:tcPr>
            <w:tcW w:w="703" w:type="dxa"/>
            <w:tcBorders>
              <w:top w:val="single" w:color="auto" w:sz="4" w:space="0"/>
              <w:left w:val="single" w:color="000000" w:sz="4" w:space="0"/>
              <w:bottom w:val="single" w:color="000000" w:sz="4" w:space="0"/>
              <w:right w:val="single" w:color="000000" w:sz="4" w:space="0"/>
            </w:tcBorders>
            <w:shd w:val="clear" w:color="auto" w:fill="auto"/>
            <w:vAlign w:val="center"/>
          </w:tcPr>
          <w:p w14:paraId="67440197">
            <w:pPr>
              <w:spacing w:line="360" w:lineRule="exact"/>
              <w:jc w:val="center"/>
              <w:rPr>
                <w:rFonts w:ascii="宋体" w:hAnsi="宋体"/>
                <w:color w:val="auto"/>
                <w:szCs w:val="21"/>
                <w:highlight w:val="none"/>
              </w:rPr>
            </w:pPr>
            <w:r>
              <w:rPr>
                <w:rFonts w:hint="eastAsia" w:ascii="宋体" w:hAnsi="宋体"/>
                <w:color w:val="auto"/>
                <w:szCs w:val="21"/>
                <w:highlight w:val="none"/>
              </w:rPr>
              <w:t>个</w:t>
            </w:r>
          </w:p>
        </w:tc>
        <w:tc>
          <w:tcPr>
            <w:tcW w:w="702" w:type="dxa"/>
            <w:vMerge w:val="continue"/>
            <w:tcBorders>
              <w:left w:val="single" w:color="000000" w:sz="4" w:space="0"/>
              <w:right w:val="single" w:color="000000" w:sz="4" w:space="0"/>
            </w:tcBorders>
            <w:shd w:val="clear" w:color="auto" w:fill="auto"/>
            <w:vAlign w:val="center"/>
          </w:tcPr>
          <w:p w14:paraId="36FDDBF7">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C71F7">
            <w:pPr>
              <w:spacing w:line="360" w:lineRule="exact"/>
              <w:jc w:val="left"/>
              <w:rPr>
                <w:rFonts w:ascii="宋体" w:hAnsi="宋体"/>
                <w:color w:val="auto"/>
                <w:szCs w:val="21"/>
                <w:highlight w:val="none"/>
              </w:rPr>
            </w:pPr>
            <w:r>
              <w:rPr>
                <w:rFonts w:hint="eastAsia" w:ascii="宋体" w:hAnsi="宋体"/>
                <w:color w:val="auto"/>
                <w:szCs w:val="21"/>
                <w:highlight w:val="none"/>
              </w:rPr>
              <w:t>1.材质：硅胶。</w:t>
            </w:r>
          </w:p>
          <w:p w14:paraId="60DCE566">
            <w:pPr>
              <w:spacing w:line="360" w:lineRule="exact"/>
              <w:jc w:val="left"/>
              <w:rPr>
                <w:rFonts w:ascii="宋体" w:hAnsi="宋体"/>
                <w:color w:val="auto"/>
                <w:szCs w:val="21"/>
                <w:highlight w:val="none"/>
              </w:rPr>
            </w:pPr>
            <w:r>
              <w:rPr>
                <w:rFonts w:hint="eastAsia" w:ascii="宋体" w:hAnsi="宋体"/>
                <w:color w:val="auto"/>
                <w:szCs w:val="21"/>
                <w:highlight w:val="none"/>
              </w:rPr>
              <w:t>2.气吹容量：≥100ml。</w:t>
            </w:r>
          </w:p>
          <w:p w14:paraId="15595DA3">
            <w:pPr>
              <w:spacing w:line="360" w:lineRule="exact"/>
              <w:jc w:val="left"/>
              <w:rPr>
                <w:rFonts w:ascii="宋体" w:hAnsi="宋体"/>
                <w:color w:val="auto"/>
                <w:szCs w:val="21"/>
                <w:highlight w:val="none"/>
              </w:rPr>
            </w:pPr>
            <w:r>
              <w:rPr>
                <w:rFonts w:hint="eastAsia" w:ascii="宋体" w:hAnsi="宋体"/>
                <w:color w:val="auto"/>
                <w:szCs w:val="21"/>
                <w:highlight w:val="none"/>
              </w:rPr>
              <w:t>3.气嘴设计：锥形气嘴，精准控制气流。</w:t>
            </w:r>
          </w:p>
          <w:p w14:paraId="2069F90E">
            <w:pPr>
              <w:spacing w:line="360" w:lineRule="exact"/>
              <w:jc w:val="left"/>
              <w:rPr>
                <w:rFonts w:ascii="宋体" w:hAnsi="宋体"/>
                <w:color w:val="auto"/>
                <w:szCs w:val="21"/>
                <w:highlight w:val="none"/>
              </w:rPr>
            </w:pPr>
            <w:r>
              <w:rPr>
                <w:rFonts w:hint="eastAsia" w:ascii="宋体" w:hAnsi="宋体"/>
                <w:color w:val="auto"/>
                <w:szCs w:val="21"/>
                <w:highlight w:val="none"/>
              </w:rPr>
              <w:t>4.底部设计：平放不倒设计。</w:t>
            </w:r>
          </w:p>
        </w:tc>
      </w:tr>
      <w:tr w14:paraId="5D1D6D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shd w:val="clear" w:color="auto" w:fill="auto"/>
            <w:vAlign w:val="center"/>
          </w:tcPr>
          <w:p w14:paraId="18F6816F">
            <w:pPr>
              <w:jc w:val="center"/>
              <w:rPr>
                <w:rFonts w:ascii="宋体" w:hAnsi="宋体"/>
                <w:color w:val="auto"/>
                <w:szCs w:val="21"/>
                <w:highlight w:val="none"/>
              </w:rPr>
            </w:pPr>
            <w:r>
              <w:rPr>
                <w:rFonts w:hint="eastAsia" w:ascii="宋体" w:hAnsi="宋体"/>
                <w:color w:val="auto"/>
                <w:szCs w:val="21"/>
                <w:highlight w:val="none"/>
              </w:rPr>
              <w:t>80</w:t>
            </w:r>
          </w:p>
        </w:tc>
        <w:tc>
          <w:tcPr>
            <w:tcW w:w="1402" w:type="dxa"/>
            <w:tcBorders>
              <w:top w:val="single" w:color="000000" w:sz="4" w:space="0"/>
              <w:left w:val="single" w:color="auto" w:sz="4" w:space="0"/>
              <w:bottom w:val="single" w:color="000000" w:sz="4" w:space="0"/>
              <w:right w:val="single" w:color="000000" w:sz="4" w:space="0"/>
            </w:tcBorders>
            <w:shd w:val="clear" w:color="auto" w:fill="auto"/>
            <w:vAlign w:val="center"/>
          </w:tcPr>
          <w:p w14:paraId="43D04DA0">
            <w:pPr>
              <w:spacing w:line="360" w:lineRule="exact"/>
              <w:jc w:val="center"/>
              <w:rPr>
                <w:rFonts w:ascii="宋体" w:hAnsi="宋体"/>
                <w:color w:val="auto"/>
                <w:szCs w:val="21"/>
                <w:highlight w:val="none"/>
              </w:rPr>
            </w:pPr>
            <w:r>
              <w:rPr>
                <w:rFonts w:hint="eastAsia" w:ascii="宋体" w:hAnsi="宋体"/>
                <w:color w:val="auto"/>
                <w:szCs w:val="21"/>
                <w:highlight w:val="none"/>
              </w:rPr>
              <w:t>相机肩带</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EC5D9">
            <w:pPr>
              <w:spacing w:line="360" w:lineRule="exact"/>
              <w:jc w:val="center"/>
              <w:rPr>
                <w:rFonts w:ascii="宋体" w:hAnsi="宋体"/>
                <w:color w:val="auto"/>
                <w:szCs w:val="21"/>
                <w:highlight w:val="none"/>
              </w:rPr>
            </w:pPr>
            <w:r>
              <w:rPr>
                <w:rFonts w:hint="eastAsia" w:ascii="宋体" w:hAnsi="宋体"/>
                <w:color w:val="auto"/>
                <w:szCs w:val="21"/>
                <w:highlight w:val="none"/>
              </w:rPr>
              <w:t>2</w:t>
            </w:r>
          </w:p>
        </w:tc>
        <w:tc>
          <w:tcPr>
            <w:tcW w:w="703" w:type="dxa"/>
            <w:tcBorders>
              <w:top w:val="single" w:color="auto" w:sz="4" w:space="0"/>
              <w:left w:val="single" w:color="000000" w:sz="4" w:space="0"/>
              <w:bottom w:val="single" w:color="000000" w:sz="4" w:space="0"/>
              <w:right w:val="single" w:color="000000" w:sz="4" w:space="0"/>
            </w:tcBorders>
            <w:shd w:val="clear" w:color="auto" w:fill="auto"/>
            <w:vAlign w:val="center"/>
          </w:tcPr>
          <w:p w14:paraId="6838DDB0">
            <w:pPr>
              <w:spacing w:line="360" w:lineRule="exact"/>
              <w:jc w:val="center"/>
              <w:rPr>
                <w:rFonts w:ascii="宋体" w:hAnsi="宋体"/>
                <w:color w:val="auto"/>
                <w:szCs w:val="21"/>
                <w:highlight w:val="none"/>
              </w:rPr>
            </w:pPr>
            <w:r>
              <w:rPr>
                <w:rFonts w:hint="eastAsia" w:ascii="宋体" w:hAnsi="宋体"/>
                <w:color w:val="auto"/>
                <w:szCs w:val="21"/>
                <w:highlight w:val="none"/>
              </w:rPr>
              <w:t>条</w:t>
            </w:r>
          </w:p>
        </w:tc>
        <w:tc>
          <w:tcPr>
            <w:tcW w:w="702" w:type="dxa"/>
            <w:vMerge w:val="continue"/>
            <w:tcBorders>
              <w:left w:val="single" w:color="000000" w:sz="4" w:space="0"/>
              <w:right w:val="single" w:color="000000" w:sz="4" w:space="0"/>
            </w:tcBorders>
            <w:shd w:val="clear" w:color="auto" w:fill="auto"/>
            <w:vAlign w:val="center"/>
          </w:tcPr>
          <w:p w14:paraId="689D8A31">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B7128">
            <w:pPr>
              <w:spacing w:line="360" w:lineRule="exact"/>
              <w:jc w:val="left"/>
              <w:rPr>
                <w:rFonts w:ascii="宋体" w:hAnsi="宋体"/>
                <w:color w:val="auto"/>
                <w:szCs w:val="21"/>
                <w:highlight w:val="none"/>
              </w:rPr>
            </w:pPr>
            <w:r>
              <w:rPr>
                <w:rFonts w:hint="eastAsia" w:ascii="宋体" w:hAnsi="宋体"/>
                <w:color w:val="auto"/>
                <w:szCs w:val="21"/>
                <w:highlight w:val="none"/>
              </w:rPr>
              <w:t>1.类型：磁吸快拆斜挎肩带。</w:t>
            </w:r>
          </w:p>
          <w:p w14:paraId="5DC1194B">
            <w:pPr>
              <w:spacing w:line="360" w:lineRule="exact"/>
              <w:jc w:val="left"/>
              <w:rPr>
                <w:rFonts w:ascii="宋体" w:hAnsi="宋体"/>
                <w:color w:val="auto"/>
                <w:szCs w:val="21"/>
                <w:highlight w:val="none"/>
              </w:rPr>
            </w:pPr>
            <w:r>
              <w:rPr>
                <w:rFonts w:hint="eastAsia" w:ascii="宋体" w:hAnsi="宋体"/>
                <w:color w:val="auto"/>
                <w:szCs w:val="21"/>
                <w:highlight w:val="none"/>
              </w:rPr>
              <w:t>2.材质：高强度尼龙/涤纶编织。</w:t>
            </w:r>
          </w:p>
          <w:p w14:paraId="53F4458F">
            <w:pPr>
              <w:spacing w:line="360" w:lineRule="exact"/>
              <w:jc w:val="left"/>
              <w:rPr>
                <w:rFonts w:ascii="宋体" w:hAnsi="宋体"/>
                <w:color w:val="auto"/>
                <w:szCs w:val="21"/>
                <w:highlight w:val="none"/>
              </w:rPr>
            </w:pPr>
            <w:r>
              <w:rPr>
                <w:rFonts w:hint="eastAsia" w:ascii="宋体" w:hAnsi="宋体"/>
                <w:color w:val="auto"/>
                <w:szCs w:val="21"/>
                <w:highlight w:val="none"/>
              </w:rPr>
              <w:t>3.快拆方式：强磁吸附。</w:t>
            </w:r>
          </w:p>
        </w:tc>
      </w:tr>
      <w:tr w14:paraId="42B626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shd w:val="clear" w:color="auto" w:fill="auto"/>
            <w:vAlign w:val="center"/>
          </w:tcPr>
          <w:p w14:paraId="4D060AF9">
            <w:pPr>
              <w:jc w:val="center"/>
              <w:rPr>
                <w:rFonts w:ascii="宋体" w:hAnsi="宋体"/>
                <w:color w:val="auto"/>
                <w:szCs w:val="21"/>
                <w:highlight w:val="none"/>
              </w:rPr>
            </w:pPr>
            <w:r>
              <w:rPr>
                <w:rFonts w:hint="eastAsia" w:ascii="宋体" w:hAnsi="宋体"/>
                <w:color w:val="auto"/>
                <w:szCs w:val="21"/>
                <w:highlight w:val="none"/>
              </w:rPr>
              <w:t>81</w:t>
            </w:r>
          </w:p>
        </w:tc>
        <w:tc>
          <w:tcPr>
            <w:tcW w:w="1402" w:type="dxa"/>
            <w:tcBorders>
              <w:top w:val="single" w:color="000000" w:sz="4" w:space="0"/>
              <w:left w:val="single" w:color="auto" w:sz="4" w:space="0"/>
              <w:bottom w:val="single" w:color="000000" w:sz="4" w:space="0"/>
              <w:right w:val="single" w:color="000000" w:sz="4" w:space="0"/>
            </w:tcBorders>
            <w:shd w:val="clear" w:color="auto" w:fill="auto"/>
            <w:vAlign w:val="center"/>
          </w:tcPr>
          <w:p w14:paraId="7BDFCCF8">
            <w:pPr>
              <w:spacing w:line="360" w:lineRule="exact"/>
              <w:jc w:val="center"/>
              <w:rPr>
                <w:rFonts w:ascii="宋体" w:hAnsi="宋体"/>
                <w:color w:val="auto"/>
                <w:szCs w:val="21"/>
                <w:highlight w:val="none"/>
              </w:rPr>
            </w:pPr>
            <w:r>
              <w:rPr>
                <w:rFonts w:hint="eastAsia" w:ascii="宋体" w:hAnsi="宋体"/>
                <w:color w:val="auto"/>
                <w:szCs w:val="21"/>
                <w:highlight w:val="none"/>
              </w:rPr>
              <w:t>设备防潮柜</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7301E">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703" w:type="dxa"/>
            <w:tcBorders>
              <w:top w:val="single" w:color="auto" w:sz="4" w:space="0"/>
              <w:left w:val="single" w:color="000000" w:sz="4" w:space="0"/>
              <w:bottom w:val="single" w:color="000000" w:sz="4" w:space="0"/>
              <w:right w:val="single" w:color="000000" w:sz="4" w:space="0"/>
            </w:tcBorders>
            <w:shd w:val="clear" w:color="auto" w:fill="auto"/>
            <w:vAlign w:val="center"/>
          </w:tcPr>
          <w:p w14:paraId="1B8DC9A4">
            <w:pPr>
              <w:spacing w:line="360" w:lineRule="exact"/>
              <w:jc w:val="center"/>
              <w:rPr>
                <w:rFonts w:ascii="宋体" w:hAnsi="宋体"/>
                <w:color w:val="auto"/>
                <w:szCs w:val="21"/>
                <w:highlight w:val="none"/>
              </w:rPr>
            </w:pPr>
            <w:r>
              <w:rPr>
                <w:rFonts w:hint="eastAsia" w:ascii="宋体" w:hAnsi="宋体"/>
                <w:color w:val="auto"/>
                <w:szCs w:val="21"/>
                <w:highlight w:val="none"/>
              </w:rPr>
              <w:t>个</w:t>
            </w:r>
          </w:p>
        </w:tc>
        <w:tc>
          <w:tcPr>
            <w:tcW w:w="702" w:type="dxa"/>
            <w:vMerge w:val="continue"/>
            <w:tcBorders>
              <w:left w:val="single" w:color="000000" w:sz="4" w:space="0"/>
              <w:right w:val="single" w:color="000000" w:sz="4" w:space="0"/>
            </w:tcBorders>
            <w:shd w:val="clear" w:color="auto" w:fill="auto"/>
            <w:vAlign w:val="center"/>
          </w:tcPr>
          <w:p w14:paraId="297D4AC8">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AA8F5">
            <w:pPr>
              <w:spacing w:line="360" w:lineRule="exact"/>
              <w:jc w:val="left"/>
              <w:rPr>
                <w:rFonts w:ascii="宋体" w:hAnsi="宋体"/>
                <w:color w:val="auto"/>
                <w:szCs w:val="21"/>
                <w:highlight w:val="none"/>
              </w:rPr>
            </w:pPr>
            <w:r>
              <w:rPr>
                <w:rFonts w:hint="eastAsia" w:ascii="宋体" w:hAnsi="宋体"/>
                <w:color w:val="auto"/>
                <w:szCs w:val="21"/>
                <w:highlight w:val="none"/>
              </w:rPr>
              <w:t>1.容量：≥100L。</w:t>
            </w:r>
          </w:p>
          <w:p w14:paraId="1C2091BA">
            <w:pPr>
              <w:spacing w:line="360" w:lineRule="exact"/>
              <w:jc w:val="left"/>
              <w:rPr>
                <w:rFonts w:ascii="宋体" w:hAnsi="宋体"/>
                <w:color w:val="auto"/>
                <w:szCs w:val="21"/>
                <w:highlight w:val="none"/>
              </w:rPr>
            </w:pPr>
            <w:r>
              <w:rPr>
                <w:rFonts w:hint="eastAsia" w:ascii="宋体" w:hAnsi="宋体"/>
                <w:color w:val="auto"/>
                <w:szCs w:val="21"/>
                <w:highlight w:val="none"/>
              </w:rPr>
              <w:t>2.除湿功率：≥10W。</w:t>
            </w:r>
          </w:p>
          <w:p w14:paraId="2883546E">
            <w:pPr>
              <w:spacing w:line="360" w:lineRule="exact"/>
              <w:jc w:val="left"/>
              <w:rPr>
                <w:rFonts w:ascii="宋体" w:hAnsi="宋体"/>
                <w:color w:val="auto"/>
                <w:szCs w:val="21"/>
                <w:highlight w:val="none"/>
              </w:rPr>
            </w:pPr>
            <w:r>
              <w:rPr>
                <w:rFonts w:hint="eastAsia" w:ascii="宋体" w:hAnsi="宋体"/>
                <w:color w:val="auto"/>
                <w:szCs w:val="21"/>
                <w:highlight w:val="none"/>
              </w:rPr>
              <w:t>3.除湿范围：25%—65%RH（精度±3%）。</w:t>
            </w:r>
          </w:p>
          <w:p w14:paraId="514ABADB">
            <w:pPr>
              <w:spacing w:line="360" w:lineRule="exact"/>
              <w:jc w:val="left"/>
              <w:rPr>
                <w:rFonts w:ascii="宋体" w:hAnsi="宋体"/>
                <w:color w:val="auto"/>
                <w:szCs w:val="21"/>
                <w:highlight w:val="none"/>
              </w:rPr>
            </w:pPr>
            <w:r>
              <w:rPr>
                <w:rFonts w:hint="eastAsia" w:ascii="宋体" w:hAnsi="宋体"/>
                <w:color w:val="auto"/>
                <w:szCs w:val="21"/>
                <w:highlight w:val="none"/>
              </w:rPr>
              <w:t>4.控制方式：微电脑全自动控制。</w:t>
            </w:r>
          </w:p>
          <w:p w14:paraId="3AEF348F">
            <w:pPr>
              <w:spacing w:line="360" w:lineRule="exact"/>
              <w:jc w:val="left"/>
              <w:rPr>
                <w:rFonts w:ascii="宋体" w:hAnsi="宋体"/>
                <w:color w:val="auto"/>
                <w:szCs w:val="21"/>
                <w:highlight w:val="none"/>
              </w:rPr>
            </w:pPr>
            <w:r>
              <w:rPr>
                <w:rFonts w:hint="eastAsia" w:ascii="宋体" w:hAnsi="宋体"/>
                <w:color w:val="auto"/>
                <w:szCs w:val="21"/>
                <w:highlight w:val="none"/>
              </w:rPr>
              <w:t>5.显示方式：LED数字湿度表，实时监测。</w:t>
            </w:r>
          </w:p>
          <w:p w14:paraId="05C012FE">
            <w:pPr>
              <w:spacing w:line="360" w:lineRule="exact"/>
              <w:jc w:val="left"/>
              <w:rPr>
                <w:rFonts w:ascii="宋体" w:hAnsi="宋体"/>
                <w:color w:val="auto"/>
                <w:szCs w:val="21"/>
                <w:highlight w:val="none"/>
              </w:rPr>
            </w:pPr>
            <w:r>
              <w:rPr>
                <w:rFonts w:hint="eastAsia" w:ascii="宋体" w:hAnsi="宋体"/>
                <w:color w:val="auto"/>
                <w:szCs w:val="21"/>
                <w:highlight w:val="none"/>
              </w:rPr>
              <w:t>6.层板配置：可调节层板≥3层。</w:t>
            </w:r>
          </w:p>
          <w:p w14:paraId="34A540DD">
            <w:pPr>
              <w:spacing w:line="360" w:lineRule="exact"/>
              <w:jc w:val="left"/>
              <w:rPr>
                <w:rFonts w:ascii="宋体" w:hAnsi="宋体"/>
                <w:color w:val="auto"/>
                <w:szCs w:val="21"/>
                <w:highlight w:val="none"/>
              </w:rPr>
            </w:pPr>
            <w:r>
              <w:rPr>
                <w:rFonts w:hint="eastAsia" w:ascii="宋体" w:hAnsi="宋体"/>
                <w:color w:val="auto"/>
                <w:szCs w:val="21"/>
                <w:highlight w:val="none"/>
              </w:rPr>
              <w:t>7.柜体材质：优质冷轧钢板，防锈喷涂。</w:t>
            </w:r>
          </w:p>
        </w:tc>
      </w:tr>
      <w:tr w14:paraId="57F98E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shd w:val="clear" w:color="auto" w:fill="auto"/>
            <w:vAlign w:val="center"/>
          </w:tcPr>
          <w:p w14:paraId="60F6336E">
            <w:pPr>
              <w:jc w:val="center"/>
              <w:rPr>
                <w:rFonts w:ascii="宋体" w:hAnsi="宋体"/>
                <w:color w:val="auto"/>
                <w:szCs w:val="21"/>
                <w:highlight w:val="none"/>
              </w:rPr>
            </w:pPr>
            <w:r>
              <w:rPr>
                <w:rFonts w:hint="eastAsia" w:ascii="宋体" w:hAnsi="宋体"/>
                <w:color w:val="auto"/>
                <w:szCs w:val="21"/>
                <w:highlight w:val="none"/>
              </w:rPr>
              <w:t>82</w:t>
            </w:r>
          </w:p>
        </w:tc>
        <w:tc>
          <w:tcPr>
            <w:tcW w:w="1402" w:type="dxa"/>
            <w:tcBorders>
              <w:top w:val="single" w:color="000000" w:sz="4" w:space="0"/>
              <w:left w:val="single" w:color="auto" w:sz="4" w:space="0"/>
              <w:bottom w:val="single" w:color="000000" w:sz="4" w:space="0"/>
              <w:right w:val="single" w:color="000000" w:sz="4" w:space="0"/>
            </w:tcBorders>
            <w:shd w:val="clear" w:color="auto" w:fill="auto"/>
            <w:vAlign w:val="center"/>
          </w:tcPr>
          <w:p w14:paraId="601FDD79">
            <w:pPr>
              <w:spacing w:line="360" w:lineRule="exact"/>
              <w:jc w:val="center"/>
              <w:rPr>
                <w:rFonts w:ascii="宋体" w:hAnsi="宋体"/>
                <w:color w:val="auto"/>
                <w:szCs w:val="21"/>
                <w:highlight w:val="none"/>
              </w:rPr>
            </w:pPr>
            <w:r>
              <w:rPr>
                <w:rFonts w:hint="eastAsia" w:ascii="宋体" w:hAnsi="宋体"/>
                <w:color w:val="auto"/>
                <w:szCs w:val="21"/>
                <w:highlight w:val="none"/>
              </w:rPr>
              <w:t>平板电脑</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054FB">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703" w:type="dxa"/>
            <w:tcBorders>
              <w:top w:val="single" w:color="auto" w:sz="4" w:space="0"/>
              <w:left w:val="single" w:color="000000" w:sz="4" w:space="0"/>
              <w:bottom w:val="single" w:color="000000" w:sz="4" w:space="0"/>
              <w:right w:val="single" w:color="000000" w:sz="4" w:space="0"/>
            </w:tcBorders>
            <w:shd w:val="clear" w:color="auto" w:fill="auto"/>
            <w:vAlign w:val="center"/>
          </w:tcPr>
          <w:p w14:paraId="7348FBD8">
            <w:pPr>
              <w:spacing w:line="360" w:lineRule="exact"/>
              <w:jc w:val="center"/>
              <w:rPr>
                <w:rFonts w:ascii="宋体" w:hAnsi="宋体"/>
                <w:color w:val="auto"/>
                <w:szCs w:val="21"/>
                <w:highlight w:val="none"/>
              </w:rPr>
            </w:pPr>
            <w:r>
              <w:rPr>
                <w:rFonts w:hint="eastAsia" w:ascii="宋体" w:hAnsi="宋体"/>
                <w:color w:val="auto"/>
                <w:szCs w:val="21"/>
                <w:highlight w:val="none"/>
              </w:rPr>
              <w:t>台</w:t>
            </w:r>
          </w:p>
        </w:tc>
        <w:tc>
          <w:tcPr>
            <w:tcW w:w="702" w:type="dxa"/>
            <w:vMerge w:val="continue"/>
            <w:tcBorders>
              <w:left w:val="single" w:color="000000" w:sz="4" w:space="0"/>
              <w:right w:val="single" w:color="000000" w:sz="4" w:space="0"/>
            </w:tcBorders>
            <w:shd w:val="clear" w:color="auto" w:fill="auto"/>
            <w:vAlign w:val="center"/>
          </w:tcPr>
          <w:p w14:paraId="51F2856E">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59F75">
            <w:pPr>
              <w:spacing w:line="360" w:lineRule="exact"/>
              <w:jc w:val="left"/>
              <w:rPr>
                <w:rFonts w:ascii="宋体" w:hAnsi="宋体"/>
                <w:color w:val="auto"/>
                <w:szCs w:val="21"/>
                <w:highlight w:val="none"/>
              </w:rPr>
            </w:pPr>
            <w:r>
              <w:rPr>
                <w:rFonts w:hint="eastAsia" w:ascii="宋体" w:hAnsi="宋体"/>
                <w:color w:val="auto"/>
                <w:szCs w:val="21"/>
                <w:highlight w:val="none"/>
              </w:rPr>
              <w:t>1.操作系统：参考或相当于HarmonyOS 6.0。</w:t>
            </w:r>
          </w:p>
          <w:p w14:paraId="6CF324D1">
            <w:pPr>
              <w:spacing w:line="360" w:lineRule="exact"/>
              <w:jc w:val="left"/>
              <w:rPr>
                <w:rFonts w:ascii="宋体" w:hAnsi="宋体"/>
                <w:color w:val="auto"/>
                <w:szCs w:val="21"/>
                <w:highlight w:val="none"/>
              </w:rPr>
            </w:pPr>
            <w:r>
              <w:rPr>
                <w:rFonts w:hint="eastAsia" w:ascii="宋体" w:hAnsi="宋体"/>
                <w:color w:val="auto"/>
                <w:szCs w:val="21"/>
                <w:highlight w:val="none"/>
              </w:rPr>
              <w:t>2.屏幕类型：LCD。</w:t>
            </w:r>
          </w:p>
          <w:p w14:paraId="46D8538C">
            <w:pPr>
              <w:spacing w:line="360" w:lineRule="exact"/>
              <w:jc w:val="left"/>
              <w:rPr>
                <w:rFonts w:ascii="宋体" w:hAnsi="宋体"/>
                <w:color w:val="auto"/>
                <w:szCs w:val="21"/>
                <w:highlight w:val="none"/>
              </w:rPr>
            </w:pPr>
            <w:r>
              <w:rPr>
                <w:rFonts w:hint="eastAsia" w:ascii="宋体" w:hAnsi="宋体"/>
                <w:color w:val="auto"/>
                <w:szCs w:val="21"/>
                <w:highlight w:val="none"/>
              </w:rPr>
              <w:t>3.屏幕尺寸：≥12英寸。</w:t>
            </w:r>
          </w:p>
          <w:p w14:paraId="7409F1CE">
            <w:pPr>
              <w:spacing w:line="360" w:lineRule="exact"/>
              <w:jc w:val="left"/>
              <w:rPr>
                <w:rFonts w:ascii="宋体" w:hAnsi="宋体"/>
                <w:color w:val="auto"/>
                <w:szCs w:val="21"/>
                <w:highlight w:val="none"/>
              </w:rPr>
            </w:pPr>
            <w:r>
              <w:rPr>
                <w:rFonts w:hint="eastAsia" w:ascii="宋体" w:hAnsi="宋体"/>
                <w:color w:val="auto"/>
                <w:szCs w:val="21"/>
                <w:highlight w:val="none"/>
              </w:rPr>
              <w:t>4.存储容量（ROM）：256GB。</w:t>
            </w:r>
          </w:p>
          <w:p w14:paraId="3C8E64C5">
            <w:pPr>
              <w:spacing w:line="360" w:lineRule="exact"/>
              <w:jc w:val="left"/>
              <w:rPr>
                <w:rFonts w:ascii="宋体" w:hAnsi="宋体"/>
                <w:color w:val="auto"/>
                <w:szCs w:val="21"/>
                <w:highlight w:val="none"/>
              </w:rPr>
            </w:pPr>
            <w:r>
              <w:rPr>
                <w:rFonts w:hint="eastAsia" w:ascii="宋体" w:hAnsi="宋体"/>
                <w:color w:val="auto"/>
                <w:szCs w:val="21"/>
                <w:highlight w:val="none"/>
              </w:rPr>
              <w:t>5.数据传输接口：USB、Wi-Fi、蓝牙、星闪。</w:t>
            </w:r>
          </w:p>
          <w:p w14:paraId="3DBCBA00">
            <w:pPr>
              <w:spacing w:line="360" w:lineRule="exact"/>
              <w:jc w:val="left"/>
              <w:rPr>
                <w:rFonts w:ascii="宋体" w:hAnsi="宋体"/>
                <w:color w:val="auto"/>
                <w:szCs w:val="21"/>
                <w:highlight w:val="none"/>
              </w:rPr>
            </w:pPr>
            <w:r>
              <w:rPr>
                <w:rFonts w:hint="eastAsia" w:ascii="宋体" w:hAnsi="宋体"/>
                <w:color w:val="auto"/>
                <w:szCs w:val="21"/>
                <w:highlight w:val="none"/>
              </w:rPr>
              <w:t>6.电池容量：10100mAh（典型值）。</w:t>
            </w:r>
          </w:p>
          <w:p w14:paraId="6A3D97E8">
            <w:pPr>
              <w:spacing w:line="360" w:lineRule="exact"/>
              <w:jc w:val="left"/>
              <w:rPr>
                <w:b/>
                <w:bCs/>
                <w:color w:val="auto"/>
                <w:szCs w:val="21"/>
                <w:highlight w:val="none"/>
              </w:rPr>
            </w:pPr>
            <w:r>
              <w:rPr>
                <w:rFonts w:hint="eastAsia" w:ascii="宋体" w:hAnsi="宋体"/>
                <w:color w:val="auto"/>
                <w:szCs w:val="21"/>
                <w:highlight w:val="none"/>
              </w:rPr>
              <w:t>7.所竞产品必须通过中国强制性产品认证（CCC/3C认证）。</w:t>
            </w:r>
          </w:p>
        </w:tc>
      </w:tr>
      <w:tr w14:paraId="56E8E5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shd w:val="clear" w:color="auto" w:fill="auto"/>
            <w:vAlign w:val="center"/>
          </w:tcPr>
          <w:p w14:paraId="1BDBA714">
            <w:pPr>
              <w:jc w:val="center"/>
              <w:rPr>
                <w:rFonts w:ascii="宋体" w:hAnsi="宋体"/>
                <w:color w:val="auto"/>
                <w:szCs w:val="21"/>
                <w:highlight w:val="none"/>
              </w:rPr>
            </w:pPr>
            <w:r>
              <w:rPr>
                <w:rFonts w:hint="eastAsia" w:ascii="宋体" w:hAnsi="宋体"/>
                <w:color w:val="auto"/>
                <w:szCs w:val="21"/>
                <w:highlight w:val="none"/>
              </w:rPr>
              <w:t>83</w:t>
            </w:r>
          </w:p>
        </w:tc>
        <w:tc>
          <w:tcPr>
            <w:tcW w:w="1402" w:type="dxa"/>
            <w:tcBorders>
              <w:top w:val="single" w:color="000000" w:sz="4" w:space="0"/>
              <w:left w:val="single" w:color="auto" w:sz="4" w:space="0"/>
              <w:bottom w:val="single" w:color="000000" w:sz="4" w:space="0"/>
              <w:right w:val="single" w:color="000000" w:sz="4" w:space="0"/>
            </w:tcBorders>
            <w:shd w:val="clear" w:color="auto" w:fill="auto"/>
            <w:vAlign w:val="center"/>
          </w:tcPr>
          <w:p w14:paraId="54A56C0D">
            <w:pPr>
              <w:spacing w:line="360" w:lineRule="exact"/>
              <w:jc w:val="center"/>
              <w:rPr>
                <w:rFonts w:ascii="宋体" w:hAnsi="宋体"/>
                <w:color w:val="auto"/>
                <w:szCs w:val="21"/>
                <w:highlight w:val="none"/>
              </w:rPr>
            </w:pPr>
            <w:r>
              <w:rPr>
                <w:rFonts w:hint="eastAsia" w:ascii="宋体" w:hAnsi="宋体"/>
                <w:color w:val="auto"/>
                <w:szCs w:val="21"/>
                <w:highlight w:val="none"/>
              </w:rPr>
              <w:t>相机提词器</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F1AFE">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703" w:type="dxa"/>
            <w:tcBorders>
              <w:top w:val="single" w:color="auto" w:sz="4" w:space="0"/>
              <w:left w:val="single" w:color="000000" w:sz="4" w:space="0"/>
              <w:bottom w:val="single" w:color="000000" w:sz="4" w:space="0"/>
              <w:right w:val="single" w:color="000000" w:sz="4" w:space="0"/>
            </w:tcBorders>
            <w:shd w:val="clear" w:color="auto" w:fill="auto"/>
            <w:vAlign w:val="center"/>
          </w:tcPr>
          <w:p w14:paraId="4F2B6E2B">
            <w:pPr>
              <w:spacing w:line="360" w:lineRule="exact"/>
              <w:jc w:val="center"/>
              <w:rPr>
                <w:rFonts w:ascii="宋体" w:hAnsi="宋体"/>
                <w:color w:val="auto"/>
                <w:szCs w:val="21"/>
                <w:highlight w:val="none"/>
              </w:rPr>
            </w:pPr>
            <w:r>
              <w:rPr>
                <w:rFonts w:hint="eastAsia" w:ascii="宋体" w:hAnsi="宋体"/>
                <w:color w:val="auto"/>
                <w:szCs w:val="21"/>
                <w:highlight w:val="none"/>
              </w:rPr>
              <w:t>个</w:t>
            </w:r>
          </w:p>
        </w:tc>
        <w:tc>
          <w:tcPr>
            <w:tcW w:w="702" w:type="dxa"/>
            <w:vMerge w:val="continue"/>
            <w:tcBorders>
              <w:left w:val="single" w:color="000000" w:sz="4" w:space="0"/>
              <w:right w:val="single" w:color="000000" w:sz="4" w:space="0"/>
            </w:tcBorders>
            <w:shd w:val="clear" w:color="auto" w:fill="auto"/>
            <w:vAlign w:val="center"/>
          </w:tcPr>
          <w:p w14:paraId="502E570A">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DF84C">
            <w:pPr>
              <w:spacing w:line="360" w:lineRule="exact"/>
              <w:jc w:val="left"/>
              <w:rPr>
                <w:rFonts w:ascii="宋体" w:hAnsi="宋体"/>
                <w:color w:val="auto"/>
                <w:szCs w:val="21"/>
                <w:highlight w:val="none"/>
              </w:rPr>
            </w:pPr>
            <w:r>
              <w:rPr>
                <w:rFonts w:hint="eastAsia" w:ascii="宋体" w:hAnsi="宋体"/>
                <w:color w:val="auto"/>
                <w:szCs w:val="21"/>
                <w:highlight w:val="none"/>
              </w:rPr>
              <w:t>1.类型：便携式提词器。</w:t>
            </w:r>
          </w:p>
          <w:p w14:paraId="24BB3109">
            <w:pPr>
              <w:spacing w:line="360" w:lineRule="exact"/>
              <w:jc w:val="left"/>
              <w:rPr>
                <w:rFonts w:ascii="宋体" w:hAnsi="宋体"/>
                <w:color w:val="auto"/>
                <w:szCs w:val="21"/>
                <w:highlight w:val="none"/>
              </w:rPr>
            </w:pPr>
            <w:r>
              <w:rPr>
                <w:rFonts w:hint="eastAsia" w:ascii="宋体" w:hAnsi="宋体"/>
                <w:color w:val="auto"/>
                <w:szCs w:val="21"/>
                <w:highlight w:val="none"/>
              </w:rPr>
              <w:t>2.兼容性：手机/平板通用（支持4.7-12.9英寸设备）。</w:t>
            </w:r>
          </w:p>
          <w:p w14:paraId="3C54ED4D">
            <w:pPr>
              <w:spacing w:line="360" w:lineRule="exact"/>
              <w:jc w:val="left"/>
              <w:rPr>
                <w:rFonts w:ascii="宋体" w:hAnsi="宋体"/>
                <w:color w:val="auto"/>
                <w:szCs w:val="21"/>
                <w:highlight w:val="none"/>
              </w:rPr>
            </w:pPr>
            <w:r>
              <w:rPr>
                <w:rFonts w:hint="eastAsia" w:ascii="宋体" w:hAnsi="宋体"/>
                <w:color w:val="auto"/>
                <w:szCs w:val="21"/>
                <w:highlight w:val="none"/>
              </w:rPr>
              <w:t>3.分光镜：高透光率光学玻璃，文字叠加清晰。</w:t>
            </w:r>
          </w:p>
          <w:p w14:paraId="2120844F">
            <w:pPr>
              <w:spacing w:line="360" w:lineRule="exact"/>
              <w:jc w:val="left"/>
              <w:rPr>
                <w:rFonts w:ascii="宋体" w:hAnsi="宋体"/>
                <w:color w:val="auto"/>
                <w:szCs w:val="21"/>
                <w:highlight w:val="none"/>
              </w:rPr>
            </w:pPr>
            <w:r>
              <w:rPr>
                <w:rFonts w:hint="eastAsia" w:ascii="宋体" w:hAnsi="宋体"/>
                <w:color w:val="auto"/>
                <w:szCs w:val="21"/>
                <w:highlight w:val="none"/>
              </w:rPr>
              <w:t>4.支持屏幕尺寸：≥7英寸。</w:t>
            </w:r>
          </w:p>
          <w:p w14:paraId="77807C4C">
            <w:pPr>
              <w:spacing w:line="360" w:lineRule="exact"/>
              <w:jc w:val="left"/>
              <w:rPr>
                <w:rFonts w:ascii="宋体" w:hAnsi="宋体"/>
                <w:color w:val="auto"/>
                <w:szCs w:val="21"/>
                <w:highlight w:val="none"/>
              </w:rPr>
            </w:pPr>
            <w:r>
              <w:rPr>
                <w:rFonts w:hint="eastAsia" w:ascii="宋体" w:hAnsi="宋体"/>
                <w:color w:val="auto"/>
                <w:szCs w:val="21"/>
                <w:highlight w:val="none"/>
              </w:rPr>
              <w:t>5.调节功能：字体大小、颜色、滚动速度可调。</w:t>
            </w:r>
          </w:p>
          <w:p w14:paraId="172D7941">
            <w:pPr>
              <w:spacing w:line="360" w:lineRule="exact"/>
              <w:jc w:val="left"/>
              <w:rPr>
                <w:rFonts w:ascii="宋体" w:hAnsi="宋体"/>
                <w:color w:val="auto"/>
                <w:szCs w:val="21"/>
                <w:highlight w:val="none"/>
              </w:rPr>
            </w:pPr>
            <w:r>
              <w:rPr>
                <w:rFonts w:hint="eastAsia" w:ascii="宋体" w:hAnsi="宋体"/>
                <w:color w:val="auto"/>
                <w:szCs w:val="21"/>
                <w:highlight w:val="none"/>
              </w:rPr>
              <w:t>6.控制方式：蓝牙遥控/手柄调速。</w:t>
            </w:r>
          </w:p>
          <w:p w14:paraId="46918004">
            <w:pPr>
              <w:spacing w:line="360" w:lineRule="exact"/>
              <w:jc w:val="left"/>
              <w:rPr>
                <w:rFonts w:ascii="宋体" w:hAnsi="宋体"/>
                <w:color w:val="auto"/>
                <w:szCs w:val="21"/>
                <w:highlight w:val="none"/>
              </w:rPr>
            </w:pPr>
            <w:r>
              <w:rPr>
                <w:rFonts w:hint="eastAsia" w:ascii="宋体" w:hAnsi="宋体"/>
                <w:color w:val="auto"/>
                <w:szCs w:val="21"/>
                <w:highlight w:val="none"/>
              </w:rPr>
              <w:t>7.供电方式：内置锂电池或USB供电。</w:t>
            </w:r>
          </w:p>
        </w:tc>
      </w:tr>
      <w:tr w14:paraId="08ADE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shd w:val="clear" w:color="auto" w:fill="auto"/>
            <w:vAlign w:val="center"/>
          </w:tcPr>
          <w:p w14:paraId="3FB0CE1A">
            <w:pPr>
              <w:jc w:val="center"/>
              <w:rPr>
                <w:rFonts w:ascii="宋体" w:hAnsi="宋体"/>
                <w:color w:val="auto"/>
                <w:szCs w:val="21"/>
                <w:highlight w:val="none"/>
              </w:rPr>
            </w:pPr>
            <w:r>
              <w:rPr>
                <w:rFonts w:hint="eastAsia" w:ascii="宋体" w:hAnsi="宋体"/>
                <w:color w:val="auto"/>
                <w:szCs w:val="21"/>
                <w:highlight w:val="none"/>
              </w:rPr>
              <w:t>84</w:t>
            </w:r>
          </w:p>
        </w:tc>
        <w:tc>
          <w:tcPr>
            <w:tcW w:w="1402" w:type="dxa"/>
            <w:tcBorders>
              <w:top w:val="single" w:color="000000" w:sz="4" w:space="0"/>
              <w:left w:val="single" w:color="auto" w:sz="4" w:space="0"/>
              <w:bottom w:val="single" w:color="000000" w:sz="4" w:space="0"/>
              <w:right w:val="single" w:color="000000" w:sz="4" w:space="0"/>
            </w:tcBorders>
            <w:shd w:val="clear" w:color="auto" w:fill="auto"/>
            <w:vAlign w:val="center"/>
          </w:tcPr>
          <w:p w14:paraId="7CDF9834">
            <w:pPr>
              <w:spacing w:line="360" w:lineRule="exact"/>
              <w:jc w:val="center"/>
              <w:rPr>
                <w:rFonts w:ascii="宋体" w:hAnsi="宋体"/>
                <w:color w:val="auto"/>
                <w:szCs w:val="21"/>
                <w:highlight w:val="none"/>
              </w:rPr>
            </w:pPr>
            <w:r>
              <w:rPr>
                <w:rFonts w:hint="eastAsia" w:ascii="宋体" w:hAnsi="宋体"/>
                <w:color w:val="auto"/>
                <w:szCs w:val="21"/>
                <w:highlight w:val="none"/>
              </w:rPr>
              <w:t>相机电池充电器</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EFE26">
            <w:pPr>
              <w:spacing w:line="360" w:lineRule="exact"/>
              <w:jc w:val="center"/>
              <w:rPr>
                <w:rFonts w:ascii="宋体" w:hAnsi="宋体"/>
                <w:color w:val="auto"/>
                <w:szCs w:val="21"/>
                <w:highlight w:val="none"/>
              </w:rPr>
            </w:pPr>
            <w:r>
              <w:rPr>
                <w:rFonts w:hint="eastAsia" w:ascii="宋体" w:hAnsi="宋体"/>
                <w:color w:val="auto"/>
                <w:szCs w:val="21"/>
                <w:highlight w:val="none"/>
              </w:rPr>
              <w:t>2</w:t>
            </w:r>
          </w:p>
        </w:tc>
        <w:tc>
          <w:tcPr>
            <w:tcW w:w="703" w:type="dxa"/>
            <w:tcBorders>
              <w:top w:val="single" w:color="auto" w:sz="4" w:space="0"/>
              <w:left w:val="single" w:color="000000" w:sz="4" w:space="0"/>
              <w:bottom w:val="single" w:color="000000" w:sz="4" w:space="0"/>
              <w:right w:val="single" w:color="000000" w:sz="4" w:space="0"/>
            </w:tcBorders>
            <w:shd w:val="clear" w:color="auto" w:fill="auto"/>
            <w:vAlign w:val="center"/>
          </w:tcPr>
          <w:p w14:paraId="0DC8CA01">
            <w:pPr>
              <w:spacing w:line="360" w:lineRule="exact"/>
              <w:jc w:val="center"/>
              <w:rPr>
                <w:rFonts w:ascii="宋体" w:hAnsi="宋体"/>
                <w:color w:val="auto"/>
                <w:szCs w:val="21"/>
                <w:highlight w:val="none"/>
              </w:rPr>
            </w:pPr>
            <w:r>
              <w:rPr>
                <w:rFonts w:hint="eastAsia" w:ascii="宋体" w:hAnsi="宋体"/>
                <w:color w:val="auto"/>
                <w:szCs w:val="21"/>
                <w:highlight w:val="none"/>
              </w:rPr>
              <w:t>个</w:t>
            </w:r>
          </w:p>
        </w:tc>
        <w:tc>
          <w:tcPr>
            <w:tcW w:w="702" w:type="dxa"/>
            <w:vMerge w:val="continue"/>
            <w:tcBorders>
              <w:left w:val="single" w:color="000000" w:sz="4" w:space="0"/>
              <w:right w:val="single" w:color="000000" w:sz="4" w:space="0"/>
            </w:tcBorders>
            <w:shd w:val="clear" w:color="auto" w:fill="auto"/>
            <w:vAlign w:val="center"/>
          </w:tcPr>
          <w:p w14:paraId="6AFA45CD">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4C794">
            <w:pPr>
              <w:spacing w:line="360" w:lineRule="exact"/>
              <w:jc w:val="left"/>
              <w:rPr>
                <w:rFonts w:ascii="宋体" w:hAnsi="宋体"/>
                <w:color w:val="auto"/>
                <w:szCs w:val="21"/>
                <w:highlight w:val="none"/>
              </w:rPr>
            </w:pPr>
            <w:r>
              <w:rPr>
                <w:rFonts w:hint="eastAsia" w:ascii="宋体" w:hAnsi="宋体"/>
                <w:color w:val="auto"/>
                <w:szCs w:val="21"/>
                <w:highlight w:val="none"/>
              </w:rPr>
              <w:t>1.输入电压：AC100-240V宽电压。</w:t>
            </w:r>
            <w:r>
              <w:rPr>
                <w:rFonts w:hint="eastAsia" w:ascii="宋体" w:hAnsi="宋体"/>
                <w:color w:val="auto"/>
                <w:szCs w:val="21"/>
                <w:highlight w:val="none"/>
              </w:rPr>
              <w:br w:type="textWrapping"/>
            </w:r>
            <w:r>
              <w:rPr>
                <w:rFonts w:hint="eastAsia" w:ascii="宋体" w:hAnsi="宋体"/>
                <w:color w:val="auto"/>
                <w:szCs w:val="21"/>
                <w:highlight w:val="none"/>
              </w:rPr>
              <w:t>2.输出电压：DC8.4V。</w:t>
            </w:r>
            <w:r>
              <w:rPr>
                <w:rFonts w:hint="eastAsia" w:ascii="宋体" w:hAnsi="宋体"/>
                <w:color w:val="auto"/>
                <w:szCs w:val="21"/>
                <w:highlight w:val="none"/>
              </w:rPr>
              <w:br w:type="textWrapping"/>
            </w:r>
            <w:r>
              <w:rPr>
                <w:rFonts w:hint="eastAsia" w:ascii="宋体" w:hAnsi="宋体"/>
                <w:color w:val="auto"/>
                <w:szCs w:val="21"/>
                <w:highlight w:val="none"/>
              </w:rPr>
              <w:t>3.充电电流：≥2A。</w:t>
            </w:r>
            <w:r>
              <w:rPr>
                <w:rFonts w:hint="eastAsia" w:ascii="宋体" w:hAnsi="宋体"/>
                <w:color w:val="auto"/>
                <w:szCs w:val="21"/>
                <w:highlight w:val="none"/>
              </w:rPr>
              <w:br w:type="textWrapping"/>
            </w:r>
            <w:r>
              <w:rPr>
                <w:rFonts w:hint="eastAsia" w:ascii="宋体" w:hAnsi="宋体"/>
                <w:color w:val="auto"/>
                <w:szCs w:val="21"/>
                <w:highlight w:val="none"/>
              </w:rPr>
              <w:t>4.接口类型：USB Type-C。</w:t>
            </w:r>
          </w:p>
          <w:p w14:paraId="35794737">
            <w:pPr>
              <w:spacing w:line="360" w:lineRule="exact"/>
              <w:jc w:val="left"/>
              <w:rPr>
                <w:rFonts w:ascii="宋体" w:hAnsi="宋体"/>
                <w:color w:val="auto"/>
                <w:szCs w:val="21"/>
                <w:highlight w:val="none"/>
              </w:rPr>
            </w:pPr>
            <w:r>
              <w:rPr>
                <w:rFonts w:hint="eastAsia" w:ascii="宋体" w:hAnsi="宋体"/>
                <w:color w:val="auto"/>
                <w:szCs w:val="21"/>
                <w:highlight w:val="none"/>
              </w:rPr>
              <w:t>5.所竞产品必须通过中国强制性产品认证（CCC/3C认证）。</w:t>
            </w:r>
          </w:p>
        </w:tc>
      </w:tr>
      <w:tr w14:paraId="5C828B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shd w:val="clear" w:color="auto" w:fill="auto"/>
            <w:vAlign w:val="center"/>
          </w:tcPr>
          <w:p w14:paraId="12E8F832">
            <w:pPr>
              <w:jc w:val="center"/>
              <w:rPr>
                <w:rFonts w:ascii="宋体" w:hAnsi="宋体"/>
                <w:color w:val="auto"/>
                <w:szCs w:val="21"/>
                <w:highlight w:val="none"/>
              </w:rPr>
            </w:pPr>
            <w:r>
              <w:rPr>
                <w:rFonts w:hint="eastAsia" w:ascii="宋体" w:hAnsi="宋体"/>
                <w:color w:val="auto"/>
                <w:szCs w:val="21"/>
                <w:highlight w:val="none"/>
              </w:rPr>
              <w:t>85</w:t>
            </w:r>
          </w:p>
        </w:tc>
        <w:tc>
          <w:tcPr>
            <w:tcW w:w="1402" w:type="dxa"/>
            <w:tcBorders>
              <w:top w:val="single" w:color="000000" w:sz="4" w:space="0"/>
              <w:left w:val="single" w:color="auto" w:sz="4" w:space="0"/>
              <w:bottom w:val="single" w:color="000000" w:sz="4" w:space="0"/>
              <w:right w:val="single" w:color="000000" w:sz="4" w:space="0"/>
            </w:tcBorders>
            <w:shd w:val="clear" w:color="auto" w:fill="auto"/>
            <w:vAlign w:val="center"/>
          </w:tcPr>
          <w:p w14:paraId="0E8651CF">
            <w:pPr>
              <w:spacing w:line="360" w:lineRule="exact"/>
              <w:jc w:val="center"/>
              <w:rPr>
                <w:rFonts w:ascii="宋体" w:hAnsi="宋体"/>
                <w:color w:val="auto"/>
                <w:szCs w:val="21"/>
                <w:highlight w:val="none"/>
              </w:rPr>
            </w:pPr>
            <w:r>
              <w:rPr>
                <w:rFonts w:hint="eastAsia" w:ascii="宋体" w:hAnsi="宋体"/>
                <w:color w:val="auto"/>
                <w:szCs w:val="21"/>
                <w:highlight w:val="none"/>
              </w:rPr>
              <w:t>LP-E6P单块电池</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D3C27">
            <w:pPr>
              <w:spacing w:line="360" w:lineRule="exact"/>
              <w:jc w:val="center"/>
              <w:rPr>
                <w:rFonts w:ascii="宋体" w:hAnsi="宋体"/>
                <w:color w:val="auto"/>
                <w:szCs w:val="21"/>
                <w:highlight w:val="none"/>
              </w:rPr>
            </w:pPr>
            <w:r>
              <w:rPr>
                <w:rFonts w:hint="eastAsia" w:ascii="宋体" w:hAnsi="宋体"/>
                <w:color w:val="auto"/>
                <w:szCs w:val="21"/>
                <w:highlight w:val="none"/>
              </w:rPr>
              <w:t>4</w:t>
            </w:r>
          </w:p>
        </w:tc>
        <w:tc>
          <w:tcPr>
            <w:tcW w:w="703" w:type="dxa"/>
            <w:tcBorders>
              <w:top w:val="single" w:color="auto" w:sz="4" w:space="0"/>
              <w:left w:val="single" w:color="000000" w:sz="4" w:space="0"/>
              <w:bottom w:val="single" w:color="000000" w:sz="4" w:space="0"/>
              <w:right w:val="single" w:color="000000" w:sz="4" w:space="0"/>
            </w:tcBorders>
            <w:shd w:val="clear" w:color="auto" w:fill="auto"/>
            <w:vAlign w:val="center"/>
          </w:tcPr>
          <w:p w14:paraId="7AF988B8">
            <w:pPr>
              <w:spacing w:line="360" w:lineRule="exact"/>
              <w:jc w:val="center"/>
              <w:rPr>
                <w:rFonts w:ascii="宋体" w:hAnsi="宋体"/>
                <w:color w:val="auto"/>
                <w:szCs w:val="21"/>
                <w:highlight w:val="none"/>
              </w:rPr>
            </w:pPr>
            <w:r>
              <w:rPr>
                <w:rFonts w:hint="eastAsia" w:ascii="宋体" w:hAnsi="宋体"/>
                <w:color w:val="auto"/>
                <w:szCs w:val="21"/>
                <w:highlight w:val="none"/>
              </w:rPr>
              <w:t>块</w:t>
            </w:r>
          </w:p>
        </w:tc>
        <w:tc>
          <w:tcPr>
            <w:tcW w:w="702" w:type="dxa"/>
            <w:vMerge w:val="continue"/>
            <w:tcBorders>
              <w:left w:val="single" w:color="000000" w:sz="4" w:space="0"/>
              <w:right w:val="single" w:color="000000" w:sz="4" w:space="0"/>
            </w:tcBorders>
            <w:shd w:val="clear" w:color="auto" w:fill="auto"/>
            <w:vAlign w:val="center"/>
          </w:tcPr>
          <w:p w14:paraId="51FEF1E7">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31CE2">
            <w:pPr>
              <w:spacing w:line="360" w:lineRule="exact"/>
              <w:jc w:val="left"/>
              <w:rPr>
                <w:rFonts w:ascii="宋体" w:hAnsi="宋体"/>
                <w:color w:val="auto"/>
                <w:szCs w:val="21"/>
                <w:highlight w:val="none"/>
              </w:rPr>
            </w:pPr>
            <w:r>
              <w:rPr>
                <w:rFonts w:hint="eastAsia" w:ascii="宋体" w:hAnsi="宋体"/>
                <w:color w:val="auto"/>
                <w:szCs w:val="21"/>
                <w:highlight w:val="none"/>
              </w:rPr>
              <w:t>1.电池类型：锂离子电池。</w:t>
            </w:r>
          </w:p>
          <w:p w14:paraId="72C7EE81">
            <w:pPr>
              <w:spacing w:line="360" w:lineRule="exact"/>
              <w:jc w:val="left"/>
              <w:rPr>
                <w:rFonts w:ascii="宋体" w:hAnsi="宋体"/>
                <w:color w:val="auto"/>
                <w:szCs w:val="21"/>
                <w:highlight w:val="none"/>
              </w:rPr>
            </w:pPr>
            <w:r>
              <w:rPr>
                <w:rFonts w:hint="eastAsia" w:ascii="宋体" w:hAnsi="宋体"/>
                <w:color w:val="auto"/>
                <w:szCs w:val="21"/>
                <w:highlight w:val="none"/>
              </w:rPr>
              <w:t>2.电芯容量：2400mAh。</w:t>
            </w:r>
          </w:p>
          <w:p w14:paraId="7B15B3FC">
            <w:pPr>
              <w:spacing w:line="360" w:lineRule="exact"/>
              <w:jc w:val="left"/>
              <w:rPr>
                <w:rFonts w:ascii="宋体" w:hAnsi="宋体"/>
                <w:color w:val="auto"/>
                <w:szCs w:val="21"/>
                <w:highlight w:val="none"/>
              </w:rPr>
            </w:pPr>
            <w:r>
              <w:rPr>
                <w:rFonts w:hint="eastAsia" w:ascii="宋体" w:hAnsi="宋体"/>
                <w:color w:val="auto"/>
                <w:szCs w:val="21"/>
                <w:highlight w:val="none"/>
              </w:rPr>
              <w:t>3.典型容量：2320mAh。</w:t>
            </w:r>
          </w:p>
          <w:p w14:paraId="0AA6C4C2">
            <w:pPr>
              <w:spacing w:line="360" w:lineRule="exact"/>
              <w:jc w:val="left"/>
              <w:rPr>
                <w:rFonts w:ascii="宋体" w:hAnsi="宋体"/>
                <w:color w:val="auto"/>
                <w:szCs w:val="21"/>
                <w:highlight w:val="none"/>
              </w:rPr>
            </w:pPr>
            <w:r>
              <w:rPr>
                <w:rFonts w:hint="eastAsia" w:ascii="宋体" w:hAnsi="宋体"/>
                <w:color w:val="auto"/>
                <w:szCs w:val="21"/>
                <w:highlight w:val="none"/>
              </w:rPr>
              <w:t>4.额定容量：2200mAh。</w:t>
            </w:r>
          </w:p>
          <w:p w14:paraId="3AD703D8">
            <w:pPr>
              <w:spacing w:line="360" w:lineRule="exact"/>
              <w:jc w:val="left"/>
              <w:rPr>
                <w:rFonts w:ascii="宋体" w:hAnsi="宋体"/>
                <w:color w:val="auto"/>
                <w:szCs w:val="21"/>
                <w:highlight w:val="none"/>
              </w:rPr>
            </w:pPr>
            <w:r>
              <w:rPr>
                <w:rFonts w:hint="eastAsia" w:ascii="宋体" w:hAnsi="宋体"/>
                <w:color w:val="auto"/>
                <w:szCs w:val="21"/>
                <w:highlight w:val="none"/>
              </w:rPr>
              <w:t>5.标称电压：7.2V。</w:t>
            </w:r>
          </w:p>
          <w:p w14:paraId="65BB463D">
            <w:pPr>
              <w:spacing w:line="360" w:lineRule="exact"/>
              <w:jc w:val="left"/>
              <w:rPr>
                <w:rFonts w:ascii="宋体" w:hAnsi="宋体"/>
                <w:color w:val="auto"/>
                <w:szCs w:val="21"/>
                <w:highlight w:val="none"/>
              </w:rPr>
            </w:pPr>
            <w:r>
              <w:rPr>
                <w:rFonts w:hint="eastAsia" w:ascii="宋体" w:hAnsi="宋体"/>
                <w:color w:val="auto"/>
                <w:szCs w:val="21"/>
                <w:highlight w:val="none"/>
              </w:rPr>
              <w:t>6.所竞产品必须通过中国强制性产品认证（CCC/3C认证）。</w:t>
            </w:r>
          </w:p>
        </w:tc>
      </w:tr>
      <w:tr w14:paraId="1350AF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shd w:val="clear" w:color="auto" w:fill="auto"/>
            <w:vAlign w:val="center"/>
          </w:tcPr>
          <w:p w14:paraId="171C1822">
            <w:pPr>
              <w:jc w:val="center"/>
              <w:rPr>
                <w:rFonts w:ascii="宋体" w:hAnsi="宋体"/>
                <w:color w:val="auto"/>
                <w:szCs w:val="21"/>
                <w:highlight w:val="none"/>
              </w:rPr>
            </w:pPr>
            <w:r>
              <w:rPr>
                <w:rFonts w:hint="eastAsia" w:ascii="宋体" w:hAnsi="宋体"/>
                <w:color w:val="auto"/>
                <w:szCs w:val="21"/>
                <w:highlight w:val="none"/>
              </w:rPr>
              <w:t>86</w:t>
            </w:r>
          </w:p>
        </w:tc>
        <w:tc>
          <w:tcPr>
            <w:tcW w:w="1402" w:type="dxa"/>
            <w:tcBorders>
              <w:top w:val="single" w:color="000000" w:sz="4" w:space="0"/>
              <w:left w:val="single" w:color="auto" w:sz="4" w:space="0"/>
              <w:bottom w:val="single" w:color="000000" w:sz="4" w:space="0"/>
              <w:right w:val="single" w:color="000000" w:sz="4" w:space="0"/>
            </w:tcBorders>
            <w:shd w:val="clear" w:color="auto" w:fill="auto"/>
            <w:vAlign w:val="center"/>
          </w:tcPr>
          <w:p w14:paraId="2BD6979C">
            <w:pPr>
              <w:spacing w:line="360" w:lineRule="exact"/>
              <w:jc w:val="center"/>
              <w:rPr>
                <w:rFonts w:ascii="宋体" w:hAnsi="宋体"/>
                <w:color w:val="auto"/>
                <w:szCs w:val="21"/>
                <w:highlight w:val="none"/>
              </w:rPr>
            </w:pPr>
            <w:r>
              <w:rPr>
                <w:rFonts w:hint="eastAsia" w:ascii="宋体" w:hAnsi="宋体"/>
                <w:color w:val="auto"/>
                <w:szCs w:val="21"/>
                <w:highlight w:val="none"/>
              </w:rPr>
              <w:t>访谈区地毯</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30B8B">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703" w:type="dxa"/>
            <w:tcBorders>
              <w:top w:val="single" w:color="auto" w:sz="4" w:space="0"/>
              <w:left w:val="single" w:color="000000" w:sz="4" w:space="0"/>
              <w:bottom w:val="single" w:color="000000" w:sz="4" w:space="0"/>
              <w:right w:val="single" w:color="000000" w:sz="4" w:space="0"/>
            </w:tcBorders>
            <w:shd w:val="clear" w:color="auto" w:fill="auto"/>
            <w:vAlign w:val="center"/>
          </w:tcPr>
          <w:p w14:paraId="585EC576">
            <w:pPr>
              <w:spacing w:line="360" w:lineRule="exact"/>
              <w:jc w:val="center"/>
              <w:rPr>
                <w:rFonts w:ascii="宋体" w:hAnsi="宋体"/>
                <w:color w:val="auto"/>
                <w:szCs w:val="21"/>
                <w:highlight w:val="none"/>
              </w:rPr>
            </w:pPr>
            <w:r>
              <w:rPr>
                <w:rFonts w:hint="eastAsia" w:ascii="宋体" w:hAnsi="宋体"/>
                <w:color w:val="auto"/>
                <w:szCs w:val="21"/>
                <w:highlight w:val="none"/>
              </w:rPr>
              <w:t>张</w:t>
            </w:r>
          </w:p>
        </w:tc>
        <w:tc>
          <w:tcPr>
            <w:tcW w:w="702" w:type="dxa"/>
            <w:vMerge w:val="continue"/>
            <w:tcBorders>
              <w:left w:val="single" w:color="000000" w:sz="4" w:space="0"/>
              <w:right w:val="single" w:color="000000" w:sz="4" w:space="0"/>
            </w:tcBorders>
            <w:shd w:val="clear" w:color="auto" w:fill="auto"/>
            <w:vAlign w:val="center"/>
          </w:tcPr>
          <w:p w14:paraId="46CA2445">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shd w:val="clear" w:color="auto" w:fill="auto"/>
          </w:tcPr>
          <w:p w14:paraId="53DE5431">
            <w:pPr>
              <w:spacing w:line="360" w:lineRule="exact"/>
              <w:jc w:val="left"/>
              <w:rPr>
                <w:rFonts w:ascii="宋体" w:hAnsi="宋体"/>
                <w:color w:val="auto"/>
                <w:szCs w:val="21"/>
                <w:highlight w:val="none"/>
              </w:rPr>
            </w:pPr>
            <w:r>
              <w:rPr>
                <w:rFonts w:ascii="宋体" w:hAnsi="宋体"/>
                <w:color w:val="auto"/>
                <w:szCs w:val="32"/>
                <w:highlight w:val="none"/>
              </w:rPr>
              <w:t>1.类型：艺术装饰地毯。</w:t>
            </w:r>
            <w:r>
              <w:rPr>
                <w:rFonts w:ascii="宋体" w:hAnsi="宋体"/>
                <w:color w:val="auto"/>
                <w:szCs w:val="32"/>
                <w:highlight w:val="none"/>
              </w:rPr>
              <w:br w:type="textWrapping"/>
            </w:r>
            <w:r>
              <w:rPr>
                <w:rFonts w:ascii="宋体" w:hAnsi="宋体"/>
                <w:color w:val="auto"/>
                <w:szCs w:val="32"/>
                <w:highlight w:val="none"/>
              </w:rPr>
              <w:t>2.风格要求：与装修风格搭配。</w:t>
            </w:r>
            <w:r>
              <w:rPr>
                <w:rFonts w:ascii="宋体" w:hAnsi="宋体"/>
                <w:color w:val="auto"/>
                <w:szCs w:val="32"/>
                <w:highlight w:val="none"/>
              </w:rPr>
              <w:br w:type="textWrapping"/>
            </w:r>
            <w:r>
              <w:rPr>
                <w:rFonts w:ascii="宋体" w:hAnsi="宋体"/>
                <w:color w:val="auto"/>
                <w:szCs w:val="32"/>
                <w:highlight w:val="none"/>
              </w:rPr>
              <w:t>3.材质：优质绒面。</w:t>
            </w:r>
            <w:r>
              <w:rPr>
                <w:rFonts w:ascii="宋体" w:hAnsi="宋体"/>
                <w:color w:val="auto"/>
                <w:szCs w:val="32"/>
                <w:highlight w:val="none"/>
              </w:rPr>
              <w:br w:type="textWrapping"/>
            </w:r>
            <w:r>
              <w:rPr>
                <w:rFonts w:ascii="宋体" w:hAnsi="宋体"/>
                <w:color w:val="auto"/>
                <w:szCs w:val="32"/>
                <w:highlight w:val="none"/>
              </w:rPr>
              <w:t>4.尺寸参考：约3米×2米。</w:t>
            </w:r>
          </w:p>
        </w:tc>
      </w:tr>
      <w:tr w14:paraId="0546F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shd w:val="clear" w:color="auto" w:fill="auto"/>
            <w:vAlign w:val="center"/>
          </w:tcPr>
          <w:p w14:paraId="196C50BA">
            <w:pPr>
              <w:jc w:val="center"/>
              <w:rPr>
                <w:rFonts w:ascii="宋体" w:hAnsi="宋体"/>
                <w:color w:val="auto"/>
                <w:szCs w:val="21"/>
                <w:highlight w:val="none"/>
              </w:rPr>
            </w:pPr>
            <w:r>
              <w:rPr>
                <w:rFonts w:hint="eastAsia" w:ascii="宋体" w:hAnsi="宋体"/>
                <w:color w:val="auto"/>
                <w:szCs w:val="21"/>
                <w:highlight w:val="none"/>
              </w:rPr>
              <w:t>87</w:t>
            </w:r>
          </w:p>
        </w:tc>
        <w:tc>
          <w:tcPr>
            <w:tcW w:w="1402" w:type="dxa"/>
            <w:tcBorders>
              <w:top w:val="single" w:color="000000" w:sz="4" w:space="0"/>
              <w:left w:val="single" w:color="auto" w:sz="4" w:space="0"/>
              <w:bottom w:val="single" w:color="000000" w:sz="4" w:space="0"/>
              <w:right w:val="single" w:color="000000" w:sz="4" w:space="0"/>
            </w:tcBorders>
            <w:shd w:val="clear" w:color="auto" w:fill="auto"/>
            <w:vAlign w:val="center"/>
          </w:tcPr>
          <w:p w14:paraId="6B61BD7E">
            <w:pPr>
              <w:spacing w:line="360" w:lineRule="exact"/>
              <w:jc w:val="center"/>
              <w:rPr>
                <w:rFonts w:ascii="宋体" w:hAnsi="宋体"/>
                <w:color w:val="auto"/>
                <w:szCs w:val="21"/>
                <w:highlight w:val="none"/>
              </w:rPr>
            </w:pPr>
            <w:r>
              <w:rPr>
                <w:rFonts w:hint="eastAsia" w:ascii="宋体" w:hAnsi="宋体"/>
                <w:color w:val="auto"/>
                <w:szCs w:val="21"/>
                <w:highlight w:val="none"/>
              </w:rPr>
              <w:t>休息区地毯</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F8762">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703" w:type="dxa"/>
            <w:tcBorders>
              <w:top w:val="single" w:color="auto" w:sz="4" w:space="0"/>
              <w:left w:val="single" w:color="000000" w:sz="4" w:space="0"/>
              <w:bottom w:val="single" w:color="000000" w:sz="4" w:space="0"/>
              <w:right w:val="single" w:color="000000" w:sz="4" w:space="0"/>
            </w:tcBorders>
            <w:shd w:val="clear" w:color="auto" w:fill="auto"/>
            <w:vAlign w:val="center"/>
          </w:tcPr>
          <w:p w14:paraId="2BE970C7">
            <w:pPr>
              <w:spacing w:line="360" w:lineRule="exact"/>
              <w:jc w:val="center"/>
              <w:rPr>
                <w:rFonts w:ascii="宋体" w:hAnsi="宋体"/>
                <w:color w:val="auto"/>
                <w:szCs w:val="21"/>
                <w:highlight w:val="none"/>
              </w:rPr>
            </w:pPr>
            <w:r>
              <w:rPr>
                <w:rFonts w:hint="eastAsia" w:ascii="宋体" w:hAnsi="宋体"/>
                <w:color w:val="auto"/>
                <w:szCs w:val="21"/>
                <w:highlight w:val="none"/>
              </w:rPr>
              <w:t>张</w:t>
            </w:r>
          </w:p>
        </w:tc>
        <w:tc>
          <w:tcPr>
            <w:tcW w:w="702" w:type="dxa"/>
            <w:vMerge w:val="continue"/>
            <w:tcBorders>
              <w:left w:val="single" w:color="000000" w:sz="4" w:space="0"/>
              <w:right w:val="single" w:color="000000" w:sz="4" w:space="0"/>
            </w:tcBorders>
            <w:shd w:val="clear" w:color="auto" w:fill="auto"/>
            <w:vAlign w:val="center"/>
          </w:tcPr>
          <w:p w14:paraId="35984248">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shd w:val="clear" w:color="auto" w:fill="auto"/>
          </w:tcPr>
          <w:p w14:paraId="2D33A2A4">
            <w:pPr>
              <w:spacing w:line="360" w:lineRule="exact"/>
              <w:jc w:val="left"/>
              <w:rPr>
                <w:rFonts w:ascii="宋体" w:hAnsi="宋体"/>
                <w:color w:val="auto"/>
                <w:szCs w:val="21"/>
                <w:highlight w:val="none"/>
              </w:rPr>
            </w:pPr>
            <w:r>
              <w:rPr>
                <w:rFonts w:hint="eastAsia" w:ascii="宋体" w:hAnsi="宋体"/>
                <w:color w:val="auto"/>
                <w:szCs w:val="21"/>
                <w:highlight w:val="none"/>
              </w:rPr>
              <w:t>1.类型：圆形装饰地毯。</w:t>
            </w:r>
          </w:p>
          <w:p w14:paraId="30F3494B">
            <w:pPr>
              <w:spacing w:line="360" w:lineRule="exact"/>
              <w:jc w:val="left"/>
              <w:rPr>
                <w:rFonts w:ascii="宋体" w:hAnsi="宋体"/>
                <w:color w:val="auto"/>
                <w:szCs w:val="21"/>
                <w:highlight w:val="none"/>
              </w:rPr>
            </w:pPr>
            <w:r>
              <w:rPr>
                <w:rFonts w:hint="eastAsia" w:ascii="宋体" w:hAnsi="宋体"/>
                <w:color w:val="auto"/>
                <w:szCs w:val="21"/>
                <w:highlight w:val="none"/>
              </w:rPr>
              <w:t>2.材质：圈绒。</w:t>
            </w:r>
          </w:p>
          <w:p w14:paraId="004F8250">
            <w:pPr>
              <w:spacing w:line="360" w:lineRule="exact"/>
              <w:jc w:val="left"/>
              <w:rPr>
                <w:rFonts w:ascii="宋体" w:hAnsi="宋体"/>
                <w:color w:val="auto"/>
                <w:szCs w:val="21"/>
                <w:highlight w:val="none"/>
              </w:rPr>
            </w:pPr>
            <w:r>
              <w:rPr>
                <w:rFonts w:hint="eastAsia" w:ascii="宋体" w:hAnsi="宋体"/>
                <w:color w:val="auto"/>
                <w:szCs w:val="21"/>
                <w:highlight w:val="none"/>
              </w:rPr>
              <w:t>3.尺寸：直径约2.4米。</w:t>
            </w:r>
          </w:p>
        </w:tc>
      </w:tr>
      <w:tr w14:paraId="2317AF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shd w:val="clear" w:color="auto" w:fill="auto"/>
            <w:vAlign w:val="center"/>
          </w:tcPr>
          <w:p w14:paraId="0E5E0DC4">
            <w:pPr>
              <w:jc w:val="center"/>
              <w:rPr>
                <w:rFonts w:ascii="宋体" w:hAnsi="宋体"/>
                <w:color w:val="auto"/>
                <w:szCs w:val="21"/>
                <w:highlight w:val="none"/>
              </w:rPr>
            </w:pPr>
            <w:r>
              <w:rPr>
                <w:rFonts w:hint="eastAsia" w:ascii="宋体" w:hAnsi="宋体"/>
                <w:color w:val="auto"/>
                <w:szCs w:val="21"/>
                <w:highlight w:val="none"/>
              </w:rPr>
              <w:t>88</w:t>
            </w:r>
          </w:p>
        </w:tc>
        <w:tc>
          <w:tcPr>
            <w:tcW w:w="1402" w:type="dxa"/>
            <w:tcBorders>
              <w:top w:val="single" w:color="000000" w:sz="4" w:space="0"/>
              <w:left w:val="single" w:color="auto" w:sz="4" w:space="0"/>
              <w:bottom w:val="single" w:color="000000" w:sz="4" w:space="0"/>
              <w:right w:val="single" w:color="000000" w:sz="4" w:space="0"/>
            </w:tcBorders>
            <w:shd w:val="clear" w:color="auto" w:fill="auto"/>
            <w:vAlign w:val="center"/>
          </w:tcPr>
          <w:p w14:paraId="4942C0A6">
            <w:pPr>
              <w:spacing w:line="360" w:lineRule="exact"/>
              <w:jc w:val="center"/>
              <w:rPr>
                <w:rFonts w:ascii="宋体" w:hAnsi="宋体"/>
                <w:color w:val="auto"/>
                <w:szCs w:val="21"/>
                <w:highlight w:val="none"/>
              </w:rPr>
            </w:pPr>
            <w:r>
              <w:rPr>
                <w:rFonts w:hint="eastAsia" w:ascii="宋体" w:hAnsi="宋体"/>
                <w:color w:val="auto"/>
                <w:szCs w:val="21"/>
                <w:highlight w:val="none"/>
              </w:rPr>
              <w:t>异形标识牌</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58CEA">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703" w:type="dxa"/>
            <w:tcBorders>
              <w:top w:val="single" w:color="auto" w:sz="4" w:space="0"/>
              <w:left w:val="single" w:color="000000" w:sz="4" w:space="0"/>
              <w:bottom w:val="single" w:color="000000" w:sz="4" w:space="0"/>
              <w:right w:val="single" w:color="000000" w:sz="4" w:space="0"/>
            </w:tcBorders>
            <w:shd w:val="clear" w:color="auto" w:fill="auto"/>
            <w:vAlign w:val="center"/>
          </w:tcPr>
          <w:p w14:paraId="215BBEAF">
            <w:pPr>
              <w:spacing w:line="360" w:lineRule="exact"/>
              <w:jc w:val="center"/>
              <w:rPr>
                <w:rFonts w:ascii="宋体" w:hAnsi="宋体"/>
                <w:color w:val="auto"/>
                <w:szCs w:val="21"/>
                <w:highlight w:val="none"/>
              </w:rPr>
            </w:pPr>
            <w:r>
              <w:rPr>
                <w:rFonts w:hint="eastAsia" w:ascii="宋体" w:hAnsi="宋体"/>
                <w:color w:val="auto"/>
                <w:szCs w:val="21"/>
                <w:highlight w:val="none"/>
              </w:rPr>
              <w:t>项</w:t>
            </w:r>
          </w:p>
        </w:tc>
        <w:tc>
          <w:tcPr>
            <w:tcW w:w="702" w:type="dxa"/>
            <w:vMerge w:val="continue"/>
            <w:tcBorders>
              <w:left w:val="single" w:color="000000" w:sz="4" w:space="0"/>
              <w:right w:val="single" w:color="000000" w:sz="4" w:space="0"/>
            </w:tcBorders>
            <w:shd w:val="clear" w:color="auto" w:fill="auto"/>
            <w:vAlign w:val="center"/>
          </w:tcPr>
          <w:p w14:paraId="57AEF299">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shd w:val="clear" w:color="auto" w:fill="auto"/>
          </w:tcPr>
          <w:p w14:paraId="68759299">
            <w:pPr>
              <w:spacing w:line="360" w:lineRule="exact"/>
              <w:jc w:val="left"/>
              <w:rPr>
                <w:rFonts w:hint="eastAsia" w:ascii="宋体" w:hAnsi="宋体"/>
                <w:color w:val="auto"/>
                <w:szCs w:val="21"/>
                <w:highlight w:val="none"/>
              </w:rPr>
            </w:pPr>
            <w:r>
              <w:rPr>
                <w:rFonts w:hint="eastAsia" w:ascii="宋体" w:hAnsi="宋体"/>
                <w:color w:val="auto"/>
                <w:szCs w:val="21"/>
                <w:highlight w:val="none"/>
              </w:rPr>
              <w:t>1.制作内容：前后门头logo标识定制及安装。</w:t>
            </w:r>
          </w:p>
          <w:p w14:paraId="5397E812">
            <w:pPr>
              <w:spacing w:line="360" w:lineRule="exact"/>
              <w:jc w:val="left"/>
              <w:rPr>
                <w:rFonts w:hint="eastAsia" w:ascii="宋体" w:hAnsi="宋体"/>
                <w:color w:val="auto"/>
                <w:szCs w:val="21"/>
                <w:highlight w:val="none"/>
              </w:rPr>
            </w:pPr>
            <w:r>
              <w:rPr>
                <w:rFonts w:hint="eastAsia" w:ascii="宋体" w:hAnsi="宋体"/>
                <w:color w:val="auto"/>
                <w:szCs w:val="21"/>
                <w:highlight w:val="none"/>
              </w:rPr>
              <w:t>2.材质：外层304不锈钢，厚度≥1mm，表面拉丝/烤漆处理；里层PVC打底做造型，总厚度≥30mm。</w:t>
            </w:r>
          </w:p>
          <w:p w14:paraId="7D075B9D">
            <w:pPr>
              <w:spacing w:line="360" w:lineRule="exact"/>
              <w:jc w:val="left"/>
              <w:rPr>
                <w:rFonts w:hint="eastAsia" w:ascii="宋体" w:hAnsi="宋体"/>
                <w:color w:val="auto"/>
                <w:szCs w:val="21"/>
                <w:highlight w:val="none"/>
              </w:rPr>
            </w:pPr>
            <w:r>
              <w:rPr>
                <w:rFonts w:hint="eastAsia" w:ascii="宋体" w:hAnsi="宋体"/>
                <w:color w:val="auto"/>
                <w:szCs w:val="21"/>
                <w:highlight w:val="none"/>
              </w:rPr>
              <w:t>3.尺寸规格：总长参考≥4.5米，高度≥0.6米（按采购人实际门头比例定制）。</w:t>
            </w:r>
          </w:p>
          <w:p w14:paraId="30A508A3">
            <w:pPr>
              <w:spacing w:line="360" w:lineRule="exact"/>
              <w:jc w:val="left"/>
              <w:rPr>
                <w:rFonts w:hint="eastAsia" w:ascii="宋体" w:hAnsi="宋体"/>
                <w:color w:val="auto"/>
                <w:szCs w:val="21"/>
                <w:highlight w:val="none"/>
              </w:rPr>
            </w:pPr>
            <w:r>
              <w:rPr>
                <w:rFonts w:hint="eastAsia" w:ascii="宋体" w:hAnsi="宋体"/>
                <w:color w:val="auto"/>
                <w:szCs w:val="21"/>
                <w:highlight w:val="none"/>
              </w:rPr>
              <w:t>4.工艺要求：激光切割焊接成型，边缘打磨光滑；表面采用汽车级烤漆工艺，颜色按采购人要求定制。</w:t>
            </w:r>
          </w:p>
          <w:p w14:paraId="3A92DD46">
            <w:pPr>
              <w:spacing w:line="360" w:lineRule="exact"/>
              <w:jc w:val="left"/>
              <w:rPr>
                <w:rFonts w:hint="eastAsia" w:ascii="宋体" w:hAnsi="宋体"/>
                <w:color w:val="auto"/>
                <w:szCs w:val="21"/>
                <w:highlight w:val="none"/>
              </w:rPr>
            </w:pPr>
            <w:r>
              <w:rPr>
                <w:rFonts w:hint="eastAsia" w:ascii="宋体" w:hAnsi="宋体"/>
                <w:color w:val="auto"/>
                <w:szCs w:val="21"/>
                <w:highlight w:val="none"/>
              </w:rPr>
              <w:t>5.安装方式：膨胀螺栓暗装固定，含安装支架及预埋件。</w:t>
            </w:r>
          </w:p>
          <w:p w14:paraId="78E277B7">
            <w:pPr>
              <w:spacing w:line="360" w:lineRule="exact"/>
              <w:jc w:val="left"/>
              <w:rPr>
                <w:rFonts w:hint="eastAsia" w:ascii="宋体" w:hAnsi="宋体"/>
                <w:color w:val="auto"/>
                <w:szCs w:val="21"/>
                <w:highlight w:val="none"/>
              </w:rPr>
            </w:pPr>
            <w:r>
              <w:rPr>
                <w:rFonts w:hint="eastAsia" w:ascii="宋体" w:hAnsi="宋体"/>
                <w:color w:val="auto"/>
                <w:szCs w:val="21"/>
                <w:highlight w:val="none"/>
              </w:rPr>
              <w:t>6.含设计、制作、运输、安装及验收全流程服务。</w:t>
            </w:r>
          </w:p>
          <w:p w14:paraId="1E654F60">
            <w:pPr>
              <w:spacing w:line="360" w:lineRule="exact"/>
              <w:jc w:val="left"/>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7.保修期限：≥3年。</w:t>
            </w:r>
          </w:p>
        </w:tc>
      </w:tr>
      <w:tr w14:paraId="5450C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675" w:type="dxa"/>
            <w:tcBorders>
              <w:top w:val="single" w:color="000000" w:sz="4" w:space="0"/>
              <w:left w:val="single" w:color="000000" w:sz="4" w:space="0"/>
              <w:bottom w:val="single" w:color="000000" w:sz="4" w:space="0"/>
              <w:right w:val="single" w:color="auto" w:sz="4" w:space="0"/>
            </w:tcBorders>
            <w:shd w:val="clear" w:color="auto" w:fill="auto"/>
            <w:vAlign w:val="center"/>
          </w:tcPr>
          <w:p w14:paraId="5EADE921">
            <w:pPr>
              <w:jc w:val="center"/>
              <w:rPr>
                <w:rFonts w:ascii="宋体" w:hAnsi="宋体"/>
                <w:color w:val="auto"/>
                <w:szCs w:val="21"/>
                <w:highlight w:val="none"/>
              </w:rPr>
            </w:pPr>
            <w:r>
              <w:rPr>
                <w:rFonts w:hint="eastAsia" w:ascii="宋体" w:hAnsi="宋体"/>
                <w:color w:val="auto"/>
                <w:szCs w:val="21"/>
                <w:highlight w:val="none"/>
              </w:rPr>
              <w:t>89</w:t>
            </w:r>
          </w:p>
        </w:tc>
        <w:tc>
          <w:tcPr>
            <w:tcW w:w="1402" w:type="dxa"/>
            <w:tcBorders>
              <w:top w:val="single" w:color="000000" w:sz="4" w:space="0"/>
              <w:left w:val="single" w:color="auto" w:sz="4" w:space="0"/>
              <w:bottom w:val="single" w:color="000000" w:sz="4" w:space="0"/>
              <w:right w:val="single" w:color="000000" w:sz="4" w:space="0"/>
            </w:tcBorders>
            <w:shd w:val="clear" w:color="auto" w:fill="auto"/>
            <w:vAlign w:val="center"/>
          </w:tcPr>
          <w:p w14:paraId="50D578FE">
            <w:pPr>
              <w:spacing w:line="360" w:lineRule="exact"/>
              <w:jc w:val="center"/>
              <w:rPr>
                <w:rFonts w:ascii="宋体" w:hAnsi="宋体"/>
                <w:color w:val="auto"/>
                <w:szCs w:val="21"/>
                <w:highlight w:val="none"/>
              </w:rPr>
            </w:pPr>
            <w:r>
              <w:rPr>
                <w:rFonts w:hint="eastAsia" w:ascii="宋体" w:hAnsi="宋体"/>
                <w:color w:val="auto"/>
                <w:szCs w:val="21"/>
                <w:highlight w:val="none"/>
              </w:rPr>
              <w:t>数据可视化平台定制</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F9898">
            <w:pPr>
              <w:spacing w:line="360" w:lineRule="exact"/>
              <w:jc w:val="center"/>
              <w:rPr>
                <w:rFonts w:ascii="宋体" w:hAnsi="宋体"/>
                <w:color w:val="auto"/>
                <w:szCs w:val="21"/>
                <w:highlight w:val="none"/>
              </w:rPr>
            </w:pPr>
            <w:r>
              <w:rPr>
                <w:rFonts w:hint="eastAsia" w:ascii="宋体" w:hAnsi="宋体"/>
                <w:color w:val="auto"/>
                <w:szCs w:val="21"/>
                <w:highlight w:val="none"/>
              </w:rPr>
              <w:t>1</w:t>
            </w:r>
          </w:p>
        </w:tc>
        <w:tc>
          <w:tcPr>
            <w:tcW w:w="703" w:type="dxa"/>
            <w:tcBorders>
              <w:top w:val="single" w:color="auto" w:sz="4" w:space="0"/>
              <w:left w:val="single" w:color="000000" w:sz="4" w:space="0"/>
              <w:bottom w:val="single" w:color="000000" w:sz="4" w:space="0"/>
              <w:right w:val="single" w:color="000000" w:sz="4" w:space="0"/>
            </w:tcBorders>
            <w:shd w:val="clear" w:color="auto" w:fill="auto"/>
            <w:vAlign w:val="center"/>
          </w:tcPr>
          <w:p w14:paraId="27DDBD69">
            <w:pPr>
              <w:spacing w:line="360" w:lineRule="exact"/>
              <w:jc w:val="center"/>
              <w:rPr>
                <w:rFonts w:ascii="宋体" w:hAnsi="宋体"/>
                <w:color w:val="auto"/>
                <w:szCs w:val="21"/>
                <w:highlight w:val="none"/>
              </w:rPr>
            </w:pPr>
            <w:r>
              <w:rPr>
                <w:rFonts w:hint="eastAsia" w:ascii="宋体" w:hAnsi="宋体"/>
                <w:color w:val="auto"/>
                <w:szCs w:val="21"/>
                <w:highlight w:val="none"/>
              </w:rPr>
              <w:t>项</w:t>
            </w:r>
          </w:p>
        </w:tc>
        <w:tc>
          <w:tcPr>
            <w:tcW w:w="702" w:type="dxa"/>
            <w:vMerge w:val="continue"/>
            <w:tcBorders>
              <w:left w:val="single" w:color="000000" w:sz="4" w:space="0"/>
              <w:right w:val="single" w:color="000000" w:sz="4" w:space="0"/>
            </w:tcBorders>
            <w:shd w:val="clear" w:color="auto" w:fill="auto"/>
            <w:vAlign w:val="center"/>
          </w:tcPr>
          <w:p w14:paraId="00B835D9">
            <w:pPr>
              <w:jc w:val="center"/>
              <w:rPr>
                <w:color w:val="auto"/>
                <w:highlight w:val="none"/>
              </w:rPr>
            </w:pPr>
          </w:p>
        </w:tc>
        <w:tc>
          <w:tcPr>
            <w:tcW w:w="4711" w:type="dxa"/>
            <w:tcBorders>
              <w:top w:val="single" w:color="000000" w:sz="4" w:space="0"/>
              <w:left w:val="single" w:color="000000" w:sz="4" w:space="0"/>
              <w:bottom w:val="single" w:color="000000" w:sz="4" w:space="0"/>
              <w:right w:val="single" w:color="000000" w:sz="4" w:space="0"/>
            </w:tcBorders>
            <w:shd w:val="clear" w:color="auto" w:fill="auto"/>
          </w:tcPr>
          <w:p w14:paraId="35F66AFF">
            <w:pPr>
              <w:spacing w:line="360" w:lineRule="exact"/>
              <w:jc w:val="left"/>
              <w:rPr>
                <w:rFonts w:ascii="宋体" w:hAnsi="宋体"/>
                <w:color w:val="auto"/>
                <w:szCs w:val="21"/>
                <w:highlight w:val="none"/>
              </w:rPr>
            </w:pPr>
            <w:r>
              <w:rPr>
                <w:rFonts w:hint="eastAsia" w:ascii="宋体" w:hAnsi="宋体"/>
                <w:color w:val="auto"/>
                <w:szCs w:val="21"/>
                <w:highlight w:val="none"/>
              </w:rPr>
              <w:t>1.定制服务内容：</w:t>
            </w:r>
          </w:p>
          <w:p w14:paraId="49739613">
            <w:pPr>
              <w:spacing w:line="360" w:lineRule="exact"/>
              <w:jc w:val="left"/>
              <w:rPr>
                <w:rFonts w:ascii="宋体" w:hAnsi="宋体"/>
                <w:color w:val="auto"/>
                <w:szCs w:val="21"/>
                <w:highlight w:val="none"/>
              </w:rPr>
            </w:pPr>
            <w:r>
              <w:rPr>
                <w:rFonts w:hint="eastAsia" w:ascii="宋体" w:hAnsi="宋体"/>
                <w:color w:val="auto"/>
                <w:szCs w:val="21"/>
                <w:highlight w:val="none"/>
              </w:rPr>
              <w:t>（1）数据抓取与分析：自动采集微信、微博、抖音等平台的阅读量、点赞量、转发量、评论量等传播数据，通过大数据与AI算法实现智能分析，自动生成传播效果分析报告。</w:t>
            </w:r>
          </w:p>
          <w:p w14:paraId="7251293F">
            <w:pPr>
              <w:spacing w:line="360" w:lineRule="exact"/>
              <w:jc w:val="left"/>
              <w:rPr>
                <w:rFonts w:ascii="宋体" w:hAnsi="宋体"/>
                <w:color w:val="auto"/>
                <w:szCs w:val="21"/>
                <w:highlight w:val="none"/>
              </w:rPr>
            </w:pPr>
            <w:r>
              <w:rPr>
                <w:rFonts w:hint="eastAsia" w:ascii="宋体" w:hAnsi="宋体"/>
                <w:color w:val="auto"/>
                <w:szCs w:val="21"/>
                <w:highlight w:val="none"/>
              </w:rPr>
              <w:t>（2）社情民意管理：采集并分析各平台评论数据，支持舆情关键词监控、情感分析、热点话题识别，支持舆情预警提醒。</w:t>
            </w:r>
          </w:p>
          <w:p w14:paraId="2EA847A1">
            <w:pPr>
              <w:spacing w:line="360" w:lineRule="exact"/>
              <w:jc w:val="left"/>
              <w:rPr>
                <w:rFonts w:ascii="宋体" w:hAnsi="宋体"/>
                <w:color w:val="auto"/>
                <w:szCs w:val="21"/>
                <w:highlight w:val="none"/>
              </w:rPr>
            </w:pPr>
            <w:r>
              <w:rPr>
                <w:rFonts w:hint="eastAsia" w:ascii="宋体" w:hAnsi="宋体"/>
                <w:color w:val="auto"/>
                <w:szCs w:val="21"/>
                <w:highlight w:val="none"/>
              </w:rPr>
              <w:t>（3）可视化数据大屏：传播数据看板（实时数据/历史趋势）、任务数据看板（工作量统计/完成进度）、多维度可视化展示（支持≥6个数据模块的自定义配置）。</w:t>
            </w:r>
          </w:p>
          <w:p w14:paraId="08D0BB24">
            <w:pPr>
              <w:spacing w:line="360" w:lineRule="exact"/>
              <w:jc w:val="left"/>
              <w:rPr>
                <w:rFonts w:ascii="宋体" w:hAnsi="宋体"/>
                <w:color w:val="auto"/>
                <w:szCs w:val="21"/>
                <w:highlight w:val="none"/>
              </w:rPr>
            </w:pPr>
            <w:r>
              <w:rPr>
                <w:rFonts w:hint="eastAsia" w:ascii="宋体" w:hAnsi="宋体"/>
                <w:color w:val="auto"/>
                <w:szCs w:val="21"/>
                <w:highlight w:val="none"/>
              </w:rPr>
              <w:t>2.技术要求：B/S架构，支持Chrome/Edge等主流浏览器访问；支持API接口对接第三方系统。</w:t>
            </w:r>
          </w:p>
          <w:p w14:paraId="4AA80AC7">
            <w:pPr>
              <w:spacing w:line="360" w:lineRule="exact"/>
              <w:jc w:val="left"/>
              <w:rPr>
                <w:rFonts w:ascii="宋体" w:hAnsi="宋体"/>
                <w:color w:val="auto"/>
                <w:szCs w:val="21"/>
                <w:highlight w:val="none"/>
              </w:rPr>
            </w:pPr>
            <w:r>
              <w:rPr>
                <w:rFonts w:hint="eastAsia" w:ascii="宋体" w:hAnsi="宋体"/>
                <w:color w:val="auto"/>
                <w:szCs w:val="21"/>
                <w:highlight w:val="none"/>
              </w:rPr>
              <w:t>3.并发能力：支持≥100用户同时在线。</w:t>
            </w:r>
          </w:p>
          <w:p w14:paraId="2BB23EB3">
            <w:pPr>
              <w:spacing w:line="360" w:lineRule="exact"/>
              <w:jc w:val="left"/>
              <w:rPr>
                <w:rFonts w:ascii="宋体" w:hAnsi="宋体"/>
                <w:color w:val="auto"/>
                <w:szCs w:val="21"/>
                <w:highlight w:val="none"/>
              </w:rPr>
            </w:pPr>
            <w:r>
              <w:rPr>
                <w:rFonts w:hint="eastAsia" w:ascii="宋体" w:hAnsi="宋体"/>
                <w:color w:val="auto"/>
                <w:szCs w:val="21"/>
                <w:highlight w:val="none"/>
              </w:rPr>
              <w:t>4.数据安全：支持HTTPS加密传输，操作日志完整记录。</w:t>
            </w:r>
          </w:p>
          <w:p w14:paraId="701C1AA9">
            <w:pPr>
              <w:spacing w:line="360" w:lineRule="exact"/>
              <w:jc w:val="left"/>
              <w:rPr>
                <w:rFonts w:ascii="宋体" w:hAnsi="宋体"/>
                <w:color w:val="auto"/>
                <w:szCs w:val="21"/>
                <w:highlight w:val="none"/>
              </w:rPr>
            </w:pPr>
            <w:r>
              <w:rPr>
                <w:rFonts w:hint="eastAsia" w:ascii="宋体" w:hAnsi="宋体"/>
                <w:color w:val="auto"/>
                <w:szCs w:val="21"/>
                <w:highlight w:val="none"/>
              </w:rPr>
              <w:t>5.定制周期：≤20个工作日。</w:t>
            </w:r>
          </w:p>
          <w:p w14:paraId="0137CA19">
            <w:pPr>
              <w:spacing w:line="360" w:lineRule="exact"/>
              <w:jc w:val="left"/>
              <w:rPr>
                <w:rFonts w:ascii="宋体" w:hAnsi="宋体"/>
                <w:color w:val="auto"/>
                <w:szCs w:val="21"/>
                <w:highlight w:val="none"/>
              </w:rPr>
            </w:pPr>
            <w:r>
              <w:rPr>
                <w:rFonts w:hint="eastAsia" w:ascii="宋体" w:hAnsi="宋体"/>
                <w:color w:val="auto"/>
                <w:szCs w:val="21"/>
                <w:highlight w:val="none"/>
              </w:rPr>
              <w:t>6.售后服务：含首年升级维护服务，提供操作培训≥2次</w:t>
            </w:r>
            <w:r>
              <w:rPr>
                <w:rFonts w:hint="eastAsia" w:ascii="宋体" w:hAnsi="宋体"/>
                <w:color w:val="auto"/>
                <w:szCs w:val="21"/>
                <w:highlight w:val="none"/>
                <w:lang w:eastAsia="zh-CN"/>
              </w:rPr>
              <w:t>（费用包含在谈判报价中，采购人不再另行支付费用）</w:t>
            </w:r>
            <w:r>
              <w:rPr>
                <w:rFonts w:hint="eastAsia" w:ascii="宋体" w:hAnsi="宋体"/>
                <w:color w:val="auto"/>
                <w:szCs w:val="21"/>
                <w:highlight w:val="none"/>
              </w:rPr>
              <w:t>。</w:t>
            </w:r>
          </w:p>
        </w:tc>
      </w:tr>
      <w:bookmarkEnd w:id="76"/>
      <w:bookmarkEnd w:id="77"/>
      <w:tr w14:paraId="2BE7E1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897" w:type="dxa"/>
            <w:gridSpan w:val="6"/>
            <w:tcBorders>
              <w:top w:val="single" w:color="000000" w:sz="4" w:space="0"/>
              <w:left w:val="single" w:color="000000" w:sz="4" w:space="0"/>
              <w:bottom w:val="single" w:color="000000" w:sz="4" w:space="0"/>
              <w:right w:val="single" w:color="000000" w:sz="4" w:space="0"/>
            </w:tcBorders>
            <w:vAlign w:val="center"/>
          </w:tcPr>
          <w:p w14:paraId="3A2B5851">
            <w:pPr>
              <w:snapToGrid w:val="0"/>
              <w:spacing w:line="360" w:lineRule="exact"/>
              <w:jc w:val="left"/>
              <w:rPr>
                <w:rFonts w:ascii="宋体" w:hAnsi="宋体"/>
                <w:color w:val="auto"/>
                <w:szCs w:val="21"/>
                <w:highlight w:val="none"/>
              </w:rPr>
            </w:pPr>
            <w:r>
              <w:rPr>
                <w:rFonts w:hint="eastAsia" w:ascii="宋体" w:hAnsi="宋体"/>
                <w:b/>
                <w:color w:val="auto"/>
                <w:kern w:val="0"/>
                <w:szCs w:val="21"/>
                <w:highlight w:val="none"/>
              </w:rPr>
              <w:t>二、核心产品：第11</w:t>
            </w:r>
            <w:r>
              <w:rPr>
                <w:rFonts w:ascii="宋体" w:hAnsi="宋体"/>
                <w:b/>
                <w:color w:val="auto"/>
                <w:kern w:val="0"/>
                <w:szCs w:val="21"/>
                <w:highlight w:val="none"/>
              </w:rPr>
              <w:t>项</w:t>
            </w:r>
            <w:r>
              <w:rPr>
                <w:rFonts w:hint="eastAsia" w:ascii="宋体" w:hAnsi="宋体"/>
                <w:b/>
                <w:color w:val="auto"/>
                <w:kern w:val="0"/>
                <w:szCs w:val="21"/>
                <w:highlight w:val="none"/>
              </w:rPr>
              <w:t>号</w:t>
            </w:r>
            <w:r>
              <w:rPr>
                <w:rFonts w:ascii="宋体" w:hAnsi="宋体"/>
                <w:b/>
                <w:color w:val="auto"/>
                <w:kern w:val="0"/>
                <w:szCs w:val="21"/>
                <w:highlight w:val="none"/>
              </w:rPr>
              <w:t>标</w:t>
            </w:r>
            <w:r>
              <w:rPr>
                <w:rFonts w:hint="eastAsia" w:ascii="宋体" w:hAnsi="宋体"/>
                <w:b/>
                <w:color w:val="auto"/>
                <w:kern w:val="0"/>
                <w:szCs w:val="21"/>
                <w:highlight w:val="none"/>
              </w:rPr>
              <w:t>的“4K超高清实时制作系统”。</w:t>
            </w:r>
          </w:p>
        </w:tc>
      </w:tr>
      <w:tr w14:paraId="00C60E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897" w:type="dxa"/>
            <w:gridSpan w:val="6"/>
            <w:tcBorders>
              <w:top w:val="single" w:color="auto" w:sz="4" w:space="0"/>
              <w:left w:val="single" w:color="auto" w:sz="4" w:space="0"/>
              <w:bottom w:val="single" w:color="auto" w:sz="4" w:space="0"/>
              <w:right w:val="single" w:color="auto" w:sz="4" w:space="0"/>
            </w:tcBorders>
            <w:vAlign w:val="center"/>
          </w:tcPr>
          <w:p w14:paraId="79B3C629">
            <w:pPr>
              <w:spacing w:line="360" w:lineRule="exact"/>
              <w:jc w:val="left"/>
              <w:rPr>
                <w:rFonts w:ascii="宋体" w:hAnsi="宋体"/>
                <w:color w:val="auto"/>
                <w:szCs w:val="21"/>
                <w:highlight w:val="none"/>
              </w:rPr>
            </w:pPr>
            <w:r>
              <w:rPr>
                <w:rFonts w:hint="eastAsia" w:ascii="宋体" w:hAnsi="宋体"/>
                <w:b/>
                <w:color w:val="auto"/>
                <w:spacing w:val="-2"/>
                <w:szCs w:val="21"/>
                <w:highlight w:val="none"/>
              </w:rPr>
              <w:t>三、商务要求</w:t>
            </w:r>
          </w:p>
        </w:tc>
      </w:tr>
      <w:tr w14:paraId="7E0CAF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077" w:type="dxa"/>
            <w:gridSpan w:val="2"/>
            <w:tcBorders>
              <w:top w:val="single" w:color="auto" w:sz="4" w:space="0"/>
              <w:left w:val="single" w:color="auto" w:sz="4" w:space="0"/>
              <w:bottom w:val="single" w:color="auto" w:sz="4" w:space="0"/>
              <w:right w:val="single" w:color="auto" w:sz="4" w:space="0"/>
            </w:tcBorders>
            <w:vAlign w:val="center"/>
          </w:tcPr>
          <w:p w14:paraId="492DDF62">
            <w:pPr>
              <w:spacing w:line="360" w:lineRule="exact"/>
              <w:jc w:val="center"/>
              <w:rPr>
                <w:rFonts w:ascii="宋体" w:hAnsi="宋体"/>
                <w:b/>
                <w:color w:val="auto"/>
                <w:szCs w:val="21"/>
                <w:highlight w:val="none"/>
              </w:rPr>
            </w:pPr>
            <w:r>
              <w:rPr>
                <w:rFonts w:hint="eastAsia" w:ascii="宋体" w:hAnsi="宋体"/>
                <w:b/>
                <w:color w:val="auto"/>
                <w:szCs w:val="21"/>
                <w:highlight w:val="none"/>
              </w:rPr>
              <w:t>（一）</w:t>
            </w:r>
            <w:bookmarkStart w:id="78" w:name="OLE_LINK6"/>
            <w:r>
              <w:rPr>
                <w:rFonts w:hint="eastAsia" w:ascii="宋体" w:hAnsi="宋体"/>
                <w:b/>
                <w:color w:val="auto"/>
                <w:spacing w:val="-2"/>
                <w:szCs w:val="21"/>
                <w:highlight w:val="none"/>
              </w:rPr>
              <w:t>售后服务要求</w:t>
            </w:r>
            <w:bookmarkEnd w:id="78"/>
          </w:p>
        </w:tc>
        <w:tc>
          <w:tcPr>
            <w:tcW w:w="6820" w:type="dxa"/>
            <w:gridSpan w:val="4"/>
            <w:tcBorders>
              <w:top w:val="single" w:color="auto" w:sz="4" w:space="0"/>
              <w:left w:val="nil"/>
              <w:bottom w:val="single" w:color="auto" w:sz="4" w:space="0"/>
              <w:right w:val="single" w:color="auto" w:sz="4" w:space="0"/>
            </w:tcBorders>
          </w:tcPr>
          <w:p w14:paraId="7FDF98F4">
            <w:pPr>
              <w:spacing w:line="360" w:lineRule="exact"/>
              <w:rPr>
                <w:rFonts w:ascii="宋体" w:hAnsi="宋体"/>
                <w:b/>
                <w:bCs/>
                <w:color w:val="auto"/>
                <w:szCs w:val="21"/>
                <w:highlight w:val="none"/>
              </w:rPr>
            </w:pPr>
            <w:r>
              <w:rPr>
                <w:rFonts w:hint="eastAsia" w:ascii="宋体" w:hAnsi="宋体"/>
                <w:b/>
                <w:bCs/>
                <w:color w:val="auto"/>
                <w:szCs w:val="21"/>
                <w:highlight w:val="none"/>
              </w:rPr>
              <w:t>供应商提供的以下售后服务产生的费用均应综合包含在谈判报价中，采购人不再就此另行支付费用：</w:t>
            </w:r>
          </w:p>
          <w:p w14:paraId="3FFBB297">
            <w:pPr>
              <w:spacing w:line="360" w:lineRule="exact"/>
              <w:rPr>
                <w:rFonts w:ascii="宋体" w:hAnsi="宋体"/>
                <w:color w:val="auto"/>
                <w:kern w:val="0"/>
                <w:szCs w:val="21"/>
                <w:highlight w:val="none"/>
              </w:rPr>
            </w:pPr>
            <w:r>
              <w:rPr>
                <w:rFonts w:hint="eastAsia" w:ascii="宋体" w:hAnsi="宋体"/>
                <w:color w:val="auto"/>
                <w:kern w:val="0"/>
                <w:szCs w:val="21"/>
                <w:highlight w:val="none"/>
              </w:rPr>
              <w:t>（1）</w:t>
            </w:r>
            <w:r>
              <w:rPr>
                <w:rFonts w:ascii="宋体" w:hAnsi="宋体"/>
                <w:color w:val="auto"/>
                <w:szCs w:val="21"/>
                <w:highlight w:val="none"/>
              </w:rPr>
              <w:t>按国家有关产品“三包”规定执行“三包”，</w:t>
            </w:r>
            <w:r>
              <w:rPr>
                <w:rFonts w:hint="eastAsia" w:ascii="宋体" w:hAnsi="宋体"/>
                <w:color w:val="auto"/>
                <w:szCs w:val="21"/>
                <w:highlight w:val="none"/>
              </w:rPr>
              <w:t>保修期</w:t>
            </w:r>
            <w:r>
              <w:rPr>
                <w:rFonts w:ascii="宋体" w:hAnsi="宋体"/>
                <w:color w:val="auto"/>
                <w:szCs w:val="21"/>
                <w:highlight w:val="none"/>
              </w:rPr>
              <w:t>不得少于</w:t>
            </w:r>
            <w:r>
              <w:rPr>
                <w:rFonts w:hint="eastAsia" w:ascii="宋体" w:hAnsi="宋体"/>
                <w:color w:val="auto"/>
                <w:szCs w:val="21"/>
                <w:highlight w:val="none"/>
                <w:u w:val="single"/>
              </w:rPr>
              <w:t>1</w:t>
            </w:r>
            <w:r>
              <w:rPr>
                <w:rFonts w:ascii="宋体" w:hAnsi="宋体"/>
                <w:color w:val="auto"/>
                <w:szCs w:val="21"/>
                <w:highlight w:val="none"/>
              </w:rPr>
              <w:t>年</w:t>
            </w:r>
            <w:r>
              <w:rPr>
                <w:rFonts w:hint="eastAsia" w:ascii="宋体" w:hAnsi="宋体"/>
                <w:color w:val="auto"/>
                <w:szCs w:val="21"/>
                <w:highlight w:val="none"/>
              </w:rPr>
              <w:t>（保修期</w:t>
            </w:r>
            <w:r>
              <w:rPr>
                <w:rFonts w:hint="eastAsia" w:ascii="宋体" w:hAnsi="宋体"/>
                <w:bCs/>
                <w:color w:val="auto"/>
                <w:highlight w:val="none"/>
              </w:rPr>
              <w:t>从设备验收合格之日起计算，</w:t>
            </w:r>
            <w:r>
              <w:rPr>
                <w:rFonts w:hint="eastAsia" w:ascii="宋体" w:hAnsi="宋体"/>
                <w:color w:val="auto"/>
                <w:szCs w:val="21"/>
                <w:highlight w:val="none"/>
              </w:rPr>
              <w:t>“技术要求”中有特别注明的除外），保修期内负责上门维修，</w:t>
            </w:r>
            <w:r>
              <w:rPr>
                <w:rFonts w:hint="eastAsia" w:ascii="宋体" w:hAnsi="宋体"/>
                <w:color w:val="auto"/>
                <w:highlight w:val="none"/>
              </w:rPr>
              <w:t>更换零部件，</w:t>
            </w:r>
            <w:r>
              <w:rPr>
                <w:rFonts w:hint="eastAsia" w:ascii="宋体" w:hAnsi="宋体"/>
                <w:color w:val="auto"/>
                <w:szCs w:val="21"/>
                <w:highlight w:val="none"/>
              </w:rPr>
              <w:t>不另收取维修费和元器件费，并提供终身保修（维护）服务</w:t>
            </w:r>
            <w:r>
              <w:rPr>
                <w:rFonts w:hint="eastAsia" w:ascii="宋体" w:hAnsi="宋体"/>
                <w:color w:val="auto"/>
                <w:kern w:val="0"/>
                <w:szCs w:val="21"/>
                <w:highlight w:val="none"/>
              </w:rPr>
              <w:t>。</w:t>
            </w:r>
          </w:p>
          <w:p w14:paraId="35FF1EB3">
            <w:pPr>
              <w:tabs>
                <w:tab w:val="left" w:pos="0"/>
              </w:tabs>
              <w:spacing w:line="360" w:lineRule="exact"/>
              <w:jc w:val="left"/>
              <w:rPr>
                <w:rFonts w:ascii="宋体" w:hAnsi="宋体"/>
                <w:color w:val="auto"/>
                <w:szCs w:val="21"/>
                <w:highlight w:val="none"/>
              </w:rPr>
            </w:pPr>
            <w:r>
              <w:rPr>
                <w:rFonts w:hint="eastAsia" w:ascii="宋体" w:hAnsi="宋体"/>
                <w:bCs/>
                <w:color w:val="auto"/>
                <w:szCs w:val="21"/>
                <w:highlight w:val="none"/>
              </w:rPr>
              <w:t>（2）负责</w:t>
            </w:r>
            <w:r>
              <w:rPr>
                <w:rFonts w:ascii="宋体" w:hAnsi="宋体"/>
                <w:bCs/>
                <w:color w:val="auto"/>
                <w:szCs w:val="21"/>
                <w:highlight w:val="none"/>
              </w:rPr>
              <w:t>送货上门，安装</w:t>
            </w:r>
            <w:r>
              <w:rPr>
                <w:rFonts w:hint="eastAsia" w:ascii="宋体" w:hAnsi="宋体"/>
                <w:bCs/>
                <w:color w:val="auto"/>
                <w:szCs w:val="21"/>
                <w:highlight w:val="none"/>
              </w:rPr>
              <w:t>、</w:t>
            </w:r>
            <w:r>
              <w:rPr>
                <w:rFonts w:ascii="宋体" w:hAnsi="宋体"/>
                <w:bCs/>
                <w:color w:val="auto"/>
                <w:szCs w:val="21"/>
                <w:highlight w:val="none"/>
              </w:rPr>
              <w:t>调试，</w:t>
            </w:r>
            <w:r>
              <w:rPr>
                <w:rFonts w:hint="eastAsia" w:ascii="宋体" w:hAnsi="宋体"/>
                <w:color w:val="auto"/>
                <w:szCs w:val="21"/>
                <w:highlight w:val="none"/>
              </w:rPr>
              <w:t>提供技术培训，保证使用人员正常操作设备的各种功能；若</w:t>
            </w:r>
            <w:r>
              <w:rPr>
                <w:rFonts w:hint="eastAsia" w:ascii="宋体" w:hAnsi="宋体" w:cs="宋体"/>
                <w:color w:val="auto"/>
                <w:szCs w:val="21"/>
                <w:highlight w:val="none"/>
                <w:lang w:val="zh-CN"/>
              </w:rPr>
              <w:t>设备自带</w:t>
            </w:r>
            <w:r>
              <w:rPr>
                <w:rFonts w:hint="eastAsia" w:ascii="宋体" w:hAnsi="宋体"/>
                <w:color w:val="auto"/>
                <w:szCs w:val="21"/>
                <w:highlight w:val="none"/>
              </w:rPr>
              <w:t>软件，则在保修期内提供升级服务；如厂家有更优承诺的，按厂家承诺进行。</w:t>
            </w:r>
          </w:p>
          <w:p w14:paraId="17499CAF">
            <w:pPr>
              <w:spacing w:line="360" w:lineRule="exact"/>
              <w:jc w:val="left"/>
              <w:rPr>
                <w:rFonts w:ascii="宋体" w:hAnsi="宋体"/>
                <w:color w:val="auto"/>
                <w:szCs w:val="21"/>
                <w:highlight w:val="none"/>
              </w:rPr>
            </w:pPr>
            <w:r>
              <w:rPr>
                <w:rFonts w:hint="eastAsia" w:ascii="宋体" w:hAnsi="宋体"/>
                <w:color w:val="auto"/>
                <w:szCs w:val="21"/>
                <w:highlight w:val="none"/>
              </w:rPr>
              <w:t>（3）提供售后服务联系电话及联系人，保修期内，接到报障电话在承诺时间内派工程技术人员上门维修解决问题。如果需要更换配件的，要求更换的配件应跟被更换的品牌、类型相一致或者是同类同档次的替代品，后者需征得采购人管理人员同意。若产品自带软件的，则须提供保修期内升级服务。其余按厂家承诺执行。</w:t>
            </w:r>
          </w:p>
        </w:tc>
      </w:tr>
      <w:tr w14:paraId="318C31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3" w:hRule="atLeast"/>
        </w:trPr>
        <w:tc>
          <w:tcPr>
            <w:tcW w:w="2077" w:type="dxa"/>
            <w:gridSpan w:val="2"/>
            <w:tcBorders>
              <w:top w:val="single" w:color="auto" w:sz="4" w:space="0"/>
              <w:left w:val="single" w:color="auto" w:sz="4" w:space="0"/>
              <w:bottom w:val="single" w:color="auto" w:sz="4" w:space="0"/>
              <w:right w:val="single" w:color="auto" w:sz="4" w:space="0"/>
            </w:tcBorders>
            <w:vAlign w:val="center"/>
          </w:tcPr>
          <w:p w14:paraId="47B0F2DB">
            <w:pPr>
              <w:spacing w:line="360" w:lineRule="exact"/>
              <w:jc w:val="center"/>
              <w:rPr>
                <w:rFonts w:ascii="宋体" w:hAnsi="宋体"/>
                <w:b/>
                <w:color w:val="auto"/>
                <w:szCs w:val="21"/>
                <w:highlight w:val="none"/>
              </w:rPr>
            </w:pPr>
            <w:r>
              <w:rPr>
                <w:rFonts w:hint="eastAsia" w:ascii="宋体" w:hAnsi="宋体"/>
                <w:b/>
                <w:color w:val="auto"/>
                <w:szCs w:val="21"/>
                <w:highlight w:val="none"/>
              </w:rPr>
              <w:t>（二）</w:t>
            </w:r>
            <w:bookmarkStart w:id="79" w:name="OLE_LINK7"/>
            <w:bookmarkStart w:id="80" w:name="OLE_LINK9"/>
            <w:bookmarkStart w:id="81" w:name="OLE_LINK8"/>
            <w:r>
              <w:rPr>
                <w:rFonts w:hint="eastAsia" w:ascii="宋体" w:hAnsi="宋体"/>
                <w:b/>
                <w:color w:val="auto"/>
                <w:szCs w:val="21"/>
                <w:highlight w:val="none"/>
              </w:rPr>
              <w:t>交付时间和地点</w:t>
            </w:r>
            <w:bookmarkEnd w:id="79"/>
            <w:bookmarkEnd w:id="80"/>
            <w:bookmarkEnd w:id="81"/>
          </w:p>
        </w:tc>
        <w:tc>
          <w:tcPr>
            <w:tcW w:w="6820" w:type="dxa"/>
            <w:gridSpan w:val="4"/>
            <w:tcBorders>
              <w:top w:val="single" w:color="auto" w:sz="4" w:space="0"/>
              <w:left w:val="nil"/>
              <w:bottom w:val="single" w:color="auto" w:sz="4" w:space="0"/>
              <w:right w:val="single" w:color="auto" w:sz="4" w:space="0"/>
            </w:tcBorders>
          </w:tcPr>
          <w:p w14:paraId="6A61947F">
            <w:pPr>
              <w:spacing w:line="360" w:lineRule="exact"/>
              <w:jc w:val="left"/>
              <w:rPr>
                <w:rFonts w:ascii="宋体" w:hAnsi="宋体"/>
                <w:color w:val="auto"/>
                <w:szCs w:val="21"/>
                <w:highlight w:val="none"/>
              </w:rPr>
            </w:pPr>
            <w:r>
              <w:rPr>
                <w:rFonts w:hint="eastAsia" w:ascii="宋体" w:hAnsi="宋体"/>
                <w:color w:val="auto"/>
                <w:szCs w:val="21"/>
                <w:highlight w:val="none"/>
              </w:rPr>
              <w:t>1.交付时间：</w:t>
            </w:r>
            <w:r>
              <w:rPr>
                <w:rFonts w:hint="eastAsia" w:ascii="宋体" w:hAnsi="宋体" w:cs="宋体"/>
                <w:color w:val="auto"/>
                <w:szCs w:val="21"/>
                <w:highlight w:val="none"/>
              </w:rPr>
              <w:t>自签订合同之日起</w:t>
            </w:r>
            <w:r>
              <w:rPr>
                <w:rFonts w:hint="eastAsia" w:ascii="宋体" w:hAnsi="宋体" w:cs="宋体"/>
                <w:color w:val="auto"/>
                <w:szCs w:val="21"/>
                <w:highlight w:val="none"/>
                <w:u w:val="single"/>
              </w:rPr>
              <w:t>30</w:t>
            </w:r>
            <w:r>
              <w:rPr>
                <w:rFonts w:hint="eastAsia" w:ascii="宋体" w:hAnsi="宋体" w:cs="宋体"/>
                <w:color w:val="auto"/>
                <w:szCs w:val="21"/>
                <w:highlight w:val="none"/>
              </w:rPr>
              <w:t>个工作日内到货并全部安装调试合格完毕</w:t>
            </w:r>
            <w:r>
              <w:rPr>
                <w:rFonts w:ascii="宋体" w:hAnsi="宋体"/>
                <w:color w:val="auto"/>
                <w:szCs w:val="21"/>
                <w:highlight w:val="none"/>
              </w:rPr>
              <w:t>。</w:t>
            </w:r>
          </w:p>
          <w:p w14:paraId="3C8ABD47">
            <w:pPr>
              <w:spacing w:line="360" w:lineRule="exact"/>
              <w:jc w:val="left"/>
              <w:rPr>
                <w:rFonts w:ascii="宋体" w:hAnsi="宋体"/>
                <w:color w:val="auto"/>
                <w:szCs w:val="21"/>
                <w:highlight w:val="none"/>
              </w:rPr>
            </w:pPr>
            <w:r>
              <w:rPr>
                <w:rFonts w:hint="eastAsia" w:ascii="宋体" w:hAnsi="宋体"/>
                <w:color w:val="auto"/>
                <w:szCs w:val="21"/>
                <w:highlight w:val="none"/>
              </w:rPr>
              <w:t>2.交付地点：</w:t>
            </w:r>
            <w:r>
              <w:rPr>
                <w:rFonts w:ascii="宋体" w:hAnsi="宋体"/>
                <w:color w:val="auto"/>
                <w:szCs w:val="21"/>
                <w:highlight w:val="none"/>
              </w:rPr>
              <w:t>广西桂林市</w:t>
            </w:r>
            <w:r>
              <w:rPr>
                <w:rFonts w:hint="eastAsia" w:ascii="宋体" w:hAnsi="宋体"/>
                <w:color w:val="auto"/>
                <w:szCs w:val="21"/>
                <w:highlight w:val="none"/>
              </w:rPr>
              <w:t>内</w:t>
            </w:r>
            <w:r>
              <w:rPr>
                <w:rFonts w:ascii="宋体" w:hAnsi="宋体"/>
                <w:color w:val="auto"/>
                <w:szCs w:val="21"/>
                <w:highlight w:val="none"/>
              </w:rPr>
              <w:t>采购人</w:t>
            </w:r>
            <w:r>
              <w:rPr>
                <w:rFonts w:hint="eastAsia" w:ascii="宋体" w:hAnsi="宋体"/>
                <w:color w:val="auto"/>
                <w:szCs w:val="21"/>
                <w:highlight w:val="none"/>
              </w:rPr>
              <w:t>校内</w:t>
            </w:r>
            <w:r>
              <w:rPr>
                <w:rFonts w:ascii="宋体" w:hAnsi="宋体"/>
                <w:color w:val="auto"/>
                <w:szCs w:val="21"/>
                <w:highlight w:val="none"/>
              </w:rPr>
              <w:t>指定地点</w:t>
            </w:r>
            <w:r>
              <w:rPr>
                <w:rFonts w:hint="eastAsia" w:ascii="宋体" w:hAnsi="宋体"/>
                <w:color w:val="auto"/>
                <w:szCs w:val="21"/>
                <w:highlight w:val="none"/>
              </w:rPr>
              <w:t>。</w:t>
            </w:r>
          </w:p>
        </w:tc>
      </w:tr>
      <w:tr w14:paraId="0FF309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077" w:type="dxa"/>
            <w:gridSpan w:val="2"/>
            <w:tcBorders>
              <w:top w:val="single" w:color="auto" w:sz="4" w:space="0"/>
              <w:left w:val="single" w:color="auto" w:sz="4" w:space="0"/>
              <w:bottom w:val="single" w:color="auto" w:sz="4" w:space="0"/>
              <w:right w:val="single" w:color="auto" w:sz="4" w:space="0"/>
            </w:tcBorders>
            <w:vAlign w:val="center"/>
          </w:tcPr>
          <w:p w14:paraId="6A4B1428">
            <w:pPr>
              <w:spacing w:line="360" w:lineRule="exact"/>
              <w:jc w:val="center"/>
              <w:rPr>
                <w:rFonts w:ascii="宋体" w:hAnsi="宋体"/>
                <w:b/>
                <w:color w:val="auto"/>
                <w:szCs w:val="21"/>
                <w:highlight w:val="none"/>
              </w:rPr>
            </w:pPr>
            <w:r>
              <w:rPr>
                <w:rFonts w:hint="eastAsia" w:ascii="宋体" w:hAnsi="宋体"/>
                <w:b/>
                <w:color w:val="auto"/>
                <w:szCs w:val="21"/>
                <w:highlight w:val="none"/>
              </w:rPr>
              <w:t>（三）</w:t>
            </w:r>
            <w:bookmarkStart w:id="82" w:name="OLE_LINK10"/>
            <w:r>
              <w:rPr>
                <w:rFonts w:hint="eastAsia" w:ascii="宋体" w:hAnsi="宋体"/>
                <w:b/>
                <w:color w:val="auto"/>
                <w:szCs w:val="21"/>
                <w:highlight w:val="none"/>
              </w:rPr>
              <w:t>合同签订时间</w:t>
            </w:r>
            <w:bookmarkEnd w:id="82"/>
          </w:p>
        </w:tc>
        <w:tc>
          <w:tcPr>
            <w:tcW w:w="6820" w:type="dxa"/>
            <w:gridSpan w:val="4"/>
            <w:tcBorders>
              <w:top w:val="single" w:color="auto" w:sz="4" w:space="0"/>
              <w:left w:val="nil"/>
              <w:bottom w:val="single" w:color="auto" w:sz="4" w:space="0"/>
              <w:right w:val="single" w:color="auto" w:sz="4" w:space="0"/>
            </w:tcBorders>
            <w:vAlign w:val="center"/>
          </w:tcPr>
          <w:p w14:paraId="5D51388B">
            <w:pPr>
              <w:spacing w:line="360" w:lineRule="exact"/>
              <w:jc w:val="left"/>
              <w:rPr>
                <w:rFonts w:ascii="宋体" w:hAnsi="宋体"/>
                <w:color w:val="auto"/>
                <w:szCs w:val="21"/>
                <w:highlight w:val="none"/>
              </w:rPr>
            </w:pPr>
            <w:r>
              <w:rPr>
                <w:rFonts w:hint="eastAsia" w:ascii="宋体" w:hAnsi="宋体"/>
                <w:color w:val="auto"/>
                <w:szCs w:val="21"/>
                <w:highlight w:val="none"/>
              </w:rPr>
              <w:t>自成交通知书发出之日起</w:t>
            </w:r>
            <w:r>
              <w:rPr>
                <w:rFonts w:hint="eastAsia" w:ascii="宋体" w:hAnsi="宋体"/>
                <w:color w:val="auto"/>
                <w:szCs w:val="21"/>
                <w:highlight w:val="none"/>
                <w:u w:val="single"/>
              </w:rPr>
              <w:t xml:space="preserve">  </w:t>
            </w:r>
            <w:r>
              <w:rPr>
                <w:rFonts w:ascii="宋体" w:hAnsi="宋体"/>
                <w:color w:val="auto"/>
                <w:szCs w:val="21"/>
                <w:highlight w:val="none"/>
                <w:u w:val="single"/>
              </w:rPr>
              <w:t>25</w:t>
            </w:r>
            <w:r>
              <w:rPr>
                <w:rFonts w:hint="eastAsia" w:ascii="宋体" w:hAnsi="宋体"/>
                <w:color w:val="auto"/>
                <w:szCs w:val="21"/>
                <w:highlight w:val="none"/>
                <w:u w:val="single"/>
              </w:rPr>
              <w:t xml:space="preserve">   </w:t>
            </w:r>
            <w:r>
              <w:rPr>
                <w:rFonts w:hint="eastAsia" w:ascii="宋体" w:hAnsi="宋体"/>
                <w:color w:val="auto"/>
                <w:szCs w:val="21"/>
                <w:highlight w:val="none"/>
              </w:rPr>
              <w:t>日内。</w:t>
            </w:r>
          </w:p>
        </w:tc>
      </w:tr>
      <w:tr w14:paraId="67A13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077" w:type="dxa"/>
            <w:gridSpan w:val="2"/>
            <w:tcBorders>
              <w:top w:val="single" w:color="auto" w:sz="4" w:space="0"/>
              <w:left w:val="single" w:color="auto" w:sz="4" w:space="0"/>
              <w:bottom w:val="single" w:color="auto" w:sz="4" w:space="0"/>
              <w:right w:val="single" w:color="auto" w:sz="4" w:space="0"/>
            </w:tcBorders>
            <w:vAlign w:val="center"/>
          </w:tcPr>
          <w:p w14:paraId="79C27D5A">
            <w:pPr>
              <w:spacing w:line="360" w:lineRule="exact"/>
              <w:jc w:val="center"/>
              <w:rPr>
                <w:rFonts w:ascii="宋体" w:hAnsi="宋体"/>
                <w:b/>
                <w:color w:val="auto"/>
                <w:szCs w:val="21"/>
                <w:highlight w:val="none"/>
              </w:rPr>
            </w:pPr>
            <w:r>
              <w:rPr>
                <w:rFonts w:hint="eastAsia" w:ascii="宋体" w:hAnsi="宋体"/>
                <w:b/>
                <w:color w:val="auto"/>
                <w:szCs w:val="21"/>
                <w:highlight w:val="none"/>
              </w:rPr>
              <w:t>（四）</w:t>
            </w:r>
            <w:bookmarkStart w:id="83" w:name="OLE_LINK12"/>
            <w:bookmarkStart w:id="84" w:name="OLE_LINK11"/>
            <w:r>
              <w:rPr>
                <w:rFonts w:hint="eastAsia" w:ascii="宋体" w:hAnsi="宋体"/>
                <w:b/>
                <w:color w:val="auto"/>
                <w:szCs w:val="21"/>
                <w:highlight w:val="none"/>
              </w:rPr>
              <w:t>付款方式</w:t>
            </w:r>
            <w:bookmarkEnd w:id="83"/>
            <w:bookmarkEnd w:id="84"/>
          </w:p>
        </w:tc>
        <w:tc>
          <w:tcPr>
            <w:tcW w:w="6820" w:type="dxa"/>
            <w:gridSpan w:val="4"/>
            <w:tcBorders>
              <w:top w:val="single" w:color="auto" w:sz="4" w:space="0"/>
              <w:left w:val="nil"/>
              <w:bottom w:val="single" w:color="auto" w:sz="4" w:space="0"/>
              <w:right w:val="single" w:color="auto" w:sz="4" w:space="0"/>
            </w:tcBorders>
          </w:tcPr>
          <w:p w14:paraId="100D41C7">
            <w:pPr>
              <w:spacing w:line="360" w:lineRule="exact"/>
              <w:jc w:val="left"/>
              <w:rPr>
                <w:rFonts w:ascii="宋体" w:hAnsi="宋体"/>
                <w:color w:val="auto"/>
                <w:szCs w:val="21"/>
                <w:highlight w:val="none"/>
              </w:rPr>
            </w:pPr>
            <w:r>
              <w:rPr>
                <w:rFonts w:hint="eastAsia" w:ascii="宋体" w:hAnsi="宋体" w:cs="宋体"/>
                <w:color w:val="auto"/>
                <w:szCs w:val="21"/>
                <w:highlight w:val="none"/>
              </w:rPr>
              <w:t>本项目通过最终验收后，成交供应商开具全额发票（国产设备必须开具增值税专用发票）给采购人，采购人收到发票后10个工作日内一次性付清100%的合同价款（无息）</w:t>
            </w:r>
            <w:r>
              <w:rPr>
                <w:rFonts w:hint="eastAsia" w:ascii="宋体" w:hAnsi="宋体" w:cs="宋体"/>
                <w:color w:val="auto"/>
                <w:szCs w:val="21"/>
                <w:highlight w:val="none"/>
                <w:lang w:val="en-US" w:eastAsia="zh-CN"/>
              </w:rPr>
              <w:t>。</w:t>
            </w:r>
          </w:p>
        </w:tc>
      </w:tr>
      <w:tr w14:paraId="6BB128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077" w:type="dxa"/>
            <w:gridSpan w:val="2"/>
            <w:tcBorders>
              <w:top w:val="single" w:color="auto" w:sz="4" w:space="0"/>
              <w:left w:val="single" w:color="auto" w:sz="4" w:space="0"/>
              <w:bottom w:val="single" w:color="auto" w:sz="4" w:space="0"/>
              <w:right w:val="single" w:color="auto" w:sz="4" w:space="0"/>
            </w:tcBorders>
            <w:vAlign w:val="center"/>
          </w:tcPr>
          <w:p w14:paraId="2EDECD49">
            <w:pPr>
              <w:spacing w:line="360" w:lineRule="exact"/>
              <w:jc w:val="center"/>
              <w:rPr>
                <w:rFonts w:ascii="宋体" w:hAnsi="宋体"/>
                <w:b/>
                <w:color w:val="auto"/>
                <w:szCs w:val="21"/>
                <w:highlight w:val="none"/>
              </w:rPr>
            </w:pPr>
            <w:r>
              <w:rPr>
                <w:rFonts w:hint="eastAsia" w:ascii="宋体" w:hAnsi="宋体"/>
                <w:b/>
                <w:color w:val="auto"/>
                <w:szCs w:val="21"/>
                <w:highlight w:val="none"/>
              </w:rPr>
              <w:t>（五）</w:t>
            </w:r>
            <w:bookmarkStart w:id="85" w:name="OLE_LINK15"/>
            <w:bookmarkStart w:id="86" w:name="OLE_LINK14"/>
            <w:bookmarkStart w:id="87" w:name="OLE_LINK13"/>
            <w:bookmarkStart w:id="88" w:name="OLE_LINK16"/>
            <w:r>
              <w:rPr>
                <w:rFonts w:hint="eastAsia" w:ascii="宋体" w:hAnsi="宋体"/>
                <w:b/>
                <w:color w:val="auto"/>
                <w:szCs w:val="21"/>
                <w:highlight w:val="none"/>
              </w:rPr>
              <w:t>包装和运输</w:t>
            </w:r>
            <w:bookmarkEnd w:id="85"/>
            <w:bookmarkEnd w:id="86"/>
            <w:bookmarkEnd w:id="87"/>
            <w:bookmarkEnd w:id="88"/>
          </w:p>
        </w:tc>
        <w:tc>
          <w:tcPr>
            <w:tcW w:w="6820" w:type="dxa"/>
            <w:gridSpan w:val="4"/>
            <w:tcBorders>
              <w:top w:val="single" w:color="auto" w:sz="4" w:space="0"/>
              <w:left w:val="nil"/>
              <w:bottom w:val="single" w:color="auto" w:sz="4" w:space="0"/>
              <w:right w:val="single" w:color="auto" w:sz="4" w:space="0"/>
            </w:tcBorders>
          </w:tcPr>
          <w:p w14:paraId="34764828">
            <w:pPr>
              <w:spacing w:line="360" w:lineRule="exact"/>
              <w:rPr>
                <w:rFonts w:ascii="宋体" w:hAnsi="宋体"/>
                <w:color w:val="auto"/>
                <w:szCs w:val="21"/>
                <w:highlight w:val="none"/>
              </w:rPr>
            </w:pPr>
            <w:r>
              <w:rPr>
                <w:rFonts w:hint="eastAsia" w:ascii="宋体" w:hAnsi="宋体"/>
                <w:color w:val="auto"/>
                <w:szCs w:val="21"/>
                <w:highlight w:val="none"/>
              </w:rPr>
              <w:t>1.原厂原包装，包装完好完整、无破损、未开封。</w:t>
            </w:r>
          </w:p>
          <w:p w14:paraId="38BAE9D1">
            <w:pPr>
              <w:spacing w:line="360" w:lineRule="exact"/>
              <w:rPr>
                <w:rFonts w:ascii="宋体" w:hAnsi="宋体"/>
                <w:color w:val="auto"/>
                <w:szCs w:val="21"/>
                <w:highlight w:val="none"/>
              </w:rPr>
            </w:pPr>
            <w:r>
              <w:rPr>
                <w:rFonts w:hint="eastAsia" w:ascii="宋体" w:hAnsi="宋体"/>
                <w:color w:val="auto"/>
                <w:szCs w:val="21"/>
                <w:highlight w:val="none"/>
              </w:rPr>
              <w:t>2.包装及运输方式应综合考虑运输距离、防潮、防震、防锈和防破损装卸等要求。</w:t>
            </w:r>
          </w:p>
          <w:p w14:paraId="75A8D51C">
            <w:pPr>
              <w:spacing w:line="360" w:lineRule="exact"/>
              <w:rPr>
                <w:rFonts w:ascii="宋体" w:hAnsi="宋体"/>
                <w:color w:val="auto"/>
                <w:szCs w:val="21"/>
                <w:highlight w:val="none"/>
              </w:rPr>
            </w:pPr>
            <w:r>
              <w:rPr>
                <w:rFonts w:hint="eastAsia" w:ascii="宋体" w:hAnsi="宋体"/>
                <w:color w:val="auto"/>
                <w:szCs w:val="21"/>
                <w:highlight w:val="none"/>
              </w:rPr>
              <w:t>3.国家对包装及运输有相关强制性标准或要求的，供应商应当执行。</w:t>
            </w:r>
          </w:p>
          <w:p w14:paraId="6904795F">
            <w:pPr>
              <w:spacing w:line="360" w:lineRule="exact"/>
              <w:rPr>
                <w:rFonts w:ascii="宋体" w:hAnsi="宋体"/>
                <w:color w:val="auto"/>
                <w:szCs w:val="21"/>
                <w:highlight w:val="none"/>
              </w:rPr>
            </w:pPr>
            <w:r>
              <w:rPr>
                <w:rFonts w:hint="eastAsia" w:ascii="宋体" w:hAnsi="宋体"/>
                <w:color w:val="auto"/>
                <w:szCs w:val="21"/>
                <w:highlight w:val="none"/>
              </w:rPr>
              <w:t>4.产品（含包装）运抵采购人指定交付地点前发生损坏等一切风险，相关损失由供应商自行承担。</w:t>
            </w:r>
          </w:p>
        </w:tc>
      </w:tr>
      <w:tr w14:paraId="545E12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077" w:type="dxa"/>
            <w:gridSpan w:val="2"/>
            <w:tcBorders>
              <w:top w:val="single" w:color="auto" w:sz="4" w:space="0"/>
              <w:left w:val="single" w:color="auto" w:sz="4" w:space="0"/>
              <w:bottom w:val="single" w:color="auto" w:sz="4" w:space="0"/>
              <w:right w:val="single" w:color="auto" w:sz="4" w:space="0"/>
            </w:tcBorders>
            <w:vAlign w:val="center"/>
          </w:tcPr>
          <w:p w14:paraId="06689B31">
            <w:pPr>
              <w:spacing w:line="360" w:lineRule="exact"/>
              <w:jc w:val="center"/>
              <w:rPr>
                <w:rFonts w:ascii="宋体" w:hAnsi="宋体"/>
                <w:b/>
                <w:color w:val="auto"/>
                <w:szCs w:val="21"/>
                <w:highlight w:val="none"/>
              </w:rPr>
            </w:pPr>
            <w:r>
              <w:rPr>
                <w:rFonts w:hint="eastAsia" w:ascii="宋体" w:hAnsi="宋体"/>
                <w:b/>
                <w:color w:val="auto"/>
                <w:szCs w:val="21"/>
                <w:highlight w:val="none"/>
              </w:rPr>
              <w:t>（六）保险</w:t>
            </w:r>
          </w:p>
        </w:tc>
        <w:tc>
          <w:tcPr>
            <w:tcW w:w="6820" w:type="dxa"/>
            <w:gridSpan w:val="4"/>
            <w:tcBorders>
              <w:top w:val="single" w:color="auto" w:sz="4" w:space="0"/>
              <w:left w:val="nil"/>
              <w:bottom w:val="single" w:color="auto" w:sz="4" w:space="0"/>
              <w:right w:val="single" w:color="auto" w:sz="4" w:space="0"/>
            </w:tcBorders>
          </w:tcPr>
          <w:p w14:paraId="76166643">
            <w:pPr>
              <w:spacing w:line="360" w:lineRule="exact"/>
              <w:rPr>
                <w:rFonts w:ascii="宋体" w:hAnsi="宋体"/>
                <w:color w:val="auto"/>
                <w:szCs w:val="21"/>
                <w:highlight w:val="none"/>
              </w:rPr>
            </w:pPr>
            <w:r>
              <w:rPr>
                <w:rFonts w:hint="eastAsia" w:ascii="宋体" w:hAnsi="宋体"/>
                <w:color w:val="auto"/>
                <w:szCs w:val="21"/>
                <w:highlight w:val="none"/>
              </w:rPr>
              <w:t>本项目采购标的涉及的相关材料、设备、人员、运输等购买保险的，相关费用由供应商自行承担。</w:t>
            </w:r>
          </w:p>
        </w:tc>
      </w:tr>
      <w:tr w14:paraId="3A2D9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077" w:type="dxa"/>
            <w:gridSpan w:val="2"/>
            <w:tcBorders>
              <w:top w:val="single" w:color="auto" w:sz="4" w:space="0"/>
              <w:left w:val="single" w:color="auto" w:sz="4" w:space="0"/>
              <w:bottom w:val="single" w:color="auto" w:sz="4" w:space="0"/>
              <w:right w:val="single" w:color="auto" w:sz="4" w:space="0"/>
            </w:tcBorders>
            <w:vAlign w:val="center"/>
          </w:tcPr>
          <w:p w14:paraId="38030847">
            <w:pPr>
              <w:spacing w:line="360" w:lineRule="exact"/>
              <w:jc w:val="center"/>
              <w:rPr>
                <w:rFonts w:ascii="宋体" w:hAnsi="宋体"/>
                <w:b/>
                <w:color w:val="auto"/>
                <w:szCs w:val="21"/>
                <w:highlight w:val="none"/>
              </w:rPr>
            </w:pPr>
            <w:r>
              <w:rPr>
                <w:rFonts w:hint="eastAsia" w:ascii="宋体" w:hAnsi="宋体"/>
                <w:b/>
                <w:color w:val="auto"/>
                <w:szCs w:val="21"/>
                <w:highlight w:val="none"/>
              </w:rPr>
              <w:t>（七）</w:t>
            </w:r>
            <w:bookmarkStart w:id="89" w:name="OLE_LINK17"/>
            <w:r>
              <w:rPr>
                <w:rFonts w:hint="eastAsia" w:ascii="宋体" w:hAnsi="宋体"/>
                <w:b/>
                <w:color w:val="auto"/>
                <w:szCs w:val="21"/>
                <w:highlight w:val="none"/>
              </w:rPr>
              <w:t>质量标准及验收</w:t>
            </w:r>
            <w:bookmarkEnd w:id="89"/>
            <w:r>
              <w:rPr>
                <w:rFonts w:hint="eastAsia" w:ascii="宋体" w:hAnsi="宋体"/>
                <w:b/>
                <w:color w:val="auto"/>
                <w:szCs w:val="21"/>
                <w:highlight w:val="none"/>
              </w:rPr>
              <w:t>标准</w:t>
            </w:r>
          </w:p>
        </w:tc>
        <w:tc>
          <w:tcPr>
            <w:tcW w:w="6820" w:type="dxa"/>
            <w:gridSpan w:val="4"/>
            <w:tcBorders>
              <w:top w:val="single" w:color="auto" w:sz="4" w:space="0"/>
              <w:left w:val="nil"/>
              <w:bottom w:val="single" w:color="auto" w:sz="4" w:space="0"/>
              <w:right w:val="single" w:color="auto" w:sz="4" w:space="0"/>
            </w:tcBorders>
          </w:tcPr>
          <w:p w14:paraId="6761572B">
            <w:pPr>
              <w:shd w:val="clear" w:color="auto" w:fill="FFFFFF"/>
              <w:spacing w:line="360" w:lineRule="exact"/>
              <w:rPr>
                <w:rFonts w:ascii="宋体" w:hAnsi="宋体" w:cs="宋体"/>
                <w:color w:val="auto"/>
                <w:szCs w:val="21"/>
                <w:highlight w:val="none"/>
              </w:rPr>
            </w:pPr>
            <w:r>
              <w:rPr>
                <w:rFonts w:hint="eastAsia" w:ascii="宋体" w:hAnsi="宋体" w:cs="宋体"/>
                <w:color w:val="auto"/>
                <w:szCs w:val="21"/>
                <w:highlight w:val="none"/>
              </w:rPr>
              <w:t>1.质量标准：本项目执行国家相关标准、行业标准、地方标准或者其他标准、规范。如具体采购需求与标准、规范不一致的，高于标准、规范的按具体采购需求执行；低于标准、规范的按标准、规范执行。供应商所提供的产品必须是全新、完好、无破损、未经使用的原装产品，产品符合制造厂家合格产品的出厂质量标准，且在正常安装、使用和保养条件下，其使用寿命期内各项指标均达到质量要求。</w:t>
            </w:r>
          </w:p>
          <w:p w14:paraId="1C5A027C">
            <w:pPr>
              <w:shd w:val="clear" w:color="auto" w:fill="FFFFFF"/>
              <w:spacing w:line="360" w:lineRule="exact"/>
              <w:rPr>
                <w:rFonts w:ascii="宋体" w:hAnsi="宋体" w:cs="宋体"/>
                <w:color w:val="auto"/>
                <w:szCs w:val="21"/>
                <w:highlight w:val="none"/>
              </w:rPr>
            </w:pPr>
            <w:r>
              <w:rPr>
                <w:rFonts w:hint="eastAsia" w:ascii="宋体" w:hAnsi="宋体" w:cs="宋体"/>
                <w:color w:val="auto"/>
                <w:szCs w:val="21"/>
                <w:highlight w:val="none"/>
              </w:rPr>
              <w:t>2.产品到货后，采购人现场根据谈判文件要求及响应文件承诺逐条对应进行核验（含测试或试运行），核验不合格的，采购人有权不予验收，同时报相关监督管理部门，由此造成采购人经济损失的由中标人负责承担全部赔偿责任。</w:t>
            </w:r>
          </w:p>
          <w:p w14:paraId="441E1E2C">
            <w:pPr>
              <w:shd w:val="clear" w:color="auto" w:fill="FFFFFF"/>
              <w:spacing w:line="360" w:lineRule="exact"/>
              <w:rPr>
                <w:rFonts w:ascii="宋体" w:hAnsi="宋体" w:cs="宋体"/>
                <w:color w:val="auto"/>
                <w:szCs w:val="21"/>
                <w:highlight w:val="none"/>
              </w:rPr>
            </w:pPr>
            <w:r>
              <w:rPr>
                <w:rFonts w:hint="eastAsia" w:ascii="宋体" w:hAnsi="宋体" w:cs="宋体"/>
                <w:color w:val="auto"/>
                <w:szCs w:val="21"/>
                <w:highlight w:val="none"/>
              </w:rPr>
              <w:t>3.设备开机试运行，测试设备的技术性能指标，确认各项功能正常运行，同时检查随机文件应齐整。</w:t>
            </w:r>
          </w:p>
          <w:p w14:paraId="527850A1">
            <w:pPr>
              <w:shd w:val="clear" w:color="auto" w:fill="FFFFFF"/>
              <w:spacing w:line="360" w:lineRule="exact"/>
              <w:rPr>
                <w:rFonts w:ascii="宋体" w:hAnsi="宋体" w:cs="宋体"/>
                <w:color w:val="auto"/>
                <w:szCs w:val="21"/>
                <w:highlight w:val="none"/>
              </w:rPr>
            </w:pPr>
            <w:r>
              <w:rPr>
                <w:rFonts w:hint="eastAsia" w:ascii="宋体" w:hAnsi="宋体" w:cs="宋体"/>
                <w:color w:val="auto"/>
                <w:szCs w:val="21"/>
                <w:highlight w:val="none"/>
              </w:rPr>
              <w:t>4.验收时，采购人有权邀请国家认可的</w:t>
            </w:r>
            <w:r>
              <w:rPr>
                <w:rFonts w:hint="eastAsia" w:ascii="宋体" w:hAnsi="宋体" w:cs="宋体"/>
                <w:bCs/>
                <w:color w:val="auto"/>
                <w:szCs w:val="21"/>
                <w:highlight w:val="none"/>
              </w:rPr>
              <w:t>第三方检测单位到现场进行校准</w:t>
            </w:r>
            <w:r>
              <w:rPr>
                <w:rFonts w:hint="eastAsia" w:ascii="宋体" w:hAnsi="宋体" w:cs="宋体"/>
                <w:color w:val="auto"/>
                <w:szCs w:val="21"/>
                <w:highlight w:val="none"/>
              </w:rPr>
              <w:t>，并出具检测报告，</w:t>
            </w:r>
            <w:r>
              <w:rPr>
                <w:rFonts w:hint="eastAsia" w:ascii="宋体" w:hAnsi="宋体" w:cs="宋体"/>
                <w:bCs/>
                <w:color w:val="auto"/>
                <w:szCs w:val="21"/>
                <w:highlight w:val="none"/>
              </w:rPr>
              <w:t>所涉及的相关费用</w:t>
            </w:r>
            <w:r>
              <w:rPr>
                <w:rFonts w:hint="eastAsia" w:ascii="宋体" w:hAnsi="宋体" w:cs="宋体"/>
                <w:color w:val="auto"/>
                <w:szCs w:val="21"/>
                <w:highlight w:val="none"/>
              </w:rPr>
              <w:t>由供应商承担（供应商自行将费用综合考虑进入谈判报价中）</w:t>
            </w:r>
            <w:r>
              <w:rPr>
                <w:rFonts w:hint="eastAsia" w:ascii="宋体" w:hAnsi="宋体" w:cs="宋体"/>
                <w:bCs/>
                <w:color w:val="auto"/>
                <w:szCs w:val="21"/>
                <w:highlight w:val="none"/>
              </w:rPr>
              <w:t>，采购人不再另行支付。校准不合格的，采购人不予验收。</w:t>
            </w:r>
          </w:p>
          <w:p w14:paraId="6CBA17BD">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5.因产品质量问题发生争议的，应邀请国家认可的质量检测机构对产品质量进行鉴定。产品符合标准的，鉴定费由采购人承担；产品不符合标准的，鉴定费由中标人承担。</w:t>
            </w:r>
          </w:p>
          <w:p w14:paraId="4B83C037">
            <w:pPr>
              <w:spacing w:line="360" w:lineRule="exact"/>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w:t>
            </w:r>
            <w:r>
              <w:rPr>
                <w:rFonts w:hint="eastAsia" w:ascii="宋体" w:hAnsi="宋体"/>
                <w:color w:val="auto"/>
                <w:szCs w:val="21"/>
                <w:highlight w:val="none"/>
              </w:rPr>
              <w:t>成交供应商于供货时必须向采购人提供所</w:t>
            </w:r>
            <w:r>
              <w:rPr>
                <w:rFonts w:hint="eastAsia" w:ascii="宋体" w:hAnsi="宋体"/>
                <w:color w:val="auto"/>
                <w:szCs w:val="21"/>
                <w:highlight w:val="none"/>
                <w:lang w:eastAsia="zh-CN"/>
              </w:rPr>
              <w:t>竞第</w:t>
            </w:r>
            <w:r>
              <w:rPr>
                <w:rFonts w:hint="eastAsia" w:ascii="宋体" w:hAnsi="宋体"/>
                <w:color w:val="auto"/>
                <w:szCs w:val="21"/>
                <w:highlight w:val="none"/>
              </w:rPr>
              <w:t>1</w:t>
            </w:r>
            <w:r>
              <w:rPr>
                <w:rFonts w:ascii="宋体" w:hAnsi="宋体"/>
                <w:color w:val="auto"/>
                <w:szCs w:val="21"/>
                <w:highlight w:val="none"/>
              </w:rPr>
              <w:t>1</w:t>
            </w:r>
            <w:r>
              <w:rPr>
                <w:rFonts w:hint="eastAsia" w:ascii="宋体" w:hAnsi="宋体"/>
                <w:color w:val="auto"/>
                <w:szCs w:val="21"/>
                <w:highlight w:val="none"/>
                <w:lang w:eastAsia="zh-CN"/>
              </w:rPr>
              <w:t>、</w:t>
            </w:r>
            <w:r>
              <w:rPr>
                <w:rFonts w:hint="eastAsia" w:ascii="宋体" w:hAnsi="宋体"/>
                <w:color w:val="auto"/>
                <w:szCs w:val="21"/>
                <w:highlight w:val="none"/>
              </w:rPr>
              <w:t>1</w:t>
            </w:r>
            <w:r>
              <w:rPr>
                <w:rFonts w:ascii="宋体" w:hAnsi="宋体"/>
                <w:color w:val="auto"/>
                <w:szCs w:val="21"/>
                <w:highlight w:val="none"/>
              </w:rPr>
              <w:t>2</w:t>
            </w:r>
            <w:r>
              <w:rPr>
                <w:rFonts w:hint="eastAsia" w:ascii="宋体" w:hAnsi="宋体"/>
                <w:color w:val="auto"/>
                <w:szCs w:val="21"/>
                <w:highlight w:val="none"/>
                <w:lang w:eastAsia="zh-CN"/>
              </w:rPr>
              <w:t>、</w:t>
            </w:r>
            <w:r>
              <w:rPr>
                <w:rFonts w:hint="eastAsia" w:ascii="宋体" w:hAnsi="宋体"/>
                <w:color w:val="auto"/>
                <w:szCs w:val="21"/>
                <w:highlight w:val="none"/>
              </w:rPr>
              <w:t>30</w:t>
            </w:r>
            <w:r>
              <w:rPr>
                <w:rFonts w:hint="eastAsia" w:ascii="宋体" w:hAnsi="宋体"/>
                <w:color w:val="auto"/>
                <w:szCs w:val="21"/>
                <w:highlight w:val="none"/>
                <w:lang w:eastAsia="zh-CN"/>
              </w:rPr>
              <w:t>、</w:t>
            </w:r>
            <w:r>
              <w:rPr>
                <w:rFonts w:hint="eastAsia" w:ascii="宋体" w:hAnsi="宋体"/>
                <w:color w:val="auto"/>
                <w:szCs w:val="21"/>
                <w:highlight w:val="none"/>
              </w:rPr>
              <w:t>31</w:t>
            </w:r>
            <w:r>
              <w:rPr>
                <w:rFonts w:hint="eastAsia" w:ascii="宋体" w:hAnsi="宋体"/>
                <w:color w:val="auto"/>
                <w:szCs w:val="21"/>
                <w:highlight w:val="none"/>
                <w:lang w:eastAsia="zh-CN"/>
              </w:rPr>
              <w:t>、</w:t>
            </w:r>
            <w:r>
              <w:rPr>
                <w:rFonts w:hint="eastAsia" w:ascii="宋体" w:hAnsi="宋体"/>
                <w:color w:val="auto"/>
                <w:szCs w:val="21"/>
                <w:highlight w:val="none"/>
              </w:rPr>
              <w:t>49</w:t>
            </w:r>
            <w:r>
              <w:rPr>
                <w:rFonts w:hint="eastAsia" w:ascii="宋体" w:hAnsi="宋体"/>
                <w:color w:val="auto"/>
                <w:szCs w:val="21"/>
                <w:highlight w:val="none"/>
                <w:lang w:eastAsia="zh-CN"/>
              </w:rPr>
              <w:t>项产品“</w:t>
            </w:r>
            <w:r>
              <w:rPr>
                <w:rFonts w:hint="eastAsia" w:ascii="宋体" w:hAnsi="宋体"/>
                <w:color w:val="auto"/>
                <w:szCs w:val="21"/>
                <w:highlight w:val="none"/>
              </w:rPr>
              <w:t>4K超高清实时制作系统</w:t>
            </w:r>
            <w:r>
              <w:rPr>
                <w:rFonts w:hint="eastAsia" w:ascii="宋体" w:hAnsi="宋体"/>
                <w:color w:val="auto"/>
                <w:szCs w:val="21"/>
                <w:highlight w:val="none"/>
                <w:lang w:eastAsia="zh-CN"/>
              </w:rPr>
              <w:t>、</w:t>
            </w:r>
            <w:r>
              <w:rPr>
                <w:rFonts w:hint="eastAsia" w:ascii="宋体" w:hAnsi="宋体"/>
                <w:color w:val="auto"/>
                <w:szCs w:val="21"/>
                <w:highlight w:val="none"/>
              </w:rPr>
              <w:t>无线图传</w:t>
            </w:r>
            <w:r>
              <w:rPr>
                <w:rFonts w:hint="eastAsia" w:ascii="宋体" w:hAnsi="宋体"/>
                <w:color w:val="auto"/>
                <w:szCs w:val="21"/>
                <w:highlight w:val="none"/>
                <w:lang w:eastAsia="zh-CN"/>
              </w:rPr>
              <w:t>、</w:t>
            </w:r>
            <w:r>
              <w:rPr>
                <w:rFonts w:hint="eastAsia" w:ascii="宋体" w:hAnsi="宋体"/>
                <w:color w:val="auto"/>
                <w:szCs w:val="21"/>
                <w:highlight w:val="none"/>
              </w:rPr>
              <w:t>柔光灯</w:t>
            </w:r>
            <w:r>
              <w:rPr>
                <w:rFonts w:hint="eastAsia" w:ascii="宋体" w:hAnsi="宋体"/>
                <w:color w:val="auto"/>
                <w:szCs w:val="21"/>
                <w:highlight w:val="none"/>
                <w:lang w:eastAsia="zh-CN"/>
              </w:rPr>
              <w:t>、</w:t>
            </w:r>
            <w:r>
              <w:rPr>
                <w:rFonts w:hint="eastAsia" w:ascii="宋体" w:hAnsi="宋体"/>
                <w:color w:val="auto"/>
                <w:szCs w:val="21"/>
                <w:highlight w:val="none"/>
              </w:rPr>
              <w:t>聚光灯</w:t>
            </w:r>
            <w:r>
              <w:rPr>
                <w:rFonts w:hint="eastAsia" w:ascii="宋体" w:hAnsi="宋体"/>
                <w:color w:val="auto"/>
                <w:szCs w:val="21"/>
                <w:highlight w:val="none"/>
                <w:lang w:eastAsia="zh-CN"/>
              </w:rPr>
              <w:t>、</w:t>
            </w:r>
            <w:r>
              <w:rPr>
                <w:rFonts w:hint="eastAsia" w:ascii="宋体" w:hAnsi="宋体"/>
                <w:color w:val="auto"/>
                <w:szCs w:val="21"/>
                <w:highlight w:val="none"/>
              </w:rPr>
              <w:t>彩色技术监视器</w:t>
            </w:r>
            <w:r>
              <w:rPr>
                <w:rFonts w:hint="eastAsia" w:ascii="宋体" w:hAnsi="宋体"/>
                <w:color w:val="auto"/>
                <w:szCs w:val="21"/>
                <w:highlight w:val="none"/>
                <w:lang w:eastAsia="zh-CN"/>
              </w:rPr>
              <w:t>”由</w:t>
            </w:r>
            <w:r>
              <w:rPr>
                <w:rFonts w:hint="eastAsia" w:ascii="宋体" w:hAnsi="宋体"/>
                <w:color w:val="auto"/>
                <w:szCs w:val="21"/>
                <w:highlight w:val="none"/>
              </w:rPr>
              <w:t>生产厂家出具的售后服务承诺书原件，否则不予验收</w:t>
            </w:r>
            <w:r>
              <w:rPr>
                <w:rFonts w:hint="eastAsia" w:ascii="宋体" w:hAnsi="宋体"/>
                <w:color w:val="auto"/>
                <w:szCs w:val="21"/>
                <w:highlight w:val="none"/>
                <w:lang w:eastAsia="zh-CN"/>
              </w:rPr>
              <w:t>。</w:t>
            </w:r>
          </w:p>
        </w:tc>
      </w:tr>
      <w:tr w14:paraId="239B8A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077" w:type="dxa"/>
            <w:gridSpan w:val="2"/>
            <w:tcBorders>
              <w:top w:val="single" w:color="auto" w:sz="4" w:space="0"/>
              <w:left w:val="single" w:color="auto" w:sz="4" w:space="0"/>
              <w:bottom w:val="single" w:color="auto" w:sz="4" w:space="0"/>
              <w:right w:val="single" w:color="auto" w:sz="4" w:space="0"/>
            </w:tcBorders>
            <w:vAlign w:val="center"/>
          </w:tcPr>
          <w:p w14:paraId="016EB756">
            <w:pPr>
              <w:spacing w:line="360" w:lineRule="exact"/>
              <w:jc w:val="center"/>
              <w:rPr>
                <w:rFonts w:ascii="宋体" w:hAnsi="宋体"/>
                <w:b/>
                <w:color w:val="auto"/>
                <w:szCs w:val="21"/>
                <w:highlight w:val="none"/>
              </w:rPr>
            </w:pPr>
            <w:r>
              <w:rPr>
                <w:rFonts w:hint="eastAsia" w:ascii="宋体" w:hAnsi="宋体"/>
                <w:b/>
                <w:color w:val="auto"/>
                <w:szCs w:val="21"/>
                <w:highlight w:val="none"/>
              </w:rPr>
              <w:t>（八）知识产权</w:t>
            </w:r>
          </w:p>
        </w:tc>
        <w:tc>
          <w:tcPr>
            <w:tcW w:w="6820" w:type="dxa"/>
            <w:gridSpan w:val="4"/>
            <w:tcBorders>
              <w:top w:val="single" w:color="auto" w:sz="4" w:space="0"/>
              <w:left w:val="nil"/>
              <w:bottom w:val="single" w:color="auto" w:sz="4" w:space="0"/>
              <w:right w:val="single" w:color="auto" w:sz="4" w:space="0"/>
            </w:tcBorders>
          </w:tcPr>
          <w:p w14:paraId="0F7C0369">
            <w:pPr>
              <w:spacing w:line="360" w:lineRule="exact"/>
              <w:rPr>
                <w:rStyle w:val="66"/>
                <w:rFonts w:ascii="宋体" w:hAnsi="宋体"/>
                <w:color w:val="auto"/>
                <w:szCs w:val="21"/>
                <w:highlight w:val="none"/>
              </w:rPr>
            </w:pPr>
            <w:r>
              <w:rPr>
                <w:rStyle w:val="66"/>
                <w:rFonts w:hint="eastAsia" w:ascii="宋体" w:hAnsi="宋体"/>
                <w:color w:val="auto"/>
                <w:szCs w:val="21"/>
                <w:highlight w:val="none"/>
              </w:rPr>
              <w:t>供应商保证所提供的产品及服务涉及到的知识产权和相关技术资料是合法取得的，采购人在使用产品及服务时不会侵犯任何第三方的专利权、商标权、工业设计权或其他权利，不会因为采购人的使用遭受第三方侵权指控，包括被责令致歉、停止使用、追偿或要求赔偿损失等。否则，供应商负责解决由此引起的一切纠纷，采购人有权追究供应商的法律责任，其不利后果由供应商全部承担。</w:t>
            </w:r>
          </w:p>
        </w:tc>
      </w:tr>
      <w:tr w14:paraId="40CC5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077" w:type="dxa"/>
            <w:gridSpan w:val="2"/>
            <w:tcBorders>
              <w:top w:val="single" w:color="auto" w:sz="4" w:space="0"/>
              <w:left w:val="single" w:color="auto" w:sz="4" w:space="0"/>
              <w:bottom w:val="single" w:color="auto" w:sz="4" w:space="0"/>
              <w:right w:val="single" w:color="auto" w:sz="4" w:space="0"/>
            </w:tcBorders>
            <w:vAlign w:val="center"/>
          </w:tcPr>
          <w:p w14:paraId="211258BB">
            <w:pPr>
              <w:spacing w:line="360" w:lineRule="exact"/>
              <w:jc w:val="center"/>
              <w:rPr>
                <w:rFonts w:ascii="宋体" w:hAnsi="宋体"/>
                <w:b/>
                <w:color w:val="auto"/>
                <w:szCs w:val="21"/>
                <w:highlight w:val="none"/>
              </w:rPr>
            </w:pPr>
            <w:r>
              <w:rPr>
                <w:rFonts w:hint="eastAsia" w:ascii="宋体" w:hAnsi="宋体"/>
                <w:b/>
                <w:color w:val="auto"/>
                <w:szCs w:val="21"/>
                <w:highlight w:val="none"/>
              </w:rPr>
              <w:t>（九）违约责任</w:t>
            </w:r>
          </w:p>
        </w:tc>
        <w:tc>
          <w:tcPr>
            <w:tcW w:w="6820" w:type="dxa"/>
            <w:gridSpan w:val="4"/>
            <w:tcBorders>
              <w:top w:val="single" w:color="auto" w:sz="4" w:space="0"/>
              <w:left w:val="nil"/>
              <w:bottom w:val="single" w:color="auto" w:sz="4" w:space="0"/>
              <w:right w:val="single" w:color="auto" w:sz="4" w:space="0"/>
            </w:tcBorders>
          </w:tcPr>
          <w:p w14:paraId="57E2B99D">
            <w:pPr>
              <w:snapToGrid w:val="0"/>
              <w:spacing w:line="360" w:lineRule="exact"/>
              <w:rPr>
                <w:rFonts w:ascii="宋体" w:hAnsi="宋体"/>
                <w:color w:val="auto"/>
                <w:szCs w:val="21"/>
                <w:highlight w:val="none"/>
              </w:rPr>
            </w:pPr>
            <w:r>
              <w:rPr>
                <w:rFonts w:hint="eastAsia" w:ascii="宋体" w:hAnsi="宋体"/>
                <w:color w:val="auto"/>
                <w:szCs w:val="21"/>
                <w:highlight w:val="none"/>
              </w:rPr>
              <w:t>1.成交供应商提供的货物如侵犯了第三方合法权益而引发的任何纠纷或诉讼，均由成交供应商负责交涉并承担全部责任。</w:t>
            </w:r>
          </w:p>
          <w:p w14:paraId="2FF79CA8">
            <w:pPr>
              <w:snapToGrid w:val="0"/>
              <w:spacing w:line="360" w:lineRule="exact"/>
              <w:rPr>
                <w:rFonts w:ascii="宋体" w:hAnsi="宋体"/>
                <w:color w:val="auto"/>
                <w:szCs w:val="21"/>
                <w:highlight w:val="none"/>
              </w:rPr>
            </w:pPr>
            <w:r>
              <w:rPr>
                <w:rFonts w:hint="eastAsia" w:ascii="宋体" w:hAnsi="宋体"/>
                <w:color w:val="auto"/>
                <w:szCs w:val="21"/>
                <w:highlight w:val="none"/>
              </w:rPr>
              <w:t>2.因包装、运输引起的货物损坏，按质量不合格处罚。</w:t>
            </w:r>
          </w:p>
          <w:p w14:paraId="4941A84E">
            <w:pPr>
              <w:snapToGrid w:val="0"/>
              <w:spacing w:line="360" w:lineRule="exact"/>
              <w:rPr>
                <w:rFonts w:ascii="宋体" w:hAnsi="宋体"/>
                <w:color w:val="auto"/>
                <w:szCs w:val="21"/>
                <w:highlight w:val="none"/>
              </w:rPr>
            </w:pPr>
            <w:r>
              <w:rPr>
                <w:rFonts w:hint="eastAsia" w:ascii="宋体" w:hAnsi="宋体"/>
                <w:color w:val="auto"/>
                <w:szCs w:val="21"/>
                <w:highlight w:val="none"/>
              </w:rPr>
              <w:t>3.采购人无故延期接收货物、成交供应商逾期交货的，每天向对方偿付违约货款额3‰违约金，但违约金累计不得超过违约货款额</w:t>
            </w:r>
            <w:r>
              <w:rPr>
                <w:rFonts w:hint="eastAsia" w:ascii="宋体" w:hAnsi="宋体"/>
                <w:color w:val="auto"/>
                <w:szCs w:val="21"/>
                <w:highlight w:val="none"/>
                <w:u w:val="single"/>
              </w:rPr>
              <w:t>5%</w:t>
            </w:r>
            <w:r>
              <w:rPr>
                <w:rFonts w:hint="eastAsia" w:ascii="宋体" w:hAnsi="宋体"/>
                <w:color w:val="auto"/>
                <w:szCs w:val="21"/>
                <w:highlight w:val="none"/>
              </w:rPr>
              <w:t>，超过</w:t>
            </w:r>
            <w:r>
              <w:rPr>
                <w:color w:val="auto"/>
                <w:highlight w:val="none"/>
                <w:u w:val="single"/>
              </w:rPr>
              <w:t>7</w:t>
            </w:r>
            <w:r>
              <w:rPr>
                <w:rFonts w:hint="eastAsia"/>
                <w:color w:val="auto"/>
                <w:highlight w:val="none"/>
                <w:u w:val="single"/>
              </w:rPr>
              <w:t>天</w:t>
            </w:r>
            <w:r>
              <w:rPr>
                <w:rFonts w:hint="eastAsia" w:ascii="宋体" w:hAnsi="宋体"/>
                <w:color w:val="auto"/>
                <w:szCs w:val="21"/>
                <w:highlight w:val="none"/>
              </w:rPr>
              <w:t>对方有权解除合同，违约方承担因此给对方造成的经济损失；采购人延期付货款的，每天向成交供应商偿付延期货款额的3‰，但累计偿付不得超过延期货款额的5%。</w:t>
            </w:r>
          </w:p>
          <w:p w14:paraId="76E298EA">
            <w:pPr>
              <w:snapToGrid w:val="0"/>
              <w:spacing w:line="360" w:lineRule="exact"/>
              <w:rPr>
                <w:rFonts w:ascii="宋体" w:hAnsi="宋体"/>
                <w:color w:val="auto"/>
                <w:szCs w:val="21"/>
                <w:highlight w:val="none"/>
              </w:rPr>
            </w:pPr>
            <w:r>
              <w:rPr>
                <w:rFonts w:hint="eastAsia" w:ascii="宋体" w:hAnsi="宋体"/>
                <w:color w:val="auto"/>
                <w:szCs w:val="21"/>
                <w:highlight w:val="none"/>
              </w:rPr>
              <w:t>4.成交供应商未按本合同和响应文件中规定的服务承诺提供售后服务的，成交供应商应按本合同合计金额 5%向采购人支付违约金。</w:t>
            </w:r>
          </w:p>
          <w:p w14:paraId="6E114E61">
            <w:pPr>
              <w:snapToGrid w:val="0"/>
              <w:spacing w:line="360" w:lineRule="exact"/>
              <w:rPr>
                <w:rFonts w:ascii="宋体" w:hAnsi="宋体"/>
                <w:color w:val="auto"/>
                <w:szCs w:val="21"/>
                <w:highlight w:val="none"/>
              </w:rPr>
            </w:pPr>
            <w:r>
              <w:rPr>
                <w:rFonts w:hint="eastAsia" w:ascii="宋体" w:hAnsi="宋体"/>
                <w:color w:val="auto"/>
                <w:szCs w:val="21"/>
                <w:highlight w:val="none"/>
              </w:rPr>
              <w:t>5.成交供应商提供的货物在保修期内，因设计、工艺或材料的缺陷和其他质量原因造成的问题，由成交供应商负责，费用从履约保证金中扣除，不足另补。</w:t>
            </w:r>
          </w:p>
          <w:p w14:paraId="28F8C55E">
            <w:pPr>
              <w:snapToGrid w:val="0"/>
              <w:spacing w:line="360" w:lineRule="exact"/>
              <w:rPr>
                <w:rFonts w:ascii="宋体" w:hAnsi="宋体"/>
                <w:color w:val="auto"/>
                <w:szCs w:val="21"/>
                <w:highlight w:val="none"/>
              </w:rPr>
            </w:pPr>
            <w:r>
              <w:rPr>
                <w:rFonts w:hint="eastAsia" w:ascii="宋体" w:hAnsi="宋体"/>
                <w:color w:val="auto"/>
                <w:szCs w:val="21"/>
                <w:highlight w:val="none"/>
              </w:rPr>
              <w:t>6.其他违约行为按违约货款额5%收取违约金并赔偿经济损失。</w:t>
            </w:r>
          </w:p>
          <w:p w14:paraId="6AB870CD">
            <w:pPr>
              <w:spacing w:line="360" w:lineRule="exact"/>
              <w:rPr>
                <w:rFonts w:ascii="宋体" w:hAnsi="宋体"/>
                <w:color w:val="auto"/>
                <w:szCs w:val="21"/>
                <w:highlight w:val="none"/>
              </w:rPr>
            </w:pPr>
            <w:r>
              <w:rPr>
                <w:rFonts w:hint="eastAsia" w:ascii="宋体" w:hAnsi="宋体"/>
                <w:color w:val="auto"/>
                <w:szCs w:val="21"/>
                <w:highlight w:val="none"/>
              </w:rPr>
              <w:t>7.成交供应商于响应文件中必须对所有产品的技术参数要求作出真实、有效的响应和承诺。所提供的产品必须为原装正品的、全新的、符合国家有关质量标准的产品，且提供的产品名称、生产厂家、品牌、规格型号、技术参数等必须与响应文件承诺相符。验收前，采购人现场根据采购文件要求及响应文件承诺对各项参数逐条对应进行核验，核验或检测数据不符合谈判文件要求及响应文件承诺的指标的，采购人有权不予验收，终止合同执行并全部退货，同时报相关监督管理部门，由此造成采购人经济损失的由成交供应商负责承担全部赔偿责任并向采购人支付合同金额的30%违约赔偿金。如有异议，将交由国家认可并具有检验检测资质的第三方机构进行检验，若核验结果的各项参数指标不满足谈判文件要求及响应文件承诺的指标要求，所有产生的费用由成交供应商承担，并承担虚假竞标的相关法律责任。</w:t>
            </w:r>
          </w:p>
        </w:tc>
      </w:tr>
      <w:tr w14:paraId="3B45B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077" w:type="dxa"/>
            <w:gridSpan w:val="2"/>
            <w:tcBorders>
              <w:top w:val="single" w:color="auto" w:sz="4" w:space="0"/>
              <w:left w:val="single" w:color="auto" w:sz="4" w:space="0"/>
              <w:bottom w:val="single" w:color="auto" w:sz="4" w:space="0"/>
              <w:right w:val="single" w:color="auto" w:sz="4" w:space="0"/>
            </w:tcBorders>
            <w:vAlign w:val="center"/>
          </w:tcPr>
          <w:p w14:paraId="7A464422">
            <w:pPr>
              <w:spacing w:line="360" w:lineRule="exact"/>
              <w:jc w:val="center"/>
              <w:rPr>
                <w:rFonts w:ascii="宋体" w:hAnsi="宋体"/>
                <w:b/>
                <w:color w:val="auto"/>
                <w:szCs w:val="21"/>
                <w:highlight w:val="none"/>
              </w:rPr>
            </w:pPr>
            <w:r>
              <w:rPr>
                <w:rFonts w:hint="eastAsia" w:ascii="宋体" w:hAnsi="宋体"/>
                <w:b/>
                <w:color w:val="auto"/>
                <w:szCs w:val="21"/>
                <w:highlight w:val="none"/>
              </w:rPr>
              <w:t>（十）采购预算</w:t>
            </w:r>
          </w:p>
        </w:tc>
        <w:tc>
          <w:tcPr>
            <w:tcW w:w="6820" w:type="dxa"/>
            <w:gridSpan w:val="4"/>
            <w:tcBorders>
              <w:top w:val="single" w:color="auto" w:sz="4" w:space="0"/>
              <w:left w:val="nil"/>
              <w:bottom w:val="single" w:color="auto" w:sz="4" w:space="0"/>
              <w:right w:val="single" w:color="auto" w:sz="4" w:space="0"/>
            </w:tcBorders>
          </w:tcPr>
          <w:p w14:paraId="74B0BCBE">
            <w:pPr>
              <w:snapToGrid w:val="0"/>
              <w:spacing w:line="360" w:lineRule="exact"/>
              <w:rPr>
                <w:rFonts w:ascii="宋体" w:hAnsi="宋体"/>
                <w:color w:val="auto"/>
                <w:szCs w:val="21"/>
                <w:highlight w:val="none"/>
              </w:rPr>
            </w:pPr>
            <w:r>
              <w:rPr>
                <w:rFonts w:hint="eastAsia" w:ascii="宋体" w:hAnsi="宋体"/>
                <w:color w:val="auto"/>
                <w:szCs w:val="21"/>
                <w:highlight w:val="none"/>
              </w:rPr>
              <w:t>采购预算金额为人民币贰佰万零叁仟伍佰元整（¥2003500.00），最高限价为人民币壹佰捌拾玖万玖仟捌佰元整（¥1899800.00），供应商报价超出最高限价的，响应文件按无效处理。</w:t>
            </w:r>
          </w:p>
        </w:tc>
      </w:tr>
      <w:tr w14:paraId="276D57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2077" w:type="dxa"/>
            <w:gridSpan w:val="2"/>
            <w:tcBorders>
              <w:top w:val="single" w:color="auto" w:sz="4" w:space="0"/>
              <w:left w:val="single" w:color="auto" w:sz="4" w:space="0"/>
              <w:bottom w:val="single" w:color="auto" w:sz="4" w:space="0"/>
              <w:right w:val="single" w:color="auto" w:sz="4" w:space="0"/>
            </w:tcBorders>
            <w:vAlign w:val="center"/>
          </w:tcPr>
          <w:p w14:paraId="7B92B782">
            <w:pPr>
              <w:spacing w:line="360" w:lineRule="exact"/>
              <w:jc w:val="center"/>
              <w:rPr>
                <w:rFonts w:ascii="宋体" w:hAnsi="宋体"/>
                <w:b/>
                <w:color w:val="auto"/>
                <w:szCs w:val="21"/>
                <w:highlight w:val="none"/>
              </w:rPr>
            </w:pPr>
            <w:r>
              <w:rPr>
                <w:rFonts w:hint="eastAsia" w:ascii="宋体" w:hAnsi="宋体"/>
                <w:b/>
                <w:color w:val="auto"/>
                <w:szCs w:val="21"/>
                <w:highlight w:val="none"/>
              </w:rPr>
              <w:t>（十一）进口产品说明</w:t>
            </w:r>
          </w:p>
        </w:tc>
        <w:tc>
          <w:tcPr>
            <w:tcW w:w="6820" w:type="dxa"/>
            <w:gridSpan w:val="4"/>
            <w:tcBorders>
              <w:top w:val="single" w:color="auto" w:sz="4" w:space="0"/>
              <w:left w:val="nil"/>
              <w:bottom w:val="single" w:color="auto" w:sz="4" w:space="0"/>
              <w:right w:val="single" w:color="auto" w:sz="4" w:space="0"/>
            </w:tcBorders>
          </w:tcPr>
          <w:p w14:paraId="4696EF76">
            <w:pPr>
              <w:snapToGrid w:val="0"/>
              <w:spacing w:line="360" w:lineRule="exact"/>
              <w:rPr>
                <w:rFonts w:ascii="宋体" w:hAnsi="宋体"/>
                <w:color w:val="auto"/>
                <w:szCs w:val="21"/>
                <w:highlight w:val="none"/>
              </w:rPr>
            </w:pPr>
            <w:r>
              <w:rPr>
                <w:rFonts w:hint="eastAsia" w:ascii="宋体" w:hAnsi="宋体"/>
                <w:color w:val="auto"/>
                <w:szCs w:val="21"/>
                <w:highlight w:val="none"/>
              </w:rPr>
              <w:t>本项目产品不接受进口产品参与竞标，如供应商选用进口产品竞标的，响应文件按无效处理。</w:t>
            </w:r>
          </w:p>
        </w:tc>
      </w:tr>
    </w:tbl>
    <w:p w14:paraId="28CE8727">
      <w:pPr>
        <w:spacing w:line="400" w:lineRule="exact"/>
        <w:jc w:val="left"/>
        <w:rPr>
          <w:rFonts w:ascii="宋体" w:hAnsi="宋体"/>
          <w:b/>
          <w:bCs/>
          <w:color w:val="auto"/>
          <w:highlight w:val="none"/>
        </w:rPr>
      </w:pPr>
    </w:p>
    <w:p w14:paraId="1623ACAD">
      <w:pPr>
        <w:spacing w:line="428" w:lineRule="exact"/>
        <w:rPr>
          <w:rFonts w:ascii="Arial Unicode MS" w:hAnsi="Arial Unicode MS" w:eastAsia="Arial Unicode MS" w:cs="Arial Unicode MS"/>
          <w:color w:val="auto"/>
          <w:sz w:val="32"/>
          <w:szCs w:val="32"/>
          <w:highlight w:val="none"/>
        </w:rPr>
      </w:pPr>
      <w:r>
        <w:rPr>
          <w:rFonts w:ascii="宋体" w:hAnsi="宋体" w:cs="宋体"/>
          <w:color w:val="auto"/>
          <w:szCs w:val="21"/>
          <w:highlight w:val="none"/>
        </w:rPr>
        <w:br w:type="page"/>
      </w:r>
      <w:r>
        <w:rPr>
          <w:rFonts w:hint="eastAsia" w:ascii="黑体" w:hAnsi="黑体" w:eastAsia="黑体" w:cs="黑体"/>
          <w:color w:val="auto"/>
          <w:sz w:val="32"/>
          <w:szCs w:val="32"/>
          <w:highlight w:val="none"/>
        </w:rPr>
        <w:t>附件1：</w:t>
      </w:r>
    </w:p>
    <w:p w14:paraId="71A42397">
      <w:pPr>
        <w:spacing w:before="7"/>
        <w:rPr>
          <w:rFonts w:ascii="Arial Unicode MS" w:hAnsi="Arial Unicode MS" w:eastAsia="Arial Unicode MS" w:cs="Arial Unicode MS"/>
          <w:color w:val="auto"/>
          <w:sz w:val="17"/>
          <w:szCs w:val="17"/>
          <w:highlight w:val="none"/>
        </w:rPr>
      </w:pPr>
    </w:p>
    <w:p w14:paraId="40F64148">
      <w:pPr>
        <w:spacing w:line="528" w:lineRule="exact"/>
        <w:ind w:left="1871"/>
        <w:rPr>
          <w:rFonts w:ascii="Arial Unicode MS" w:hAnsi="Arial Unicode MS" w:eastAsia="Arial Unicode MS" w:cs="Arial Unicode MS"/>
          <w:color w:val="auto"/>
          <w:sz w:val="40"/>
          <w:szCs w:val="40"/>
          <w:highlight w:val="none"/>
        </w:rPr>
      </w:pPr>
      <w:r>
        <w:rPr>
          <w:rFonts w:hint="eastAsia" w:ascii="微软雅黑" w:hAnsi="微软雅黑" w:eastAsia="微软雅黑" w:cs="微软雅黑"/>
          <w:color w:val="auto"/>
          <w:sz w:val="44"/>
          <w:szCs w:val="44"/>
          <w:highlight w:val="none"/>
        </w:rPr>
        <w:t>节能产品政府采购品目清单</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422"/>
        <w:gridCol w:w="1496"/>
        <w:gridCol w:w="1481"/>
        <w:gridCol w:w="3452"/>
      </w:tblGrid>
      <w:tr w14:paraId="5C8CC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42333083">
            <w:pPr>
              <w:jc w:val="center"/>
              <w:rPr>
                <w:rFonts w:ascii="Calibri" w:hAnsi="Calibri"/>
                <w:color w:val="auto"/>
                <w:szCs w:val="22"/>
                <w:highlight w:val="none"/>
              </w:rPr>
            </w:pPr>
            <w:r>
              <w:rPr>
                <w:rFonts w:hint="eastAsia" w:ascii="宋体" w:hAnsi="宋体" w:cs="宋体"/>
                <w:b/>
                <w:bCs/>
                <w:color w:val="auto"/>
                <w:w w:val="99"/>
                <w:highlight w:val="none"/>
              </w:rPr>
              <w:t>品目序号</w:t>
            </w:r>
          </w:p>
        </w:tc>
        <w:tc>
          <w:tcPr>
            <w:tcW w:w="4399" w:type="dxa"/>
            <w:gridSpan w:val="3"/>
            <w:tcBorders>
              <w:top w:val="single" w:color="000000" w:sz="4" w:space="0"/>
              <w:left w:val="single" w:color="000000" w:sz="4" w:space="0"/>
              <w:bottom w:val="single" w:color="000000" w:sz="4" w:space="0"/>
              <w:right w:val="single" w:color="000000" w:sz="4" w:space="0"/>
            </w:tcBorders>
            <w:vAlign w:val="center"/>
          </w:tcPr>
          <w:p w14:paraId="40D8E4C3">
            <w:pPr>
              <w:jc w:val="center"/>
              <w:rPr>
                <w:rFonts w:ascii="Calibri" w:hAnsi="Calibri"/>
                <w:color w:val="auto"/>
                <w:szCs w:val="22"/>
                <w:highlight w:val="none"/>
              </w:rPr>
            </w:pPr>
            <w:r>
              <w:rPr>
                <w:rFonts w:hint="eastAsia" w:ascii="宋体" w:hAnsi="宋体" w:cs="宋体"/>
                <w:b/>
                <w:bCs/>
                <w:color w:val="auto"/>
                <w:w w:val="99"/>
                <w:highlight w:val="none"/>
              </w:rPr>
              <w:t>名称</w:t>
            </w:r>
          </w:p>
        </w:tc>
        <w:tc>
          <w:tcPr>
            <w:tcW w:w="3452" w:type="dxa"/>
            <w:tcBorders>
              <w:top w:val="single" w:color="000000" w:sz="4" w:space="0"/>
              <w:left w:val="single" w:color="000000" w:sz="4" w:space="0"/>
              <w:bottom w:val="single" w:color="000000" w:sz="4" w:space="0"/>
              <w:right w:val="single" w:color="000000" w:sz="4" w:space="0"/>
            </w:tcBorders>
            <w:vAlign w:val="center"/>
          </w:tcPr>
          <w:p w14:paraId="5BCCD824">
            <w:pPr>
              <w:jc w:val="center"/>
              <w:rPr>
                <w:rFonts w:ascii="Calibri" w:hAnsi="Calibri"/>
                <w:color w:val="auto"/>
                <w:szCs w:val="22"/>
                <w:highlight w:val="none"/>
              </w:rPr>
            </w:pPr>
            <w:r>
              <w:rPr>
                <w:rFonts w:hint="eastAsia" w:ascii="宋体" w:hAnsi="宋体" w:cs="宋体"/>
                <w:b/>
                <w:bCs/>
                <w:color w:val="auto"/>
                <w:w w:val="99"/>
                <w:highlight w:val="none"/>
              </w:rPr>
              <w:t>依据的标准</w:t>
            </w:r>
          </w:p>
        </w:tc>
      </w:tr>
      <w:tr w14:paraId="5E570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2079E2B4">
            <w:pPr>
              <w:jc w:val="center"/>
              <w:rPr>
                <w:rFonts w:ascii="宋体" w:hAnsi="宋体"/>
                <w:color w:val="auto"/>
                <w:szCs w:val="21"/>
                <w:highlight w:val="none"/>
              </w:rPr>
            </w:pPr>
            <w:r>
              <w:rPr>
                <w:rFonts w:hint="eastAsia" w:ascii="宋体" w:hAnsi="宋体"/>
                <w:color w:val="auto"/>
                <w:szCs w:val="21"/>
                <w:highlight w:val="none"/>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7EFAE5A9">
            <w:pPr>
              <w:jc w:val="center"/>
              <w:rPr>
                <w:rFonts w:ascii="宋体" w:hAnsi="宋体"/>
                <w:color w:val="auto"/>
                <w:szCs w:val="21"/>
                <w:highlight w:val="none"/>
              </w:rPr>
            </w:pPr>
            <w:r>
              <w:rPr>
                <w:rFonts w:hint="eastAsia" w:ascii="宋体" w:hAnsi="宋体" w:cs="仿宋_GB2312"/>
                <w:color w:val="auto"/>
                <w:szCs w:val="21"/>
                <w:highlight w:val="none"/>
              </w:rPr>
              <w:t>A02010100</w:t>
            </w:r>
            <w:r>
              <w:rPr>
                <w:rFonts w:hint="eastAsia" w:ascii="宋体" w:hAnsi="宋体" w:cs="宋体"/>
                <w:color w:val="auto"/>
                <w:w w:val="99"/>
                <w:szCs w:val="21"/>
                <w:highlight w:val="none"/>
              </w:rPr>
              <w:t>计算机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7A496F2A">
            <w:pPr>
              <w:pStyle w:val="58"/>
              <w:spacing w:before="93"/>
              <w:ind w:left="7" w:right="5"/>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仿宋_GB2312"/>
                <w:color w:val="auto"/>
                <w:kern w:val="2"/>
                <w:sz w:val="21"/>
                <w:szCs w:val="21"/>
                <w:highlight w:val="none"/>
              </w:rPr>
              <w:t>A02010105</w:t>
            </w:r>
            <w:r>
              <w:rPr>
                <w:rFonts w:hint="eastAsia" w:ascii="宋体" w:hAnsi="宋体" w:cs="宋体"/>
                <w:color w:val="auto"/>
                <w:w w:val="99"/>
                <w:kern w:val="2"/>
                <w:sz w:val="21"/>
                <w:szCs w:val="21"/>
                <w:highlight w:val="none"/>
              </w:rPr>
              <w:t>台式计算机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6E3A9850">
            <w:pPr>
              <w:jc w:val="center"/>
              <w:rPr>
                <w:rFonts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58F23138">
            <w:pPr>
              <w:pStyle w:val="5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《微型计算机能效限定值及能效等级》（GB28380）</w:t>
            </w:r>
          </w:p>
        </w:tc>
      </w:tr>
      <w:tr w14:paraId="1007A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C381D0A">
            <w:pPr>
              <w:widowControl/>
              <w:jc w:val="left"/>
              <w:rPr>
                <w:rFonts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FBEE4DF">
            <w:pPr>
              <w:widowControl/>
              <w:jc w:val="left"/>
              <w:rPr>
                <w:rFonts w:ascii="宋体" w:hAnsi="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795F097D">
            <w:pPr>
              <w:pStyle w:val="58"/>
              <w:spacing w:before="44"/>
              <w:ind w:left="7" w:right="5"/>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仿宋_GB2312"/>
                <w:color w:val="auto"/>
                <w:kern w:val="2"/>
                <w:sz w:val="21"/>
                <w:szCs w:val="21"/>
                <w:highlight w:val="none"/>
              </w:rPr>
              <w:t>A02010108</w:t>
            </w:r>
            <w:r>
              <w:rPr>
                <w:rFonts w:hint="eastAsia" w:ascii="宋体" w:hAnsi="宋体" w:cs="宋体"/>
                <w:color w:val="auto"/>
                <w:w w:val="99"/>
                <w:kern w:val="2"/>
                <w:sz w:val="21"/>
                <w:szCs w:val="21"/>
                <w:highlight w:val="none"/>
              </w:rPr>
              <w:t>便携式计算机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4DFBEF61">
            <w:pPr>
              <w:jc w:val="center"/>
              <w:rPr>
                <w:rFonts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551B3687">
            <w:pPr>
              <w:pStyle w:val="5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《微型计算机能效限定值及能效等级》（GB28380）</w:t>
            </w:r>
          </w:p>
        </w:tc>
      </w:tr>
      <w:tr w14:paraId="3B39D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1B141ED">
            <w:pPr>
              <w:widowControl/>
              <w:jc w:val="left"/>
              <w:rPr>
                <w:rFonts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83ACB35">
            <w:pPr>
              <w:widowControl/>
              <w:jc w:val="left"/>
              <w:rPr>
                <w:rFonts w:ascii="宋体" w:hAnsi="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62928D3D">
            <w:pPr>
              <w:pStyle w:val="58"/>
              <w:spacing w:before="64"/>
              <w:ind w:left="7" w:right="5"/>
              <w:jc w:val="center"/>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w:t>
            </w:r>
            <w:r>
              <w:rPr>
                <w:rFonts w:hint="eastAsia" w:ascii="宋体" w:hAnsi="宋体" w:cs="仿宋_GB2312"/>
                <w:color w:val="auto"/>
                <w:kern w:val="2"/>
                <w:sz w:val="21"/>
                <w:szCs w:val="21"/>
                <w:highlight w:val="none"/>
                <w:lang w:eastAsia="zh-CN"/>
              </w:rPr>
              <w:t>A02010109平板式计算机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2B4146F6">
            <w:pPr>
              <w:jc w:val="center"/>
              <w:rPr>
                <w:rFonts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024C1121">
            <w:pPr>
              <w:pStyle w:val="5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《微型计算机能效限定值及能效等级》（GB28380）</w:t>
            </w:r>
          </w:p>
        </w:tc>
      </w:tr>
      <w:tr w14:paraId="7FA6B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34EA09CB">
            <w:pPr>
              <w:jc w:val="center"/>
              <w:rPr>
                <w:rFonts w:ascii="宋体" w:hAnsi="宋体"/>
                <w:color w:val="auto"/>
                <w:szCs w:val="21"/>
                <w:highlight w:val="none"/>
              </w:rPr>
            </w:pPr>
            <w:r>
              <w:rPr>
                <w:rFonts w:hint="eastAsia" w:ascii="宋体" w:hAnsi="宋体"/>
                <w:color w:val="auto"/>
                <w:szCs w:val="21"/>
                <w:highlight w:val="none"/>
              </w:rPr>
              <w:t>2</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11867E4D">
            <w:pPr>
              <w:pStyle w:val="58"/>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A02020000</w:t>
            </w:r>
            <w:r>
              <w:rPr>
                <w:rFonts w:hint="eastAsia" w:ascii="宋体" w:hAnsi="宋体" w:cs="宋体"/>
                <w:color w:val="auto"/>
                <w:w w:val="99"/>
                <w:kern w:val="2"/>
                <w:sz w:val="21"/>
                <w:szCs w:val="21"/>
                <w:highlight w:val="none"/>
              </w:rPr>
              <w:t>办公设备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6FA8035F">
            <w:pPr>
              <w:jc w:val="center"/>
              <w:rPr>
                <w:rFonts w:ascii="宋体" w:hAnsi="宋体"/>
                <w:color w:val="auto"/>
                <w:szCs w:val="21"/>
                <w:highlight w:val="none"/>
              </w:rPr>
            </w:pPr>
            <w:r>
              <w:rPr>
                <w:rFonts w:hint="eastAsia" w:ascii="宋体" w:hAnsi="宋体" w:cs="宋体"/>
                <w:color w:val="auto"/>
                <w:spacing w:val="1"/>
                <w:w w:val="99"/>
                <w:szCs w:val="21"/>
                <w:highlight w:val="none"/>
              </w:rPr>
              <w:t>A02021000</w:t>
            </w:r>
            <w:r>
              <w:rPr>
                <w:rFonts w:hint="eastAsia" w:ascii="宋体" w:hAnsi="宋体" w:cs="Arial"/>
                <w:color w:val="auto"/>
                <w:szCs w:val="21"/>
                <w:highlight w:val="none"/>
                <w:shd w:val="clear" w:color="auto" w:fill="FFFFFF"/>
              </w:rPr>
              <w:t>打印机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1B964495">
            <w:pPr>
              <w:jc w:val="center"/>
              <w:rPr>
                <w:rFonts w:ascii="宋体" w:hAnsi="宋体"/>
                <w:color w:val="auto"/>
                <w:szCs w:val="21"/>
                <w:highlight w:val="none"/>
              </w:rPr>
            </w:pPr>
            <w:r>
              <w:rPr>
                <w:rFonts w:hint="eastAsia" w:ascii="宋体" w:hAnsi="宋体"/>
                <w:color w:val="auto"/>
                <w:szCs w:val="21"/>
                <w:highlight w:val="none"/>
              </w:rPr>
              <w:t>A02021001 A3黑白打印机</w:t>
            </w:r>
          </w:p>
        </w:tc>
        <w:tc>
          <w:tcPr>
            <w:tcW w:w="3452" w:type="dxa"/>
            <w:tcBorders>
              <w:top w:val="single" w:color="000000" w:sz="4" w:space="0"/>
              <w:left w:val="single" w:color="000000" w:sz="4" w:space="0"/>
              <w:bottom w:val="single" w:color="000000" w:sz="4" w:space="0"/>
              <w:right w:val="single" w:color="000000" w:sz="4" w:space="0"/>
            </w:tcBorders>
          </w:tcPr>
          <w:p w14:paraId="6ED1BF59">
            <w:pPr>
              <w:pStyle w:val="5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7A3A0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967F71B">
            <w:pPr>
              <w:widowControl/>
              <w:jc w:val="left"/>
              <w:rPr>
                <w:rFonts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47FA7D7">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056C591">
            <w:pPr>
              <w:widowControl/>
              <w:jc w:val="left"/>
              <w:rPr>
                <w:rFonts w:ascii="宋体" w:hAnsi="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BE5F2B6">
            <w:pPr>
              <w:jc w:val="center"/>
              <w:rPr>
                <w:rFonts w:ascii="宋体" w:hAnsi="宋体"/>
                <w:color w:val="auto"/>
                <w:szCs w:val="21"/>
                <w:highlight w:val="none"/>
              </w:rPr>
            </w:pPr>
            <w:r>
              <w:rPr>
                <w:rFonts w:hint="eastAsia" w:ascii="宋体" w:hAnsi="宋体"/>
                <w:color w:val="auto"/>
                <w:szCs w:val="21"/>
                <w:highlight w:val="none"/>
              </w:rPr>
              <w:t>A02021002 A3彩色打印机</w:t>
            </w:r>
          </w:p>
        </w:tc>
        <w:tc>
          <w:tcPr>
            <w:tcW w:w="3452" w:type="dxa"/>
            <w:tcBorders>
              <w:top w:val="single" w:color="000000" w:sz="4" w:space="0"/>
              <w:left w:val="single" w:color="000000" w:sz="4" w:space="0"/>
              <w:bottom w:val="single" w:color="000000" w:sz="4" w:space="0"/>
              <w:right w:val="single" w:color="000000" w:sz="4" w:space="0"/>
            </w:tcBorders>
          </w:tcPr>
          <w:p w14:paraId="6F9D224E">
            <w:pPr>
              <w:pStyle w:val="5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49551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EAAADC8">
            <w:pPr>
              <w:widowControl/>
              <w:jc w:val="left"/>
              <w:rPr>
                <w:rFonts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4D9873C">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825B766">
            <w:pPr>
              <w:widowControl/>
              <w:jc w:val="left"/>
              <w:rPr>
                <w:rFonts w:ascii="宋体" w:hAnsi="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9F9C382">
            <w:pPr>
              <w:jc w:val="center"/>
              <w:rPr>
                <w:rFonts w:ascii="宋体" w:hAnsi="宋体"/>
                <w:color w:val="auto"/>
                <w:szCs w:val="21"/>
                <w:highlight w:val="none"/>
              </w:rPr>
            </w:pPr>
            <w:r>
              <w:rPr>
                <w:rFonts w:hint="eastAsia" w:ascii="宋体" w:hAnsi="宋体"/>
                <w:color w:val="auto"/>
                <w:szCs w:val="21"/>
                <w:highlight w:val="none"/>
              </w:rPr>
              <w:t>A02021003 A4黑白打印机</w:t>
            </w:r>
          </w:p>
        </w:tc>
        <w:tc>
          <w:tcPr>
            <w:tcW w:w="3452" w:type="dxa"/>
            <w:tcBorders>
              <w:top w:val="single" w:color="000000" w:sz="4" w:space="0"/>
              <w:left w:val="single" w:color="000000" w:sz="4" w:space="0"/>
              <w:bottom w:val="single" w:color="000000" w:sz="4" w:space="0"/>
              <w:right w:val="single" w:color="000000" w:sz="4" w:space="0"/>
            </w:tcBorders>
          </w:tcPr>
          <w:p w14:paraId="5DCE2B04">
            <w:pPr>
              <w:pStyle w:val="5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52179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112E8C0">
            <w:pPr>
              <w:widowControl/>
              <w:jc w:val="left"/>
              <w:rPr>
                <w:rFonts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D77FD18">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F355869">
            <w:pPr>
              <w:widowControl/>
              <w:jc w:val="left"/>
              <w:rPr>
                <w:rFonts w:ascii="宋体" w:hAnsi="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C8D940D">
            <w:pPr>
              <w:jc w:val="center"/>
              <w:rPr>
                <w:rFonts w:ascii="宋体" w:hAnsi="宋体"/>
                <w:color w:val="auto"/>
                <w:szCs w:val="21"/>
                <w:highlight w:val="none"/>
              </w:rPr>
            </w:pPr>
            <w:r>
              <w:rPr>
                <w:rFonts w:hint="eastAsia" w:ascii="宋体" w:hAnsi="宋体"/>
                <w:color w:val="auto"/>
                <w:szCs w:val="21"/>
                <w:highlight w:val="none"/>
              </w:rPr>
              <w:t>A02021004 A4彩色打印机</w:t>
            </w:r>
          </w:p>
        </w:tc>
        <w:tc>
          <w:tcPr>
            <w:tcW w:w="3452" w:type="dxa"/>
            <w:tcBorders>
              <w:top w:val="single" w:color="000000" w:sz="4" w:space="0"/>
              <w:left w:val="single" w:color="000000" w:sz="4" w:space="0"/>
              <w:bottom w:val="single" w:color="000000" w:sz="4" w:space="0"/>
              <w:right w:val="single" w:color="000000" w:sz="4" w:space="0"/>
            </w:tcBorders>
          </w:tcPr>
          <w:p w14:paraId="0E75A3BF">
            <w:pPr>
              <w:pStyle w:val="5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373F7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DBA21D0">
            <w:pPr>
              <w:widowControl/>
              <w:jc w:val="left"/>
              <w:rPr>
                <w:rFonts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8B02C37">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99CF300">
            <w:pPr>
              <w:widowControl/>
              <w:jc w:val="left"/>
              <w:rPr>
                <w:rFonts w:ascii="宋体" w:hAnsi="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523299B">
            <w:pPr>
              <w:jc w:val="center"/>
              <w:rPr>
                <w:rFonts w:ascii="宋体" w:hAnsi="宋体"/>
                <w:color w:val="auto"/>
                <w:szCs w:val="21"/>
                <w:highlight w:val="none"/>
              </w:rPr>
            </w:pPr>
            <w:r>
              <w:rPr>
                <w:rFonts w:hint="eastAsia" w:ascii="宋体" w:hAnsi="宋体"/>
                <w:color w:val="auto"/>
                <w:szCs w:val="21"/>
                <w:highlight w:val="none"/>
              </w:rPr>
              <w:t>A02021005 3D打印机</w:t>
            </w:r>
          </w:p>
        </w:tc>
        <w:tc>
          <w:tcPr>
            <w:tcW w:w="3452" w:type="dxa"/>
            <w:tcBorders>
              <w:top w:val="single" w:color="000000" w:sz="4" w:space="0"/>
              <w:left w:val="single" w:color="000000" w:sz="4" w:space="0"/>
              <w:bottom w:val="single" w:color="000000" w:sz="4" w:space="0"/>
              <w:right w:val="single" w:color="000000" w:sz="4" w:space="0"/>
            </w:tcBorders>
          </w:tcPr>
          <w:p w14:paraId="40FFFAA5">
            <w:pPr>
              <w:pStyle w:val="5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21552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89A7F87">
            <w:pPr>
              <w:widowControl/>
              <w:jc w:val="left"/>
              <w:rPr>
                <w:rFonts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A1B0D65">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ADDD419">
            <w:pPr>
              <w:widowControl/>
              <w:jc w:val="left"/>
              <w:rPr>
                <w:rFonts w:ascii="宋体" w:hAnsi="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2B1EBF64">
            <w:pPr>
              <w:jc w:val="center"/>
              <w:rPr>
                <w:rFonts w:ascii="宋体" w:hAnsi="宋体"/>
                <w:color w:val="auto"/>
                <w:szCs w:val="21"/>
                <w:highlight w:val="none"/>
              </w:rPr>
            </w:pPr>
            <w:r>
              <w:rPr>
                <w:rFonts w:hint="eastAsia" w:ascii="宋体" w:hAnsi="宋体"/>
                <w:color w:val="auto"/>
                <w:szCs w:val="21"/>
                <w:highlight w:val="none"/>
              </w:rPr>
              <w:t>A02021006票据打印机</w:t>
            </w:r>
          </w:p>
        </w:tc>
        <w:tc>
          <w:tcPr>
            <w:tcW w:w="3452" w:type="dxa"/>
            <w:tcBorders>
              <w:top w:val="single" w:color="000000" w:sz="4" w:space="0"/>
              <w:left w:val="single" w:color="000000" w:sz="4" w:space="0"/>
              <w:bottom w:val="single" w:color="000000" w:sz="4" w:space="0"/>
              <w:right w:val="single" w:color="000000" w:sz="4" w:space="0"/>
            </w:tcBorders>
          </w:tcPr>
          <w:p w14:paraId="55A11FFE">
            <w:pPr>
              <w:pStyle w:val="5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14C0E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A49335F">
            <w:pPr>
              <w:widowControl/>
              <w:jc w:val="left"/>
              <w:rPr>
                <w:rFonts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544AD4F">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6B99BD1">
            <w:pPr>
              <w:widowControl/>
              <w:jc w:val="left"/>
              <w:rPr>
                <w:rFonts w:ascii="宋体" w:hAnsi="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99BA540">
            <w:pPr>
              <w:jc w:val="center"/>
              <w:rPr>
                <w:rFonts w:ascii="宋体" w:hAnsi="宋体"/>
                <w:color w:val="auto"/>
                <w:szCs w:val="21"/>
                <w:highlight w:val="none"/>
              </w:rPr>
            </w:pPr>
            <w:r>
              <w:rPr>
                <w:rFonts w:hint="eastAsia" w:ascii="宋体" w:hAnsi="宋体"/>
                <w:color w:val="auto"/>
                <w:szCs w:val="21"/>
                <w:highlight w:val="none"/>
              </w:rPr>
              <w:t>A02021007条码打印机</w:t>
            </w:r>
          </w:p>
        </w:tc>
        <w:tc>
          <w:tcPr>
            <w:tcW w:w="3452" w:type="dxa"/>
            <w:tcBorders>
              <w:top w:val="single" w:color="000000" w:sz="4" w:space="0"/>
              <w:left w:val="single" w:color="000000" w:sz="4" w:space="0"/>
              <w:bottom w:val="single" w:color="000000" w:sz="4" w:space="0"/>
              <w:right w:val="single" w:color="000000" w:sz="4" w:space="0"/>
            </w:tcBorders>
          </w:tcPr>
          <w:p w14:paraId="731F59B2">
            <w:pPr>
              <w:pStyle w:val="5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6F393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83E3854">
            <w:pPr>
              <w:widowControl/>
              <w:jc w:val="left"/>
              <w:rPr>
                <w:rFonts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603C715">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9F93EEE">
            <w:pPr>
              <w:widowControl/>
              <w:jc w:val="left"/>
              <w:rPr>
                <w:rFonts w:ascii="宋体" w:hAnsi="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9F0032E">
            <w:pPr>
              <w:jc w:val="center"/>
              <w:rPr>
                <w:rFonts w:ascii="宋体" w:hAnsi="宋体"/>
                <w:color w:val="auto"/>
                <w:szCs w:val="21"/>
                <w:highlight w:val="none"/>
              </w:rPr>
            </w:pPr>
            <w:r>
              <w:rPr>
                <w:rFonts w:hint="eastAsia" w:ascii="宋体" w:hAnsi="宋体"/>
                <w:color w:val="auto"/>
                <w:szCs w:val="21"/>
                <w:highlight w:val="none"/>
              </w:rPr>
              <w:t>A02021008地址打印机</w:t>
            </w:r>
          </w:p>
        </w:tc>
        <w:tc>
          <w:tcPr>
            <w:tcW w:w="3452" w:type="dxa"/>
            <w:tcBorders>
              <w:top w:val="single" w:color="000000" w:sz="4" w:space="0"/>
              <w:left w:val="single" w:color="000000" w:sz="4" w:space="0"/>
              <w:bottom w:val="single" w:color="000000" w:sz="4" w:space="0"/>
              <w:right w:val="single" w:color="000000" w:sz="4" w:space="0"/>
            </w:tcBorders>
          </w:tcPr>
          <w:p w14:paraId="67B6E9EE">
            <w:pPr>
              <w:pStyle w:val="5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50AE0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00ED3D8">
            <w:pPr>
              <w:widowControl/>
              <w:jc w:val="left"/>
              <w:rPr>
                <w:rFonts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3E1C695">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78C160E">
            <w:pPr>
              <w:widowControl/>
              <w:jc w:val="left"/>
              <w:rPr>
                <w:rFonts w:ascii="宋体" w:hAnsi="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436C29E">
            <w:pPr>
              <w:jc w:val="center"/>
              <w:rPr>
                <w:rFonts w:ascii="宋体" w:hAnsi="宋体"/>
                <w:color w:val="auto"/>
                <w:szCs w:val="21"/>
                <w:highlight w:val="none"/>
              </w:rPr>
            </w:pPr>
            <w:r>
              <w:rPr>
                <w:rFonts w:hint="eastAsia" w:ascii="宋体" w:hAnsi="宋体"/>
                <w:color w:val="auto"/>
                <w:szCs w:val="21"/>
                <w:highlight w:val="none"/>
              </w:rPr>
              <w:t>A02021099其他打印机</w:t>
            </w:r>
          </w:p>
        </w:tc>
        <w:tc>
          <w:tcPr>
            <w:tcW w:w="3452" w:type="dxa"/>
            <w:tcBorders>
              <w:top w:val="single" w:color="000000" w:sz="4" w:space="0"/>
              <w:left w:val="single" w:color="000000" w:sz="4" w:space="0"/>
              <w:bottom w:val="single" w:color="000000" w:sz="4" w:space="0"/>
              <w:right w:val="single" w:color="000000" w:sz="4" w:space="0"/>
            </w:tcBorders>
          </w:tcPr>
          <w:p w14:paraId="73D515B1">
            <w:pPr>
              <w:pStyle w:val="5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4D68C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0967AFF">
            <w:pPr>
              <w:widowControl/>
              <w:jc w:val="left"/>
              <w:rPr>
                <w:rFonts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7F95104">
            <w:pPr>
              <w:widowControl/>
              <w:jc w:val="left"/>
              <w:rPr>
                <w:rFonts w:ascii="宋体" w:hAnsi="宋体" w:cs="宋体"/>
                <w:color w:val="auto"/>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62A5F220">
            <w:pPr>
              <w:jc w:val="center"/>
              <w:rPr>
                <w:rFonts w:ascii="宋体" w:hAnsi="宋体"/>
                <w:color w:val="auto"/>
                <w:szCs w:val="21"/>
                <w:highlight w:val="none"/>
              </w:rPr>
            </w:pPr>
            <w:r>
              <w:rPr>
                <w:rFonts w:hint="eastAsia" w:ascii="宋体" w:hAnsi="宋体"/>
                <w:color w:val="auto"/>
                <w:szCs w:val="21"/>
                <w:highlight w:val="none"/>
              </w:rPr>
              <w:t>A02021100输入输出设备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13469024">
            <w:pPr>
              <w:jc w:val="center"/>
              <w:rPr>
                <w:rFonts w:ascii="宋体" w:hAnsi="宋体"/>
                <w:color w:val="auto"/>
                <w:szCs w:val="21"/>
                <w:highlight w:val="none"/>
              </w:rPr>
            </w:pPr>
            <w:r>
              <w:rPr>
                <w:rFonts w:hint="eastAsia" w:ascii="宋体" w:hAnsi="宋体" w:cs="宋体"/>
                <w:color w:val="auto"/>
                <w:w w:val="99"/>
                <w:szCs w:val="21"/>
                <w:highlight w:val="none"/>
              </w:rPr>
              <w:t>★</w:t>
            </w:r>
            <w:r>
              <w:rPr>
                <w:rFonts w:hint="eastAsia" w:ascii="宋体" w:hAnsi="宋体"/>
                <w:color w:val="auto"/>
                <w:szCs w:val="21"/>
                <w:highlight w:val="none"/>
              </w:rPr>
              <w:t>A02021104液晶显示器</w:t>
            </w:r>
          </w:p>
        </w:tc>
        <w:tc>
          <w:tcPr>
            <w:tcW w:w="3452" w:type="dxa"/>
            <w:tcBorders>
              <w:top w:val="single" w:color="000000" w:sz="4" w:space="0"/>
              <w:left w:val="single" w:color="000000" w:sz="4" w:space="0"/>
              <w:bottom w:val="single" w:color="000000" w:sz="4" w:space="0"/>
              <w:right w:val="single" w:color="000000" w:sz="4" w:space="0"/>
            </w:tcBorders>
            <w:vAlign w:val="center"/>
          </w:tcPr>
          <w:p w14:paraId="151478BE">
            <w:pPr>
              <w:pStyle w:val="5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《计算机显示器能效限定值及能效等级》（GB21520）</w:t>
            </w:r>
          </w:p>
        </w:tc>
      </w:tr>
      <w:tr w14:paraId="3B1A7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766D2C0">
            <w:pPr>
              <w:widowControl/>
              <w:jc w:val="left"/>
              <w:rPr>
                <w:rFonts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EAFE22C">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C848455">
            <w:pPr>
              <w:widowControl/>
              <w:jc w:val="left"/>
              <w:rPr>
                <w:rFonts w:ascii="宋体" w:hAnsi="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2D57C43">
            <w:pPr>
              <w:jc w:val="center"/>
              <w:rPr>
                <w:rFonts w:ascii="宋体" w:hAnsi="宋体"/>
                <w:color w:val="auto"/>
                <w:szCs w:val="21"/>
                <w:highlight w:val="none"/>
              </w:rPr>
            </w:pPr>
            <w:r>
              <w:rPr>
                <w:rFonts w:hint="eastAsia" w:ascii="宋体" w:hAnsi="宋体"/>
                <w:color w:val="auto"/>
                <w:szCs w:val="21"/>
                <w:highlight w:val="none"/>
              </w:rPr>
              <w:t>A02021118扫描仪</w:t>
            </w:r>
          </w:p>
        </w:tc>
        <w:tc>
          <w:tcPr>
            <w:tcW w:w="3452" w:type="dxa"/>
            <w:tcBorders>
              <w:top w:val="single" w:color="000000" w:sz="4" w:space="0"/>
              <w:left w:val="single" w:color="000000" w:sz="4" w:space="0"/>
              <w:bottom w:val="single" w:color="000000" w:sz="4" w:space="0"/>
              <w:right w:val="single" w:color="000000" w:sz="4" w:space="0"/>
            </w:tcBorders>
            <w:vAlign w:val="center"/>
          </w:tcPr>
          <w:p w14:paraId="230CBF7A">
            <w:pPr>
              <w:pStyle w:val="5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参照《复印机、打印机和传真机能效限定值及能效等级》（GB21521）中打印速度为15页/分的针式打印机相关要求</w:t>
            </w:r>
          </w:p>
        </w:tc>
      </w:tr>
      <w:tr w14:paraId="55C1F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01D83A10">
            <w:pPr>
              <w:jc w:val="center"/>
              <w:rPr>
                <w:rFonts w:ascii="宋体" w:hAnsi="宋体"/>
                <w:color w:val="auto"/>
                <w:szCs w:val="21"/>
                <w:highlight w:val="none"/>
              </w:rPr>
            </w:pPr>
            <w:r>
              <w:rPr>
                <w:rFonts w:hint="eastAsia" w:ascii="宋体" w:hAnsi="宋体"/>
                <w:color w:val="auto"/>
                <w:w w:val="99"/>
                <w:szCs w:val="21"/>
                <w:highlight w:val="none"/>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5F3838B3">
            <w:pPr>
              <w:jc w:val="center"/>
              <w:rPr>
                <w:rFonts w:ascii="宋体" w:hAnsi="宋体"/>
                <w:color w:val="auto"/>
                <w:szCs w:val="21"/>
                <w:highlight w:val="none"/>
              </w:rPr>
            </w:pPr>
            <w:r>
              <w:rPr>
                <w:rFonts w:hint="eastAsia" w:ascii="宋体" w:hAnsi="宋体"/>
                <w:color w:val="auto"/>
                <w:szCs w:val="21"/>
                <w:highlight w:val="none"/>
              </w:rPr>
              <w:t>A02020200投影仪</w:t>
            </w:r>
          </w:p>
        </w:tc>
        <w:tc>
          <w:tcPr>
            <w:tcW w:w="1496" w:type="dxa"/>
            <w:tcBorders>
              <w:top w:val="single" w:color="000000" w:sz="4" w:space="0"/>
              <w:left w:val="single" w:color="000000" w:sz="4" w:space="0"/>
              <w:bottom w:val="single" w:color="000000" w:sz="4" w:space="0"/>
              <w:right w:val="single" w:color="000000" w:sz="4" w:space="0"/>
            </w:tcBorders>
            <w:vAlign w:val="center"/>
          </w:tcPr>
          <w:p w14:paraId="0AE41069">
            <w:pPr>
              <w:jc w:val="center"/>
              <w:rPr>
                <w:rFonts w:ascii="宋体" w:hAnsi="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A564D68">
            <w:pPr>
              <w:jc w:val="center"/>
              <w:rPr>
                <w:rFonts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vAlign w:val="center"/>
          </w:tcPr>
          <w:p w14:paraId="0BE470A4">
            <w:pPr>
              <w:pStyle w:val="5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《投影机能效限定值及能效等级》（GB32028）</w:t>
            </w:r>
          </w:p>
        </w:tc>
      </w:tr>
      <w:tr w14:paraId="76031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0E775705">
            <w:pPr>
              <w:jc w:val="center"/>
              <w:rPr>
                <w:rFonts w:ascii="宋体" w:hAnsi="宋体"/>
                <w:color w:val="auto"/>
                <w:szCs w:val="21"/>
                <w:highlight w:val="none"/>
              </w:rPr>
            </w:pPr>
            <w:r>
              <w:rPr>
                <w:rFonts w:hint="eastAsia" w:ascii="宋体" w:hAnsi="宋体"/>
                <w:color w:val="auto"/>
                <w:szCs w:val="21"/>
                <w:highlight w:val="none"/>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13520468">
            <w:pPr>
              <w:pStyle w:val="58"/>
              <w:spacing w:before="66"/>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A02020400</w:t>
            </w:r>
            <w:r>
              <w:rPr>
                <w:rFonts w:hint="eastAsia" w:ascii="宋体" w:hAnsi="宋体" w:cs="宋体"/>
                <w:color w:val="auto"/>
                <w:w w:val="99"/>
                <w:kern w:val="2"/>
                <w:sz w:val="21"/>
                <w:szCs w:val="21"/>
                <w:highlight w:val="none"/>
              </w:rPr>
              <w:t>多功能一体机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4C7FB5FD">
            <w:pPr>
              <w:jc w:val="center"/>
              <w:rPr>
                <w:rFonts w:ascii="宋体" w:hAnsi="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A758B31">
            <w:pPr>
              <w:jc w:val="center"/>
              <w:rPr>
                <w:rFonts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vAlign w:val="center"/>
          </w:tcPr>
          <w:p w14:paraId="6A69C04C">
            <w:pPr>
              <w:pStyle w:val="5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《复印机、打印机和传真机能效限定值及能效等级》（GB21521）</w:t>
            </w:r>
          </w:p>
        </w:tc>
      </w:tr>
      <w:tr w14:paraId="0EBED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011C4C9">
            <w:pPr>
              <w:pStyle w:val="58"/>
              <w:spacing w:before="160"/>
              <w:ind w:right="1"/>
              <w:jc w:val="center"/>
              <w:rPr>
                <w:rFonts w:ascii="宋体" w:hAnsi="宋体" w:cs="宋体"/>
                <w:color w:val="auto"/>
                <w:kern w:val="2"/>
                <w:sz w:val="21"/>
                <w:szCs w:val="21"/>
                <w:highlight w:val="none"/>
              </w:rPr>
            </w:pPr>
            <w:r>
              <w:rPr>
                <w:rFonts w:hint="eastAsia" w:ascii="宋体" w:hAnsi="宋体"/>
                <w:color w:val="auto"/>
                <w:w w:val="99"/>
                <w:kern w:val="2"/>
                <w:sz w:val="21"/>
                <w:szCs w:val="21"/>
                <w:highlight w:val="none"/>
              </w:rPr>
              <w:t>5</w:t>
            </w:r>
          </w:p>
        </w:tc>
        <w:tc>
          <w:tcPr>
            <w:tcW w:w="1422" w:type="dxa"/>
            <w:tcBorders>
              <w:top w:val="single" w:color="000000" w:sz="4" w:space="0"/>
              <w:left w:val="single" w:color="000000" w:sz="4" w:space="0"/>
              <w:bottom w:val="single" w:color="000000" w:sz="4" w:space="0"/>
              <w:right w:val="single" w:color="000000" w:sz="4" w:space="0"/>
            </w:tcBorders>
            <w:vAlign w:val="center"/>
          </w:tcPr>
          <w:p w14:paraId="74B74954">
            <w:pPr>
              <w:pStyle w:val="58"/>
              <w:spacing w:before="160"/>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A02051900</w:t>
            </w:r>
            <w:r>
              <w:rPr>
                <w:rFonts w:hint="eastAsia" w:ascii="宋体" w:hAnsi="宋体" w:cs="宋体"/>
                <w:color w:val="auto"/>
                <w:w w:val="99"/>
                <w:kern w:val="2"/>
                <w:sz w:val="21"/>
                <w:szCs w:val="21"/>
                <w:highlight w:val="none"/>
              </w:rPr>
              <w:t>泵</w:t>
            </w:r>
          </w:p>
        </w:tc>
        <w:tc>
          <w:tcPr>
            <w:tcW w:w="1496" w:type="dxa"/>
            <w:tcBorders>
              <w:top w:val="single" w:color="000000" w:sz="4" w:space="0"/>
              <w:left w:val="single" w:color="000000" w:sz="4" w:space="0"/>
              <w:bottom w:val="single" w:color="000000" w:sz="4" w:space="0"/>
              <w:right w:val="single" w:color="000000" w:sz="4" w:space="0"/>
            </w:tcBorders>
            <w:vAlign w:val="center"/>
          </w:tcPr>
          <w:p w14:paraId="36851487">
            <w:pPr>
              <w:pStyle w:val="58"/>
              <w:spacing w:before="160"/>
              <w:ind w:left="7"/>
              <w:jc w:val="center"/>
              <w:rPr>
                <w:rFonts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A02</w:t>
            </w:r>
            <w:r>
              <w:rPr>
                <w:rFonts w:hint="eastAsia" w:ascii="宋体" w:hAnsi="宋体" w:cs="宋体"/>
                <w:color w:val="auto"/>
                <w:w w:val="99"/>
                <w:kern w:val="2"/>
                <w:sz w:val="21"/>
                <w:szCs w:val="21"/>
                <w:highlight w:val="none"/>
              </w:rPr>
              <w:t>05</w:t>
            </w:r>
            <w:r>
              <w:rPr>
                <w:rFonts w:hint="eastAsia" w:ascii="宋体" w:hAnsi="宋体" w:cs="宋体"/>
                <w:color w:val="auto"/>
                <w:spacing w:val="1"/>
                <w:w w:val="99"/>
                <w:kern w:val="2"/>
                <w:sz w:val="21"/>
                <w:szCs w:val="21"/>
                <w:highlight w:val="none"/>
              </w:rPr>
              <w:t>1</w:t>
            </w:r>
            <w:r>
              <w:rPr>
                <w:rFonts w:hint="eastAsia" w:ascii="宋体" w:hAnsi="宋体" w:cs="宋体"/>
                <w:color w:val="auto"/>
                <w:w w:val="99"/>
                <w:kern w:val="2"/>
                <w:sz w:val="21"/>
                <w:szCs w:val="21"/>
                <w:highlight w:val="none"/>
              </w:rPr>
              <w:t>901离心泵</w:t>
            </w:r>
          </w:p>
        </w:tc>
        <w:tc>
          <w:tcPr>
            <w:tcW w:w="1481" w:type="dxa"/>
            <w:tcBorders>
              <w:top w:val="single" w:color="000000" w:sz="4" w:space="0"/>
              <w:left w:val="single" w:color="000000" w:sz="4" w:space="0"/>
              <w:bottom w:val="single" w:color="000000" w:sz="4" w:space="0"/>
              <w:right w:val="single" w:color="000000" w:sz="4" w:space="0"/>
            </w:tcBorders>
            <w:vAlign w:val="center"/>
          </w:tcPr>
          <w:p w14:paraId="2A714002">
            <w:pPr>
              <w:jc w:val="center"/>
              <w:rPr>
                <w:rFonts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55B152B5">
            <w:pPr>
              <w:pStyle w:val="5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《清水离心泵能效限定值及节能评价值》（GB19762）</w:t>
            </w:r>
          </w:p>
        </w:tc>
      </w:tr>
      <w:tr w14:paraId="6E6A5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4B2284B2">
            <w:pPr>
              <w:jc w:val="center"/>
              <w:rPr>
                <w:rFonts w:ascii="宋体" w:hAnsi="宋体"/>
                <w:color w:val="auto"/>
                <w:szCs w:val="21"/>
                <w:highlight w:val="none"/>
              </w:rPr>
            </w:pPr>
            <w:r>
              <w:rPr>
                <w:rFonts w:hint="eastAsia" w:ascii="宋体" w:hAnsi="宋体"/>
                <w:color w:val="auto"/>
                <w:szCs w:val="21"/>
                <w:highlight w:val="none"/>
              </w:rPr>
              <w:t>6</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06497EB4">
            <w:pPr>
              <w:pStyle w:val="58"/>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A02052300</w:t>
            </w:r>
            <w:r>
              <w:rPr>
                <w:rFonts w:hint="eastAsia" w:ascii="宋体" w:hAnsi="宋体" w:cs="宋体"/>
                <w:color w:val="auto"/>
                <w:w w:val="99"/>
                <w:kern w:val="2"/>
                <w:sz w:val="21"/>
                <w:szCs w:val="21"/>
                <w:highlight w:val="none"/>
              </w:rPr>
              <w:t>制冷空调设备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4C8E714B">
            <w:pPr>
              <w:pStyle w:val="58"/>
              <w:spacing w:line="276" w:lineRule="auto"/>
              <w:ind w:right="5"/>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宋体"/>
                <w:color w:val="auto"/>
                <w:spacing w:val="1"/>
                <w:w w:val="99"/>
                <w:kern w:val="2"/>
                <w:sz w:val="21"/>
                <w:szCs w:val="21"/>
                <w:highlight w:val="none"/>
              </w:rPr>
              <w:t>A020</w:t>
            </w:r>
            <w:r>
              <w:rPr>
                <w:rFonts w:hint="eastAsia" w:ascii="宋体" w:hAnsi="宋体" w:cs="宋体"/>
                <w:color w:val="auto"/>
                <w:w w:val="99"/>
                <w:kern w:val="2"/>
                <w:sz w:val="21"/>
                <w:szCs w:val="21"/>
                <w:highlight w:val="none"/>
              </w:rPr>
              <w:t>52</w:t>
            </w:r>
            <w:r>
              <w:rPr>
                <w:rFonts w:hint="eastAsia" w:ascii="宋体" w:hAnsi="宋体" w:cs="宋体"/>
                <w:color w:val="auto"/>
                <w:spacing w:val="1"/>
                <w:w w:val="99"/>
                <w:kern w:val="2"/>
                <w:sz w:val="21"/>
                <w:szCs w:val="21"/>
                <w:highlight w:val="none"/>
              </w:rPr>
              <w:t>3</w:t>
            </w:r>
            <w:r>
              <w:rPr>
                <w:rFonts w:hint="eastAsia" w:ascii="宋体" w:hAnsi="宋体" w:cs="宋体"/>
                <w:color w:val="auto"/>
                <w:w w:val="99"/>
                <w:kern w:val="2"/>
                <w:sz w:val="21"/>
                <w:szCs w:val="21"/>
                <w:highlight w:val="none"/>
              </w:rPr>
              <w:t>01制冷压缩机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0F9D230A">
            <w:pPr>
              <w:pStyle w:val="5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冷水机组</w:t>
            </w:r>
          </w:p>
        </w:tc>
        <w:tc>
          <w:tcPr>
            <w:tcW w:w="3452" w:type="dxa"/>
            <w:tcBorders>
              <w:top w:val="single" w:color="000000" w:sz="4" w:space="0"/>
              <w:left w:val="single" w:color="000000" w:sz="4" w:space="0"/>
              <w:bottom w:val="single" w:color="000000" w:sz="4" w:space="0"/>
              <w:right w:val="single" w:color="000000" w:sz="4" w:space="0"/>
            </w:tcBorders>
          </w:tcPr>
          <w:p w14:paraId="1A55F37A">
            <w:pPr>
              <w:pStyle w:val="5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《冷水机组能效限定值及能效等级》（GB19577），《低环境温度空气源热泵（冷水）机组能效限定值及能效等级》（GB37480）</w:t>
            </w:r>
          </w:p>
        </w:tc>
      </w:tr>
      <w:tr w14:paraId="32BB8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065BD32">
            <w:pPr>
              <w:widowControl/>
              <w:jc w:val="left"/>
              <w:rPr>
                <w:rFonts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A17D7A4">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FB89C6C">
            <w:pPr>
              <w:widowControl/>
              <w:jc w:val="left"/>
              <w:rPr>
                <w:rFonts w:ascii="宋体" w:hAnsi="宋体" w:cs="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855CE66">
            <w:pPr>
              <w:jc w:val="center"/>
              <w:rPr>
                <w:rFonts w:ascii="宋体" w:hAnsi="宋体"/>
                <w:color w:val="auto"/>
                <w:szCs w:val="21"/>
                <w:highlight w:val="none"/>
              </w:rPr>
            </w:pPr>
            <w:r>
              <w:rPr>
                <w:rFonts w:hint="eastAsia" w:ascii="宋体" w:hAnsi="宋体"/>
                <w:color w:val="auto"/>
                <w:szCs w:val="21"/>
                <w:highlight w:val="none"/>
              </w:rPr>
              <w:t>溴化锂吸收式冷水机组</w:t>
            </w:r>
          </w:p>
        </w:tc>
        <w:tc>
          <w:tcPr>
            <w:tcW w:w="3452" w:type="dxa"/>
            <w:tcBorders>
              <w:top w:val="single" w:color="000000" w:sz="4" w:space="0"/>
              <w:left w:val="single" w:color="000000" w:sz="4" w:space="0"/>
              <w:bottom w:val="single" w:color="000000" w:sz="4" w:space="0"/>
              <w:right w:val="single" w:color="000000" w:sz="4" w:space="0"/>
            </w:tcBorders>
            <w:vAlign w:val="center"/>
          </w:tcPr>
          <w:p w14:paraId="1EDBFFDD">
            <w:pPr>
              <w:pStyle w:val="5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《溴化锂吸收式冷水机组能效限</w:t>
            </w:r>
          </w:p>
          <w:p w14:paraId="78F38ED5">
            <w:pPr>
              <w:spacing w:before="131" w:line="276" w:lineRule="auto"/>
              <w:ind w:right="4"/>
              <w:rPr>
                <w:rFonts w:ascii="宋体" w:hAnsi="宋体" w:cs="宋体"/>
                <w:color w:val="auto"/>
                <w:spacing w:val="10"/>
                <w:szCs w:val="21"/>
                <w:highlight w:val="none"/>
              </w:rPr>
            </w:pPr>
            <w:r>
              <w:rPr>
                <w:rFonts w:hint="eastAsia" w:ascii="宋体" w:hAnsi="宋体" w:cs="宋体"/>
                <w:color w:val="auto"/>
                <w:spacing w:val="10"/>
                <w:szCs w:val="21"/>
                <w:highlight w:val="none"/>
              </w:rPr>
              <w:t>定值及能效等级》（GB29540）</w:t>
            </w:r>
          </w:p>
        </w:tc>
      </w:tr>
      <w:tr w14:paraId="1D8C8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E642314">
            <w:pPr>
              <w:widowControl/>
              <w:jc w:val="left"/>
              <w:rPr>
                <w:rFonts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2A2A1B7">
            <w:pPr>
              <w:widowControl/>
              <w:jc w:val="left"/>
              <w:rPr>
                <w:rFonts w:ascii="宋体" w:hAnsi="宋体" w:cs="宋体"/>
                <w:color w:val="auto"/>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7422AF16">
            <w:pPr>
              <w:pStyle w:val="58"/>
              <w:spacing w:line="276" w:lineRule="auto"/>
              <w:ind w:right="5"/>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★A02052305空调机组</w:t>
            </w:r>
          </w:p>
        </w:tc>
        <w:tc>
          <w:tcPr>
            <w:tcW w:w="1481" w:type="dxa"/>
            <w:tcBorders>
              <w:top w:val="single" w:color="000000" w:sz="4" w:space="0"/>
              <w:left w:val="single" w:color="000000" w:sz="4" w:space="0"/>
              <w:bottom w:val="single" w:color="000000" w:sz="4" w:space="0"/>
              <w:right w:val="single" w:color="000000" w:sz="4" w:space="0"/>
            </w:tcBorders>
            <w:vAlign w:val="center"/>
          </w:tcPr>
          <w:p w14:paraId="71A3D560">
            <w:pPr>
              <w:pStyle w:val="58"/>
              <w:spacing w:before="4" w:line="276" w:lineRule="auto"/>
              <w:ind w:left="7" w:right="7"/>
              <w:jc w:val="center"/>
              <w:rPr>
                <w:rFonts w:ascii="宋体" w:hAnsi="宋体" w:cs="宋体"/>
                <w:color w:val="auto"/>
                <w:w w:val="99"/>
                <w:kern w:val="2"/>
                <w:sz w:val="21"/>
                <w:szCs w:val="21"/>
                <w:highlight w:val="none"/>
                <w:lang w:eastAsia="zh-CN"/>
              </w:rPr>
            </w:pPr>
            <w:r>
              <w:rPr>
                <w:rFonts w:hint="eastAsia" w:ascii="宋体" w:hAnsi="宋体" w:cs="宋体"/>
                <w:color w:val="auto"/>
                <w:w w:val="99"/>
                <w:kern w:val="2"/>
                <w:sz w:val="21"/>
                <w:szCs w:val="21"/>
                <w:highlight w:val="none"/>
                <w:lang w:eastAsia="zh-CN"/>
              </w:rPr>
              <w:t>多联式空调（热泵）机组（制冷量&gt;14000W）</w:t>
            </w:r>
          </w:p>
        </w:tc>
        <w:tc>
          <w:tcPr>
            <w:tcW w:w="3452" w:type="dxa"/>
            <w:tcBorders>
              <w:top w:val="single" w:color="000000" w:sz="4" w:space="0"/>
              <w:left w:val="single" w:color="000000" w:sz="4" w:space="0"/>
              <w:bottom w:val="single" w:color="000000" w:sz="4" w:space="0"/>
              <w:right w:val="single" w:color="000000" w:sz="4" w:space="0"/>
            </w:tcBorders>
          </w:tcPr>
          <w:p w14:paraId="353DC3C7">
            <w:pPr>
              <w:pStyle w:val="5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《多联式空调（热泵）机组能效限定值及能源效率等级》（GB21454）</w:t>
            </w:r>
          </w:p>
        </w:tc>
      </w:tr>
      <w:tr w14:paraId="54597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2EB7CE3">
            <w:pPr>
              <w:widowControl/>
              <w:jc w:val="left"/>
              <w:rPr>
                <w:rFonts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F22D913">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6EE61C1">
            <w:pPr>
              <w:widowControl/>
              <w:jc w:val="left"/>
              <w:rPr>
                <w:rFonts w:ascii="宋体" w:hAnsi="宋体" w:cs="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228F744">
            <w:pPr>
              <w:jc w:val="center"/>
              <w:rPr>
                <w:rFonts w:ascii="宋体" w:hAnsi="宋体"/>
                <w:color w:val="auto"/>
                <w:szCs w:val="21"/>
                <w:highlight w:val="none"/>
              </w:rPr>
            </w:pPr>
            <w:r>
              <w:rPr>
                <w:rFonts w:hint="eastAsia" w:ascii="宋体" w:hAnsi="宋体" w:cs="宋体"/>
                <w:color w:val="auto"/>
                <w:w w:val="99"/>
                <w:szCs w:val="21"/>
                <w:highlight w:val="none"/>
              </w:rPr>
              <w:t>单元式空气调节机</w:t>
            </w:r>
          </w:p>
        </w:tc>
        <w:tc>
          <w:tcPr>
            <w:tcW w:w="3452" w:type="dxa"/>
            <w:tcBorders>
              <w:top w:val="single" w:color="000000" w:sz="4" w:space="0"/>
              <w:left w:val="single" w:color="000000" w:sz="4" w:space="0"/>
              <w:bottom w:val="single" w:color="000000" w:sz="4" w:space="0"/>
              <w:right w:val="single" w:color="000000" w:sz="4" w:space="0"/>
            </w:tcBorders>
          </w:tcPr>
          <w:p w14:paraId="38A2B07D">
            <w:pPr>
              <w:pStyle w:val="5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《单元式空气调节机能效限定值及能效等级》（GB19576）《风管送风式空调机组能效限定值及能效等级》（GB37479）</w:t>
            </w:r>
          </w:p>
        </w:tc>
      </w:tr>
      <w:tr w14:paraId="27710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7E40ABD">
            <w:pPr>
              <w:widowControl/>
              <w:jc w:val="left"/>
              <w:rPr>
                <w:rFonts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27CA656">
            <w:pPr>
              <w:widowControl/>
              <w:jc w:val="left"/>
              <w:rPr>
                <w:rFonts w:ascii="宋体" w:hAnsi="宋体" w:cs="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13061B7E">
            <w:pPr>
              <w:pStyle w:val="58"/>
              <w:spacing w:before="83"/>
              <w:ind w:left="7"/>
              <w:jc w:val="center"/>
              <w:rPr>
                <w:rFonts w:ascii="宋体" w:hAnsi="宋体" w:cs="宋体"/>
                <w:color w:val="auto"/>
                <w:w w:val="99"/>
                <w:kern w:val="2"/>
                <w:sz w:val="21"/>
                <w:szCs w:val="21"/>
                <w:highlight w:val="none"/>
                <w:lang w:eastAsia="zh-CN"/>
              </w:rPr>
            </w:pPr>
            <w:r>
              <w:rPr>
                <w:rFonts w:hint="eastAsia" w:ascii="宋体" w:hAnsi="宋体" w:cs="宋体"/>
                <w:color w:val="auto"/>
                <w:w w:val="99"/>
                <w:kern w:val="2"/>
                <w:sz w:val="21"/>
                <w:szCs w:val="21"/>
                <w:highlight w:val="none"/>
                <w:lang w:eastAsia="zh-CN"/>
              </w:rPr>
              <w:t>★A02052309专用制冷、空调设备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6C5979FA">
            <w:pPr>
              <w:pStyle w:val="5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机房空调</w:t>
            </w:r>
          </w:p>
        </w:tc>
        <w:tc>
          <w:tcPr>
            <w:tcW w:w="3452" w:type="dxa"/>
            <w:tcBorders>
              <w:top w:val="single" w:color="000000" w:sz="4" w:space="0"/>
              <w:left w:val="single" w:color="000000" w:sz="4" w:space="0"/>
              <w:bottom w:val="single" w:color="000000" w:sz="4" w:space="0"/>
              <w:right w:val="single" w:color="000000" w:sz="4" w:space="0"/>
            </w:tcBorders>
          </w:tcPr>
          <w:p w14:paraId="3FA9576B">
            <w:pPr>
              <w:pStyle w:val="5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《单元式空气调节机能效限定值</w:t>
            </w:r>
          </w:p>
          <w:p w14:paraId="5E8B776A">
            <w:pPr>
              <w:pStyle w:val="5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及能效等级》（GB19576）</w:t>
            </w:r>
          </w:p>
        </w:tc>
      </w:tr>
      <w:tr w14:paraId="1C11A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6D8DFF5">
            <w:pPr>
              <w:widowControl/>
              <w:jc w:val="left"/>
              <w:rPr>
                <w:rFonts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9148F20">
            <w:pPr>
              <w:widowControl/>
              <w:jc w:val="left"/>
              <w:rPr>
                <w:rFonts w:ascii="宋体" w:hAnsi="宋体" w:cs="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64C37F49">
            <w:pPr>
              <w:pStyle w:val="58"/>
              <w:spacing w:line="254" w:lineRule="exact"/>
              <w:ind w:left="7"/>
              <w:jc w:val="center"/>
              <w:rPr>
                <w:rFonts w:ascii="宋体" w:hAnsi="宋体" w:cs="宋体"/>
                <w:color w:val="auto"/>
                <w:w w:val="99"/>
                <w:kern w:val="2"/>
                <w:sz w:val="21"/>
                <w:szCs w:val="21"/>
                <w:highlight w:val="none"/>
              </w:rPr>
            </w:pPr>
            <w:r>
              <w:rPr>
                <w:rFonts w:hint="eastAsia" w:ascii="宋体" w:hAnsi="宋体" w:cs="宋体"/>
                <w:color w:val="auto"/>
                <w:w w:val="99"/>
                <w:kern w:val="2"/>
                <w:sz w:val="21"/>
                <w:szCs w:val="21"/>
                <w:highlight w:val="none"/>
              </w:rPr>
              <w:t>A02052399其他制冷</w:t>
            </w:r>
          </w:p>
          <w:p w14:paraId="3AF70A5B">
            <w:pPr>
              <w:pStyle w:val="58"/>
              <w:spacing w:line="254" w:lineRule="exact"/>
              <w:ind w:left="7"/>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空调设备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3255220C">
            <w:pPr>
              <w:widowControl/>
              <w:jc w:val="center"/>
              <w:rPr>
                <w:rFonts w:ascii="宋体" w:hAnsi="宋体" w:cs="宋体"/>
                <w:color w:val="auto"/>
                <w:szCs w:val="21"/>
                <w:highlight w:val="none"/>
                <w:lang w:eastAsia="en-US"/>
              </w:rPr>
            </w:pPr>
            <w:r>
              <w:rPr>
                <w:rFonts w:hint="eastAsia" w:ascii="宋体" w:hAnsi="宋体" w:cs="宋体"/>
                <w:color w:val="auto"/>
                <w:w w:val="99"/>
                <w:szCs w:val="21"/>
                <w:highlight w:val="none"/>
              </w:rPr>
              <w:t>冷却塔</w:t>
            </w:r>
          </w:p>
        </w:tc>
        <w:tc>
          <w:tcPr>
            <w:tcW w:w="3452" w:type="dxa"/>
            <w:tcBorders>
              <w:top w:val="single" w:color="000000" w:sz="4" w:space="0"/>
              <w:left w:val="single" w:color="000000" w:sz="4" w:space="0"/>
              <w:bottom w:val="single" w:color="000000" w:sz="4" w:space="0"/>
              <w:right w:val="single" w:color="000000" w:sz="4" w:space="0"/>
            </w:tcBorders>
          </w:tcPr>
          <w:p w14:paraId="0707E9CC">
            <w:pPr>
              <w:pStyle w:val="5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《机械通风冷却塔第1部分：中小型开式冷却塔》（GB/T7190.1）</w:t>
            </w:r>
          </w:p>
          <w:p w14:paraId="55A0FCDE">
            <w:pPr>
              <w:pStyle w:val="5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《机械通风冷却塔第2部分：大型开式冷却塔》（GB/T7190.2）</w:t>
            </w:r>
          </w:p>
        </w:tc>
      </w:tr>
      <w:tr w14:paraId="64788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D6467F7">
            <w:pPr>
              <w:pStyle w:val="58"/>
              <w:ind w:right="1"/>
              <w:jc w:val="center"/>
              <w:rPr>
                <w:rFonts w:ascii="宋体" w:hAnsi="宋体" w:cs="宋体"/>
                <w:color w:val="auto"/>
                <w:kern w:val="2"/>
                <w:sz w:val="21"/>
                <w:szCs w:val="21"/>
                <w:highlight w:val="none"/>
              </w:rPr>
            </w:pPr>
            <w:r>
              <w:rPr>
                <w:rFonts w:hint="eastAsia" w:ascii="宋体" w:hAnsi="宋体"/>
                <w:color w:val="auto"/>
                <w:w w:val="99"/>
                <w:kern w:val="2"/>
                <w:sz w:val="21"/>
                <w:szCs w:val="21"/>
                <w:highlight w:val="none"/>
              </w:rPr>
              <w:t>7</w:t>
            </w:r>
          </w:p>
        </w:tc>
        <w:tc>
          <w:tcPr>
            <w:tcW w:w="1422" w:type="dxa"/>
            <w:tcBorders>
              <w:top w:val="single" w:color="000000" w:sz="4" w:space="0"/>
              <w:left w:val="single" w:color="000000" w:sz="4" w:space="0"/>
              <w:bottom w:val="single" w:color="000000" w:sz="4" w:space="0"/>
              <w:right w:val="single" w:color="000000" w:sz="4" w:space="0"/>
            </w:tcBorders>
            <w:vAlign w:val="center"/>
          </w:tcPr>
          <w:p w14:paraId="3FF57201">
            <w:pPr>
              <w:pStyle w:val="58"/>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A02060100</w:t>
            </w:r>
            <w:r>
              <w:rPr>
                <w:rFonts w:hint="eastAsia" w:ascii="宋体" w:hAnsi="宋体" w:cs="宋体"/>
                <w:color w:val="auto"/>
                <w:w w:val="99"/>
                <w:kern w:val="2"/>
                <w:sz w:val="21"/>
                <w:szCs w:val="21"/>
                <w:highlight w:val="none"/>
              </w:rPr>
              <w:t>电机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46237332">
            <w:pPr>
              <w:jc w:val="center"/>
              <w:rPr>
                <w:rFonts w:ascii="宋体" w:hAnsi="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9070F0B">
            <w:pPr>
              <w:jc w:val="center"/>
              <w:rPr>
                <w:rFonts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7ED8F694">
            <w:pPr>
              <w:pStyle w:val="5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《中小型三相异步电动机能效限定值及能效等级》（GB18613）</w:t>
            </w:r>
          </w:p>
        </w:tc>
      </w:tr>
      <w:tr w14:paraId="15548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EDDE36D">
            <w:pPr>
              <w:pStyle w:val="58"/>
              <w:ind w:right="1"/>
              <w:jc w:val="center"/>
              <w:rPr>
                <w:rFonts w:ascii="宋体" w:hAnsi="宋体" w:cs="宋体"/>
                <w:color w:val="auto"/>
                <w:kern w:val="2"/>
                <w:sz w:val="21"/>
                <w:szCs w:val="21"/>
                <w:highlight w:val="none"/>
              </w:rPr>
            </w:pPr>
            <w:r>
              <w:rPr>
                <w:rFonts w:hint="eastAsia" w:ascii="宋体" w:hAnsi="宋体"/>
                <w:color w:val="auto"/>
                <w:w w:val="99"/>
                <w:kern w:val="2"/>
                <w:sz w:val="21"/>
                <w:szCs w:val="21"/>
                <w:highlight w:val="none"/>
              </w:rPr>
              <w:t>8</w:t>
            </w:r>
          </w:p>
        </w:tc>
        <w:tc>
          <w:tcPr>
            <w:tcW w:w="1422" w:type="dxa"/>
            <w:tcBorders>
              <w:top w:val="single" w:color="000000" w:sz="4" w:space="0"/>
              <w:left w:val="single" w:color="000000" w:sz="4" w:space="0"/>
              <w:bottom w:val="single" w:color="000000" w:sz="4" w:space="0"/>
              <w:right w:val="single" w:color="000000" w:sz="4" w:space="0"/>
            </w:tcBorders>
            <w:vAlign w:val="center"/>
          </w:tcPr>
          <w:p w14:paraId="216AD3EC">
            <w:pPr>
              <w:pStyle w:val="58"/>
              <w:spacing w:before="30"/>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A02060200</w:t>
            </w:r>
            <w:r>
              <w:rPr>
                <w:rFonts w:hint="eastAsia" w:ascii="宋体" w:hAnsi="宋体" w:cs="宋体"/>
                <w:color w:val="auto"/>
                <w:w w:val="99"/>
                <w:kern w:val="2"/>
                <w:sz w:val="21"/>
                <w:szCs w:val="21"/>
                <w:highlight w:val="none"/>
              </w:rPr>
              <w:t>变压</w:t>
            </w:r>
          </w:p>
        </w:tc>
        <w:tc>
          <w:tcPr>
            <w:tcW w:w="1496" w:type="dxa"/>
            <w:tcBorders>
              <w:top w:val="single" w:color="000000" w:sz="4" w:space="0"/>
              <w:left w:val="single" w:color="000000" w:sz="4" w:space="0"/>
              <w:bottom w:val="single" w:color="000000" w:sz="4" w:space="0"/>
              <w:right w:val="single" w:color="000000" w:sz="4" w:space="0"/>
            </w:tcBorders>
            <w:vAlign w:val="center"/>
          </w:tcPr>
          <w:p w14:paraId="1A50BA03">
            <w:pPr>
              <w:pStyle w:val="5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配电变压器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25FCBE30">
            <w:pPr>
              <w:jc w:val="center"/>
              <w:rPr>
                <w:rFonts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6C18FAA5">
            <w:pPr>
              <w:pStyle w:val="5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《三相配电变压器能效限定值及能效等级》（GB 20052）</w:t>
            </w:r>
          </w:p>
        </w:tc>
      </w:tr>
      <w:tr w14:paraId="6A558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72C9DA3">
            <w:pPr>
              <w:pStyle w:val="58"/>
              <w:ind w:right="1"/>
              <w:jc w:val="center"/>
              <w:rPr>
                <w:rFonts w:ascii="宋体" w:hAnsi="宋体" w:cs="宋体"/>
                <w:color w:val="auto"/>
                <w:kern w:val="2"/>
                <w:sz w:val="21"/>
                <w:szCs w:val="21"/>
                <w:highlight w:val="none"/>
              </w:rPr>
            </w:pPr>
            <w:r>
              <w:rPr>
                <w:rFonts w:hint="eastAsia" w:ascii="宋体" w:hAnsi="宋体"/>
                <w:color w:val="auto"/>
                <w:w w:val="99"/>
                <w:kern w:val="2"/>
                <w:sz w:val="21"/>
                <w:szCs w:val="21"/>
                <w:highlight w:val="none"/>
              </w:rPr>
              <w:t>9</w:t>
            </w:r>
          </w:p>
        </w:tc>
        <w:tc>
          <w:tcPr>
            <w:tcW w:w="1422" w:type="dxa"/>
            <w:tcBorders>
              <w:top w:val="single" w:color="000000" w:sz="4" w:space="0"/>
              <w:left w:val="single" w:color="000000" w:sz="4" w:space="0"/>
              <w:bottom w:val="single" w:color="000000" w:sz="4" w:space="0"/>
              <w:right w:val="single" w:color="000000" w:sz="4" w:space="0"/>
            </w:tcBorders>
            <w:vAlign w:val="center"/>
          </w:tcPr>
          <w:p w14:paraId="35A86CC1">
            <w:pPr>
              <w:pStyle w:val="58"/>
              <w:spacing w:before="126"/>
              <w:ind w:left="7"/>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★A02060900镇流器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1960E93B">
            <w:pPr>
              <w:pStyle w:val="5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管型荧光灯镇流器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35E029FE">
            <w:pPr>
              <w:jc w:val="center"/>
              <w:rPr>
                <w:rFonts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73B7B988">
            <w:pPr>
              <w:pStyle w:val="5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《管形荧光灯镇流器能效限定值及能效等级》（GB17896）</w:t>
            </w:r>
          </w:p>
        </w:tc>
      </w:tr>
      <w:tr w14:paraId="6A30B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6D7A7348">
            <w:pPr>
              <w:pStyle w:val="58"/>
              <w:jc w:val="center"/>
              <w:rPr>
                <w:rFonts w:ascii="宋体" w:hAnsi="宋体" w:cs="宋体"/>
                <w:color w:val="auto"/>
                <w:kern w:val="2"/>
                <w:sz w:val="21"/>
                <w:szCs w:val="21"/>
                <w:highlight w:val="none"/>
              </w:rPr>
            </w:pPr>
            <w:r>
              <w:rPr>
                <w:rFonts w:hint="eastAsia" w:ascii="宋体" w:hAnsi="宋体"/>
                <w:color w:val="auto"/>
                <w:w w:val="99"/>
                <w:kern w:val="2"/>
                <w:sz w:val="21"/>
                <w:szCs w:val="21"/>
                <w:highlight w:val="none"/>
              </w:rPr>
              <w:t>10</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0DA57484">
            <w:pPr>
              <w:pStyle w:val="5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A02061800生活用电器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1F739A09">
            <w:pPr>
              <w:pStyle w:val="5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A02061801电冰箱</w:t>
            </w:r>
          </w:p>
        </w:tc>
        <w:tc>
          <w:tcPr>
            <w:tcW w:w="1481" w:type="dxa"/>
            <w:tcBorders>
              <w:top w:val="single" w:color="000000" w:sz="4" w:space="0"/>
              <w:left w:val="single" w:color="000000" w:sz="4" w:space="0"/>
              <w:bottom w:val="single" w:color="000000" w:sz="4" w:space="0"/>
              <w:right w:val="single" w:color="000000" w:sz="4" w:space="0"/>
            </w:tcBorders>
            <w:vAlign w:val="center"/>
          </w:tcPr>
          <w:p w14:paraId="30E919F2">
            <w:pPr>
              <w:jc w:val="center"/>
              <w:rPr>
                <w:rFonts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7995281C">
            <w:pPr>
              <w:pStyle w:val="5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《家用电冰箱耗电量限定值及能效等级》（GB12021.2）</w:t>
            </w:r>
          </w:p>
        </w:tc>
      </w:tr>
      <w:tr w14:paraId="04A4F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A6226EF">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27C8493">
            <w:pPr>
              <w:widowControl/>
              <w:jc w:val="left"/>
              <w:rPr>
                <w:rFonts w:ascii="宋体" w:hAnsi="宋体" w:cs="宋体"/>
                <w:color w:val="auto"/>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0DF6EEDF">
            <w:pPr>
              <w:pStyle w:val="58"/>
              <w:spacing w:before="171"/>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仿宋_GB2312"/>
                <w:color w:val="auto"/>
                <w:kern w:val="2"/>
                <w:sz w:val="21"/>
                <w:szCs w:val="21"/>
                <w:highlight w:val="none"/>
              </w:rPr>
              <w:t>A02061804</w:t>
            </w:r>
            <w:r>
              <w:rPr>
                <w:rFonts w:hint="eastAsia" w:ascii="宋体" w:hAnsi="宋体" w:cs="宋体"/>
                <w:color w:val="auto"/>
                <w:w w:val="99"/>
                <w:kern w:val="2"/>
                <w:sz w:val="21"/>
                <w:szCs w:val="21"/>
                <w:highlight w:val="none"/>
              </w:rPr>
              <w:t>空调机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553690F7">
            <w:pPr>
              <w:pStyle w:val="5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房间空气调节器</w:t>
            </w:r>
          </w:p>
        </w:tc>
        <w:tc>
          <w:tcPr>
            <w:tcW w:w="3452" w:type="dxa"/>
            <w:tcBorders>
              <w:top w:val="single" w:color="000000" w:sz="4" w:space="0"/>
              <w:left w:val="single" w:color="000000" w:sz="4" w:space="0"/>
              <w:bottom w:val="single" w:color="000000" w:sz="4" w:space="0"/>
              <w:right w:val="single" w:color="000000" w:sz="4" w:space="0"/>
            </w:tcBorders>
          </w:tcPr>
          <w:p w14:paraId="29643729">
            <w:pPr>
              <w:pStyle w:val="5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《房间空气调节器能效限定值及能效等级》（GB21455-2019）</w:t>
            </w:r>
          </w:p>
        </w:tc>
      </w:tr>
      <w:tr w14:paraId="4A54D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8441083">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63A4967">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51EF020">
            <w:pPr>
              <w:widowControl/>
              <w:jc w:val="left"/>
              <w:rPr>
                <w:rFonts w:ascii="宋体" w:hAnsi="宋体" w:cs="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EEED144">
            <w:pPr>
              <w:pStyle w:val="58"/>
              <w:spacing w:before="4" w:line="276" w:lineRule="auto"/>
              <w:ind w:left="7" w:right="7"/>
              <w:jc w:val="center"/>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多联式空调（热泵）机组（制冷量≤ 14000W）</w:t>
            </w:r>
          </w:p>
        </w:tc>
        <w:tc>
          <w:tcPr>
            <w:tcW w:w="3452" w:type="dxa"/>
            <w:tcBorders>
              <w:top w:val="single" w:color="000000" w:sz="4" w:space="0"/>
              <w:left w:val="single" w:color="000000" w:sz="4" w:space="0"/>
              <w:bottom w:val="single" w:color="000000" w:sz="4" w:space="0"/>
              <w:right w:val="single" w:color="000000" w:sz="4" w:space="0"/>
            </w:tcBorders>
          </w:tcPr>
          <w:p w14:paraId="2ADF0F25">
            <w:pPr>
              <w:pStyle w:val="5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《多联式空调（热泵）机组能效限定值及能源效率等级》（GB21454）</w:t>
            </w:r>
          </w:p>
        </w:tc>
      </w:tr>
      <w:tr w14:paraId="0791A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4059350">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4F12CF7">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356F5D1">
            <w:pPr>
              <w:widowControl/>
              <w:jc w:val="left"/>
              <w:rPr>
                <w:rFonts w:ascii="宋体" w:hAnsi="宋体" w:cs="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A2136F4">
            <w:pPr>
              <w:pStyle w:val="58"/>
              <w:jc w:val="center"/>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单元式空气调节机（制冷量≤ 14000W）</w:t>
            </w:r>
          </w:p>
        </w:tc>
        <w:tc>
          <w:tcPr>
            <w:tcW w:w="3452" w:type="dxa"/>
            <w:tcBorders>
              <w:top w:val="single" w:color="000000" w:sz="4" w:space="0"/>
              <w:left w:val="single" w:color="000000" w:sz="4" w:space="0"/>
              <w:bottom w:val="single" w:color="000000" w:sz="4" w:space="0"/>
              <w:right w:val="single" w:color="000000" w:sz="4" w:space="0"/>
            </w:tcBorders>
          </w:tcPr>
          <w:p w14:paraId="67461B49">
            <w:pPr>
              <w:pStyle w:val="5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《单元式空气调节机能效限定值及能源效率等级》（GB19576）《风管送风式空调机组能效限定值及能效等级》（GB37479）</w:t>
            </w:r>
          </w:p>
        </w:tc>
      </w:tr>
      <w:tr w14:paraId="5FEA7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9E896BE">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AEBF4AD">
            <w:pPr>
              <w:widowControl/>
              <w:jc w:val="left"/>
              <w:rPr>
                <w:rFonts w:ascii="宋体" w:hAnsi="宋体" w:cs="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79168236">
            <w:pPr>
              <w:pStyle w:val="58"/>
              <w:spacing w:before="162"/>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A02061810</w:t>
            </w:r>
            <w:r>
              <w:rPr>
                <w:rFonts w:hint="eastAsia" w:ascii="宋体" w:hAnsi="宋体" w:cs="宋体"/>
                <w:color w:val="auto"/>
                <w:w w:val="99"/>
                <w:kern w:val="2"/>
                <w:sz w:val="21"/>
                <w:szCs w:val="21"/>
                <w:highlight w:val="none"/>
              </w:rPr>
              <w:t>洗衣机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6F8E4B13">
            <w:pPr>
              <w:jc w:val="center"/>
              <w:rPr>
                <w:rFonts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40E302AD">
            <w:pPr>
              <w:pStyle w:val="5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《电动洗衣机能效水效限定值及等级》（GB12021.4）</w:t>
            </w:r>
          </w:p>
        </w:tc>
      </w:tr>
      <w:tr w14:paraId="41130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16BFC37">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6B79C06">
            <w:pPr>
              <w:widowControl/>
              <w:jc w:val="left"/>
              <w:rPr>
                <w:rFonts w:ascii="宋体" w:hAnsi="宋体" w:cs="宋体"/>
                <w:color w:val="auto"/>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2CE98E6A">
            <w:pPr>
              <w:pStyle w:val="58"/>
              <w:spacing w:before="161"/>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A02061819</w:t>
            </w:r>
            <w:r>
              <w:rPr>
                <w:rFonts w:hint="eastAsia" w:ascii="宋体" w:hAnsi="宋体" w:cs="宋体"/>
                <w:color w:val="auto"/>
                <w:w w:val="99"/>
                <w:kern w:val="2"/>
                <w:sz w:val="21"/>
                <w:szCs w:val="21"/>
                <w:highlight w:val="none"/>
              </w:rPr>
              <w:t>热水器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17093221">
            <w:pPr>
              <w:pStyle w:val="5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★电热</w:t>
            </w:r>
            <w:r>
              <w:rPr>
                <w:rFonts w:hint="eastAsia" w:ascii="宋体" w:hAnsi="宋体" w:cs="宋体"/>
                <w:color w:val="auto"/>
                <w:spacing w:val="2"/>
                <w:w w:val="99"/>
                <w:kern w:val="2"/>
                <w:sz w:val="21"/>
                <w:szCs w:val="21"/>
                <w:highlight w:val="none"/>
              </w:rPr>
              <w:t>水</w:t>
            </w:r>
            <w:r>
              <w:rPr>
                <w:rFonts w:hint="eastAsia" w:ascii="宋体" w:hAnsi="宋体" w:cs="宋体"/>
                <w:color w:val="auto"/>
                <w:w w:val="99"/>
                <w:kern w:val="2"/>
                <w:sz w:val="21"/>
                <w:szCs w:val="21"/>
                <w:highlight w:val="none"/>
              </w:rPr>
              <w:t>器</w:t>
            </w:r>
          </w:p>
        </w:tc>
        <w:tc>
          <w:tcPr>
            <w:tcW w:w="3452" w:type="dxa"/>
            <w:tcBorders>
              <w:top w:val="single" w:color="000000" w:sz="4" w:space="0"/>
              <w:left w:val="single" w:color="000000" w:sz="4" w:space="0"/>
              <w:bottom w:val="single" w:color="000000" w:sz="4" w:space="0"/>
              <w:right w:val="single" w:color="000000" w:sz="4" w:space="0"/>
            </w:tcBorders>
          </w:tcPr>
          <w:p w14:paraId="56D4E99D">
            <w:pPr>
              <w:pStyle w:val="5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《储水式电热水器能效限定值及能效等级》（GB21519）</w:t>
            </w:r>
          </w:p>
        </w:tc>
      </w:tr>
      <w:tr w14:paraId="444C8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2DDA827">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C8897B0">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F302BA0">
            <w:pPr>
              <w:widowControl/>
              <w:jc w:val="left"/>
              <w:rPr>
                <w:rFonts w:ascii="宋体" w:hAnsi="宋体" w:cs="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606A084">
            <w:pPr>
              <w:pStyle w:val="5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燃气热</w:t>
            </w:r>
            <w:r>
              <w:rPr>
                <w:rFonts w:hint="eastAsia" w:ascii="宋体" w:hAnsi="宋体" w:cs="宋体"/>
                <w:color w:val="auto"/>
                <w:spacing w:val="2"/>
                <w:w w:val="99"/>
                <w:kern w:val="2"/>
                <w:sz w:val="21"/>
                <w:szCs w:val="21"/>
                <w:highlight w:val="none"/>
              </w:rPr>
              <w:t>水</w:t>
            </w:r>
            <w:r>
              <w:rPr>
                <w:rFonts w:hint="eastAsia" w:ascii="宋体" w:hAnsi="宋体" w:cs="宋体"/>
                <w:color w:val="auto"/>
                <w:w w:val="99"/>
                <w:kern w:val="2"/>
                <w:sz w:val="21"/>
                <w:szCs w:val="21"/>
                <w:highlight w:val="none"/>
              </w:rPr>
              <w:t>器</w:t>
            </w:r>
          </w:p>
        </w:tc>
        <w:tc>
          <w:tcPr>
            <w:tcW w:w="3452" w:type="dxa"/>
            <w:tcBorders>
              <w:top w:val="single" w:color="000000" w:sz="4" w:space="0"/>
              <w:left w:val="single" w:color="000000" w:sz="4" w:space="0"/>
              <w:bottom w:val="single" w:color="000000" w:sz="4" w:space="0"/>
              <w:right w:val="single" w:color="000000" w:sz="4" w:space="0"/>
            </w:tcBorders>
          </w:tcPr>
          <w:p w14:paraId="7748F0D8">
            <w:pPr>
              <w:pStyle w:val="5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《家用燃气快速热水器和燃气采暖热水炉能效限定值及能效等级》（GB20665）</w:t>
            </w:r>
          </w:p>
        </w:tc>
      </w:tr>
      <w:tr w14:paraId="6524E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73B378B">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5CEA5AA">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3B64041">
            <w:pPr>
              <w:widowControl/>
              <w:jc w:val="left"/>
              <w:rPr>
                <w:rFonts w:ascii="宋体" w:hAnsi="宋体" w:cs="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21CBBAC2">
            <w:pPr>
              <w:pStyle w:val="5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热泵热</w:t>
            </w:r>
            <w:r>
              <w:rPr>
                <w:rFonts w:hint="eastAsia" w:ascii="宋体" w:hAnsi="宋体" w:cs="宋体"/>
                <w:color w:val="auto"/>
                <w:spacing w:val="2"/>
                <w:w w:val="99"/>
                <w:kern w:val="2"/>
                <w:sz w:val="21"/>
                <w:szCs w:val="21"/>
                <w:highlight w:val="none"/>
              </w:rPr>
              <w:t>水</w:t>
            </w:r>
            <w:r>
              <w:rPr>
                <w:rFonts w:hint="eastAsia" w:ascii="宋体" w:hAnsi="宋体" w:cs="宋体"/>
                <w:color w:val="auto"/>
                <w:w w:val="99"/>
                <w:kern w:val="2"/>
                <w:sz w:val="21"/>
                <w:szCs w:val="21"/>
                <w:highlight w:val="none"/>
              </w:rPr>
              <w:t>器</w:t>
            </w:r>
          </w:p>
        </w:tc>
        <w:tc>
          <w:tcPr>
            <w:tcW w:w="3452" w:type="dxa"/>
            <w:tcBorders>
              <w:top w:val="single" w:color="000000" w:sz="4" w:space="0"/>
              <w:left w:val="single" w:color="000000" w:sz="4" w:space="0"/>
              <w:bottom w:val="single" w:color="000000" w:sz="4" w:space="0"/>
              <w:right w:val="single" w:color="000000" w:sz="4" w:space="0"/>
            </w:tcBorders>
          </w:tcPr>
          <w:p w14:paraId="1FC86059">
            <w:pPr>
              <w:pStyle w:val="5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《热泵热水机（器）能效限定值及能效等级》（GB29541）</w:t>
            </w:r>
          </w:p>
        </w:tc>
      </w:tr>
      <w:tr w14:paraId="2D651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4EB1335">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94CAA13">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D25823A">
            <w:pPr>
              <w:widowControl/>
              <w:jc w:val="left"/>
              <w:rPr>
                <w:rFonts w:ascii="宋体" w:hAnsi="宋体" w:cs="宋体"/>
                <w:color w:val="auto"/>
                <w:szCs w:val="21"/>
                <w:highlight w:val="none"/>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301D76A">
            <w:pPr>
              <w:pStyle w:val="5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太阳能</w:t>
            </w:r>
            <w:r>
              <w:rPr>
                <w:rFonts w:hint="eastAsia" w:ascii="宋体" w:hAnsi="宋体" w:cs="宋体"/>
                <w:color w:val="auto"/>
                <w:spacing w:val="2"/>
                <w:w w:val="99"/>
                <w:kern w:val="2"/>
                <w:sz w:val="21"/>
                <w:szCs w:val="21"/>
                <w:highlight w:val="none"/>
              </w:rPr>
              <w:t>热</w:t>
            </w:r>
            <w:r>
              <w:rPr>
                <w:rFonts w:hint="eastAsia" w:ascii="宋体" w:hAnsi="宋体" w:cs="宋体"/>
                <w:color w:val="auto"/>
                <w:w w:val="99"/>
                <w:kern w:val="2"/>
                <w:sz w:val="21"/>
                <w:szCs w:val="21"/>
                <w:highlight w:val="none"/>
              </w:rPr>
              <w:t>水系统</w:t>
            </w:r>
          </w:p>
        </w:tc>
        <w:tc>
          <w:tcPr>
            <w:tcW w:w="3452" w:type="dxa"/>
            <w:tcBorders>
              <w:top w:val="single" w:color="000000" w:sz="4" w:space="0"/>
              <w:left w:val="single" w:color="000000" w:sz="4" w:space="0"/>
              <w:bottom w:val="single" w:color="000000" w:sz="4" w:space="0"/>
              <w:right w:val="single" w:color="000000" w:sz="4" w:space="0"/>
            </w:tcBorders>
          </w:tcPr>
          <w:p w14:paraId="08B1F087">
            <w:pPr>
              <w:pStyle w:val="5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《家用太阳能热水系统能效限定值及能效等级》（GB26969）</w:t>
            </w:r>
          </w:p>
        </w:tc>
      </w:tr>
      <w:tr w14:paraId="5254A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1A455205">
            <w:pPr>
              <w:pStyle w:val="58"/>
              <w:jc w:val="center"/>
              <w:rPr>
                <w:rFonts w:ascii="宋体" w:hAnsi="宋体" w:cs="宋体"/>
                <w:color w:val="auto"/>
                <w:kern w:val="2"/>
                <w:sz w:val="21"/>
                <w:szCs w:val="21"/>
                <w:highlight w:val="none"/>
              </w:rPr>
            </w:pPr>
            <w:r>
              <w:rPr>
                <w:rFonts w:hint="eastAsia" w:ascii="宋体" w:hAnsi="宋体"/>
                <w:color w:val="auto"/>
                <w:spacing w:val="1"/>
                <w:w w:val="99"/>
                <w:kern w:val="2"/>
                <w:sz w:val="21"/>
                <w:szCs w:val="21"/>
                <w:highlight w:val="none"/>
              </w:rPr>
              <w:t>1</w:t>
            </w:r>
            <w:r>
              <w:rPr>
                <w:rFonts w:hint="eastAsia" w:ascii="宋体" w:hAnsi="宋体"/>
                <w:color w:val="auto"/>
                <w:w w:val="99"/>
                <w:kern w:val="2"/>
                <w:sz w:val="21"/>
                <w:szCs w:val="21"/>
                <w:highlight w:val="none"/>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70683C77">
            <w:pPr>
              <w:pStyle w:val="58"/>
              <w:spacing w:before="157"/>
              <w:jc w:val="center"/>
              <w:rPr>
                <w:rFonts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A02</w:t>
            </w:r>
            <w:r>
              <w:rPr>
                <w:rFonts w:hint="eastAsia" w:ascii="宋体" w:hAnsi="宋体" w:cs="宋体"/>
                <w:color w:val="auto"/>
                <w:w w:val="99"/>
                <w:kern w:val="2"/>
                <w:sz w:val="21"/>
                <w:szCs w:val="21"/>
                <w:highlight w:val="none"/>
              </w:rPr>
              <w:t>06</w:t>
            </w:r>
            <w:r>
              <w:rPr>
                <w:rFonts w:hint="eastAsia" w:ascii="宋体" w:hAnsi="宋体" w:cs="宋体"/>
                <w:color w:val="auto"/>
                <w:spacing w:val="1"/>
                <w:w w:val="99"/>
                <w:kern w:val="2"/>
                <w:sz w:val="21"/>
                <w:szCs w:val="21"/>
                <w:highlight w:val="none"/>
              </w:rPr>
              <w:t>1</w:t>
            </w:r>
            <w:r>
              <w:rPr>
                <w:rFonts w:hint="eastAsia" w:ascii="宋体" w:hAnsi="宋体" w:cs="宋体"/>
                <w:color w:val="auto"/>
                <w:w w:val="99"/>
                <w:kern w:val="2"/>
                <w:sz w:val="21"/>
                <w:szCs w:val="21"/>
                <w:highlight w:val="none"/>
              </w:rPr>
              <w:t>900照明设备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69E49957">
            <w:pPr>
              <w:pStyle w:val="58"/>
              <w:spacing w:before="133" w:line="276" w:lineRule="auto"/>
              <w:ind w:left="7" w:right="7"/>
              <w:jc w:val="center"/>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★普通照明用双端荧光灯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01DB7F0B">
            <w:pPr>
              <w:jc w:val="center"/>
              <w:rPr>
                <w:rFonts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5CA573B4">
            <w:pPr>
              <w:pStyle w:val="5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《普通照明用双端荧光灯能效限定值及能效等级》（GB19043）</w:t>
            </w:r>
          </w:p>
        </w:tc>
      </w:tr>
      <w:tr w14:paraId="26E4E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5C14EAD">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3F4028A">
            <w:pPr>
              <w:widowControl/>
              <w:jc w:val="left"/>
              <w:rPr>
                <w:rFonts w:ascii="宋体" w:hAnsi="宋体" w:cs="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33122ABF">
            <w:pPr>
              <w:pStyle w:val="58"/>
              <w:spacing w:before="92" w:line="276" w:lineRule="auto"/>
              <w:ind w:left="7" w:right="2"/>
              <w:jc w:val="center"/>
              <w:rPr>
                <w:rFonts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LE</w:t>
            </w:r>
            <w:r>
              <w:rPr>
                <w:rFonts w:hint="eastAsia" w:ascii="宋体" w:hAnsi="宋体" w:cs="宋体"/>
                <w:color w:val="auto"/>
                <w:w w:val="99"/>
                <w:kern w:val="2"/>
                <w:sz w:val="21"/>
                <w:szCs w:val="21"/>
                <w:highlight w:val="none"/>
              </w:rPr>
              <w:t>D</w:t>
            </w:r>
            <w:r>
              <w:rPr>
                <w:rFonts w:hint="eastAsia" w:ascii="宋体" w:hAnsi="宋体" w:cs="宋体"/>
                <w:color w:val="auto"/>
                <w:spacing w:val="12"/>
                <w:w w:val="99"/>
                <w:kern w:val="2"/>
                <w:sz w:val="21"/>
                <w:szCs w:val="21"/>
                <w:highlight w:val="none"/>
              </w:rPr>
              <w:t>道</w:t>
            </w:r>
            <w:r>
              <w:rPr>
                <w:rFonts w:hint="eastAsia" w:ascii="宋体" w:hAnsi="宋体" w:cs="宋体"/>
                <w:color w:val="auto"/>
                <w:spacing w:val="9"/>
                <w:w w:val="99"/>
                <w:kern w:val="2"/>
                <w:sz w:val="21"/>
                <w:szCs w:val="21"/>
                <w:highlight w:val="none"/>
              </w:rPr>
              <w:t>路</w:t>
            </w:r>
            <w:r>
              <w:rPr>
                <w:rFonts w:hint="eastAsia" w:ascii="宋体" w:hAnsi="宋体" w:cs="宋体"/>
                <w:color w:val="auto"/>
                <w:spacing w:val="13"/>
                <w:w w:val="99"/>
                <w:kern w:val="2"/>
                <w:sz w:val="21"/>
                <w:szCs w:val="21"/>
                <w:highlight w:val="none"/>
              </w:rPr>
              <w:t>/</w:t>
            </w:r>
            <w:r>
              <w:rPr>
                <w:rFonts w:hint="eastAsia" w:ascii="宋体" w:hAnsi="宋体" w:cs="宋体"/>
                <w:color w:val="auto"/>
                <w:spacing w:val="12"/>
                <w:w w:val="99"/>
                <w:kern w:val="2"/>
                <w:sz w:val="21"/>
                <w:szCs w:val="21"/>
                <w:highlight w:val="none"/>
              </w:rPr>
              <w:t>隧道照</w:t>
            </w:r>
            <w:r>
              <w:rPr>
                <w:rFonts w:hint="eastAsia" w:ascii="宋体" w:hAnsi="宋体" w:cs="宋体"/>
                <w:color w:val="auto"/>
                <w:w w:val="99"/>
                <w:kern w:val="2"/>
                <w:sz w:val="21"/>
                <w:szCs w:val="21"/>
                <w:highlight w:val="none"/>
              </w:rPr>
              <w:t>明产品</w:t>
            </w:r>
          </w:p>
        </w:tc>
        <w:tc>
          <w:tcPr>
            <w:tcW w:w="1481" w:type="dxa"/>
            <w:tcBorders>
              <w:top w:val="single" w:color="000000" w:sz="4" w:space="0"/>
              <w:left w:val="single" w:color="000000" w:sz="4" w:space="0"/>
              <w:bottom w:val="single" w:color="000000" w:sz="4" w:space="0"/>
              <w:right w:val="single" w:color="000000" w:sz="4" w:space="0"/>
            </w:tcBorders>
            <w:vAlign w:val="center"/>
          </w:tcPr>
          <w:p w14:paraId="5AFEA738">
            <w:pPr>
              <w:jc w:val="center"/>
              <w:rPr>
                <w:rFonts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7661F445">
            <w:pPr>
              <w:pStyle w:val="5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《道路和隧道照明用LED灯具能效限定值及能效等级》（GB37478）</w:t>
            </w:r>
          </w:p>
        </w:tc>
      </w:tr>
      <w:tr w14:paraId="4990C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7A28DBF">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2249F44">
            <w:pPr>
              <w:widowControl/>
              <w:jc w:val="left"/>
              <w:rPr>
                <w:rFonts w:ascii="宋体" w:hAnsi="宋体" w:cs="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01FEED77">
            <w:pPr>
              <w:pStyle w:val="58"/>
              <w:jc w:val="center"/>
              <w:rPr>
                <w:rFonts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LE</w:t>
            </w:r>
            <w:r>
              <w:rPr>
                <w:rFonts w:hint="eastAsia" w:ascii="宋体" w:hAnsi="宋体" w:cs="宋体"/>
                <w:color w:val="auto"/>
                <w:w w:val="99"/>
                <w:kern w:val="2"/>
                <w:sz w:val="21"/>
                <w:szCs w:val="21"/>
                <w:highlight w:val="none"/>
              </w:rPr>
              <w:t>D筒灯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2BE8A827">
            <w:pPr>
              <w:jc w:val="center"/>
              <w:rPr>
                <w:rFonts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1787A34F">
            <w:pPr>
              <w:pStyle w:val="5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《室内照明用LED产品能效限定值及能效等级》（GB30255）</w:t>
            </w:r>
          </w:p>
        </w:tc>
      </w:tr>
      <w:tr w14:paraId="3FD39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35235DF">
            <w:pPr>
              <w:widowControl/>
              <w:jc w:val="left"/>
              <w:rPr>
                <w:rFonts w:ascii="宋体" w:hAnsi="宋体" w:cs="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3E97CA3">
            <w:pPr>
              <w:widowControl/>
              <w:jc w:val="left"/>
              <w:rPr>
                <w:rFonts w:ascii="宋体" w:hAnsi="宋体" w:cs="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7F5F3DC5">
            <w:pPr>
              <w:pStyle w:val="58"/>
              <w:spacing w:line="276" w:lineRule="auto"/>
              <w:ind w:right="7"/>
              <w:jc w:val="center"/>
              <w:rPr>
                <w:rFonts w:ascii="宋体" w:hAnsi="宋体" w:cs="宋体"/>
                <w:color w:val="auto"/>
                <w:kern w:val="2"/>
                <w:sz w:val="21"/>
                <w:szCs w:val="21"/>
                <w:highlight w:val="none"/>
                <w:lang w:eastAsia="zh-CN"/>
              </w:rPr>
            </w:pPr>
            <w:r>
              <w:rPr>
                <w:rFonts w:hint="eastAsia" w:ascii="宋体" w:hAnsi="宋体" w:cs="宋体"/>
                <w:color w:val="auto"/>
                <w:w w:val="99"/>
                <w:kern w:val="2"/>
                <w:sz w:val="21"/>
                <w:szCs w:val="21"/>
                <w:highlight w:val="none"/>
                <w:lang w:eastAsia="zh-CN"/>
              </w:rPr>
              <w:t>普</w:t>
            </w:r>
            <w:r>
              <w:rPr>
                <w:rFonts w:hint="eastAsia" w:ascii="宋体" w:hAnsi="宋体" w:cs="宋体"/>
                <w:color w:val="auto"/>
                <w:spacing w:val="24"/>
                <w:w w:val="99"/>
                <w:kern w:val="2"/>
                <w:sz w:val="21"/>
                <w:szCs w:val="21"/>
                <w:highlight w:val="none"/>
                <w:lang w:eastAsia="zh-CN"/>
              </w:rPr>
              <w:t>通</w:t>
            </w:r>
            <w:r>
              <w:rPr>
                <w:rFonts w:hint="eastAsia" w:ascii="宋体" w:hAnsi="宋体" w:cs="宋体"/>
                <w:color w:val="auto"/>
                <w:w w:val="99"/>
                <w:kern w:val="2"/>
                <w:sz w:val="21"/>
                <w:szCs w:val="21"/>
                <w:highlight w:val="none"/>
                <w:lang w:eastAsia="zh-CN"/>
              </w:rPr>
              <w:t>照明用非</w:t>
            </w:r>
            <w:r>
              <w:rPr>
                <w:rFonts w:hint="eastAsia" w:ascii="宋体" w:hAnsi="宋体" w:cs="宋体"/>
                <w:color w:val="auto"/>
                <w:spacing w:val="24"/>
                <w:w w:val="99"/>
                <w:kern w:val="2"/>
                <w:sz w:val="21"/>
                <w:szCs w:val="21"/>
                <w:highlight w:val="none"/>
                <w:lang w:eastAsia="zh-CN"/>
              </w:rPr>
              <w:t>定</w:t>
            </w:r>
            <w:r>
              <w:rPr>
                <w:rFonts w:hint="eastAsia" w:ascii="宋体" w:hAnsi="宋体" w:cs="宋体"/>
                <w:color w:val="auto"/>
                <w:w w:val="99"/>
                <w:kern w:val="2"/>
                <w:sz w:val="21"/>
                <w:szCs w:val="21"/>
                <w:highlight w:val="none"/>
                <w:lang w:eastAsia="zh-CN"/>
              </w:rPr>
              <w:t>向自镇流</w:t>
            </w:r>
            <w:r>
              <w:rPr>
                <w:rFonts w:hint="eastAsia" w:ascii="宋体" w:hAnsi="宋体" w:cs="宋体"/>
                <w:color w:val="auto"/>
                <w:spacing w:val="1"/>
                <w:w w:val="99"/>
                <w:kern w:val="2"/>
                <w:sz w:val="21"/>
                <w:szCs w:val="21"/>
                <w:highlight w:val="none"/>
                <w:lang w:eastAsia="zh-CN"/>
              </w:rPr>
              <w:t>LE</w:t>
            </w:r>
            <w:r>
              <w:rPr>
                <w:rFonts w:hint="eastAsia" w:ascii="宋体" w:hAnsi="宋体" w:cs="宋体"/>
                <w:color w:val="auto"/>
                <w:w w:val="99"/>
                <w:kern w:val="2"/>
                <w:sz w:val="21"/>
                <w:szCs w:val="21"/>
                <w:highlight w:val="none"/>
                <w:lang w:eastAsia="zh-CN"/>
              </w:rPr>
              <w:t>D灯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03D1B67E">
            <w:pPr>
              <w:jc w:val="center"/>
              <w:rPr>
                <w:rFonts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1F52A012">
            <w:pPr>
              <w:pStyle w:val="5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《室内照明用LED产品能效限定值及能效等级》（GB30255）</w:t>
            </w:r>
          </w:p>
        </w:tc>
      </w:tr>
      <w:tr w14:paraId="43849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326FA61D">
            <w:pPr>
              <w:pStyle w:val="58"/>
              <w:jc w:val="center"/>
              <w:rPr>
                <w:rFonts w:ascii="宋体" w:hAnsi="宋体" w:cs="宋体"/>
                <w:color w:val="auto"/>
                <w:kern w:val="2"/>
                <w:sz w:val="21"/>
                <w:szCs w:val="21"/>
                <w:highlight w:val="none"/>
              </w:rPr>
            </w:pPr>
            <w:r>
              <w:rPr>
                <w:rFonts w:hint="eastAsia" w:ascii="宋体" w:hAnsi="宋体"/>
                <w:color w:val="auto"/>
                <w:spacing w:val="1"/>
                <w:w w:val="99"/>
                <w:kern w:val="2"/>
                <w:sz w:val="21"/>
                <w:szCs w:val="21"/>
                <w:highlight w:val="none"/>
              </w:rPr>
              <w:t>1</w:t>
            </w:r>
            <w:r>
              <w:rPr>
                <w:rFonts w:hint="eastAsia" w:ascii="宋体" w:hAnsi="宋体"/>
                <w:color w:val="auto"/>
                <w:w w:val="99"/>
                <w:kern w:val="2"/>
                <w:sz w:val="21"/>
                <w:szCs w:val="21"/>
                <w:highlight w:val="none"/>
              </w:rPr>
              <w:t>2</w:t>
            </w:r>
          </w:p>
        </w:tc>
        <w:tc>
          <w:tcPr>
            <w:tcW w:w="1422" w:type="dxa"/>
            <w:tcBorders>
              <w:top w:val="single" w:color="000000" w:sz="4" w:space="0"/>
              <w:left w:val="single" w:color="000000" w:sz="4" w:space="0"/>
              <w:bottom w:val="single" w:color="000000" w:sz="4" w:space="0"/>
              <w:right w:val="single" w:color="000000" w:sz="4" w:space="0"/>
            </w:tcBorders>
            <w:vAlign w:val="center"/>
          </w:tcPr>
          <w:p w14:paraId="004487F2">
            <w:pPr>
              <w:pStyle w:val="58"/>
              <w:spacing w:before="81"/>
              <w:ind w:left="7"/>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宋体"/>
                <w:color w:val="auto"/>
                <w:spacing w:val="1"/>
                <w:w w:val="99"/>
                <w:kern w:val="2"/>
                <w:sz w:val="21"/>
                <w:szCs w:val="21"/>
                <w:highlight w:val="none"/>
              </w:rPr>
              <w:t>A020</w:t>
            </w:r>
            <w:r>
              <w:rPr>
                <w:rFonts w:hint="eastAsia" w:ascii="宋体" w:hAnsi="宋体" w:cs="宋体"/>
                <w:color w:val="auto"/>
                <w:w w:val="99"/>
                <w:kern w:val="2"/>
                <w:sz w:val="21"/>
                <w:szCs w:val="21"/>
                <w:highlight w:val="none"/>
              </w:rPr>
              <w:t>91000电视设备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6020077C">
            <w:pPr>
              <w:pStyle w:val="58"/>
              <w:spacing w:before="81" w:line="276" w:lineRule="auto"/>
              <w:ind w:left="7" w:right="5"/>
              <w:jc w:val="center"/>
              <w:rPr>
                <w:rFonts w:ascii="宋体" w:hAnsi="宋体" w:cs="宋体"/>
                <w:color w:val="auto"/>
                <w:kern w:val="2"/>
                <w:sz w:val="21"/>
                <w:szCs w:val="21"/>
                <w:highlight w:val="none"/>
                <w:lang w:eastAsia="zh-CN"/>
              </w:rPr>
            </w:pPr>
            <w:r>
              <w:rPr>
                <w:rFonts w:hint="eastAsia" w:ascii="宋体" w:hAnsi="宋体" w:cs="宋体"/>
                <w:color w:val="auto"/>
                <w:spacing w:val="1"/>
                <w:w w:val="99"/>
                <w:kern w:val="2"/>
                <w:sz w:val="21"/>
                <w:szCs w:val="21"/>
                <w:highlight w:val="none"/>
                <w:lang w:eastAsia="zh-CN"/>
              </w:rPr>
              <w:t>A02</w:t>
            </w:r>
            <w:r>
              <w:rPr>
                <w:rFonts w:hint="eastAsia" w:ascii="宋体" w:hAnsi="宋体" w:cs="宋体"/>
                <w:color w:val="auto"/>
                <w:w w:val="99"/>
                <w:kern w:val="2"/>
                <w:sz w:val="21"/>
                <w:szCs w:val="21"/>
                <w:highlight w:val="none"/>
                <w:lang w:eastAsia="zh-CN"/>
              </w:rPr>
              <w:t>09</w:t>
            </w:r>
            <w:r>
              <w:rPr>
                <w:rFonts w:hint="eastAsia" w:ascii="宋体" w:hAnsi="宋体" w:cs="宋体"/>
                <w:color w:val="auto"/>
                <w:spacing w:val="1"/>
                <w:w w:val="99"/>
                <w:kern w:val="2"/>
                <w:sz w:val="21"/>
                <w:szCs w:val="21"/>
                <w:highlight w:val="none"/>
                <w:lang w:eastAsia="zh-CN"/>
              </w:rPr>
              <w:t>1</w:t>
            </w:r>
            <w:r>
              <w:rPr>
                <w:rFonts w:hint="eastAsia" w:ascii="宋体" w:hAnsi="宋体" w:cs="宋体"/>
                <w:color w:val="auto"/>
                <w:w w:val="99"/>
                <w:kern w:val="2"/>
                <w:sz w:val="21"/>
                <w:szCs w:val="21"/>
                <w:highlight w:val="none"/>
                <w:lang w:eastAsia="zh-CN"/>
              </w:rPr>
              <w:t>001普通电视设备（</w:t>
            </w:r>
            <w:r>
              <w:rPr>
                <w:rFonts w:hint="eastAsia" w:ascii="宋体" w:hAnsi="宋体" w:cs="宋体"/>
                <w:color w:val="auto"/>
                <w:spacing w:val="2"/>
                <w:w w:val="99"/>
                <w:kern w:val="2"/>
                <w:sz w:val="21"/>
                <w:szCs w:val="21"/>
                <w:highlight w:val="none"/>
                <w:lang w:eastAsia="zh-CN"/>
              </w:rPr>
              <w:t>电</w:t>
            </w:r>
            <w:r>
              <w:rPr>
                <w:rFonts w:hint="eastAsia" w:ascii="宋体" w:hAnsi="宋体" w:cs="宋体"/>
                <w:color w:val="auto"/>
                <w:w w:val="99"/>
                <w:kern w:val="2"/>
                <w:sz w:val="21"/>
                <w:szCs w:val="21"/>
                <w:highlight w:val="none"/>
                <w:lang w:eastAsia="zh-CN"/>
              </w:rPr>
              <w:t>视机）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47CBFF35">
            <w:pPr>
              <w:jc w:val="center"/>
              <w:rPr>
                <w:rFonts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780A7056">
            <w:pPr>
              <w:pStyle w:val="5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《平板电视能效限定值及能效等级》（GB24850）</w:t>
            </w:r>
          </w:p>
        </w:tc>
      </w:tr>
      <w:tr w14:paraId="1A9AE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51751E70">
            <w:pPr>
              <w:pStyle w:val="58"/>
              <w:jc w:val="center"/>
              <w:rPr>
                <w:rFonts w:ascii="宋体" w:hAnsi="宋体" w:cs="宋体"/>
                <w:color w:val="auto"/>
                <w:kern w:val="2"/>
                <w:sz w:val="21"/>
                <w:szCs w:val="21"/>
                <w:highlight w:val="none"/>
              </w:rPr>
            </w:pPr>
            <w:r>
              <w:rPr>
                <w:rFonts w:hint="eastAsia" w:ascii="宋体" w:hAnsi="宋体"/>
                <w:color w:val="auto"/>
                <w:spacing w:val="1"/>
                <w:w w:val="99"/>
                <w:kern w:val="2"/>
                <w:sz w:val="21"/>
                <w:szCs w:val="21"/>
                <w:highlight w:val="none"/>
              </w:rPr>
              <w:t>1</w:t>
            </w:r>
            <w:r>
              <w:rPr>
                <w:rFonts w:hint="eastAsia" w:ascii="宋体" w:hAnsi="宋体"/>
                <w:color w:val="auto"/>
                <w:w w:val="99"/>
                <w:kern w:val="2"/>
                <w:sz w:val="21"/>
                <w:szCs w:val="21"/>
                <w:highlight w:val="none"/>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151D8828">
            <w:pPr>
              <w:pStyle w:val="5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宋体"/>
                <w:color w:val="auto"/>
                <w:spacing w:val="1"/>
                <w:w w:val="99"/>
                <w:kern w:val="2"/>
                <w:sz w:val="21"/>
                <w:szCs w:val="21"/>
                <w:highlight w:val="none"/>
              </w:rPr>
              <w:t>A020</w:t>
            </w:r>
            <w:r>
              <w:rPr>
                <w:rFonts w:hint="eastAsia" w:ascii="宋体" w:hAnsi="宋体" w:cs="宋体"/>
                <w:color w:val="auto"/>
                <w:w w:val="99"/>
                <w:kern w:val="2"/>
                <w:sz w:val="21"/>
                <w:szCs w:val="21"/>
                <w:highlight w:val="none"/>
              </w:rPr>
              <w:t>91100视频设备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28FD155D">
            <w:pPr>
              <w:pStyle w:val="58"/>
              <w:spacing w:line="276" w:lineRule="auto"/>
              <w:ind w:right="5"/>
              <w:jc w:val="center"/>
              <w:rPr>
                <w:rFonts w:ascii="宋体" w:hAnsi="宋体" w:cs="宋体"/>
                <w:color w:val="auto"/>
                <w:kern w:val="2"/>
                <w:sz w:val="21"/>
                <w:szCs w:val="21"/>
                <w:highlight w:val="none"/>
              </w:rPr>
            </w:pPr>
            <w:r>
              <w:rPr>
                <w:rFonts w:hint="eastAsia" w:ascii="宋体" w:hAnsi="宋体" w:cs="宋体"/>
                <w:color w:val="auto"/>
                <w:spacing w:val="1"/>
                <w:w w:val="99"/>
                <w:kern w:val="2"/>
                <w:sz w:val="21"/>
                <w:szCs w:val="21"/>
                <w:highlight w:val="none"/>
              </w:rPr>
              <w:t>A02</w:t>
            </w:r>
            <w:r>
              <w:rPr>
                <w:rFonts w:hint="eastAsia" w:ascii="宋体" w:hAnsi="宋体" w:cs="宋体"/>
                <w:color w:val="auto"/>
                <w:w w:val="99"/>
                <w:kern w:val="2"/>
                <w:sz w:val="21"/>
                <w:szCs w:val="21"/>
                <w:highlight w:val="none"/>
              </w:rPr>
              <w:t>09</w:t>
            </w:r>
            <w:r>
              <w:rPr>
                <w:rFonts w:hint="eastAsia" w:ascii="宋体" w:hAnsi="宋体" w:cs="宋体"/>
                <w:color w:val="auto"/>
                <w:spacing w:val="1"/>
                <w:w w:val="99"/>
                <w:kern w:val="2"/>
                <w:sz w:val="21"/>
                <w:szCs w:val="21"/>
                <w:highlight w:val="none"/>
              </w:rPr>
              <w:t>1</w:t>
            </w:r>
            <w:r>
              <w:rPr>
                <w:rFonts w:hint="eastAsia" w:ascii="宋体" w:hAnsi="宋体" w:cs="宋体"/>
                <w:color w:val="auto"/>
                <w:w w:val="99"/>
                <w:kern w:val="2"/>
                <w:sz w:val="21"/>
                <w:szCs w:val="21"/>
                <w:highlight w:val="none"/>
              </w:rPr>
              <w:t>107视频监控设备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1029586B">
            <w:pPr>
              <w:pStyle w:val="5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监视器</w:t>
            </w:r>
          </w:p>
        </w:tc>
        <w:tc>
          <w:tcPr>
            <w:tcW w:w="3452" w:type="dxa"/>
            <w:tcBorders>
              <w:top w:val="single" w:color="000000" w:sz="4" w:space="0"/>
              <w:left w:val="single" w:color="000000" w:sz="4" w:space="0"/>
              <w:bottom w:val="single" w:color="000000" w:sz="4" w:space="0"/>
              <w:right w:val="single" w:color="000000" w:sz="4" w:space="0"/>
            </w:tcBorders>
          </w:tcPr>
          <w:p w14:paraId="1D31CD3A">
            <w:pPr>
              <w:pStyle w:val="58"/>
              <w:spacing w:before="131" w:line="276" w:lineRule="auto"/>
              <w:ind w:left="7" w:right="4"/>
              <w:rPr>
                <w:rFonts w:ascii="宋体" w:hAnsi="宋体" w:cs="宋体"/>
                <w:color w:val="auto"/>
                <w:spacing w:val="10"/>
                <w:kern w:val="2"/>
                <w:sz w:val="21"/>
                <w:szCs w:val="21"/>
                <w:highlight w:val="none"/>
                <w:lang w:eastAsia="zh-CN"/>
              </w:rPr>
            </w:pPr>
            <w:r>
              <w:rPr>
                <w:rFonts w:hint="eastAsia" w:ascii="宋体" w:hAnsi="宋体" w:cs="宋体"/>
                <w:color w:val="auto"/>
                <w:spacing w:val="10"/>
                <w:kern w:val="2"/>
                <w:sz w:val="21"/>
                <w:szCs w:val="21"/>
                <w:highlight w:val="none"/>
                <w:lang w:eastAsia="zh-CN"/>
              </w:rPr>
              <w:t>以射频信号为主要信号输入的监视器应符合《平板电视能效限定值及能效等级》（GB24850），以数字信号为主要信号输入的监视器应符合《计算机显示器能效限定值及能效等级》（GB21520）</w:t>
            </w:r>
          </w:p>
        </w:tc>
      </w:tr>
      <w:tr w14:paraId="5B7FB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42B92F74">
            <w:pPr>
              <w:pStyle w:val="58"/>
              <w:jc w:val="center"/>
              <w:rPr>
                <w:rFonts w:ascii="宋体" w:hAnsi="宋体" w:cs="宋体"/>
                <w:color w:val="auto"/>
                <w:kern w:val="2"/>
                <w:sz w:val="21"/>
                <w:szCs w:val="21"/>
                <w:highlight w:val="none"/>
              </w:rPr>
            </w:pPr>
            <w:r>
              <w:rPr>
                <w:rFonts w:hint="eastAsia" w:ascii="宋体" w:hAnsi="宋体"/>
                <w:color w:val="auto"/>
                <w:spacing w:val="1"/>
                <w:w w:val="99"/>
                <w:kern w:val="2"/>
                <w:sz w:val="21"/>
                <w:szCs w:val="21"/>
                <w:highlight w:val="none"/>
              </w:rPr>
              <w:t>1</w:t>
            </w:r>
            <w:r>
              <w:rPr>
                <w:rFonts w:hint="eastAsia" w:ascii="宋体" w:hAnsi="宋体"/>
                <w:color w:val="auto"/>
                <w:w w:val="99"/>
                <w:kern w:val="2"/>
                <w:sz w:val="21"/>
                <w:szCs w:val="21"/>
                <w:highlight w:val="none"/>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555E4CA8">
            <w:pPr>
              <w:pStyle w:val="58"/>
              <w:spacing w:before="76"/>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A02241000</w:t>
            </w:r>
            <w:r>
              <w:rPr>
                <w:rFonts w:hint="eastAsia" w:ascii="宋体" w:hAnsi="宋体" w:cs="宋体"/>
                <w:color w:val="auto"/>
                <w:w w:val="99"/>
                <w:kern w:val="2"/>
                <w:sz w:val="21"/>
                <w:szCs w:val="21"/>
                <w:highlight w:val="none"/>
              </w:rPr>
              <w:t>饮食炊事机械</w:t>
            </w:r>
          </w:p>
        </w:tc>
        <w:tc>
          <w:tcPr>
            <w:tcW w:w="1496" w:type="dxa"/>
            <w:tcBorders>
              <w:top w:val="single" w:color="000000" w:sz="4" w:space="0"/>
              <w:left w:val="single" w:color="000000" w:sz="4" w:space="0"/>
              <w:bottom w:val="single" w:color="000000" w:sz="4" w:space="0"/>
              <w:right w:val="single" w:color="000000" w:sz="4" w:space="0"/>
            </w:tcBorders>
            <w:vAlign w:val="center"/>
          </w:tcPr>
          <w:p w14:paraId="1DAFA8DE">
            <w:pPr>
              <w:pStyle w:val="5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商用燃</w:t>
            </w:r>
            <w:r>
              <w:rPr>
                <w:rFonts w:hint="eastAsia" w:ascii="宋体" w:hAnsi="宋体" w:cs="宋体"/>
                <w:color w:val="auto"/>
                <w:spacing w:val="2"/>
                <w:w w:val="99"/>
                <w:kern w:val="2"/>
                <w:sz w:val="21"/>
                <w:szCs w:val="21"/>
                <w:highlight w:val="none"/>
              </w:rPr>
              <w:t>气</w:t>
            </w:r>
            <w:r>
              <w:rPr>
                <w:rFonts w:hint="eastAsia" w:ascii="宋体" w:hAnsi="宋体" w:cs="宋体"/>
                <w:color w:val="auto"/>
                <w:w w:val="99"/>
                <w:kern w:val="2"/>
                <w:sz w:val="21"/>
                <w:szCs w:val="21"/>
                <w:highlight w:val="none"/>
              </w:rPr>
              <w:t>灶具</w:t>
            </w:r>
          </w:p>
        </w:tc>
        <w:tc>
          <w:tcPr>
            <w:tcW w:w="1481" w:type="dxa"/>
            <w:tcBorders>
              <w:top w:val="single" w:color="000000" w:sz="4" w:space="0"/>
              <w:left w:val="single" w:color="000000" w:sz="4" w:space="0"/>
              <w:bottom w:val="single" w:color="000000" w:sz="4" w:space="0"/>
              <w:right w:val="single" w:color="000000" w:sz="4" w:space="0"/>
            </w:tcBorders>
            <w:vAlign w:val="center"/>
          </w:tcPr>
          <w:p w14:paraId="76EE0C56">
            <w:pPr>
              <w:jc w:val="center"/>
              <w:rPr>
                <w:rFonts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255C2838">
            <w:pPr>
              <w:pStyle w:val="58"/>
              <w:spacing w:before="131" w:line="276" w:lineRule="auto"/>
              <w:ind w:left="7" w:right="4"/>
              <w:rPr>
                <w:rFonts w:ascii="宋体" w:hAnsi="宋体" w:cs="宋体"/>
                <w:color w:val="auto"/>
                <w:kern w:val="2"/>
                <w:sz w:val="21"/>
                <w:szCs w:val="21"/>
                <w:highlight w:val="none"/>
                <w:lang w:eastAsia="zh-CN"/>
              </w:rPr>
            </w:pPr>
            <w:r>
              <w:rPr>
                <w:rFonts w:hint="eastAsia" w:ascii="宋体" w:hAnsi="宋体" w:cs="宋体"/>
                <w:color w:val="auto"/>
                <w:kern w:val="2"/>
                <w:sz w:val="21"/>
                <w:szCs w:val="21"/>
                <w:highlight w:val="none"/>
                <w:lang w:eastAsia="zh-CN"/>
              </w:rPr>
              <w:t>《商用燃气灶具能效限定值及能效等级》（GB30531）</w:t>
            </w:r>
          </w:p>
        </w:tc>
      </w:tr>
      <w:tr w14:paraId="69CA4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4CE62D25">
            <w:pPr>
              <w:jc w:val="center"/>
              <w:rPr>
                <w:rFonts w:ascii="宋体" w:hAnsi="宋体"/>
                <w:color w:val="auto"/>
                <w:szCs w:val="21"/>
                <w:highlight w:val="none"/>
              </w:rPr>
            </w:pPr>
            <w:r>
              <w:rPr>
                <w:rFonts w:hint="eastAsia" w:ascii="宋体" w:hAnsi="宋体"/>
                <w:color w:val="auto"/>
                <w:szCs w:val="21"/>
                <w:highlight w:val="none"/>
              </w:rPr>
              <w:t>15</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355ED3DC">
            <w:pPr>
              <w:pStyle w:val="58"/>
              <w:jc w:val="center"/>
              <w:rPr>
                <w:rFonts w:ascii="宋体" w:hAnsi="宋体" w:cs="宋体"/>
                <w:color w:val="auto"/>
                <w:w w:val="99"/>
                <w:kern w:val="2"/>
                <w:sz w:val="21"/>
                <w:szCs w:val="21"/>
                <w:highlight w:val="none"/>
              </w:rPr>
            </w:pPr>
            <w:r>
              <w:rPr>
                <w:rFonts w:hint="eastAsia" w:ascii="宋体" w:hAnsi="宋体" w:cs="宋体"/>
                <w:color w:val="auto"/>
                <w:w w:val="99"/>
                <w:kern w:val="2"/>
                <w:sz w:val="21"/>
                <w:szCs w:val="21"/>
                <w:highlight w:val="none"/>
              </w:rPr>
              <w:t>★</w:t>
            </w:r>
            <w:r>
              <w:rPr>
                <w:rFonts w:hint="eastAsia" w:ascii="宋体" w:hAnsi="宋体" w:cs="仿宋_GB2312"/>
                <w:color w:val="auto"/>
                <w:kern w:val="2"/>
                <w:sz w:val="21"/>
                <w:szCs w:val="21"/>
                <w:highlight w:val="none"/>
              </w:rPr>
              <w:t>A05020105</w:t>
            </w:r>
            <w:r>
              <w:rPr>
                <w:rFonts w:hint="eastAsia" w:ascii="宋体" w:hAnsi="宋体" w:cs="宋体"/>
                <w:color w:val="auto"/>
                <w:w w:val="99"/>
                <w:kern w:val="2"/>
                <w:sz w:val="21"/>
                <w:szCs w:val="21"/>
                <w:highlight w:val="none"/>
              </w:rPr>
              <w:t>便器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11F27C96">
            <w:pPr>
              <w:pStyle w:val="5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坐便器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1EA23BEB">
            <w:pPr>
              <w:jc w:val="center"/>
              <w:rPr>
                <w:rFonts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50E16D67">
            <w:pPr>
              <w:pStyle w:val="58"/>
              <w:spacing w:before="131" w:line="276" w:lineRule="auto"/>
              <w:ind w:left="7" w:right="4"/>
              <w:rPr>
                <w:rFonts w:ascii="宋体" w:hAnsi="宋体" w:cs="宋体"/>
                <w:color w:val="auto"/>
                <w:kern w:val="2"/>
                <w:sz w:val="21"/>
                <w:szCs w:val="21"/>
                <w:highlight w:val="none"/>
                <w:lang w:eastAsia="zh-CN"/>
              </w:rPr>
            </w:pPr>
            <w:r>
              <w:rPr>
                <w:rFonts w:hint="eastAsia" w:ascii="宋体" w:hAnsi="宋体" w:cs="宋体"/>
                <w:color w:val="auto"/>
                <w:kern w:val="2"/>
                <w:sz w:val="21"/>
                <w:szCs w:val="21"/>
                <w:highlight w:val="none"/>
                <w:lang w:eastAsia="zh-CN"/>
              </w:rPr>
              <w:t>《坐便器水效限定值及水效等级》</w:t>
            </w:r>
          </w:p>
          <w:p w14:paraId="732EE9BF">
            <w:pPr>
              <w:pStyle w:val="58"/>
              <w:spacing w:before="131" w:line="276" w:lineRule="auto"/>
              <w:ind w:left="7" w:right="4"/>
              <w:rPr>
                <w:rFonts w:ascii="宋体" w:hAnsi="宋体" w:cs="宋体"/>
                <w:color w:val="auto"/>
                <w:kern w:val="2"/>
                <w:sz w:val="21"/>
                <w:szCs w:val="21"/>
                <w:highlight w:val="none"/>
                <w:lang w:eastAsia="zh-CN"/>
              </w:rPr>
            </w:pPr>
            <w:r>
              <w:rPr>
                <w:rFonts w:hint="eastAsia" w:ascii="宋体" w:hAnsi="宋体" w:cs="宋体"/>
                <w:color w:val="auto"/>
                <w:kern w:val="2"/>
                <w:sz w:val="21"/>
                <w:szCs w:val="21"/>
                <w:highlight w:val="none"/>
                <w:lang w:eastAsia="zh-CN"/>
              </w:rPr>
              <w:t>（GB25502）</w:t>
            </w:r>
          </w:p>
        </w:tc>
      </w:tr>
      <w:tr w14:paraId="5A872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F6E49EA">
            <w:pPr>
              <w:widowControl/>
              <w:jc w:val="left"/>
              <w:rPr>
                <w:rFonts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5164AE9">
            <w:pPr>
              <w:widowControl/>
              <w:jc w:val="left"/>
              <w:rPr>
                <w:rFonts w:ascii="宋体" w:hAnsi="宋体" w:cs="宋体"/>
                <w:color w:val="auto"/>
                <w:w w:val="99"/>
                <w:szCs w:val="21"/>
                <w:highlight w:val="none"/>
                <w:lang w:eastAsia="en-US"/>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13448944">
            <w:pPr>
              <w:pStyle w:val="5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蹲便器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4752A728">
            <w:pPr>
              <w:jc w:val="center"/>
              <w:rPr>
                <w:rFonts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48E37EE0">
            <w:pPr>
              <w:pStyle w:val="58"/>
              <w:spacing w:before="131" w:line="276" w:lineRule="auto"/>
              <w:ind w:left="7" w:right="4"/>
              <w:rPr>
                <w:rFonts w:ascii="宋体" w:hAnsi="宋体" w:cs="宋体"/>
                <w:color w:val="auto"/>
                <w:kern w:val="2"/>
                <w:sz w:val="21"/>
                <w:szCs w:val="21"/>
                <w:highlight w:val="none"/>
                <w:lang w:eastAsia="zh-CN"/>
              </w:rPr>
            </w:pPr>
            <w:r>
              <w:rPr>
                <w:rFonts w:hint="eastAsia" w:ascii="宋体" w:hAnsi="宋体" w:cs="宋体"/>
                <w:color w:val="auto"/>
                <w:kern w:val="2"/>
                <w:sz w:val="21"/>
                <w:szCs w:val="21"/>
                <w:highlight w:val="none"/>
                <w:lang w:eastAsia="zh-CN"/>
              </w:rPr>
              <w:t>《蹲便器用水效率限定值及用水效率等级》（GB30717）</w:t>
            </w:r>
          </w:p>
        </w:tc>
      </w:tr>
      <w:tr w14:paraId="473E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ED40407">
            <w:pPr>
              <w:widowControl/>
              <w:jc w:val="left"/>
              <w:rPr>
                <w:rFonts w:ascii="宋体" w:hAnsi="宋体"/>
                <w:color w:val="auto"/>
                <w:szCs w:val="21"/>
                <w:highlight w:val="none"/>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6AB3849">
            <w:pPr>
              <w:widowControl/>
              <w:jc w:val="left"/>
              <w:rPr>
                <w:rFonts w:ascii="宋体" w:hAnsi="宋体" w:cs="宋体"/>
                <w:color w:val="auto"/>
                <w:w w:val="99"/>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219B4E1E">
            <w:pPr>
              <w:pStyle w:val="58"/>
              <w:jc w:val="center"/>
              <w:rPr>
                <w:rFonts w:ascii="宋体" w:hAnsi="宋体" w:cs="宋体"/>
                <w:color w:val="auto"/>
                <w:kern w:val="2"/>
                <w:sz w:val="21"/>
                <w:szCs w:val="21"/>
                <w:highlight w:val="none"/>
              </w:rPr>
            </w:pPr>
            <w:r>
              <w:rPr>
                <w:rFonts w:hint="eastAsia" w:ascii="宋体" w:hAnsi="宋体" w:cs="宋体"/>
                <w:color w:val="auto"/>
                <w:w w:val="99"/>
                <w:kern w:val="2"/>
                <w:sz w:val="21"/>
                <w:szCs w:val="21"/>
                <w:highlight w:val="none"/>
              </w:rPr>
              <w:t>小便器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5E10A9A4">
            <w:pPr>
              <w:jc w:val="center"/>
              <w:rPr>
                <w:rFonts w:ascii="宋体" w:hAnsi="宋体"/>
                <w:color w:val="auto"/>
                <w:szCs w:val="21"/>
                <w:highlight w:val="none"/>
              </w:rPr>
            </w:pPr>
          </w:p>
        </w:tc>
        <w:tc>
          <w:tcPr>
            <w:tcW w:w="3452" w:type="dxa"/>
            <w:tcBorders>
              <w:top w:val="single" w:color="000000" w:sz="4" w:space="0"/>
              <w:left w:val="single" w:color="000000" w:sz="4" w:space="0"/>
              <w:bottom w:val="single" w:color="000000" w:sz="4" w:space="0"/>
              <w:right w:val="single" w:color="000000" w:sz="4" w:space="0"/>
            </w:tcBorders>
          </w:tcPr>
          <w:p w14:paraId="4048E320">
            <w:pPr>
              <w:pStyle w:val="58"/>
              <w:spacing w:before="131" w:line="276" w:lineRule="auto"/>
              <w:ind w:left="7" w:right="4"/>
              <w:rPr>
                <w:rFonts w:ascii="宋体" w:hAnsi="宋体" w:cs="宋体"/>
                <w:color w:val="auto"/>
                <w:kern w:val="2"/>
                <w:sz w:val="21"/>
                <w:szCs w:val="21"/>
                <w:highlight w:val="none"/>
                <w:lang w:eastAsia="zh-CN"/>
              </w:rPr>
            </w:pPr>
            <w:r>
              <w:rPr>
                <w:rFonts w:hint="eastAsia" w:ascii="宋体" w:hAnsi="宋体" w:cs="宋体"/>
                <w:color w:val="auto"/>
                <w:kern w:val="2"/>
                <w:sz w:val="21"/>
                <w:szCs w:val="21"/>
                <w:highlight w:val="none"/>
                <w:lang w:eastAsia="zh-CN"/>
              </w:rPr>
              <w:t>《小便器用水效率限定值及用水效率等级》（GB28377）</w:t>
            </w:r>
          </w:p>
        </w:tc>
      </w:tr>
      <w:tr w14:paraId="54001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3685FF81">
            <w:pPr>
              <w:pStyle w:val="58"/>
              <w:jc w:val="center"/>
              <w:rPr>
                <w:rFonts w:ascii="宋体" w:hAnsi="宋体" w:cs="宋体"/>
                <w:color w:val="auto"/>
                <w:kern w:val="2"/>
                <w:sz w:val="21"/>
                <w:szCs w:val="21"/>
                <w:highlight w:val="none"/>
              </w:rPr>
            </w:pPr>
            <w:r>
              <w:rPr>
                <w:rFonts w:hint="eastAsia" w:ascii="宋体" w:hAnsi="宋体"/>
                <w:color w:val="auto"/>
                <w:kern w:val="2"/>
                <w:sz w:val="21"/>
                <w:szCs w:val="21"/>
                <w:highlight w:val="none"/>
              </w:rPr>
              <w:t>16</w:t>
            </w:r>
          </w:p>
        </w:tc>
        <w:tc>
          <w:tcPr>
            <w:tcW w:w="1422" w:type="dxa"/>
            <w:tcBorders>
              <w:top w:val="single" w:color="000000" w:sz="4" w:space="0"/>
              <w:left w:val="single" w:color="000000" w:sz="4" w:space="0"/>
              <w:bottom w:val="single" w:color="000000" w:sz="4" w:space="0"/>
              <w:right w:val="single" w:color="000000" w:sz="4" w:space="0"/>
            </w:tcBorders>
            <w:vAlign w:val="center"/>
          </w:tcPr>
          <w:p w14:paraId="4DA7CCE8">
            <w:pPr>
              <w:pStyle w:val="58"/>
              <w:spacing w:before="153"/>
              <w:ind w:left="7"/>
              <w:jc w:val="center"/>
              <w:rPr>
                <w:rFonts w:ascii="宋体" w:hAnsi="宋体" w:cs="宋体"/>
                <w:color w:val="auto"/>
                <w:kern w:val="2"/>
                <w:sz w:val="21"/>
                <w:szCs w:val="21"/>
                <w:highlight w:val="none"/>
              </w:rPr>
            </w:pPr>
            <w:r>
              <w:rPr>
                <w:rFonts w:hint="eastAsia" w:ascii="宋体" w:hAnsi="宋体" w:cs="宋体"/>
                <w:color w:val="auto"/>
                <w:kern w:val="2"/>
                <w:sz w:val="21"/>
                <w:szCs w:val="21"/>
                <w:highlight w:val="none"/>
              </w:rPr>
              <w:t>★</w:t>
            </w:r>
            <w:r>
              <w:rPr>
                <w:rFonts w:hint="eastAsia" w:ascii="宋体" w:hAnsi="宋体" w:cs="仿宋_GB2312"/>
                <w:color w:val="auto"/>
                <w:kern w:val="2"/>
                <w:sz w:val="21"/>
                <w:szCs w:val="21"/>
                <w:highlight w:val="none"/>
              </w:rPr>
              <w:t>A05020106</w:t>
            </w:r>
            <w:r>
              <w:rPr>
                <w:rFonts w:hint="eastAsia" w:ascii="宋体" w:hAnsi="宋体" w:cs="宋体"/>
                <w:color w:val="auto"/>
                <w:kern w:val="2"/>
                <w:sz w:val="21"/>
                <w:szCs w:val="21"/>
                <w:highlight w:val="none"/>
              </w:rPr>
              <w:t>水</w:t>
            </w:r>
            <w:r>
              <w:rPr>
                <w:rFonts w:hint="eastAsia" w:ascii="宋体" w:hAnsi="宋体" w:cs="宋体"/>
                <w:color w:val="auto"/>
                <w:w w:val="99"/>
                <w:kern w:val="2"/>
                <w:sz w:val="21"/>
                <w:szCs w:val="21"/>
                <w:highlight w:val="none"/>
              </w:rPr>
              <w:t>嘴</w:t>
            </w:r>
          </w:p>
        </w:tc>
        <w:tc>
          <w:tcPr>
            <w:tcW w:w="1496" w:type="dxa"/>
            <w:tcBorders>
              <w:top w:val="single" w:color="000000" w:sz="4" w:space="0"/>
              <w:left w:val="single" w:color="000000" w:sz="4" w:space="0"/>
              <w:bottom w:val="single" w:color="000000" w:sz="4" w:space="0"/>
              <w:right w:val="single" w:color="000000" w:sz="4" w:space="0"/>
            </w:tcBorders>
            <w:vAlign w:val="center"/>
          </w:tcPr>
          <w:p w14:paraId="396CC057">
            <w:pPr>
              <w:jc w:val="center"/>
              <w:rPr>
                <w:rFonts w:ascii="宋体" w:hAnsi="宋体"/>
                <w:color w:val="auto"/>
                <w:szCs w:val="21"/>
                <w:highlight w:val="none"/>
                <w:lang w:eastAsia="en-US"/>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C1B9E34">
            <w:pPr>
              <w:jc w:val="center"/>
              <w:rPr>
                <w:rFonts w:ascii="宋体" w:hAnsi="宋体"/>
                <w:color w:val="auto"/>
                <w:szCs w:val="21"/>
                <w:highlight w:val="none"/>
                <w:lang w:eastAsia="en-US"/>
              </w:rPr>
            </w:pPr>
          </w:p>
        </w:tc>
        <w:tc>
          <w:tcPr>
            <w:tcW w:w="3452" w:type="dxa"/>
            <w:tcBorders>
              <w:top w:val="single" w:color="000000" w:sz="4" w:space="0"/>
              <w:left w:val="single" w:color="000000" w:sz="4" w:space="0"/>
              <w:bottom w:val="single" w:color="000000" w:sz="4" w:space="0"/>
              <w:right w:val="single" w:color="000000" w:sz="4" w:space="0"/>
            </w:tcBorders>
          </w:tcPr>
          <w:p w14:paraId="6A90E723">
            <w:pPr>
              <w:pStyle w:val="58"/>
              <w:spacing w:before="153" w:line="276" w:lineRule="auto"/>
              <w:ind w:left="7" w:right="4"/>
              <w:rPr>
                <w:rFonts w:ascii="宋体" w:hAnsi="宋体" w:cs="宋体"/>
                <w:color w:val="auto"/>
                <w:kern w:val="2"/>
                <w:sz w:val="21"/>
                <w:szCs w:val="21"/>
                <w:highlight w:val="none"/>
                <w:lang w:eastAsia="zh-CN"/>
              </w:rPr>
            </w:pPr>
            <w:r>
              <w:rPr>
                <w:rFonts w:hint="eastAsia" w:ascii="宋体" w:hAnsi="宋体" w:cs="宋体"/>
                <w:color w:val="auto"/>
                <w:spacing w:val="10"/>
                <w:kern w:val="2"/>
                <w:sz w:val="21"/>
                <w:szCs w:val="21"/>
                <w:highlight w:val="none"/>
                <w:lang w:eastAsia="zh-CN"/>
              </w:rPr>
              <w:t>《水嘴用水效率限定值及用水效</w:t>
            </w:r>
            <w:r>
              <w:rPr>
                <w:rFonts w:hint="eastAsia" w:ascii="宋体" w:hAnsi="宋体" w:cs="宋体"/>
                <w:color w:val="auto"/>
                <w:kern w:val="2"/>
                <w:sz w:val="21"/>
                <w:szCs w:val="21"/>
                <w:highlight w:val="none"/>
                <w:lang w:eastAsia="zh-CN"/>
              </w:rPr>
              <w:t>率等级》（GB 25501）</w:t>
            </w:r>
          </w:p>
        </w:tc>
      </w:tr>
      <w:tr w14:paraId="6492C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22808EA3">
            <w:pPr>
              <w:pStyle w:val="58"/>
              <w:jc w:val="center"/>
              <w:rPr>
                <w:rFonts w:ascii="宋体" w:hAnsi="宋体" w:cs="宋体"/>
                <w:color w:val="auto"/>
                <w:kern w:val="2"/>
                <w:sz w:val="21"/>
                <w:szCs w:val="21"/>
                <w:highlight w:val="none"/>
              </w:rPr>
            </w:pPr>
            <w:r>
              <w:rPr>
                <w:rFonts w:hint="eastAsia" w:ascii="宋体" w:hAnsi="宋体"/>
                <w:color w:val="auto"/>
                <w:kern w:val="2"/>
                <w:sz w:val="21"/>
                <w:szCs w:val="21"/>
                <w:highlight w:val="none"/>
              </w:rPr>
              <w:t>17</w:t>
            </w:r>
          </w:p>
        </w:tc>
        <w:tc>
          <w:tcPr>
            <w:tcW w:w="1422" w:type="dxa"/>
            <w:tcBorders>
              <w:top w:val="single" w:color="000000" w:sz="4" w:space="0"/>
              <w:left w:val="single" w:color="000000" w:sz="4" w:space="0"/>
              <w:bottom w:val="single" w:color="000000" w:sz="4" w:space="0"/>
              <w:right w:val="single" w:color="000000" w:sz="4" w:space="0"/>
            </w:tcBorders>
            <w:vAlign w:val="center"/>
          </w:tcPr>
          <w:p w14:paraId="38ECB8F0">
            <w:pPr>
              <w:pStyle w:val="58"/>
              <w:spacing w:before="112"/>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A05020107</w:t>
            </w:r>
            <w:r>
              <w:rPr>
                <w:rFonts w:hint="eastAsia" w:ascii="宋体" w:hAnsi="宋体" w:cs="宋体"/>
                <w:color w:val="auto"/>
                <w:kern w:val="2"/>
                <w:sz w:val="21"/>
                <w:szCs w:val="21"/>
                <w:highlight w:val="none"/>
              </w:rPr>
              <w:t>便器冲洗阀</w:t>
            </w:r>
          </w:p>
        </w:tc>
        <w:tc>
          <w:tcPr>
            <w:tcW w:w="1496" w:type="dxa"/>
            <w:tcBorders>
              <w:top w:val="single" w:color="000000" w:sz="4" w:space="0"/>
              <w:left w:val="single" w:color="000000" w:sz="4" w:space="0"/>
              <w:bottom w:val="single" w:color="000000" w:sz="4" w:space="0"/>
              <w:right w:val="single" w:color="000000" w:sz="4" w:space="0"/>
            </w:tcBorders>
            <w:vAlign w:val="center"/>
          </w:tcPr>
          <w:p w14:paraId="6C7FB217">
            <w:pPr>
              <w:jc w:val="center"/>
              <w:rPr>
                <w:rFonts w:ascii="宋体" w:hAnsi="宋体"/>
                <w:color w:val="auto"/>
                <w:szCs w:val="21"/>
                <w:highlight w:val="none"/>
                <w:lang w:eastAsia="en-US"/>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79E01390">
            <w:pPr>
              <w:jc w:val="center"/>
              <w:rPr>
                <w:rFonts w:ascii="宋体" w:hAnsi="宋体"/>
                <w:color w:val="auto"/>
                <w:szCs w:val="21"/>
                <w:highlight w:val="none"/>
                <w:lang w:eastAsia="en-US"/>
              </w:rPr>
            </w:pPr>
          </w:p>
        </w:tc>
        <w:tc>
          <w:tcPr>
            <w:tcW w:w="3452" w:type="dxa"/>
            <w:tcBorders>
              <w:top w:val="single" w:color="000000" w:sz="4" w:space="0"/>
              <w:left w:val="single" w:color="000000" w:sz="4" w:space="0"/>
              <w:bottom w:val="single" w:color="000000" w:sz="4" w:space="0"/>
              <w:right w:val="single" w:color="000000" w:sz="4" w:space="0"/>
            </w:tcBorders>
          </w:tcPr>
          <w:p w14:paraId="245B7B38">
            <w:pPr>
              <w:pStyle w:val="58"/>
              <w:spacing w:before="112" w:line="276" w:lineRule="auto"/>
              <w:ind w:left="7" w:right="4"/>
              <w:rPr>
                <w:rFonts w:ascii="宋体" w:hAnsi="宋体" w:cs="宋体"/>
                <w:color w:val="auto"/>
                <w:kern w:val="2"/>
                <w:sz w:val="21"/>
                <w:szCs w:val="21"/>
                <w:highlight w:val="none"/>
                <w:lang w:eastAsia="zh-CN"/>
              </w:rPr>
            </w:pPr>
            <w:r>
              <w:rPr>
                <w:rFonts w:hint="eastAsia" w:ascii="宋体" w:hAnsi="宋体" w:cs="宋体"/>
                <w:color w:val="auto"/>
                <w:spacing w:val="10"/>
                <w:kern w:val="2"/>
                <w:sz w:val="21"/>
                <w:szCs w:val="21"/>
                <w:highlight w:val="none"/>
                <w:lang w:eastAsia="zh-CN"/>
              </w:rPr>
              <w:t>《便器冲洗阀用水效率限定值及</w:t>
            </w:r>
            <w:r>
              <w:rPr>
                <w:rFonts w:hint="eastAsia" w:ascii="宋体" w:hAnsi="宋体" w:cs="宋体"/>
                <w:color w:val="auto"/>
                <w:kern w:val="2"/>
                <w:sz w:val="21"/>
                <w:szCs w:val="21"/>
                <w:highlight w:val="none"/>
                <w:lang w:eastAsia="zh-CN"/>
              </w:rPr>
              <w:t>用水效率等级》（GB28379）</w:t>
            </w:r>
          </w:p>
        </w:tc>
      </w:tr>
      <w:tr w14:paraId="48B16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E3E33D2">
            <w:pPr>
              <w:pStyle w:val="58"/>
              <w:jc w:val="center"/>
              <w:rPr>
                <w:rFonts w:ascii="宋体" w:hAnsi="宋体" w:cs="宋体"/>
                <w:color w:val="auto"/>
                <w:kern w:val="2"/>
                <w:sz w:val="21"/>
                <w:szCs w:val="21"/>
                <w:highlight w:val="none"/>
              </w:rPr>
            </w:pPr>
            <w:r>
              <w:rPr>
                <w:rFonts w:hint="eastAsia" w:ascii="宋体" w:hAnsi="宋体"/>
                <w:color w:val="auto"/>
                <w:kern w:val="2"/>
                <w:sz w:val="21"/>
                <w:szCs w:val="21"/>
                <w:highlight w:val="none"/>
              </w:rPr>
              <w:t>18</w:t>
            </w:r>
          </w:p>
        </w:tc>
        <w:tc>
          <w:tcPr>
            <w:tcW w:w="1422" w:type="dxa"/>
            <w:tcBorders>
              <w:top w:val="single" w:color="000000" w:sz="4" w:space="0"/>
              <w:left w:val="single" w:color="000000" w:sz="4" w:space="0"/>
              <w:bottom w:val="single" w:color="000000" w:sz="4" w:space="0"/>
              <w:right w:val="single" w:color="000000" w:sz="4" w:space="0"/>
            </w:tcBorders>
            <w:vAlign w:val="center"/>
          </w:tcPr>
          <w:p w14:paraId="6356EE42">
            <w:pPr>
              <w:pStyle w:val="58"/>
              <w:spacing w:before="131"/>
              <w:ind w:left="7"/>
              <w:jc w:val="center"/>
              <w:rPr>
                <w:rFonts w:ascii="宋体" w:hAnsi="宋体" w:cs="宋体"/>
                <w:color w:val="auto"/>
                <w:kern w:val="2"/>
                <w:sz w:val="21"/>
                <w:szCs w:val="21"/>
                <w:highlight w:val="none"/>
              </w:rPr>
            </w:pPr>
            <w:r>
              <w:rPr>
                <w:rFonts w:hint="eastAsia" w:ascii="宋体" w:hAnsi="宋体" w:cs="仿宋_GB2312"/>
                <w:color w:val="auto"/>
                <w:kern w:val="2"/>
                <w:sz w:val="21"/>
                <w:szCs w:val="21"/>
                <w:highlight w:val="none"/>
              </w:rPr>
              <w:t>A05020110</w:t>
            </w:r>
            <w:r>
              <w:rPr>
                <w:rFonts w:hint="eastAsia" w:ascii="宋体" w:hAnsi="宋体" w:cs="宋体"/>
                <w:color w:val="auto"/>
                <w:kern w:val="2"/>
                <w:sz w:val="21"/>
                <w:szCs w:val="21"/>
                <w:highlight w:val="none"/>
              </w:rPr>
              <w:t>淋浴</w:t>
            </w:r>
            <w:r>
              <w:rPr>
                <w:rFonts w:hint="eastAsia" w:ascii="宋体" w:hAnsi="宋体" w:cs="宋体"/>
                <w:color w:val="auto"/>
                <w:w w:val="99"/>
                <w:kern w:val="2"/>
                <w:sz w:val="21"/>
                <w:szCs w:val="21"/>
                <w:highlight w:val="none"/>
              </w:rPr>
              <w:t>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18FF3445">
            <w:pPr>
              <w:jc w:val="center"/>
              <w:rPr>
                <w:rFonts w:ascii="宋体" w:hAnsi="宋体"/>
                <w:color w:val="auto"/>
                <w:szCs w:val="21"/>
                <w:highlight w:val="none"/>
                <w:lang w:eastAsia="en-US"/>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184E9D3">
            <w:pPr>
              <w:jc w:val="center"/>
              <w:rPr>
                <w:rFonts w:ascii="宋体" w:hAnsi="宋体"/>
                <w:color w:val="auto"/>
                <w:szCs w:val="21"/>
                <w:highlight w:val="none"/>
                <w:lang w:eastAsia="en-US"/>
              </w:rPr>
            </w:pPr>
          </w:p>
        </w:tc>
        <w:tc>
          <w:tcPr>
            <w:tcW w:w="3452" w:type="dxa"/>
            <w:tcBorders>
              <w:top w:val="single" w:color="000000" w:sz="4" w:space="0"/>
              <w:left w:val="single" w:color="000000" w:sz="4" w:space="0"/>
              <w:bottom w:val="single" w:color="000000" w:sz="4" w:space="0"/>
              <w:right w:val="single" w:color="000000" w:sz="4" w:space="0"/>
            </w:tcBorders>
          </w:tcPr>
          <w:p w14:paraId="330B0451">
            <w:pPr>
              <w:pStyle w:val="58"/>
              <w:spacing w:before="131" w:line="276" w:lineRule="auto"/>
              <w:ind w:left="7" w:right="4"/>
              <w:rPr>
                <w:rFonts w:ascii="宋体" w:hAnsi="宋体" w:cs="宋体"/>
                <w:color w:val="auto"/>
                <w:kern w:val="2"/>
                <w:sz w:val="21"/>
                <w:szCs w:val="21"/>
                <w:highlight w:val="none"/>
                <w:lang w:eastAsia="zh-CN"/>
              </w:rPr>
            </w:pPr>
            <w:r>
              <w:rPr>
                <w:rFonts w:hint="eastAsia" w:ascii="宋体" w:hAnsi="宋体" w:cs="宋体"/>
                <w:color w:val="auto"/>
                <w:spacing w:val="10"/>
                <w:kern w:val="2"/>
                <w:sz w:val="21"/>
                <w:szCs w:val="21"/>
                <w:highlight w:val="none"/>
                <w:lang w:eastAsia="zh-CN"/>
              </w:rPr>
              <w:t>《淋浴器用水效率限定值及用水</w:t>
            </w:r>
            <w:r>
              <w:rPr>
                <w:rFonts w:hint="eastAsia" w:ascii="宋体" w:hAnsi="宋体" w:cs="宋体"/>
                <w:color w:val="auto"/>
                <w:kern w:val="2"/>
                <w:sz w:val="21"/>
                <w:szCs w:val="21"/>
                <w:highlight w:val="none"/>
                <w:lang w:eastAsia="zh-CN"/>
              </w:rPr>
              <w:t>效率等级》（GB28378）</w:t>
            </w:r>
          </w:p>
        </w:tc>
      </w:tr>
    </w:tbl>
    <w:p w14:paraId="58EBBF8A">
      <w:pPr>
        <w:pStyle w:val="12"/>
        <w:spacing w:line="360" w:lineRule="auto"/>
        <w:rPr>
          <w:rFonts w:ascii="宋体" w:hAnsi="宋体"/>
          <w:color w:val="auto"/>
          <w:szCs w:val="21"/>
          <w:highlight w:val="none"/>
        </w:rPr>
      </w:pPr>
      <w:r>
        <w:rPr>
          <w:rFonts w:hint="eastAsia" w:ascii="宋体" w:hAnsi="宋体"/>
          <w:color w:val="auto"/>
          <w:spacing w:val="-3"/>
          <w:szCs w:val="21"/>
          <w:highlight w:val="none"/>
        </w:rPr>
        <w:t>注：1.节能产品认证应依据相关国家标准的最新版本，依据国家标准中二级能效（水效）</w:t>
      </w:r>
      <w:r>
        <w:rPr>
          <w:rFonts w:hint="eastAsia" w:ascii="宋体" w:hAnsi="宋体"/>
          <w:color w:val="auto"/>
          <w:szCs w:val="21"/>
          <w:highlight w:val="none"/>
        </w:rPr>
        <w:t>指标。</w:t>
      </w:r>
    </w:p>
    <w:p w14:paraId="671FFAEE">
      <w:pPr>
        <w:pStyle w:val="12"/>
        <w:spacing w:line="360" w:lineRule="auto"/>
        <w:ind w:firstLine="465"/>
        <w:rPr>
          <w:rFonts w:ascii="宋体" w:hAnsi="宋体"/>
          <w:color w:val="auto"/>
          <w:szCs w:val="21"/>
          <w:highlight w:val="none"/>
        </w:rPr>
      </w:pPr>
      <w:r>
        <w:rPr>
          <w:rFonts w:hint="eastAsia" w:ascii="宋体" w:hAnsi="宋体"/>
          <w:color w:val="auto"/>
          <w:szCs w:val="21"/>
          <w:highlight w:val="none"/>
        </w:rPr>
        <w:t>2.以“★”标注的为政府强制采购产品。</w:t>
      </w:r>
    </w:p>
    <w:p w14:paraId="50EA6895">
      <w:pPr>
        <w:pStyle w:val="12"/>
        <w:spacing w:line="360" w:lineRule="auto"/>
        <w:ind w:firstLine="465"/>
        <w:rPr>
          <w:rFonts w:ascii="宋体" w:hAnsi="宋体"/>
          <w:color w:val="auto"/>
          <w:szCs w:val="21"/>
          <w:highlight w:val="none"/>
        </w:rPr>
      </w:pPr>
      <w:r>
        <w:rPr>
          <w:rFonts w:hint="eastAsia" w:ascii="宋体" w:hAnsi="宋体"/>
          <w:color w:val="auto"/>
          <w:szCs w:val="21"/>
          <w:highlight w:val="none"/>
        </w:rPr>
        <w:t>3.本表格原为《关于印发节能产品政府采购品目清单的通知》（财库〔2019〕19号）规定的表格附件，其中名称及编码已根据《财政部关于印发〈政府采购品目分类目录〉的通知》（财库〔2022〕31号）修改。</w:t>
      </w:r>
    </w:p>
    <w:p w14:paraId="4BBAFA17">
      <w:pPr>
        <w:widowControl/>
        <w:jc w:val="left"/>
        <w:rPr>
          <w:rFonts w:ascii="宋体" w:hAnsi="宋体" w:cs="宋体"/>
          <w:color w:val="auto"/>
          <w:sz w:val="20"/>
          <w:szCs w:val="20"/>
          <w:highlight w:val="none"/>
        </w:rPr>
      </w:pPr>
    </w:p>
    <w:p w14:paraId="5F1915A7">
      <w:pPr>
        <w:spacing w:line="360" w:lineRule="auto"/>
        <w:ind w:firstLine="465"/>
        <w:rPr>
          <w:rFonts w:ascii="黑体" w:hAnsi="黑体" w:eastAsia="黑体" w:cs="黑体"/>
          <w:color w:val="auto"/>
          <w:sz w:val="32"/>
          <w:szCs w:val="32"/>
          <w:highlight w:val="none"/>
        </w:rPr>
      </w:pPr>
      <w:r>
        <w:rPr>
          <w:rFonts w:ascii="宋体" w:hAnsi="宋体" w:cs="宋体"/>
          <w:color w:val="auto"/>
          <w:sz w:val="20"/>
          <w:szCs w:val="20"/>
          <w:highlight w:val="none"/>
        </w:rPr>
        <w:br w:type="page"/>
      </w:r>
      <w:r>
        <w:rPr>
          <w:rFonts w:hint="eastAsia" w:ascii="黑体" w:hAnsi="黑体" w:eastAsia="黑体" w:cs="黑体"/>
          <w:color w:val="auto"/>
          <w:sz w:val="32"/>
          <w:szCs w:val="32"/>
          <w:highlight w:val="none"/>
        </w:rPr>
        <w:t>附件2：</w:t>
      </w:r>
    </w:p>
    <w:p w14:paraId="60608494">
      <w:pPr>
        <w:spacing w:after="120"/>
        <w:jc w:val="center"/>
        <w:rPr>
          <w:b/>
          <w:color w:val="auto"/>
          <w:sz w:val="28"/>
          <w:szCs w:val="28"/>
          <w:highlight w:val="none"/>
        </w:rPr>
      </w:pPr>
      <w:r>
        <w:rPr>
          <w:rFonts w:hint="eastAsia"/>
          <w:b/>
          <w:color w:val="auto"/>
          <w:sz w:val="28"/>
          <w:szCs w:val="28"/>
          <w:highlight w:val="none"/>
        </w:rPr>
        <w:t>中小企业划型标准规定</w:t>
      </w:r>
    </w:p>
    <w:p w14:paraId="71CB0498">
      <w:pPr>
        <w:spacing w:after="120"/>
        <w:jc w:val="center"/>
        <w:rPr>
          <w:rFonts w:ascii="宋体" w:hAnsi="宋体"/>
          <w:color w:val="auto"/>
          <w:szCs w:val="21"/>
          <w:highlight w:val="none"/>
        </w:rPr>
      </w:pPr>
      <w:r>
        <w:rPr>
          <w:rFonts w:hint="eastAsia" w:ascii="宋体" w:hAnsi="宋体"/>
          <w:color w:val="auto"/>
          <w:szCs w:val="21"/>
          <w:highlight w:val="none"/>
        </w:rPr>
        <w:t>工信部联企业〔2011〕300号</w:t>
      </w:r>
    </w:p>
    <w:p w14:paraId="147C2B77">
      <w:pPr>
        <w:spacing w:after="120"/>
        <w:rPr>
          <w:color w:val="auto"/>
          <w:szCs w:val="21"/>
          <w:highlight w:val="none"/>
        </w:rPr>
      </w:pPr>
    </w:p>
    <w:p w14:paraId="7A9C2B99">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一、根据《中华人民共和国中小企业促进法》和《国务院关于进一步促进中小企业发展的若干意见》</w:t>
      </w:r>
      <w:r>
        <w:rPr>
          <w:rFonts w:ascii="宋体" w:hAnsi="宋体"/>
          <w:color w:val="auto"/>
          <w:szCs w:val="21"/>
          <w:highlight w:val="none"/>
        </w:rPr>
        <w:t>(</w:t>
      </w:r>
      <w:r>
        <w:rPr>
          <w:rFonts w:hint="eastAsia" w:ascii="宋体" w:hAnsi="宋体"/>
          <w:color w:val="auto"/>
          <w:szCs w:val="21"/>
          <w:highlight w:val="none"/>
        </w:rPr>
        <w:t>国发〔2009〕36号</w:t>
      </w:r>
      <w:r>
        <w:rPr>
          <w:rFonts w:ascii="宋体" w:hAnsi="宋体"/>
          <w:color w:val="auto"/>
          <w:szCs w:val="21"/>
          <w:highlight w:val="none"/>
        </w:rPr>
        <w:t>)</w:t>
      </w:r>
      <w:r>
        <w:rPr>
          <w:rFonts w:hint="eastAsia" w:ascii="宋体" w:hAnsi="宋体"/>
          <w:color w:val="auto"/>
          <w:szCs w:val="21"/>
          <w:highlight w:val="none"/>
        </w:rPr>
        <w:t>，制定本规定。</w:t>
      </w:r>
    </w:p>
    <w:p w14:paraId="544195B3">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二、中小企业划分为中型、小型、微型三种类型，具体标准根据企业从业人员、营业收入、资产总额等指标，结合行业特点制定。</w:t>
      </w:r>
    </w:p>
    <w:p w14:paraId="7318DD73">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1BF4746C">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四、各行业划型标准为：</w:t>
      </w:r>
    </w:p>
    <w:p w14:paraId="0C231F97">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（一）农、林、牧、渔业。营业收入</w:t>
      </w:r>
      <w:r>
        <w:rPr>
          <w:rFonts w:ascii="宋体" w:hAnsi="宋体"/>
          <w:color w:val="auto"/>
          <w:szCs w:val="21"/>
          <w:highlight w:val="none"/>
        </w:rPr>
        <w:t>20000</w:t>
      </w:r>
      <w:r>
        <w:rPr>
          <w:rFonts w:hint="eastAsia" w:ascii="宋体" w:hAnsi="宋体"/>
          <w:color w:val="auto"/>
          <w:szCs w:val="21"/>
          <w:highlight w:val="none"/>
        </w:rPr>
        <w:t>万元以下的为中小微型企业。其中，营业收入</w:t>
      </w:r>
      <w:r>
        <w:rPr>
          <w:rFonts w:ascii="宋体" w:hAnsi="宋体"/>
          <w:color w:val="auto"/>
          <w:szCs w:val="21"/>
          <w:highlight w:val="none"/>
        </w:rPr>
        <w:t>500</w:t>
      </w:r>
      <w:r>
        <w:rPr>
          <w:rFonts w:hint="eastAsia" w:ascii="宋体" w:hAnsi="宋体"/>
          <w:color w:val="auto"/>
          <w:szCs w:val="21"/>
          <w:highlight w:val="none"/>
        </w:rPr>
        <w:t>万元及以上的为中型企业，营业收入</w:t>
      </w:r>
      <w:r>
        <w:rPr>
          <w:rFonts w:ascii="宋体" w:hAnsi="宋体"/>
          <w:color w:val="auto"/>
          <w:szCs w:val="21"/>
          <w:highlight w:val="none"/>
        </w:rPr>
        <w:t>50</w:t>
      </w:r>
      <w:r>
        <w:rPr>
          <w:rFonts w:hint="eastAsia" w:ascii="宋体" w:hAnsi="宋体"/>
          <w:color w:val="auto"/>
          <w:szCs w:val="21"/>
          <w:highlight w:val="none"/>
        </w:rPr>
        <w:t>万元及以上的为小型企业，营业收入</w:t>
      </w:r>
      <w:r>
        <w:rPr>
          <w:rFonts w:ascii="宋体" w:hAnsi="宋体"/>
          <w:color w:val="auto"/>
          <w:szCs w:val="21"/>
          <w:highlight w:val="none"/>
        </w:rPr>
        <w:t>50</w:t>
      </w:r>
      <w:r>
        <w:rPr>
          <w:rFonts w:hint="eastAsia" w:ascii="宋体" w:hAnsi="宋体"/>
          <w:color w:val="auto"/>
          <w:szCs w:val="21"/>
          <w:highlight w:val="none"/>
        </w:rPr>
        <w:t>万元以下的为微型企业。</w:t>
      </w:r>
    </w:p>
    <w:p w14:paraId="3A7F9ADA">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（二）工业。从业人员</w:t>
      </w:r>
      <w:r>
        <w:rPr>
          <w:rFonts w:ascii="宋体" w:hAnsi="宋体"/>
          <w:color w:val="auto"/>
          <w:szCs w:val="21"/>
          <w:highlight w:val="none"/>
        </w:rPr>
        <w:t>1000</w:t>
      </w:r>
      <w:r>
        <w:rPr>
          <w:rFonts w:hint="eastAsia" w:ascii="宋体" w:hAnsi="宋体"/>
          <w:color w:val="auto"/>
          <w:szCs w:val="21"/>
          <w:highlight w:val="none"/>
        </w:rPr>
        <w:t>人以下或营业收入</w:t>
      </w:r>
      <w:r>
        <w:rPr>
          <w:rFonts w:ascii="宋体" w:hAnsi="宋体"/>
          <w:color w:val="auto"/>
          <w:szCs w:val="21"/>
          <w:highlight w:val="none"/>
        </w:rPr>
        <w:t>40000</w:t>
      </w:r>
      <w:r>
        <w:rPr>
          <w:rFonts w:hint="eastAsia" w:ascii="宋体" w:hAnsi="宋体"/>
          <w:color w:val="auto"/>
          <w:szCs w:val="21"/>
          <w:highlight w:val="none"/>
        </w:rPr>
        <w:t>万元以下的为中小微型企业。其中，从业人员</w:t>
      </w:r>
      <w:r>
        <w:rPr>
          <w:rFonts w:ascii="宋体" w:hAnsi="宋体"/>
          <w:color w:val="auto"/>
          <w:szCs w:val="21"/>
          <w:highlight w:val="none"/>
        </w:rPr>
        <w:t>300</w:t>
      </w:r>
      <w:r>
        <w:rPr>
          <w:rFonts w:hint="eastAsia" w:ascii="宋体" w:hAnsi="宋体"/>
          <w:color w:val="auto"/>
          <w:szCs w:val="21"/>
          <w:highlight w:val="none"/>
        </w:rPr>
        <w:t>人及以上，且营业收入</w:t>
      </w:r>
      <w:r>
        <w:rPr>
          <w:rFonts w:ascii="宋体" w:hAnsi="宋体"/>
          <w:color w:val="auto"/>
          <w:szCs w:val="21"/>
          <w:highlight w:val="none"/>
        </w:rPr>
        <w:t>2000</w:t>
      </w:r>
      <w:r>
        <w:rPr>
          <w:rFonts w:hint="eastAsia" w:ascii="宋体" w:hAnsi="宋体"/>
          <w:color w:val="auto"/>
          <w:szCs w:val="21"/>
          <w:highlight w:val="none"/>
        </w:rPr>
        <w:t>万元及以上的为中型企业；从业人员</w:t>
      </w:r>
      <w:r>
        <w:rPr>
          <w:rFonts w:ascii="宋体" w:hAnsi="宋体"/>
          <w:color w:val="auto"/>
          <w:szCs w:val="21"/>
          <w:highlight w:val="none"/>
        </w:rPr>
        <w:t>20</w:t>
      </w:r>
      <w:r>
        <w:rPr>
          <w:rFonts w:hint="eastAsia" w:ascii="宋体" w:hAnsi="宋体"/>
          <w:color w:val="auto"/>
          <w:szCs w:val="21"/>
          <w:highlight w:val="none"/>
        </w:rPr>
        <w:t>人及以上，且营业收入</w:t>
      </w:r>
      <w:r>
        <w:rPr>
          <w:rFonts w:ascii="宋体" w:hAnsi="宋体"/>
          <w:color w:val="auto"/>
          <w:szCs w:val="21"/>
          <w:highlight w:val="none"/>
        </w:rPr>
        <w:t>300</w:t>
      </w:r>
      <w:r>
        <w:rPr>
          <w:rFonts w:hint="eastAsia" w:ascii="宋体" w:hAnsi="宋体"/>
          <w:color w:val="auto"/>
          <w:szCs w:val="21"/>
          <w:highlight w:val="none"/>
        </w:rPr>
        <w:t>万元及以上的为小型企业；从业人员</w:t>
      </w:r>
      <w:r>
        <w:rPr>
          <w:rFonts w:ascii="宋体" w:hAnsi="宋体"/>
          <w:color w:val="auto"/>
          <w:szCs w:val="21"/>
          <w:highlight w:val="none"/>
        </w:rPr>
        <w:t>20</w:t>
      </w:r>
      <w:r>
        <w:rPr>
          <w:rFonts w:hint="eastAsia" w:ascii="宋体" w:hAnsi="宋体"/>
          <w:color w:val="auto"/>
          <w:szCs w:val="21"/>
          <w:highlight w:val="none"/>
        </w:rPr>
        <w:t>人以下或营业收入</w:t>
      </w:r>
      <w:r>
        <w:rPr>
          <w:rFonts w:ascii="宋体" w:hAnsi="宋体"/>
          <w:color w:val="auto"/>
          <w:szCs w:val="21"/>
          <w:highlight w:val="none"/>
        </w:rPr>
        <w:t>300</w:t>
      </w:r>
      <w:r>
        <w:rPr>
          <w:rFonts w:hint="eastAsia" w:ascii="宋体" w:hAnsi="宋体"/>
          <w:color w:val="auto"/>
          <w:szCs w:val="21"/>
          <w:highlight w:val="none"/>
        </w:rPr>
        <w:t>万元以下的为微型企业。</w:t>
      </w:r>
    </w:p>
    <w:p w14:paraId="4C648379">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（三）建筑业。营业收入</w:t>
      </w:r>
      <w:r>
        <w:rPr>
          <w:rFonts w:ascii="宋体" w:hAnsi="宋体"/>
          <w:color w:val="auto"/>
          <w:szCs w:val="21"/>
          <w:highlight w:val="none"/>
        </w:rPr>
        <w:t>80000</w:t>
      </w:r>
      <w:r>
        <w:rPr>
          <w:rFonts w:hint="eastAsia" w:ascii="宋体" w:hAnsi="宋体"/>
          <w:color w:val="auto"/>
          <w:szCs w:val="21"/>
          <w:highlight w:val="none"/>
        </w:rPr>
        <w:t>万元以下或资产总额</w:t>
      </w:r>
      <w:r>
        <w:rPr>
          <w:rFonts w:ascii="宋体" w:hAnsi="宋体"/>
          <w:color w:val="auto"/>
          <w:szCs w:val="21"/>
          <w:highlight w:val="none"/>
        </w:rPr>
        <w:t>80000</w:t>
      </w:r>
      <w:r>
        <w:rPr>
          <w:rFonts w:hint="eastAsia" w:ascii="宋体" w:hAnsi="宋体"/>
          <w:color w:val="auto"/>
          <w:szCs w:val="21"/>
          <w:highlight w:val="none"/>
        </w:rPr>
        <w:t>万元以下的为中小微型企业。其中，营业收入</w:t>
      </w:r>
      <w:r>
        <w:rPr>
          <w:rFonts w:ascii="宋体" w:hAnsi="宋体"/>
          <w:color w:val="auto"/>
          <w:szCs w:val="21"/>
          <w:highlight w:val="none"/>
        </w:rPr>
        <w:t>6000</w:t>
      </w:r>
      <w:r>
        <w:rPr>
          <w:rFonts w:hint="eastAsia" w:ascii="宋体" w:hAnsi="宋体"/>
          <w:color w:val="auto"/>
          <w:szCs w:val="21"/>
          <w:highlight w:val="none"/>
        </w:rPr>
        <w:t>万元及以上，且资产总额</w:t>
      </w:r>
      <w:r>
        <w:rPr>
          <w:rFonts w:ascii="宋体" w:hAnsi="宋体"/>
          <w:color w:val="auto"/>
          <w:szCs w:val="21"/>
          <w:highlight w:val="none"/>
        </w:rPr>
        <w:t>5000</w:t>
      </w:r>
      <w:r>
        <w:rPr>
          <w:rFonts w:hint="eastAsia" w:ascii="宋体" w:hAnsi="宋体"/>
          <w:color w:val="auto"/>
          <w:szCs w:val="21"/>
          <w:highlight w:val="none"/>
        </w:rPr>
        <w:t>万元及以上的为中型企业；营业收入</w:t>
      </w:r>
      <w:r>
        <w:rPr>
          <w:rFonts w:ascii="宋体" w:hAnsi="宋体"/>
          <w:color w:val="auto"/>
          <w:szCs w:val="21"/>
          <w:highlight w:val="none"/>
        </w:rPr>
        <w:t>300</w:t>
      </w:r>
      <w:r>
        <w:rPr>
          <w:rFonts w:hint="eastAsia" w:ascii="宋体" w:hAnsi="宋体"/>
          <w:color w:val="auto"/>
          <w:szCs w:val="21"/>
          <w:highlight w:val="none"/>
        </w:rPr>
        <w:t>万元及以上，且资产总额</w:t>
      </w:r>
      <w:r>
        <w:rPr>
          <w:rFonts w:ascii="宋体" w:hAnsi="宋体"/>
          <w:color w:val="auto"/>
          <w:szCs w:val="21"/>
          <w:highlight w:val="none"/>
        </w:rPr>
        <w:t>300</w:t>
      </w:r>
      <w:r>
        <w:rPr>
          <w:rFonts w:hint="eastAsia" w:ascii="宋体" w:hAnsi="宋体"/>
          <w:color w:val="auto"/>
          <w:szCs w:val="21"/>
          <w:highlight w:val="none"/>
        </w:rPr>
        <w:t>万元及以上的为小型企业；营业收入</w:t>
      </w:r>
      <w:r>
        <w:rPr>
          <w:rFonts w:ascii="宋体" w:hAnsi="宋体"/>
          <w:color w:val="auto"/>
          <w:szCs w:val="21"/>
          <w:highlight w:val="none"/>
        </w:rPr>
        <w:t>300</w:t>
      </w:r>
      <w:r>
        <w:rPr>
          <w:rFonts w:hint="eastAsia" w:ascii="宋体" w:hAnsi="宋体"/>
          <w:color w:val="auto"/>
          <w:szCs w:val="21"/>
          <w:highlight w:val="none"/>
        </w:rPr>
        <w:t>万元以下或资产总额</w:t>
      </w:r>
      <w:r>
        <w:rPr>
          <w:rFonts w:ascii="宋体" w:hAnsi="宋体"/>
          <w:color w:val="auto"/>
          <w:szCs w:val="21"/>
          <w:highlight w:val="none"/>
        </w:rPr>
        <w:t>300</w:t>
      </w:r>
      <w:r>
        <w:rPr>
          <w:rFonts w:hint="eastAsia" w:ascii="宋体" w:hAnsi="宋体"/>
          <w:color w:val="auto"/>
          <w:szCs w:val="21"/>
          <w:highlight w:val="none"/>
        </w:rPr>
        <w:t>万元以下的为微型企业。</w:t>
      </w:r>
    </w:p>
    <w:p w14:paraId="47149079">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（四）批发业。从业人员</w:t>
      </w:r>
      <w:r>
        <w:rPr>
          <w:rFonts w:ascii="宋体" w:hAnsi="宋体"/>
          <w:color w:val="auto"/>
          <w:szCs w:val="21"/>
          <w:highlight w:val="none"/>
        </w:rPr>
        <w:t>200</w:t>
      </w:r>
      <w:r>
        <w:rPr>
          <w:rFonts w:hint="eastAsia" w:ascii="宋体" w:hAnsi="宋体"/>
          <w:color w:val="auto"/>
          <w:szCs w:val="21"/>
          <w:highlight w:val="none"/>
        </w:rPr>
        <w:t>人以下或营业收入</w:t>
      </w:r>
      <w:r>
        <w:rPr>
          <w:rFonts w:ascii="宋体" w:hAnsi="宋体"/>
          <w:color w:val="auto"/>
          <w:szCs w:val="21"/>
          <w:highlight w:val="none"/>
        </w:rPr>
        <w:t>40000</w:t>
      </w:r>
      <w:r>
        <w:rPr>
          <w:rFonts w:hint="eastAsia" w:ascii="宋体" w:hAnsi="宋体"/>
          <w:color w:val="auto"/>
          <w:szCs w:val="21"/>
          <w:highlight w:val="none"/>
        </w:rPr>
        <w:t>万元以下的为中小微型企业。其中，从业人员</w:t>
      </w:r>
      <w:r>
        <w:rPr>
          <w:rFonts w:ascii="宋体" w:hAnsi="宋体"/>
          <w:color w:val="auto"/>
          <w:szCs w:val="21"/>
          <w:highlight w:val="none"/>
        </w:rPr>
        <w:t>20</w:t>
      </w:r>
      <w:r>
        <w:rPr>
          <w:rFonts w:hint="eastAsia" w:ascii="宋体" w:hAnsi="宋体"/>
          <w:color w:val="auto"/>
          <w:szCs w:val="21"/>
          <w:highlight w:val="none"/>
        </w:rPr>
        <w:t>人及以上，且营业收入</w:t>
      </w:r>
      <w:r>
        <w:rPr>
          <w:rFonts w:ascii="宋体" w:hAnsi="宋体"/>
          <w:color w:val="auto"/>
          <w:szCs w:val="21"/>
          <w:highlight w:val="none"/>
        </w:rPr>
        <w:t>5000</w:t>
      </w:r>
      <w:r>
        <w:rPr>
          <w:rFonts w:hint="eastAsia" w:ascii="宋体" w:hAnsi="宋体"/>
          <w:color w:val="auto"/>
          <w:szCs w:val="21"/>
          <w:highlight w:val="none"/>
        </w:rPr>
        <w:t>万元及以上的为中型企业；从业人员</w:t>
      </w:r>
      <w:r>
        <w:rPr>
          <w:rFonts w:ascii="宋体" w:hAnsi="宋体"/>
          <w:color w:val="auto"/>
          <w:szCs w:val="21"/>
          <w:highlight w:val="none"/>
        </w:rPr>
        <w:t>5</w:t>
      </w:r>
      <w:r>
        <w:rPr>
          <w:rFonts w:hint="eastAsia" w:ascii="宋体" w:hAnsi="宋体"/>
          <w:color w:val="auto"/>
          <w:szCs w:val="21"/>
          <w:highlight w:val="none"/>
        </w:rPr>
        <w:t>人及以上，且营业收入</w:t>
      </w:r>
      <w:r>
        <w:rPr>
          <w:rFonts w:ascii="宋体" w:hAnsi="宋体"/>
          <w:color w:val="auto"/>
          <w:szCs w:val="21"/>
          <w:highlight w:val="none"/>
        </w:rPr>
        <w:t>1000</w:t>
      </w:r>
      <w:r>
        <w:rPr>
          <w:rFonts w:hint="eastAsia" w:ascii="宋体" w:hAnsi="宋体"/>
          <w:color w:val="auto"/>
          <w:szCs w:val="21"/>
          <w:highlight w:val="none"/>
        </w:rPr>
        <w:t>万元及以上的为小型企业；从业人员</w:t>
      </w:r>
      <w:r>
        <w:rPr>
          <w:rFonts w:ascii="宋体" w:hAnsi="宋体"/>
          <w:color w:val="auto"/>
          <w:szCs w:val="21"/>
          <w:highlight w:val="none"/>
        </w:rPr>
        <w:t>5</w:t>
      </w:r>
      <w:r>
        <w:rPr>
          <w:rFonts w:hint="eastAsia" w:ascii="宋体" w:hAnsi="宋体"/>
          <w:color w:val="auto"/>
          <w:szCs w:val="21"/>
          <w:highlight w:val="none"/>
        </w:rPr>
        <w:t>人以下或营业收入</w:t>
      </w:r>
      <w:r>
        <w:rPr>
          <w:rFonts w:ascii="宋体" w:hAnsi="宋体"/>
          <w:color w:val="auto"/>
          <w:szCs w:val="21"/>
          <w:highlight w:val="none"/>
        </w:rPr>
        <w:t>1000</w:t>
      </w:r>
      <w:r>
        <w:rPr>
          <w:rFonts w:hint="eastAsia" w:ascii="宋体" w:hAnsi="宋体"/>
          <w:color w:val="auto"/>
          <w:szCs w:val="21"/>
          <w:highlight w:val="none"/>
        </w:rPr>
        <w:t>万元以下的为微型企业。</w:t>
      </w:r>
    </w:p>
    <w:p w14:paraId="7AF751C9">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（五）零售业。从业人员</w:t>
      </w:r>
      <w:r>
        <w:rPr>
          <w:rFonts w:ascii="宋体" w:hAnsi="宋体"/>
          <w:color w:val="auto"/>
          <w:szCs w:val="21"/>
          <w:highlight w:val="none"/>
        </w:rPr>
        <w:t>300</w:t>
      </w:r>
      <w:r>
        <w:rPr>
          <w:rFonts w:hint="eastAsia" w:ascii="宋体" w:hAnsi="宋体"/>
          <w:color w:val="auto"/>
          <w:szCs w:val="21"/>
          <w:highlight w:val="none"/>
        </w:rPr>
        <w:t>人以下或营业收入</w:t>
      </w:r>
      <w:r>
        <w:rPr>
          <w:rFonts w:ascii="宋体" w:hAnsi="宋体"/>
          <w:color w:val="auto"/>
          <w:szCs w:val="21"/>
          <w:highlight w:val="none"/>
        </w:rPr>
        <w:t>20000</w:t>
      </w:r>
      <w:r>
        <w:rPr>
          <w:rFonts w:hint="eastAsia" w:ascii="宋体" w:hAnsi="宋体"/>
          <w:color w:val="auto"/>
          <w:szCs w:val="21"/>
          <w:highlight w:val="none"/>
        </w:rPr>
        <w:t>万元以下的为中小微型企业。其中，从业人员</w:t>
      </w:r>
      <w:r>
        <w:rPr>
          <w:rFonts w:ascii="宋体" w:hAnsi="宋体"/>
          <w:color w:val="auto"/>
          <w:szCs w:val="21"/>
          <w:highlight w:val="none"/>
        </w:rPr>
        <w:t>50</w:t>
      </w:r>
      <w:r>
        <w:rPr>
          <w:rFonts w:hint="eastAsia" w:ascii="宋体" w:hAnsi="宋体"/>
          <w:color w:val="auto"/>
          <w:szCs w:val="21"/>
          <w:highlight w:val="none"/>
        </w:rPr>
        <w:t>人及以上，且营业收入</w:t>
      </w:r>
      <w:r>
        <w:rPr>
          <w:rFonts w:ascii="宋体" w:hAnsi="宋体"/>
          <w:color w:val="auto"/>
          <w:szCs w:val="21"/>
          <w:highlight w:val="none"/>
        </w:rPr>
        <w:t>500</w:t>
      </w:r>
      <w:r>
        <w:rPr>
          <w:rFonts w:hint="eastAsia" w:ascii="宋体" w:hAnsi="宋体"/>
          <w:color w:val="auto"/>
          <w:szCs w:val="21"/>
          <w:highlight w:val="none"/>
        </w:rPr>
        <w:t>万元及以上的为中型企业；从业人员</w:t>
      </w:r>
      <w:r>
        <w:rPr>
          <w:rFonts w:ascii="宋体" w:hAnsi="宋体"/>
          <w:color w:val="auto"/>
          <w:szCs w:val="21"/>
          <w:highlight w:val="none"/>
        </w:rPr>
        <w:t>10</w:t>
      </w:r>
      <w:r>
        <w:rPr>
          <w:rFonts w:hint="eastAsia" w:ascii="宋体" w:hAnsi="宋体"/>
          <w:color w:val="auto"/>
          <w:szCs w:val="21"/>
          <w:highlight w:val="none"/>
        </w:rPr>
        <w:t>人及以上，且营业收入</w:t>
      </w:r>
      <w:r>
        <w:rPr>
          <w:rFonts w:ascii="宋体" w:hAnsi="宋体"/>
          <w:color w:val="auto"/>
          <w:szCs w:val="21"/>
          <w:highlight w:val="none"/>
        </w:rPr>
        <w:t>100</w:t>
      </w:r>
      <w:r>
        <w:rPr>
          <w:rFonts w:hint="eastAsia" w:ascii="宋体" w:hAnsi="宋体"/>
          <w:color w:val="auto"/>
          <w:szCs w:val="21"/>
          <w:highlight w:val="none"/>
        </w:rPr>
        <w:t>万元及以上的为小型企业；从业人员</w:t>
      </w:r>
      <w:r>
        <w:rPr>
          <w:rFonts w:ascii="宋体" w:hAnsi="宋体"/>
          <w:color w:val="auto"/>
          <w:szCs w:val="21"/>
          <w:highlight w:val="none"/>
        </w:rPr>
        <w:t>10</w:t>
      </w:r>
      <w:r>
        <w:rPr>
          <w:rFonts w:hint="eastAsia" w:ascii="宋体" w:hAnsi="宋体"/>
          <w:color w:val="auto"/>
          <w:szCs w:val="21"/>
          <w:highlight w:val="none"/>
        </w:rPr>
        <w:t>人以下或营业收入</w:t>
      </w:r>
      <w:r>
        <w:rPr>
          <w:rFonts w:ascii="宋体" w:hAnsi="宋体"/>
          <w:color w:val="auto"/>
          <w:szCs w:val="21"/>
          <w:highlight w:val="none"/>
        </w:rPr>
        <w:t>100</w:t>
      </w:r>
      <w:r>
        <w:rPr>
          <w:rFonts w:hint="eastAsia" w:ascii="宋体" w:hAnsi="宋体"/>
          <w:color w:val="auto"/>
          <w:szCs w:val="21"/>
          <w:highlight w:val="none"/>
        </w:rPr>
        <w:t>万元以下的为微型企业。</w:t>
      </w:r>
    </w:p>
    <w:p w14:paraId="7D09986F">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（六）交通运输业。从业人员</w:t>
      </w:r>
      <w:r>
        <w:rPr>
          <w:rFonts w:ascii="宋体" w:hAnsi="宋体"/>
          <w:color w:val="auto"/>
          <w:szCs w:val="21"/>
          <w:highlight w:val="none"/>
        </w:rPr>
        <w:t>1000</w:t>
      </w:r>
      <w:r>
        <w:rPr>
          <w:rFonts w:hint="eastAsia" w:ascii="宋体" w:hAnsi="宋体"/>
          <w:color w:val="auto"/>
          <w:szCs w:val="21"/>
          <w:highlight w:val="none"/>
        </w:rPr>
        <w:t>人以下或营业收入</w:t>
      </w:r>
      <w:r>
        <w:rPr>
          <w:rFonts w:ascii="宋体" w:hAnsi="宋体"/>
          <w:color w:val="auto"/>
          <w:szCs w:val="21"/>
          <w:highlight w:val="none"/>
        </w:rPr>
        <w:t>30000</w:t>
      </w:r>
      <w:r>
        <w:rPr>
          <w:rFonts w:hint="eastAsia" w:ascii="宋体" w:hAnsi="宋体"/>
          <w:color w:val="auto"/>
          <w:szCs w:val="21"/>
          <w:highlight w:val="none"/>
        </w:rPr>
        <w:t>万元以下的为中小微型企业。其中，从业人员</w:t>
      </w:r>
      <w:r>
        <w:rPr>
          <w:rFonts w:ascii="宋体" w:hAnsi="宋体"/>
          <w:color w:val="auto"/>
          <w:szCs w:val="21"/>
          <w:highlight w:val="none"/>
        </w:rPr>
        <w:t>300</w:t>
      </w:r>
      <w:r>
        <w:rPr>
          <w:rFonts w:hint="eastAsia" w:ascii="宋体" w:hAnsi="宋体"/>
          <w:color w:val="auto"/>
          <w:szCs w:val="21"/>
          <w:highlight w:val="none"/>
        </w:rPr>
        <w:t>人及以上，且营业收入</w:t>
      </w:r>
      <w:r>
        <w:rPr>
          <w:rFonts w:ascii="宋体" w:hAnsi="宋体"/>
          <w:color w:val="auto"/>
          <w:szCs w:val="21"/>
          <w:highlight w:val="none"/>
        </w:rPr>
        <w:t>3000</w:t>
      </w:r>
      <w:r>
        <w:rPr>
          <w:rFonts w:hint="eastAsia" w:ascii="宋体" w:hAnsi="宋体"/>
          <w:color w:val="auto"/>
          <w:szCs w:val="21"/>
          <w:highlight w:val="none"/>
        </w:rPr>
        <w:t>万元及以上的为中型企业；从业人员</w:t>
      </w:r>
      <w:r>
        <w:rPr>
          <w:rFonts w:ascii="宋体" w:hAnsi="宋体"/>
          <w:color w:val="auto"/>
          <w:szCs w:val="21"/>
          <w:highlight w:val="none"/>
        </w:rPr>
        <w:t>20</w:t>
      </w:r>
      <w:r>
        <w:rPr>
          <w:rFonts w:hint="eastAsia" w:ascii="宋体" w:hAnsi="宋体"/>
          <w:color w:val="auto"/>
          <w:szCs w:val="21"/>
          <w:highlight w:val="none"/>
        </w:rPr>
        <w:t>人及以上，且营业收入</w:t>
      </w:r>
      <w:r>
        <w:rPr>
          <w:rFonts w:ascii="宋体" w:hAnsi="宋体"/>
          <w:color w:val="auto"/>
          <w:szCs w:val="21"/>
          <w:highlight w:val="none"/>
        </w:rPr>
        <w:t>200</w:t>
      </w:r>
      <w:r>
        <w:rPr>
          <w:rFonts w:hint="eastAsia" w:ascii="宋体" w:hAnsi="宋体"/>
          <w:color w:val="auto"/>
          <w:szCs w:val="21"/>
          <w:highlight w:val="none"/>
        </w:rPr>
        <w:t>万元及以上的为小型企业；从业人员</w:t>
      </w:r>
      <w:r>
        <w:rPr>
          <w:rFonts w:ascii="宋体" w:hAnsi="宋体"/>
          <w:color w:val="auto"/>
          <w:szCs w:val="21"/>
          <w:highlight w:val="none"/>
        </w:rPr>
        <w:t>20</w:t>
      </w:r>
      <w:r>
        <w:rPr>
          <w:rFonts w:hint="eastAsia" w:ascii="宋体" w:hAnsi="宋体"/>
          <w:color w:val="auto"/>
          <w:szCs w:val="21"/>
          <w:highlight w:val="none"/>
        </w:rPr>
        <w:t>人以下或营业收入</w:t>
      </w:r>
      <w:r>
        <w:rPr>
          <w:rFonts w:ascii="宋体" w:hAnsi="宋体"/>
          <w:color w:val="auto"/>
          <w:szCs w:val="21"/>
          <w:highlight w:val="none"/>
        </w:rPr>
        <w:t>200</w:t>
      </w:r>
      <w:r>
        <w:rPr>
          <w:rFonts w:hint="eastAsia" w:ascii="宋体" w:hAnsi="宋体"/>
          <w:color w:val="auto"/>
          <w:szCs w:val="21"/>
          <w:highlight w:val="none"/>
        </w:rPr>
        <w:t>万元以下的为微型企业。</w:t>
      </w:r>
    </w:p>
    <w:p w14:paraId="7429C372">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（七）仓储业。从业人员</w:t>
      </w:r>
      <w:r>
        <w:rPr>
          <w:rFonts w:ascii="宋体" w:hAnsi="宋体"/>
          <w:color w:val="auto"/>
          <w:szCs w:val="21"/>
          <w:highlight w:val="none"/>
        </w:rPr>
        <w:t>200</w:t>
      </w:r>
      <w:r>
        <w:rPr>
          <w:rFonts w:hint="eastAsia" w:ascii="宋体" w:hAnsi="宋体"/>
          <w:color w:val="auto"/>
          <w:szCs w:val="21"/>
          <w:highlight w:val="none"/>
        </w:rPr>
        <w:t>人以下或营业收入</w:t>
      </w:r>
      <w:r>
        <w:rPr>
          <w:rFonts w:ascii="宋体" w:hAnsi="宋体"/>
          <w:color w:val="auto"/>
          <w:szCs w:val="21"/>
          <w:highlight w:val="none"/>
        </w:rPr>
        <w:t>30000</w:t>
      </w:r>
      <w:r>
        <w:rPr>
          <w:rFonts w:hint="eastAsia" w:ascii="宋体" w:hAnsi="宋体"/>
          <w:color w:val="auto"/>
          <w:szCs w:val="21"/>
          <w:highlight w:val="none"/>
        </w:rPr>
        <w:t>万元以下的为中小微型企业。其中，从业人员</w:t>
      </w:r>
      <w:r>
        <w:rPr>
          <w:rFonts w:ascii="宋体" w:hAnsi="宋体"/>
          <w:color w:val="auto"/>
          <w:szCs w:val="21"/>
          <w:highlight w:val="none"/>
        </w:rPr>
        <w:t>100</w:t>
      </w:r>
      <w:r>
        <w:rPr>
          <w:rFonts w:hint="eastAsia" w:ascii="宋体" w:hAnsi="宋体"/>
          <w:color w:val="auto"/>
          <w:szCs w:val="21"/>
          <w:highlight w:val="none"/>
        </w:rPr>
        <w:t>人及以上，且营业收入</w:t>
      </w:r>
      <w:r>
        <w:rPr>
          <w:rFonts w:ascii="宋体" w:hAnsi="宋体"/>
          <w:color w:val="auto"/>
          <w:szCs w:val="21"/>
          <w:highlight w:val="none"/>
        </w:rPr>
        <w:t>1000</w:t>
      </w:r>
      <w:r>
        <w:rPr>
          <w:rFonts w:hint="eastAsia" w:ascii="宋体" w:hAnsi="宋体"/>
          <w:color w:val="auto"/>
          <w:szCs w:val="21"/>
          <w:highlight w:val="none"/>
        </w:rPr>
        <w:t>万元及以上的为中型企业；从业人员</w:t>
      </w:r>
      <w:r>
        <w:rPr>
          <w:rFonts w:ascii="宋体" w:hAnsi="宋体"/>
          <w:color w:val="auto"/>
          <w:szCs w:val="21"/>
          <w:highlight w:val="none"/>
        </w:rPr>
        <w:t>20</w:t>
      </w:r>
      <w:r>
        <w:rPr>
          <w:rFonts w:hint="eastAsia" w:ascii="宋体" w:hAnsi="宋体"/>
          <w:color w:val="auto"/>
          <w:szCs w:val="21"/>
          <w:highlight w:val="none"/>
        </w:rPr>
        <w:t>人及以上，且营业收入</w:t>
      </w:r>
      <w:r>
        <w:rPr>
          <w:rFonts w:ascii="宋体" w:hAnsi="宋体"/>
          <w:color w:val="auto"/>
          <w:szCs w:val="21"/>
          <w:highlight w:val="none"/>
        </w:rPr>
        <w:t>100</w:t>
      </w:r>
      <w:r>
        <w:rPr>
          <w:rFonts w:hint="eastAsia" w:ascii="宋体" w:hAnsi="宋体"/>
          <w:color w:val="auto"/>
          <w:szCs w:val="21"/>
          <w:highlight w:val="none"/>
        </w:rPr>
        <w:t>万元及以上的为小型企业；从业人员</w:t>
      </w:r>
      <w:r>
        <w:rPr>
          <w:rFonts w:ascii="宋体" w:hAnsi="宋体"/>
          <w:color w:val="auto"/>
          <w:szCs w:val="21"/>
          <w:highlight w:val="none"/>
        </w:rPr>
        <w:t>20</w:t>
      </w:r>
      <w:r>
        <w:rPr>
          <w:rFonts w:hint="eastAsia" w:ascii="宋体" w:hAnsi="宋体"/>
          <w:color w:val="auto"/>
          <w:szCs w:val="21"/>
          <w:highlight w:val="none"/>
        </w:rPr>
        <w:t>人以下或营业收入</w:t>
      </w:r>
      <w:r>
        <w:rPr>
          <w:rFonts w:ascii="宋体" w:hAnsi="宋体"/>
          <w:color w:val="auto"/>
          <w:szCs w:val="21"/>
          <w:highlight w:val="none"/>
        </w:rPr>
        <w:t>100</w:t>
      </w:r>
      <w:r>
        <w:rPr>
          <w:rFonts w:hint="eastAsia" w:ascii="宋体" w:hAnsi="宋体"/>
          <w:color w:val="auto"/>
          <w:szCs w:val="21"/>
          <w:highlight w:val="none"/>
        </w:rPr>
        <w:t>万元以下的为微型企业。</w:t>
      </w:r>
    </w:p>
    <w:p w14:paraId="013BE6A0">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（八）邮政业。从业人员</w:t>
      </w:r>
      <w:r>
        <w:rPr>
          <w:rFonts w:ascii="宋体" w:hAnsi="宋体"/>
          <w:color w:val="auto"/>
          <w:szCs w:val="21"/>
          <w:highlight w:val="none"/>
        </w:rPr>
        <w:t>1000</w:t>
      </w:r>
      <w:r>
        <w:rPr>
          <w:rFonts w:hint="eastAsia" w:ascii="宋体" w:hAnsi="宋体"/>
          <w:color w:val="auto"/>
          <w:szCs w:val="21"/>
          <w:highlight w:val="none"/>
        </w:rPr>
        <w:t>人以下或营业收入</w:t>
      </w:r>
      <w:r>
        <w:rPr>
          <w:rFonts w:ascii="宋体" w:hAnsi="宋体"/>
          <w:color w:val="auto"/>
          <w:szCs w:val="21"/>
          <w:highlight w:val="none"/>
        </w:rPr>
        <w:t>30000</w:t>
      </w:r>
      <w:r>
        <w:rPr>
          <w:rFonts w:hint="eastAsia" w:ascii="宋体" w:hAnsi="宋体"/>
          <w:color w:val="auto"/>
          <w:szCs w:val="21"/>
          <w:highlight w:val="none"/>
        </w:rPr>
        <w:t>万元以下的为中小微型企业。其中，从业人员</w:t>
      </w:r>
      <w:r>
        <w:rPr>
          <w:rFonts w:ascii="宋体" w:hAnsi="宋体"/>
          <w:color w:val="auto"/>
          <w:szCs w:val="21"/>
          <w:highlight w:val="none"/>
        </w:rPr>
        <w:t>300</w:t>
      </w:r>
      <w:r>
        <w:rPr>
          <w:rFonts w:hint="eastAsia" w:ascii="宋体" w:hAnsi="宋体"/>
          <w:color w:val="auto"/>
          <w:szCs w:val="21"/>
          <w:highlight w:val="none"/>
        </w:rPr>
        <w:t>人及以上，且营业收入</w:t>
      </w:r>
      <w:r>
        <w:rPr>
          <w:rFonts w:ascii="宋体" w:hAnsi="宋体"/>
          <w:color w:val="auto"/>
          <w:szCs w:val="21"/>
          <w:highlight w:val="none"/>
        </w:rPr>
        <w:t>2000</w:t>
      </w:r>
      <w:r>
        <w:rPr>
          <w:rFonts w:hint="eastAsia" w:ascii="宋体" w:hAnsi="宋体"/>
          <w:color w:val="auto"/>
          <w:szCs w:val="21"/>
          <w:highlight w:val="none"/>
        </w:rPr>
        <w:t>万元及以上的为中型企业；从业人员</w:t>
      </w:r>
      <w:r>
        <w:rPr>
          <w:rFonts w:ascii="宋体" w:hAnsi="宋体"/>
          <w:color w:val="auto"/>
          <w:szCs w:val="21"/>
          <w:highlight w:val="none"/>
        </w:rPr>
        <w:t>20</w:t>
      </w:r>
      <w:r>
        <w:rPr>
          <w:rFonts w:hint="eastAsia" w:ascii="宋体" w:hAnsi="宋体"/>
          <w:color w:val="auto"/>
          <w:szCs w:val="21"/>
          <w:highlight w:val="none"/>
        </w:rPr>
        <w:t>人及以上，且营业收入</w:t>
      </w:r>
      <w:r>
        <w:rPr>
          <w:rFonts w:ascii="宋体" w:hAnsi="宋体"/>
          <w:color w:val="auto"/>
          <w:szCs w:val="21"/>
          <w:highlight w:val="none"/>
        </w:rPr>
        <w:t>100</w:t>
      </w:r>
      <w:r>
        <w:rPr>
          <w:rFonts w:hint="eastAsia" w:ascii="宋体" w:hAnsi="宋体"/>
          <w:color w:val="auto"/>
          <w:szCs w:val="21"/>
          <w:highlight w:val="none"/>
        </w:rPr>
        <w:t>万元及以上的为小型企业；从业人员</w:t>
      </w:r>
      <w:r>
        <w:rPr>
          <w:rFonts w:ascii="宋体" w:hAnsi="宋体"/>
          <w:color w:val="auto"/>
          <w:szCs w:val="21"/>
          <w:highlight w:val="none"/>
        </w:rPr>
        <w:t>20</w:t>
      </w:r>
      <w:r>
        <w:rPr>
          <w:rFonts w:hint="eastAsia" w:ascii="宋体" w:hAnsi="宋体"/>
          <w:color w:val="auto"/>
          <w:szCs w:val="21"/>
          <w:highlight w:val="none"/>
        </w:rPr>
        <w:t>人以下或营业收入</w:t>
      </w:r>
      <w:r>
        <w:rPr>
          <w:rFonts w:ascii="宋体" w:hAnsi="宋体"/>
          <w:color w:val="auto"/>
          <w:szCs w:val="21"/>
          <w:highlight w:val="none"/>
        </w:rPr>
        <w:t>100</w:t>
      </w:r>
      <w:r>
        <w:rPr>
          <w:rFonts w:hint="eastAsia" w:ascii="宋体" w:hAnsi="宋体"/>
          <w:color w:val="auto"/>
          <w:szCs w:val="21"/>
          <w:highlight w:val="none"/>
        </w:rPr>
        <w:t>万元以下的为微型企业。</w:t>
      </w:r>
    </w:p>
    <w:p w14:paraId="720B457D">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（九）住宿业。从业人员</w:t>
      </w:r>
      <w:r>
        <w:rPr>
          <w:rFonts w:ascii="宋体" w:hAnsi="宋体"/>
          <w:color w:val="auto"/>
          <w:szCs w:val="21"/>
          <w:highlight w:val="none"/>
        </w:rPr>
        <w:t>300</w:t>
      </w:r>
      <w:r>
        <w:rPr>
          <w:rFonts w:hint="eastAsia" w:ascii="宋体" w:hAnsi="宋体"/>
          <w:color w:val="auto"/>
          <w:szCs w:val="21"/>
          <w:highlight w:val="none"/>
        </w:rPr>
        <w:t>人以下或营业收入</w:t>
      </w:r>
      <w:r>
        <w:rPr>
          <w:rFonts w:ascii="宋体" w:hAnsi="宋体"/>
          <w:color w:val="auto"/>
          <w:szCs w:val="21"/>
          <w:highlight w:val="none"/>
        </w:rPr>
        <w:t>10000</w:t>
      </w:r>
      <w:r>
        <w:rPr>
          <w:rFonts w:hint="eastAsia" w:ascii="宋体" w:hAnsi="宋体"/>
          <w:color w:val="auto"/>
          <w:szCs w:val="21"/>
          <w:highlight w:val="none"/>
        </w:rPr>
        <w:t>万元以下的为中小微型企业。其中，从业人员</w:t>
      </w:r>
      <w:r>
        <w:rPr>
          <w:rFonts w:ascii="宋体" w:hAnsi="宋体"/>
          <w:color w:val="auto"/>
          <w:szCs w:val="21"/>
          <w:highlight w:val="none"/>
        </w:rPr>
        <w:t>100</w:t>
      </w:r>
      <w:r>
        <w:rPr>
          <w:rFonts w:hint="eastAsia" w:ascii="宋体" w:hAnsi="宋体"/>
          <w:color w:val="auto"/>
          <w:szCs w:val="21"/>
          <w:highlight w:val="none"/>
        </w:rPr>
        <w:t>人及以上，且营业收入</w:t>
      </w:r>
      <w:r>
        <w:rPr>
          <w:rFonts w:ascii="宋体" w:hAnsi="宋体"/>
          <w:color w:val="auto"/>
          <w:szCs w:val="21"/>
          <w:highlight w:val="none"/>
        </w:rPr>
        <w:t>2000</w:t>
      </w:r>
      <w:r>
        <w:rPr>
          <w:rFonts w:hint="eastAsia" w:ascii="宋体" w:hAnsi="宋体"/>
          <w:color w:val="auto"/>
          <w:szCs w:val="21"/>
          <w:highlight w:val="none"/>
        </w:rPr>
        <w:t>万元及以上的为中型企业；从业人员</w:t>
      </w:r>
      <w:r>
        <w:rPr>
          <w:rFonts w:ascii="宋体" w:hAnsi="宋体"/>
          <w:color w:val="auto"/>
          <w:szCs w:val="21"/>
          <w:highlight w:val="none"/>
        </w:rPr>
        <w:t>10</w:t>
      </w:r>
      <w:r>
        <w:rPr>
          <w:rFonts w:hint="eastAsia" w:ascii="宋体" w:hAnsi="宋体"/>
          <w:color w:val="auto"/>
          <w:szCs w:val="21"/>
          <w:highlight w:val="none"/>
        </w:rPr>
        <w:t>人及以上，且营业收入</w:t>
      </w:r>
      <w:r>
        <w:rPr>
          <w:rFonts w:ascii="宋体" w:hAnsi="宋体"/>
          <w:color w:val="auto"/>
          <w:szCs w:val="21"/>
          <w:highlight w:val="none"/>
        </w:rPr>
        <w:t>100</w:t>
      </w:r>
      <w:r>
        <w:rPr>
          <w:rFonts w:hint="eastAsia" w:ascii="宋体" w:hAnsi="宋体"/>
          <w:color w:val="auto"/>
          <w:szCs w:val="21"/>
          <w:highlight w:val="none"/>
        </w:rPr>
        <w:t>万元及以上的为小型企业；从业人员</w:t>
      </w:r>
      <w:r>
        <w:rPr>
          <w:rFonts w:ascii="宋体" w:hAnsi="宋体"/>
          <w:color w:val="auto"/>
          <w:szCs w:val="21"/>
          <w:highlight w:val="none"/>
        </w:rPr>
        <w:t>10</w:t>
      </w:r>
      <w:r>
        <w:rPr>
          <w:rFonts w:hint="eastAsia" w:ascii="宋体" w:hAnsi="宋体"/>
          <w:color w:val="auto"/>
          <w:szCs w:val="21"/>
          <w:highlight w:val="none"/>
        </w:rPr>
        <w:t>人以下或营业收入</w:t>
      </w:r>
      <w:r>
        <w:rPr>
          <w:rFonts w:ascii="宋体" w:hAnsi="宋体"/>
          <w:color w:val="auto"/>
          <w:szCs w:val="21"/>
          <w:highlight w:val="none"/>
        </w:rPr>
        <w:t>100</w:t>
      </w:r>
      <w:r>
        <w:rPr>
          <w:rFonts w:hint="eastAsia" w:ascii="宋体" w:hAnsi="宋体"/>
          <w:color w:val="auto"/>
          <w:szCs w:val="21"/>
          <w:highlight w:val="none"/>
        </w:rPr>
        <w:t>万元以下的为微型企业。</w:t>
      </w:r>
    </w:p>
    <w:p w14:paraId="3575C38C">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（十）餐饮业。从业人员</w:t>
      </w:r>
      <w:r>
        <w:rPr>
          <w:rFonts w:ascii="宋体" w:hAnsi="宋体"/>
          <w:color w:val="auto"/>
          <w:szCs w:val="21"/>
          <w:highlight w:val="none"/>
        </w:rPr>
        <w:t>300</w:t>
      </w:r>
      <w:r>
        <w:rPr>
          <w:rFonts w:hint="eastAsia" w:ascii="宋体" w:hAnsi="宋体"/>
          <w:color w:val="auto"/>
          <w:szCs w:val="21"/>
          <w:highlight w:val="none"/>
        </w:rPr>
        <w:t>人以下或营业收入</w:t>
      </w:r>
      <w:r>
        <w:rPr>
          <w:rFonts w:ascii="宋体" w:hAnsi="宋体"/>
          <w:color w:val="auto"/>
          <w:szCs w:val="21"/>
          <w:highlight w:val="none"/>
        </w:rPr>
        <w:t>10000</w:t>
      </w:r>
      <w:r>
        <w:rPr>
          <w:rFonts w:hint="eastAsia" w:ascii="宋体" w:hAnsi="宋体"/>
          <w:color w:val="auto"/>
          <w:szCs w:val="21"/>
          <w:highlight w:val="none"/>
        </w:rPr>
        <w:t>万元以下的为中小微型企业。其中，从业人员</w:t>
      </w:r>
      <w:r>
        <w:rPr>
          <w:rFonts w:ascii="宋体" w:hAnsi="宋体"/>
          <w:color w:val="auto"/>
          <w:szCs w:val="21"/>
          <w:highlight w:val="none"/>
        </w:rPr>
        <w:t>100</w:t>
      </w:r>
      <w:r>
        <w:rPr>
          <w:rFonts w:hint="eastAsia" w:ascii="宋体" w:hAnsi="宋体"/>
          <w:color w:val="auto"/>
          <w:szCs w:val="21"/>
          <w:highlight w:val="none"/>
        </w:rPr>
        <w:t>人及以上，且营业收入</w:t>
      </w:r>
      <w:r>
        <w:rPr>
          <w:rFonts w:ascii="宋体" w:hAnsi="宋体"/>
          <w:color w:val="auto"/>
          <w:szCs w:val="21"/>
          <w:highlight w:val="none"/>
        </w:rPr>
        <w:t>2000</w:t>
      </w:r>
      <w:r>
        <w:rPr>
          <w:rFonts w:hint="eastAsia" w:ascii="宋体" w:hAnsi="宋体"/>
          <w:color w:val="auto"/>
          <w:szCs w:val="21"/>
          <w:highlight w:val="none"/>
        </w:rPr>
        <w:t>万元及以上的为中型企业；从业人员</w:t>
      </w:r>
      <w:r>
        <w:rPr>
          <w:rFonts w:ascii="宋体" w:hAnsi="宋体"/>
          <w:color w:val="auto"/>
          <w:szCs w:val="21"/>
          <w:highlight w:val="none"/>
        </w:rPr>
        <w:t>10</w:t>
      </w:r>
      <w:r>
        <w:rPr>
          <w:rFonts w:hint="eastAsia" w:ascii="宋体" w:hAnsi="宋体"/>
          <w:color w:val="auto"/>
          <w:szCs w:val="21"/>
          <w:highlight w:val="none"/>
        </w:rPr>
        <w:t>人及以上，且营业收入</w:t>
      </w:r>
      <w:r>
        <w:rPr>
          <w:rFonts w:ascii="宋体" w:hAnsi="宋体"/>
          <w:color w:val="auto"/>
          <w:szCs w:val="21"/>
          <w:highlight w:val="none"/>
        </w:rPr>
        <w:t>100</w:t>
      </w:r>
      <w:r>
        <w:rPr>
          <w:rFonts w:hint="eastAsia" w:ascii="宋体" w:hAnsi="宋体"/>
          <w:color w:val="auto"/>
          <w:szCs w:val="21"/>
          <w:highlight w:val="none"/>
        </w:rPr>
        <w:t>万元及以上的为小型企业；从业人员</w:t>
      </w:r>
      <w:r>
        <w:rPr>
          <w:rFonts w:ascii="宋体" w:hAnsi="宋体"/>
          <w:color w:val="auto"/>
          <w:szCs w:val="21"/>
          <w:highlight w:val="none"/>
        </w:rPr>
        <w:t>10</w:t>
      </w:r>
      <w:r>
        <w:rPr>
          <w:rFonts w:hint="eastAsia" w:ascii="宋体" w:hAnsi="宋体"/>
          <w:color w:val="auto"/>
          <w:szCs w:val="21"/>
          <w:highlight w:val="none"/>
        </w:rPr>
        <w:t>人以下或营业收入</w:t>
      </w:r>
      <w:r>
        <w:rPr>
          <w:rFonts w:ascii="宋体" w:hAnsi="宋体"/>
          <w:color w:val="auto"/>
          <w:szCs w:val="21"/>
          <w:highlight w:val="none"/>
        </w:rPr>
        <w:t>100</w:t>
      </w:r>
      <w:r>
        <w:rPr>
          <w:rFonts w:hint="eastAsia" w:ascii="宋体" w:hAnsi="宋体"/>
          <w:color w:val="auto"/>
          <w:szCs w:val="21"/>
          <w:highlight w:val="none"/>
        </w:rPr>
        <w:t>万元以下的为微型企业。</w:t>
      </w:r>
    </w:p>
    <w:p w14:paraId="01DBAFE6">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（十一）信息传输业。从业人员</w:t>
      </w:r>
      <w:r>
        <w:rPr>
          <w:rFonts w:ascii="宋体" w:hAnsi="宋体"/>
          <w:color w:val="auto"/>
          <w:szCs w:val="21"/>
          <w:highlight w:val="none"/>
        </w:rPr>
        <w:t>2000</w:t>
      </w:r>
      <w:r>
        <w:rPr>
          <w:rFonts w:hint="eastAsia" w:ascii="宋体" w:hAnsi="宋体"/>
          <w:color w:val="auto"/>
          <w:szCs w:val="21"/>
          <w:highlight w:val="none"/>
        </w:rPr>
        <w:t>人以下或营业收入</w:t>
      </w:r>
      <w:r>
        <w:rPr>
          <w:rFonts w:ascii="宋体" w:hAnsi="宋体"/>
          <w:color w:val="auto"/>
          <w:szCs w:val="21"/>
          <w:highlight w:val="none"/>
        </w:rPr>
        <w:t>100000</w:t>
      </w:r>
      <w:r>
        <w:rPr>
          <w:rFonts w:hint="eastAsia" w:ascii="宋体" w:hAnsi="宋体"/>
          <w:color w:val="auto"/>
          <w:szCs w:val="21"/>
          <w:highlight w:val="none"/>
        </w:rPr>
        <w:t>万元以下的为中小微型企业。其中，从业人员</w:t>
      </w:r>
      <w:r>
        <w:rPr>
          <w:rFonts w:ascii="宋体" w:hAnsi="宋体"/>
          <w:color w:val="auto"/>
          <w:szCs w:val="21"/>
          <w:highlight w:val="none"/>
        </w:rPr>
        <w:t>100</w:t>
      </w:r>
      <w:r>
        <w:rPr>
          <w:rFonts w:hint="eastAsia" w:ascii="宋体" w:hAnsi="宋体"/>
          <w:color w:val="auto"/>
          <w:szCs w:val="21"/>
          <w:highlight w:val="none"/>
        </w:rPr>
        <w:t>人及以上，且营业收入</w:t>
      </w:r>
      <w:r>
        <w:rPr>
          <w:rFonts w:ascii="宋体" w:hAnsi="宋体"/>
          <w:color w:val="auto"/>
          <w:szCs w:val="21"/>
          <w:highlight w:val="none"/>
        </w:rPr>
        <w:t>1000</w:t>
      </w:r>
      <w:r>
        <w:rPr>
          <w:rFonts w:hint="eastAsia" w:ascii="宋体" w:hAnsi="宋体"/>
          <w:color w:val="auto"/>
          <w:szCs w:val="21"/>
          <w:highlight w:val="none"/>
        </w:rPr>
        <w:t>万元及以上的为中型企业；从业人员</w:t>
      </w:r>
      <w:r>
        <w:rPr>
          <w:rFonts w:ascii="宋体" w:hAnsi="宋体"/>
          <w:color w:val="auto"/>
          <w:szCs w:val="21"/>
          <w:highlight w:val="none"/>
        </w:rPr>
        <w:t>10</w:t>
      </w:r>
      <w:r>
        <w:rPr>
          <w:rFonts w:hint="eastAsia" w:ascii="宋体" w:hAnsi="宋体"/>
          <w:color w:val="auto"/>
          <w:szCs w:val="21"/>
          <w:highlight w:val="none"/>
        </w:rPr>
        <w:t>人及以上，且营业收入</w:t>
      </w:r>
      <w:r>
        <w:rPr>
          <w:rFonts w:ascii="宋体" w:hAnsi="宋体"/>
          <w:color w:val="auto"/>
          <w:szCs w:val="21"/>
          <w:highlight w:val="none"/>
        </w:rPr>
        <w:t>100</w:t>
      </w:r>
      <w:r>
        <w:rPr>
          <w:rFonts w:hint="eastAsia" w:ascii="宋体" w:hAnsi="宋体"/>
          <w:color w:val="auto"/>
          <w:szCs w:val="21"/>
          <w:highlight w:val="none"/>
        </w:rPr>
        <w:t>万元及以上的为小型企业；从业人员</w:t>
      </w:r>
      <w:r>
        <w:rPr>
          <w:rFonts w:ascii="宋体" w:hAnsi="宋体"/>
          <w:color w:val="auto"/>
          <w:szCs w:val="21"/>
          <w:highlight w:val="none"/>
        </w:rPr>
        <w:t>10</w:t>
      </w:r>
      <w:r>
        <w:rPr>
          <w:rFonts w:hint="eastAsia" w:ascii="宋体" w:hAnsi="宋体"/>
          <w:color w:val="auto"/>
          <w:szCs w:val="21"/>
          <w:highlight w:val="none"/>
        </w:rPr>
        <w:t>人以下或营业收入</w:t>
      </w:r>
      <w:r>
        <w:rPr>
          <w:rFonts w:ascii="宋体" w:hAnsi="宋体"/>
          <w:color w:val="auto"/>
          <w:szCs w:val="21"/>
          <w:highlight w:val="none"/>
        </w:rPr>
        <w:t>100</w:t>
      </w:r>
      <w:r>
        <w:rPr>
          <w:rFonts w:hint="eastAsia" w:ascii="宋体" w:hAnsi="宋体"/>
          <w:color w:val="auto"/>
          <w:szCs w:val="21"/>
          <w:highlight w:val="none"/>
        </w:rPr>
        <w:t>万元以下的为微型企业。</w:t>
      </w:r>
    </w:p>
    <w:p w14:paraId="63F7BC74">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（十二）软件和信息技术服务业。从业人员</w:t>
      </w:r>
      <w:r>
        <w:rPr>
          <w:rFonts w:ascii="宋体" w:hAnsi="宋体"/>
          <w:color w:val="auto"/>
          <w:szCs w:val="21"/>
          <w:highlight w:val="none"/>
        </w:rPr>
        <w:t>300</w:t>
      </w:r>
      <w:r>
        <w:rPr>
          <w:rFonts w:hint="eastAsia" w:ascii="宋体" w:hAnsi="宋体"/>
          <w:color w:val="auto"/>
          <w:szCs w:val="21"/>
          <w:highlight w:val="none"/>
        </w:rPr>
        <w:t>人以下或营业收入</w:t>
      </w:r>
      <w:r>
        <w:rPr>
          <w:rFonts w:ascii="宋体" w:hAnsi="宋体"/>
          <w:color w:val="auto"/>
          <w:szCs w:val="21"/>
          <w:highlight w:val="none"/>
        </w:rPr>
        <w:t>10000</w:t>
      </w:r>
      <w:r>
        <w:rPr>
          <w:rFonts w:hint="eastAsia" w:ascii="宋体" w:hAnsi="宋体"/>
          <w:color w:val="auto"/>
          <w:szCs w:val="21"/>
          <w:highlight w:val="none"/>
        </w:rPr>
        <w:t>万元以下的为中小微型企业。其中，从业人员</w:t>
      </w:r>
      <w:r>
        <w:rPr>
          <w:rFonts w:ascii="宋体" w:hAnsi="宋体"/>
          <w:color w:val="auto"/>
          <w:szCs w:val="21"/>
          <w:highlight w:val="none"/>
        </w:rPr>
        <w:t>100</w:t>
      </w:r>
      <w:r>
        <w:rPr>
          <w:rFonts w:hint="eastAsia" w:ascii="宋体" w:hAnsi="宋体"/>
          <w:color w:val="auto"/>
          <w:szCs w:val="21"/>
          <w:highlight w:val="none"/>
        </w:rPr>
        <w:t>人及以上，且营业收入</w:t>
      </w:r>
      <w:r>
        <w:rPr>
          <w:rFonts w:ascii="宋体" w:hAnsi="宋体"/>
          <w:color w:val="auto"/>
          <w:szCs w:val="21"/>
          <w:highlight w:val="none"/>
        </w:rPr>
        <w:t>1000</w:t>
      </w:r>
      <w:r>
        <w:rPr>
          <w:rFonts w:hint="eastAsia" w:ascii="宋体" w:hAnsi="宋体"/>
          <w:color w:val="auto"/>
          <w:szCs w:val="21"/>
          <w:highlight w:val="none"/>
        </w:rPr>
        <w:t>万元及以上的为中型企业；从业人员</w:t>
      </w:r>
      <w:r>
        <w:rPr>
          <w:rFonts w:ascii="宋体" w:hAnsi="宋体"/>
          <w:color w:val="auto"/>
          <w:szCs w:val="21"/>
          <w:highlight w:val="none"/>
        </w:rPr>
        <w:t>10</w:t>
      </w:r>
      <w:r>
        <w:rPr>
          <w:rFonts w:hint="eastAsia" w:ascii="宋体" w:hAnsi="宋体"/>
          <w:color w:val="auto"/>
          <w:szCs w:val="21"/>
          <w:highlight w:val="none"/>
        </w:rPr>
        <w:t>人及以上，且营业收入</w:t>
      </w:r>
      <w:r>
        <w:rPr>
          <w:rFonts w:ascii="宋体" w:hAnsi="宋体"/>
          <w:color w:val="auto"/>
          <w:szCs w:val="21"/>
          <w:highlight w:val="none"/>
        </w:rPr>
        <w:t>50</w:t>
      </w:r>
      <w:r>
        <w:rPr>
          <w:rFonts w:hint="eastAsia" w:ascii="宋体" w:hAnsi="宋体"/>
          <w:color w:val="auto"/>
          <w:szCs w:val="21"/>
          <w:highlight w:val="none"/>
        </w:rPr>
        <w:t>万元及以上的为小型企业；从业人员</w:t>
      </w:r>
      <w:r>
        <w:rPr>
          <w:rFonts w:ascii="宋体" w:hAnsi="宋体"/>
          <w:color w:val="auto"/>
          <w:szCs w:val="21"/>
          <w:highlight w:val="none"/>
        </w:rPr>
        <w:t>10</w:t>
      </w:r>
      <w:r>
        <w:rPr>
          <w:rFonts w:hint="eastAsia" w:ascii="宋体" w:hAnsi="宋体"/>
          <w:color w:val="auto"/>
          <w:szCs w:val="21"/>
          <w:highlight w:val="none"/>
        </w:rPr>
        <w:t>人以下或营业收入</w:t>
      </w:r>
      <w:r>
        <w:rPr>
          <w:rFonts w:ascii="宋体" w:hAnsi="宋体"/>
          <w:color w:val="auto"/>
          <w:szCs w:val="21"/>
          <w:highlight w:val="none"/>
        </w:rPr>
        <w:t>50</w:t>
      </w:r>
      <w:r>
        <w:rPr>
          <w:rFonts w:hint="eastAsia" w:ascii="宋体" w:hAnsi="宋体"/>
          <w:color w:val="auto"/>
          <w:szCs w:val="21"/>
          <w:highlight w:val="none"/>
        </w:rPr>
        <w:t>万元以下的为微型企业。</w:t>
      </w:r>
    </w:p>
    <w:p w14:paraId="3205AD4C">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（十三）房地产开发经营。营业收入</w:t>
      </w:r>
      <w:r>
        <w:rPr>
          <w:rFonts w:ascii="宋体" w:hAnsi="宋体"/>
          <w:color w:val="auto"/>
          <w:szCs w:val="21"/>
          <w:highlight w:val="none"/>
        </w:rPr>
        <w:t>200000</w:t>
      </w:r>
      <w:r>
        <w:rPr>
          <w:rFonts w:hint="eastAsia" w:ascii="宋体" w:hAnsi="宋体"/>
          <w:color w:val="auto"/>
          <w:szCs w:val="21"/>
          <w:highlight w:val="none"/>
        </w:rPr>
        <w:t>万元以下或资产总额</w:t>
      </w:r>
      <w:r>
        <w:rPr>
          <w:rFonts w:ascii="宋体" w:hAnsi="宋体"/>
          <w:color w:val="auto"/>
          <w:szCs w:val="21"/>
          <w:highlight w:val="none"/>
        </w:rPr>
        <w:t>10000</w:t>
      </w:r>
      <w:r>
        <w:rPr>
          <w:rFonts w:hint="eastAsia" w:ascii="宋体" w:hAnsi="宋体"/>
          <w:color w:val="auto"/>
          <w:szCs w:val="21"/>
          <w:highlight w:val="none"/>
        </w:rPr>
        <w:t>万元以下的为中小微型企业。其中，营业收入</w:t>
      </w:r>
      <w:r>
        <w:rPr>
          <w:rFonts w:ascii="宋体" w:hAnsi="宋体"/>
          <w:color w:val="auto"/>
          <w:szCs w:val="21"/>
          <w:highlight w:val="none"/>
        </w:rPr>
        <w:t>1000</w:t>
      </w:r>
      <w:r>
        <w:rPr>
          <w:rFonts w:hint="eastAsia" w:ascii="宋体" w:hAnsi="宋体"/>
          <w:color w:val="auto"/>
          <w:szCs w:val="21"/>
          <w:highlight w:val="none"/>
        </w:rPr>
        <w:t>万元及以上，且资产总额</w:t>
      </w:r>
      <w:r>
        <w:rPr>
          <w:rFonts w:ascii="宋体" w:hAnsi="宋体"/>
          <w:color w:val="auto"/>
          <w:szCs w:val="21"/>
          <w:highlight w:val="none"/>
        </w:rPr>
        <w:t>5000</w:t>
      </w:r>
      <w:r>
        <w:rPr>
          <w:rFonts w:hint="eastAsia" w:ascii="宋体" w:hAnsi="宋体"/>
          <w:color w:val="auto"/>
          <w:szCs w:val="21"/>
          <w:highlight w:val="none"/>
        </w:rPr>
        <w:t>万元及以上的为中型企业；营业收入</w:t>
      </w:r>
      <w:r>
        <w:rPr>
          <w:rFonts w:ascii="宋体" w:hAnsi="宋体"/>
          <w:color w:val="auto"/>
          <w:szCs w:val="21"/>
          <w:highlight w:val="none"/>
        </w:rPr>
        <w:t>100</w:t>
      </w:r>
      <w:r>
        <w:rPr>
          <w:rFonts w:hint="eastAsia" w:ascii="宋体" w:hAnsi="宋体"/>
          <w:color w:val="auto"/>
          <w:szCs w:val="21"/>
          <w:highlight w:val="none"/>
        </w:rPr>
        <w:t>万元及以上，且资产总额</w:t>
      </w:r>
      <w:r>
        <w:rPr>
          <w:rFonts w:ascii="宋体" w:hAnsi="宋体"/>
          <w:color w:val="auto"/>
          <w:szCs w:val="21"/>
          <w:highlight w:val="none"/>
        </w:rPr>
        <w:t>2000</w:t>
      </w:r>
      <w:r>
        <w:rPr>
          <w:rFonts w:hint="eastAsia" w:ascii="宋体" w:hAnsi="宋体"/>
          <w:color w:val="auto"/>
          <w:szCs w:val="21"/>
          <w:highlight w:val="none"/>
        </w:rPr>
        <w:t>万元及以上的为小型企业；营业收入</w:t>
      </w:r>
      <w:r>
        <w:rPr>
          <w:rFonts w:ascii="宋体" w:hAnsi="宋体"/>
          <w:color w:val="auto"/>
          <w:szCs w:val="21"/>
          <w:highlight w:val="none"/>
        </w:rPr>
        <w:t>100</w:t>
      </w:r>
      <w:r>
        <w:rPr>
          <w:rFonts w:hint="eastAsia" w:ascii="宋体" w:hAnsi="宋体"/>
          <w:color w:val="auto"/>
          <w:szCs w:val="21"/>
          <w:highlight w:val="none"/>
        </w:rPr>
        <w:t>万元以下或资产总额</w:t>
      </w:r>
      <w:r>
        <w:rPr>
          <w:rFonts w:ascii="宋体" w:hAnsi="宋体"/>
          <w:color w:val="auto"/>
          <w:szCs w:val="21"/>
          <w:highlight w:val="none"/>
        </w:rPr>
        <w:t>2000</w:t>
      </w:r>
      <w:r>
        <w:rPr>
          <w:rFonts w:hint="eastAsia" w:ascii="宋体" w:hAnsi="宋体"/>
          <w:color w:val="auto"/>
          <w:szCs w:val="21"/>
          <w:highlight w:val="none"/>
        </w:rPr>
        <w:t>万元以下的为微型企业。</w:t>
      </w:r>
    </w:p>
    <w:p w14:paraId="1ED61075">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（十四）物业管理。从业人员</w:t>
      </w:r>
      <w:r>
        <w:rPr>
          <w:rFonts w:ascii="宋体" w:hAnsi="宋体"/>
          <w:color w:val="auto"/>
          <w:szCs w:val="21"/>
          <w:highlight w:val="none"/>
        </w:rPr>
        <w:t>1000</w:t>
      </w:r>
      <w:r>
        <w:rPr>
          <w:rFonts w:hint="eastAsia" w:ascii="宋体" w:hAnsi="宋体"/>
          <w:color w:val="auto"/>
          <w:szCs w:val="21"/>
          <w:highlight w:val="none"/>
        </w:rPr>
        <w:t>人以下或营业收入</w:t>
      </w:r>
      <w:r>
        <w:rPr>
          <w:rFonts w:ascii="宋体" w:hAnsi="宋体"/>
          <w:color w:val="auto"/>
          <w:szCs w:val="21"/>
          <w:highlight w:val="none"/>
        </w:rPr>
        <w:t>5000</w:t>
      </w:r>
      <w:r>
        <w:rPr>
          <w:rFonts w:hint="eastAsia" w:ascii="宋体" w:hAnsi="宋体"/>
          <w:color w:val="auto"/>
          <w:szCs w:val="21"/>
          <w:highlight w:val="none"/>
        </w:rPr>
        <w:t>万元以下的为中小微型企业。其中，从业人员</w:t>
      </w:r>
      <w:r>
        <w:rPr>
          <w:rFonts w:ascii="宋体" w:hAnsi="宋体"/>
          <w:color w:val="auto"/>
          <w:szCs w:val="21"/>
          <w:highlight w:val="none"/>
        </w:rPr>
        <w:t>300</w:t>
      </w:r>
      <w:r>
        <w:rPr>
          <w:rFonts w:hint="eastAsia" w:ascii="宋体" w:hAnsi="宋体"/>
          <w:color w:val="auto"/>
          <w:szCs w:val="21"/>
          <w:highlight w:val="none"/>
        </w:rPr>
        <w:t>人及以上，且营业收入</w:t>
      </w:r>
      <w:r>
        <w:rPr>
          <w:rFonts w:ascii="宋体" w:hAnsi="宋体"/>
          <w:color w:val="auto"/>
          <w:szCs w:val="21"/>
          <w:highlight w:val="none"/>
        </w:rPr>
        <w:t>1000</w:t>
      </w:r>
      <w:r>
        <w:rPr>
          <w:rFonts w:hint="eastAsia" w:ascii="宋体" w:hAnsi="宋体"/>
          <w:color w:val="auto"/>
          <w:szCs w:val="21"/>
          <w:highlight w:val="none"/>
        </w:rPr>
        <w:t>万元及以上的为中型企业；从业人员</w:t>
      </w:r>
      <w:r>
        <w:rPr>
          <w:rFonts w:ascii="宋体" w:hAnsi="宋体"/>
          <w:color w:val="auto"/>
          <w:szCs w:val="21"/>
          <w:highlight w:val="none"/>
        </w:rPr>
        <w:t>100</w:t>
      </w:r>
      <w:r>
        <w:rPr>
          <w:rFonts w:hint="eastAsia" w:ascii="宋体" w:hAnsi="宋体"/>
          <w:color w:val="auto"/>
          <w:szCs w:val="21"/>
          <w:highlight w:val="none"/>
        </w:rPr>
        <w:t>人及以上，且营业收入</w:t>
      </w:r>
      <w:r>
        <w:rPr>
          <w:rFonts w:ascii="宋体" w:hAnsi="宋体"/>
          <w:color w:val="auto"/>
          <w:szCs w:val="21"/>
          <w:highlight w:val="none"/>
        </w:rPr>
        <w:t>500</w:t>
      </w:r>
      <w:r>
        <w:rPr>
          <w:rFonts w:hint="eastAsia" w:ascii="宋体" w:hAnsi="宋体"/>
          <w:color w:val="auto"/>
          <w:szCs w:val="21"/>
          <w:highlight w:val="none"/>
        </w:rPr>
        <w:t>万元及以上的为小型企业；从业人员</w:t>
      </w:r>
      <w:r>
        <w:rPr>
          <w:rFonts w:ascii="宋体" w:hAnsi="宋体"/>
          <w:color w:val="auto"/>
          <w:szCs w:val="21"/>
          <w:highlight w:val="none"/>
        </w:rPr>
        <w:t>100</w:t>
      </w:r>
      <w:r>
        <w:rPr>
          <w:rFonts w:hint="eastAsia" w:ascii="宋体" w:hAnsi="宋体"/>
          <w:color w:val="auto"/>
          <w:szCs w:val="21"/>
          <w:highlight w:val="none"/>
        </w:rPr>
        <w:t>人以下或营业收入</w:t>
      </w:r>
      <w:r>
        <w:rPr>
          <w:rFonts w:ascii="宋体" w:hAnsi="宋体"/>
          <w:color w:val="auto"/>
          <w:szCs w:val="21"/>
          <w:highlight w:val="none"/>
        </w:rPr>
        <w:t>500</w:t>
      </w:r>
      <w:r>
        <w:rPr>
          <w:rFonts w:hint="eastAsia" w:ascii="宋体" w:hAnsi="宋体"/>
          <w:color w:val="auto"/>
          <w:szCs w:val="21"/>
          <w:highlight w:val="none"/>
        </w:rPr>
        <w:t>万元以下的为微型企业。</w:t>
      </w:r>
    </w:p>
    <w:p w14:paraId="154215CC">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（十五）租赁和商务服务业。从业人员</w:t>
      </w:r>
      <w:r>
        <w:rPr>
          <w:rFonts w:ascii="宋体" w:hAnsi="宋体"/>
          <w:color w:val="auto"/>
          <w:szCs w:val="21"/>
          <w:highlight w:val="none"/>
        </w:rPr>
        <w:t>300</w:t>
      </w:r>
      <w:r>
        <w:rPr>
          <w:rFonts w:hint="eastAsia" w:ascii="宋体" w:hAnsi="宋体"/>
          <w:color w:val="auto"/>
          <w:szCs w:val="21"/>
          <w:highlight w:val="none"/>
        </w:rPr>
        <w:t>人以下或资产总额</w:t>
      </w:r>
      <w:r>
        <w:rPr>
          <w:rFonts w:ascii="宋体" w:hAnsi="宋体"/>
          <w:color w:val="auto"/>
          <w:szCs w:val="21"/>
          <w:highlight w:val="none"/>
        </w:rPr>
        <w:t>120000</w:t>
      </w:r>
      <w:r>
        <w:rPr>
          <w:rFonts w:hint="eastAsia" w:ascii="宋体" w:hAnsi="宋体"/>
          <w:color w:val="auto"/>
          <w:szCs w:val="21"/>
          <w:highlight w:val="none"/>
        </w:rPr>
        <w:t>万元以下的为中小微型企业。其中，从业人员</w:t>
      </w:r>
      <w:r>
        <w:rPr>
          <w:rFonts w:ascii="宋体" w:hAnsi="宋体"/>
          <w:color w:val="auto"/>
          <w:szCs w:val="21"/>
          <w:highlight w:val="none"/>
        </w:rPr>
        <w:t>100</w:t>
      </w:r>
      <w:r>
        <w:rPr>
          <w:rFonts w:hint="eastAsia" w:ascii="宋体" w:hAnsi="宋体"/>
          <w:color w:val="auto"/>
          <w:szCs w:val="21"/>
          <w:highlight w:val="none"/>
        </w:rPr>
        <w:t>人及以上，且资产总额</w:t>
      </w:r>
      <w:r>
        <w:rPr>
          <w:rFonts w:ascii="宋体" w:hAnsi="宋体"/>
          <w:color w:val="auto"/>
          <w:szCs w:val="21"/>
          <w:highlight w:val="none"/>
        </w:rPr>
        <w:t>8000</w:t>
      </w:r>
      <w:r>
        <w:rPr>
          <w:rFonts w:hint="eastAsia" w:ascii="宋体" w:hAnsi="宋体"/>
          <w:color w:val="auto"/>
          <w:szCs w:val="21"/>
          <w:highlight w:val="none"/>
        </w:rPr>
        <w:t>万元及以上的为中型企业；从业人员</w:t>
      </w:r>
      <w:r>
        <w:rPr>
          <w:rFonts w:ascii="宋体" w:hAnsi="宋体"/>
          <w:color w:val="auto"/>
          <w:szCs w:val="21"/>
          <w:highlight w:val="none"/>
        </w:rPr>
        <w:t>10</w:t>
      </w:r>
      <w:r>
        <w:rPr>
          <w:rFonts w:hint="eastAsia" w:ascii="宋体" w:hAnsi="宋体"/>
          <w:color w:val="auto"/>
          <w:szCs w:val="21"/>
          <w:highlight w:val="none"/>
        </w:rPr>
        <w:t>人及以上，且资产总额</w:t>
      </w:r>
      <w:r>
        <w:rPr>
          <w:rFonts w:ascii="宋体" w:hAnsi="宋体"/>
          <w:color w:val="auto"/>
          <w:szCs w:val="21"/>
          <w:highlight w:val="none"/>
        </w:rPr>
        <w:t>100</w:t>
      </w:r>
      <w:r>
        <w:rPr>
          <w:rFonts w:hint="eastAsia" w:ascii="宋体" w:hAnsi="宋体"/>
          <w:color w:val="auto"/>
          <w:szCs w:val="21"/>
          <w:highlight w:val="none"/>
        </w:rPr>
        <w:t>万元及以上的为小型企业；从业人员</w:t>
      </w:r>
      <w:r>
        <w:rPr>
          <w:rFonts w:ascii="宋体" w:hAnsi="宋体"/>
          <w:color w:val="auto"/>
          <w:szCs w:val="21"/>
          <w:highlight w:val="none"/>
        </w:rPr>
        <w:t>10</w:t>
      </w:r>
      <w:r>
        <w:rPr>
          <w:rFonts w:hint="eastAsia" w:ascii="宋体" w:hAnsi="宋体"/>
          <w:color w:val="auto"/>
          <w:szCs w:val="21"/>
          <w:highlight w:val="none"/>
        </w:rPr>
        <w:t>人以下或资产总额</w:t>
      </w:r>
      <w:r>
        <w:rPr>
          <w:rFonts w:ascii="宋体" w:hAnsi="宋体"/>
          <w:color w:val="auto"/>
          <w:szCs w:val="21"/>
          <w:highlight w:val="none"/>
        </w:rPr>
        <w:t>100</w:t>
      </w:r>
      <w:r>
        <w:rPr>
          <w:rFonts w:hint="eastAsia" w:ascii="宋体" w:hAnsi="宋体"/>
          <w:color w:val="auto"/>
          <w:szCs w:val="21"/>
          <w:highlight w:val="none"/>
        </w:rPr>
        <w:t>万元以下的为微型企业。</w:t>
      </w:r>
    </w:p>
    <w:p w14:paraId="234AFCEA">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（十六）其他未列明行业。从业人员</w:t>
      </w:r>
      <w:r>
        <w:rPr>
          <w:rFonts w:ascii="宋体" w:hAnsi="宋体"/>
          <w:color w:val="auto"/>
          <w:szCs w:val="21"/>
          <w:highlight w:val="none"/>
        </w:rPr>
        <w:t>300</w:t>
      </w:r>
      <w:r>
        <w:rPr>
          <w:rFonts w:hint="eastAsia" w:ascii="宋体" w:hAnsi="宋体"/>
          <w:color w:val="auto"/>
          <w:szCs w:val="21"/>
          <w:highlight w:val="none"/>
        </w:rPr>
        <w:t>人以下的为中小微型企业。其中，从业人员</w:t>
      </w:r>
      <w:r>
        <w:rPr>
          <w:rFonts w:ascii="宋体" w:hAnsi="宋体"/>
          <w:color w:val="auto"/>
          <w:szCs w:val="21"/>
          <w:highlight w:val="none"/>
        </w:rPr>
        <w:t>100</w:t>
      </w:r>
      <w:r>
        <w:rPr>
          <w:rFonts w:hint="eastAsia" w:ascii="宋体" w:hAnsi="宋体"/>
          <w:color w:val="auto"/>
          <w:szCs w:val="21"/>
          <w:highlight w:val="none"/>
        </w:rPr>
        <w:t>人及以上的为中型企业；从业人员</w:t>
      </w:r>
      <w:r>
        <w:rPr>
          <w:rFonts w:ascii="宋体" w:hAnsi="宋体"/>
          <w:color w:val="auto"/>
          <w:szCs w:val="21"/>
          <w:highlight w:val="none"/>
        </w:rPr>
        <w:t>10</w:t>
      </w:r>
      <w:r>
        <w:rPr>
          <w:rFonts w:hint="eastAsia" w:ascii="宋体" w:hAnsi="宋体"/>
          <w:color w:val="auto"/>
          <w:szCs w:val="21"/>
          <w:highlight w:val="none"/>
        </w:rPr>
        <w:t>人及以上的为小型企业；从业人员</w:t>
      </w:r>
      <w:r>
        <w:rPr>
          <w:rFonts w:ascii="宋体" w:hAnsi="宋体"/>
          <w:color w:val="auto"/>
          <w:szCs w:val="21"/>
          <w:highlight w:val="none"/>
        </w:rPr>
        <w:t>10</w:t>
      </w:r>
      <w:r>
        <w:rPr>
          <w:rFonts w:hint="eastAsia" w:ascii="宋体" w:hAnsi="宋体"/>
          <w:color w:val="auto"/>
          <w:szCs w:val="21"/>
          <w:highlight w:val="none"/>
        </w:rPr>
        <w:t>人以下的为微型企业。</w:t>
      </w:r>
    </w:p>
    <w:p w14:paraId="0ED573A1">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五、企业类型的划分以统计部门的统计数据为依据。</w:t>
      </w:r>
    </w:p>
    <w:p w14:paraId="2DC19A11">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六、本规定适用于在中华人民共和国境内依法设立的各类所有制和各种组织形式的企业。个体工商户和本规定以外的行业，参照本规定进行划型。</w:t>
      </w:r>
    </w:p>
    <w:p w14:paraId="774048F3">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七、本规定的中型企业标准上限即为大型企业标准的下限，国家统计部门据此制定大中小微型企业的统计分类。国务院有关部门据此进行相关数据分析，不得制定与本规定不一致的企业划型标准。</w:t>
      </w:r>
    </w:p>
    <w:p w14:paraId="783B9D1E">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八、本规定由工业和信息化部、国家统计局会同有关部门根据《国民经济行业分类》修订情况和企业发展变化情况适时修订。</w:t>
      </w:r>
    </w:p>
    <w:p w14:paraId="22077811">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九、本规定由工业和信息化部、国家统计局会同有关部门负责解释。</w:t>
      </w:r>
    </w:p>
    <w:p w14:paraId="1395FADF">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十、本规定自发布之日起执行，原国家经贸委、原国家计委、财政部和国家统计局</w:t>
      </w:r>
      <w:r>
        <w:rPr>
          <w:rFonts w:ascii="宋体" w:hAnsi="宋体"/>
          <w:color w:val="auto"/>
          <w:szCs w:val="21"/>
          <w:highlight w:val="none"/>
        </w:rPr>
        <w:t>2003</w:t>
      </w:r>
      <w:r>
        <w:rPr>
          <w:rFonts w:hint="eastAsia" w:ascii="宋体" w:hAnsi="宋体"/>
          <w:color w:val="auto"/>
          <w:szCs w:val="21"/>
          <w:highlight w:val="none"/>
        </w:rPr>
        <w:t>年颁布的《中小企业标准暂行规定》同时废止。</w:t>
      </w:r>
    </w:p>
    <w:p w14:paraId="7BC5F68E">
      <w:pPr>
        <w:spacing w:line="428" w:lineRule="exact"/>
        <w:rPr>
          <w:rFonts w:ascii="宋体" w:hAnsi="宋体" w:cs="宋体"/>
          <w:color w:val="auto"/>
          <w:sz w:val="20"/>
          <w:szCs w:val="20"/>
          <w:highlight w:val="none"/>
        </w:rPr>
      </w:pPr>
    </w:p>
    <w:p w14:paraId="7490929B">
      <w:pPr>
        <w:pStyle w:val="2"/>
        <w:spacing w:before="0" w:after="0"/>
        <w:jc w:val="center"/>
        <w:rPr>
          <w:rFonts w:ascii="宋体" w:hAnsi="宋体"/>
          <w:color w:val="auto"/>
          <w:kern w:val="2"/>
          <w:sz w:val="32"/>
          <w:highlight w:val="none"/>
        </w:rPr>
      </w:pPr>
      <w:r>
        <w:rPr>
          <w:rFonts w:ascii="宋体" w:hAnsi="宋体" w:cs="宋体"/>
          <w:color w:val="auto"/>
          <w:sz w:val="20"/>
          <w:szCs w:val="20"/>
          <w:highlight w:val="none"/>
        </w:rPr>
        <w:br w:type="page"/>
      </w:r>
      <w:bookmarkStart w:id="90" w:name="_Toc196311782"/>
      <w:bookmarkStart w:id="91" w:name="_Toc74322011"/>
      <w:r>
        <w:rPr>
          <w:rFonts w:hint="eastAsia" w:ascii="宋体" w:hAnsi="宋体"/>
          <w:color w:val="auto"/>
          <w:kern w:val="2"/>
          <w:sz w:val="32"/>
          <w:highlight w:val="none"/>
        </w:rPr>
        <w:t>第四章</w:t>
      </w:r>
      <w:bookmarkStart w:id="92" w:name="_Hlk68601507"/>
      <w:r>
        <w:rPr>
          <w:rFonts w:hint="eastAsia" w:ascii="宋体" w:hAnsi="宋体"/>
          <w:color w:val="auto"/>
          <w:kern w:val="2"/>
          <w:sz w:val="32"/>
          <w:highlight w:val="none"/>
        </w:rPr>
        <w:t xml:space="preserve"> 评审程序和评定成交的标准</w:t>
      </w:r>
      <w:bookmarkEnd w:id="90"/>
      <w:bookmarkEnd w:id="91"/>
      <w:bookmarkEnd w:id="92"/>
    </w:p>
    <w:p w14:paraId="6955293C">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一、评审程序</w:t>
      </w:r>
    </w:p>
    <w:p w14:paraId="031BD66A">
      <w:pPr>
        <w:spacing w:line="360" w:lineRule="exact"/>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1</w:t>
      </w:r>
      <w:r>
        <w:rPr>
          <w:rFonts w:hint="eastAsia" w:ascii="黑体" w:hAnsi="黑体" w:eastAsia="黑体" w:cs="宋体"/>
          <w:b/>
          <w:bCs/>
          <w:color w:val="auto"/>
          <w:sz w:val="24"/>
          <w:highlight w:val="none"/>
        </w:rPr>
        <w:t>.确认谈判文件</w:t>
      </w:r>
    </w:p>
    <w:p w14:paraId="5DFD5E66">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由谈判小组确认谈判文件。</w:t>
      </w:r>
    </w:p>
    <w:p w14:paraId="5C1B4A3E">
      <w:pPr>
        <w:spacing w:line="360" w:lineRule="exact"/>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.资格审查</w:t>
      </w:r>
    </w:p>
    <w:p w14:paraId="1DFC1F8A">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.1响应文件开启后，谈判小组依法对供应商的资格证明文件进行审查。</w:t>
      </w:r>
    </w:p>
    <w:p w14:paraId="6C52C400">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注：</w:t>
      </w:r>
      <w:r>
        <w:rPr>
          <w:rFonts w:hint="eastAsia"/>
          <w:color w:val="auto"/>
          <w:highlight w:val="none"/>
        </w:rPr>
        <w:t>谈判小组</w:t>
      </w:r>
      <w:r>
        <w:rPr>
          <w:rFonts w:hint="eastAsia" w:ascii="宋体" w:hAnsi="宋体" w:cs="宋体"/>
          <w:color w:val="auto"/>
          <w:szCs w:val="21"/>
          <w:highlight w:val="none"/>
        </w:rPr>
        <w:t>在资格审查结束前，对供应商进行信用查询。</w:t>
      </w:r>
    </w:p>
    <w:p w14:paraId="3E363028">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（1）查询渠道：广西政府采购云平台“信用中国”网站(www.creditchina.gov.cn)、中国政府采购网(www.ccgp.gov.cn)。</w:t>
      </w:r>
    </w:p>
    <w:p w14:paraId="3FE2479F">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66E2777A">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（3）查询记录和证据留存方式：在查询网站中直接查询，截图另存为电子文档作为评审资料保存。</w:t>
      </w:r>
    </w:p>
    <w:p w14:paraId="190E5F8F">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信用信息使用规则：对在“信用中国”网站（www.creditchina.gov.cn）、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被列入失信被执行人、重大税收违法</w:t>
      </w:r>
      <w:r>
        <w:rPr>
          <w:rFonts w:hint="eastAsia" w:ascii="宋体" w:hAnsi="宋体" w:cs="宋体"/>
          <w:color w:val="auto"/>
          <w:szCs w:val="21"/>
          <w:highlight w:val="none"/>
        </w:rPr>
        <w:t>失信主体</w:t>
      </w:r>
      <w:r>
        <w:rPr>
          <w:rFonts w:hint="eastAsia" w:ascii="宋体" w:hAnsi="宋体"/>
          <w:color w:val="auto"/>
          <w:szCs w:val="21"/>
          <w:highlight w:val="none"/>
        </w:rPr>
        <w:t>、政府采购严重违法失信行为记录名单及其他不符合《中华人民共和国政府采购法》第二十二条规定条件的供应商）的，视同联合体存在不良信用记录</w:t>
      </w:r>
      <w:r>
        <w:rPr>
          <w:rFonts w:hint="eastAsia" w:ascii="宋体" w:hAnsi="宋体" w:cs="宋体"/>
          <w:color w:val="auto"/>
          <w:szCs w:val="21"/>
          <w:highlight w:val="none"/>
        </w:rPr>
        <w:t>。</w:t>
      </w:r>
    </w:p>
    <w:p w14:paraId="5774BB6D">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.2资格审查标准为本谈判文件中载明对供应商资格要求的条件。本项目资格审查采用合格制，凡符合谈判文件规定的供应商资格要求的供应商均通过资格审查。</w:t>
      </w:r>
    </w:p>
    <w:p w14:paraId="34473391">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.3 供应商有下列情形之一的，资格审查不通过，其响应文件按无效处理：</w:t>
      </w:r>
    </w:p>
    <w:p w14:paraId="2A921BE4">
      <w:pPr>
        <w:snapToGrid w:val="0"/>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）不具备谈判文件中规定的资格要求的；</w:t>
      </w:r>
    </w:p>
    <w:p w14:paraId="4244C7FB">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（2）未按谈判文件规定的方式获取本谈判文件的供应商；</w:t>
      </w:r>
    </w:p>
    <w:p w14:paraId="63B8ACF7">
      <w:pPr>
        <w:spacing w:line="360" w:lineRule="exact"/>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）响应文件中的资格证明文件缺少任一项“供应商须知前附表”资格证明文件规定的“必须提供”的文件资料的；</w:t>
      </w:r>
    </w:p>
    <w:p w14:paraId="3ED07631">
      <w:pPr>
        <w:spacing w:line="360" w:lineRule="exact"/>
        <w:ind w:firstLine="420" w:firstLineChars="200"/>
        <w:contextualSpacing/>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）响应文件中的资格证明文件出现任一项不符合“供应商须知前附表”资格证明文件规定的“必须提供”的文件资料要求或者无效的；</w:t>
      </w:r>
    </w:p>
    <w:p w14:paraId="5E53164F">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）同一合同项下的不同供应商，单位负责人为同一人或者存在直接控股、管理关系的；为本项目提供过整体设计、规范编制或者项目管理、监理、检测等服务的供应商，再参加该采购项目的其他采购活动的。</w:t>
      </w:r>
    </w:p>
    <w:p w14:paraId="348BACBE">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.4通过资格审查的合格供应商不足3家（本章</w:t>
      </w:r>
      <w:r>
        <w:rPr>
          <w:rFonts w:ascii="宋体" w:hAnsi="宋体" w:cs="宋体"/>
          <w:color w:val="auto"/>
          <w:szCs w:val="21"/>
          <w:highlight w:val="none"/>
        </w:rPr>
        <w:t>3.7</w:t>
      </w:r>
      <w:r>
        <w:rPr>
          <w:rFonts w:hint="eastAsia" w:ascii="宋体" w:hAnsi="宋体" w:cs="宋体"/>
          <w:color w:val="auto"/>
          <w:szCs w:val="21"/>
          <w:highlight w:val="none"/>
        </w:rPr>
        <w:t>条规定除外）的，不得进入符合性审查环节，应当重新开展采购活动。</w:t>
      </w:r>
    </w:p>
    <w:p w14:paraId="6D6EB8E8">
      <w:pPr>
        <w:spacing w:line="360" w:lineRule="exact"/>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3</w:t>
      </w:r>
      <w:r>
        <w:rPr>
          <w:rFonts w:hint="eastAsia" w:ascii="黑体" w:hAnsi="黑体" w:eastAsia="黑体" w:cs="宋体"/>
          <w:b/>
          <w:bCs/>
          <w:color w:val="auto"/>
          <w:sz w:val="24"/>
          <w:highlight w:val="none"/>
        </w:rPr>
        <w:t>.符合性审查</w:t>
      </w:r>
    </w:p>
    <w:p w14:paraId="4BB88BD9">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w:t>
      </w:r>
      <w:r>
        <w:rPr>
          <w:rFonts w:hint="eastAsia" w:ascii="宋体" w:hAnsi="宋体" w:cs="宋体"/>
          <w:color w:val="auto"/>
          <w:szCs w:val="21"/>
          <w:highlight w:val="none"/>
        </w:rPr>
        <w:t>谈判小组应当对符合资格的供应商的响应文件进行竞标报价、商务、技术等实质性要求符合性审查，以确定其是否满足谈判文件的实质性要求。</w:t>
      </w:r>
    </w:p>
    <w:p w14:paraId="01D9EF82">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.2</w:t>
      </w:r>
      <w:r>
        <w:rPr>
          <w:rFonts w:hint="eastAsia" w:ascii="宋体" w:hAnsi="宋体" w:cs="宋体"/>
          <w:color w:val="auto"/>
          <w:szCs w:val="21"/>
          <w:highlight w:val="none"/>
        </w:rPr>
        <w:t>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0C60261">
      <w:pPr>
        <w:spacing w:line="360" w:lineRule="exact"/>
        <w:ind w:firstLine="420" w:firstLineChars="200"/>
        <w:rPr>
          <w:rFonts w:ascii="宋体" w:hAnsi="宋体" w:cs="宋体"/>
          <w:color w:val="auto"/>
          <w:spacing w:val="-6"/>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3谈判小组要求供应商澄清、说明或者更正响应文件应当以电子澄清函形式作出。供应商的澄清、说明或者更正应当以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签章。</w:t>
      </w:r>
    </w:p>
    <w:p w14:paraId="675606E6">
      <w:pPr>
        <w:spacing w:line="360" w:lineRule="exact"/>
        <w:ind w:firstLine="420" w:firstLineChars="200"/>
        <w:rPr>
          <w:rFonts w:ascii="宋体" w:hAnsi="宋体" w:cs="Courier New"/>
          <w:color w:val="auto"/>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谈判小组以书面形式要求供应商在规定时间内作出必要的澄清、说明或者补正。供应商的澄清、说明或者补正必须采用书面形式，并加盖公章，或者由法定代表人或者其授权的代表签字。</w:t>
      </w:r>
    </w:p>
    <w:p w14:paraId="6A539738">
      <w:pPr>
        <w:spacing w:line="360" w:lineRule="exact"/>
        <w:ind w:firstLine="396" w:firstLineChars="200"/>
        <w:rPr>
          <w:rFonts w:ascii="宋体" w:hAnsi="宋体" w:cs="宋体"/>
          <w:color w:val="auto"/>
          <w:szCs w:val="21"/>
          <w:highlight w:val="none"/>
        </w:rPr>
      </w:pPr>
      <w:r>
        <w:rPr>
          <w:rFonts w:ascii="宋体" w:hAnsi="宋体" w:cs="宋体"/>
          <w:color w:val="auto"/>
          <w:spacing w:val="-6"/>
          <w:szCs w:val="21"/>
          <w:highlight w:val="none"/>
        </w:rPr>
        <w:t>3.4</w:t>
      </w:r>
      <w:r>
        <w:rPr>
          <w:rFonts w:hint="eastAsia" w:ascii="宋体" w:hAnsi="宋体" w:cs="宋体"/>
          <w:color w:val="auto"/>
          <w:szCs w:val="21"/>
          <w:highlight w:val="none"/>
        </w:rPr>
        <w:t>首次响应文件报价出现前后不一致的，按照下列规定修正：</w:t>
      </w:r>
    </w:p>
    <w:p w14:paraId="23DD2E3D">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7743AD67">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7A60410D">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59AC7AA5">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48E9ED93">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同时出现两种以上不一致的，按照以上（1）-（4）规定的顺序逐条进行修正。修正后的报价经供应商确认后产生约束力，供应商不确认的，其响应文件按无效响应处理。</w:t>
      </w:r>
    </w:p>
    <w:p w14:paraId="514BEDE1">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商务技术报价评审</w:t>
      </w:r>
    </w:p>
    <w:p w14:paraId="68F1A388">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在评审时，如发现下列情形之一的，将被视为响应文件无效处理：</w:t>
      </w:r>
    </w:p>
    <w:p w14:paraId="191B8D99">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（1）商务技术评审</w:t>
      </w:r>
    </w:p>
    <w:p w14:paraId="5113DD5B">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1）响应文件未按谈判文件要求签署、盖章的；</w:t>
      </w:r>
    </w:p>
    <w:p w14:paraId="021FBD6F">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2）委托代理人未能出具有效身份证或者出具的身份证与授权委托书中的信息不符的；</w:t>
      </w:r>
    </w:p>
    <w:p w14:paraId="16B308D8">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3）提交的竞标保证金无效的或者未按照谈判文件的规定提交竞标保证金；</w:t>
      </w:r>
    </w:p>
    <w:p w14:paraId="6D66FED1">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响应文件未提供任一项“供应商须知前附表”商务技术文件中“必须提供”或者“委托时必须提供”的文件资料；响应文件提供的商务技术文件出现任一项不符合“供应商须知前附表”商务技术文件中“必须提供”或者“委托时必须提供”文件资料要求的规定或者提供的商务技术文件无效；</w:t>
      </w:r>
    </w:p>
    <w:p w14:paraId="234A792F">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5）商务要求允许负偏离的条款数超过“供应商须知前附表”规定项数的；</w:t>
      </w:r>
    </w:p>
    <w:p w14:paraId="7B17D138">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6）未对竞标有效期作出响应或者响应文件承诺的竞标有效期不满足谈判文件要求；</w:t>
      </w:r>
    </w:p>
    <w:p w14:paraId="5BC246AE">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7）响应文件的实质性内容未使用中文表述、使用计量单位不符合谈判文件要求的；</w:t>
      </w:r>
    </w:p>
    <w:p w14:paraId="471E6C6F">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8）响应文件中的文件资料因填写不齐全或者内容虚假或者出现其他情形而导致被谈判小组认定无效的；</w:t>
      </w:r>
    </w:p>
    <w:p w14:paraId="7532B563">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9）响应文件含有采购人不能接受的附加条件的；</w:t>
      </w:r>
    </w:p>
    <w:p w14:paraId="356599B7">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0）属于“供应商须知正文”第7.6条的情形的；</w:t>
      </w:r>
    </w:p>
    <w:p w14:paraId="15C6D9F9">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11）技术评审允许负偏离的条款数超过“供应商须知前附表”规定项数的；</w:t>
      </w:r>
    </w:p>
    <w:p w14:paraId="08A4ECCB">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2）虚假竞标，或者出现其他情形而导致被谈判小组认定无效的；</w:t>
      </w:r>
    </w:p>
    <w:p w14:paraId="3A1CD83A">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3）</w:t>
      </w:r>
      <w:bookmarkStart w:id="93" w:name="_Hlk71704147"/>
      <w:r>
        <w:rPr>
          <w:rFonts w:hint="eastAsia" w:ascii="宋体" w:hAnsi="宋体" w:cs="宋体"/>
          <w:color w:val="auto"/>
          <w:szCs w:val="21"/>
          <w:highlight w:val="none"/>
        </w:rPr>
        <w:t>谈判文件未载明允许提供备选（替代）竞标方案或明确不允许提供备选（替代）竞标方案时，供应商提供了备选（替代）竞标方案的；</w:t>
      </w:r>
      <w:bookmarkEnd w:id="93"/>
    </w:p>
    <w:p w14:paraId="7F9FF08C">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14）</w:t>
      </w:r>
      <w:r>
        <w:rPr>
          <w:rFonts w:hint="eastAsia" w:ascii="宋体" w:hAnsi="宋体"/>
          <w:color w:val="auto"/>
          <w:szCs w:val="21"/>
          <w:highlight w:val="none"/>
        </w:rPr>
        <w:t>谈判文件明确不允许分包，响应文件拟分包的；</w:t>
      </w:r>
    </w:p>
    <w:p w14:paraId="35DC3601">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5）未响应谈判文件实质性要求；</w:t>
      </w:r>
    </w:p>
    <w:p w14:paraId="5C1083AD">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16）法律、法规和谈判文件规定的其他无效情形。</w:t>
      </w:r>
    </w:p>
    <w:p w14:paraId="00987059">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2）报</w:t>
      </w:r>
      <w:r>
        <w:rPr>
          <w:rFonts w:hint="eastAsia" w:ascii="宋体" w:hAnsi="宋体" w:cs="宋体"/>
          <w:color w:val="auto"/>
          <w:szCs w:val="21"/>
          <w:highlight w:val="none"/>
        </w:rPr>
        <w:t>价评审</w:t>
      </w:r>
    </w:p>
    <w:p w14:paraId="731ABA68">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1）响应文件未提供“供应商须知前附表”报价文件中规定的“竞标报价表”的；</w:t>
      </w:r>
    </w:p>
    <w:p w14:paraId="636E0AD6">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2）未采用人民币报价或者未按照谈判文件标明的币种报价的；</w:t>
      </w:r>
    </w:p>
    <w:p w14:paraId="0FA29E12">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供应商未就本项目所有内容进行报价或者存在漏项报价；供应商未就本项目单项内容作唯一报价；供应商未就本项目的全部内容作完整唯一总价报价；供应商响应文件中存在有选择、有条件报价的（谈判文件允许有备选方案或者其他约定的除外）；</w:t>
      </w:r>
    </w:p>
    <w:p w14:paraId="6C96C259">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4）竞标报价（包含首次报价、最后报价）超过本项目规定的采购预算金额或者最高限价的（如本项目公布了最高限价）；</w:t>
      </w:r>
    </w:p>
    <w:p w14:paraId="6EAAB7CE">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5）修正后的报价，供应商不确认的；或者经供应商确认修正后的竞标报价（包含首次报价、最后报价）超过本项目规定的采购预算金额或者最高限价（如本项目公布了最高限价）。</w:t>
      </w:r>
    </w:p>
    <w:p w14:paraId="265A5432">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响应文件响应的标的数量及单位与竞争性谈判采购文件要求实质性不一致的。</w:t>
      </w:r>
    </w:p>
    <w:p w14:paraId="725CCD77">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6谈判小组对响应文件进行评审，未实质性响应谈判文件的响应文件按无效处理。谈判小组应当将资格和符合性不通过的情况告知有关供应商。谈判小组从符合谈判文件规定的相应资格条件的供应商名单中确定不少于3家的供应商参加谈判。</w:t>
      </w:r>
    </w:p>
    <w:p w14:paraId="6D433D1F">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7公开招标的货物、服务采购项目，招标过程中提交响应文件或者经评审实质性响应谈判文件要求的供应商只有两家时，采购人、采购代理机构按照《政府采购非招标采购方式管理办法》（财政部74号令）第四条经本级财政部门批准后可以与该两家供应商进行竞争性谈判采购。</w:t>
      </w:r>
    </w:p>
    <w:p w14:paraId="478CC7DF">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3</w:t>
      </w:r>
      <w:r>
        <w:rPr>
          <w:rFonts w:hint="eastAsia" w:ascii="宋体" w:hAnsi="宋体" w:cs="宋体"/>
          <w:color w:val="auto"/>
          <w:szCs w:val="21"/>
          <w:highlight w:val="none"/>
        </w:rPr>
        <w:t>.8除本章3.7条规定的情形外，通过符合性审查的合格供应商不足3家的，不得进入谈判环节，应当重新开展采购活动。</w:t>
      </w:r>
    </w:p>
    <w:p w14:paraId="7EDC885B">
      <w:pPr>
        <w:spacing w:line="360" w:lineRule="exact"/>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4</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谈判程序</w:t>
      </w:r>
    </w:p>
    <w:p w14:paraId="6D67FCCC">
      <w:pPr>
        <w:spacing w:line="360" w:lineRule="exact"/>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w:t>
      </w:r>
      <w:r>
        <w:rPr>
          <w:rFonts w:ascii="宋体" w:hAnsi="宋体" w:cs="宋体"/>
          <w:color w:val="auto"/>
          <w:kern w:val="0"/>
          <w:szCs w:val="21"/>
          <w:highlight w:val="none"/>
        </w:rPr>
        <w:t>.1</w:t>
      </w:r>
      <w:r>
        <w:rPr>
          <w:rFonts w:hint="eastAsia" w:ascii="宋体" w:hAnsi="宋体" w:cs="宋体"/>
          <w:color w:val="auto"/>
          <w:kern w:val="0"/>
          <w:szCs w:val="21"/>
          <w:highlight w:val="none"/>
        </w:rPr>
        <w:t>谈判小组</w:t>
      </w:r>
      <w:r>
        <w:rPr>
          <w:rFonts w:hint="eastAsia" w:ascii="宋体" w:hAnsi="宋体" w:cs="宋体"/>
          <w:color w:val="auto"/>
          <w:szCs w:val="21"/>
          <w:highlight w:val="none"/>
        </w:rPr>
        <w:t>集中与单一供应商分别进行谈判，并给予所有参加谈判的供应商平等的谈判机会。符合谈判资格的供应商必须在接到谈判通知后规定时间内参加谈判，未在规定时间内参加谈判的，视同放弃参加谈判权利，其响应文件按无效处理。</w:t>
      </w:r>
    </w:p>
    <w:p w14:paraId="495A141F">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在谈判过程中，谈判小组可以根据谈判文件和谈判情况实质性变动采购需求中的技术、服务要求以及合同草案条款，但不得变动谈判文件中的其他内容，实质性变动的内容须经采购人代表确认。可能实质性变动的内容为采购需求中的技术、服务要求以及合同草案条款。</w:t>
      </w:r>
    </w:p>
    <w:p w14:paraId="1FC2C666">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4.3</w:t>
      </w:r>
      <w:r>
        <w:rPr>
          <w:rFonts w:hint="eastAsia" w:ascii="宋体" w:hAnsi="宋体" w:cs="宋体"/>
          <w:color w:val="auto"/>
          <w:szCs w:val="21"/>
          <w:highlight w:val="none"/>
        </w:rPr>
        <w:t>对谈判文件作出的实质性变动是谈判文件的有效组成部分，由谈判小组及时以电子澄清函形式同时通知所有参加谈判的供应商。</w:t>
      </w:r>
    </w:p>
    <w:p w14:paraId="0E42086E">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4.4</w:t>
      </w:r>
      <w:r>
        <w:rPr>
          <w:rFonts w:hint="eastAsia" w:ascii="宋体" w:hAnsi="宋体" w:cs="宋体"/>
          <w:color w:val="auto"/>
          <w:szCs w:val="21"/>
          <w:highlight w:val="none"/>
        </w:rPr>
        <w:t>供应商必须按照谈判文件的变动情况和谈判小组的要求以回函的形式重新提交响应文件，并加盖电子签章。参加谈判的供应商未在规定时间内重新提交响应文件的，视同退出谈判，其响应文件按无效处理。</w:t>
      </w:r>
    </w:p>
    <w:p w14:paraId="164A217B">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4.5</w:t>
      </w:r>
      <w:r>
        <w:rPr>
          <w:rFonts w:hint="eastAsia" w:ascii="宋体" w:hAnsi="宋体" w:cs="宋体"/>
          <w:color w:val="auto"/>
          <w:szCs w:val="21"/>
          <w:highlight w:val="none"/>
        </w:rPr>
        <w:t>谈判中，谈判的任何一方不得透露与谈判有关的其他供应商的技术资料、价格和其他信息。</w:t>
      </w:r>
    </w:p>
    <w:p w14:paraId="34F32408">
      <w:pPr>
        <w:widowControl/>
        <w:tabs>
          <w:tab w:val="left" w:pos="540"/>
        </w:tabs>
        <w:spacing w:line="360" w:lineRule="exact"/>
        <w:ind w:firstLine="420" w:firstLineChars="200"/>
        <w:jc w:val="left"/>
        <w:rPr>
          <w:rFonts w:ascii="宋体" w:hAnsi="宋体" w:cs="宋体"/>
          <w:color w:val="auto"/>
          <w:szCs w:val="21"/>
          <w:highlight w:val="none"/>
        </w:rPr>
      </w:pPr>
      <w:r>
        <w:rPr>
          <w:rFonts w:ascii="宋体" w:hAnsi="宋体" w:cs="宋体"/>
          <w:color w:val="auto"/>
          <w:szCs w:val="21"/>
          <w:highlight w:val="none"/>
        </w:rPr>
        <w:t>4.6</w:t>
      </w:r>
      <w:r>
        <w:rPr>
          <w:rFonts w:hint="eastAsia" w:ascii="宋体" w:hAnsi="宋体" w:cs="宋体"/>
          <w:color w:val="auto"/>
          <w:szCs w:val="21"/>
          <w:highlight w:val="none"/>
        </w:rPr>
        <w:t>谈判小组应对谈判过程和重要谈判内容进行记录。</w:t>
      </w:r>
    </w:p>
    <w:p w14:paraId="6EBA1128">
      <w:pPr>
        <w:tabs>
          <w:tab w:val="left" w:pos="2835"/>
        </w:tabs>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4.</w:t>
      </w:r>
      <w:r>
        <w:rPr>
          <w:rFonts w:hint="eastAsia" w:ascii="宋体" w:hAnsi="宋体" w:cs="宋体"/>
          <w:color w:val="auto"/>
          <w:szCs w:val="21"/>
          <w:highlight w:val="none"/>
        </w:rPr>
        <w:t>7除本章第3.7条外，</w:t>
      </w:r>
      <w:r>
        <w:rPr>
          <w:rFonts w:hint="eastAsia" w:ascii="宋体" w:hAnsi="宋体"/>
          <w:color w:val="auto"/>
          <w:szCs w:val="21"/>
          <w:highlight w:val="none"/>
        </w:rPr>
        <w:t>对谈判过程提交的响应文件进行有效性、完整性和响应程度审查，通过审查的合格供应商不足3家的，采购人或者采购代理机构应当重新开展采购活动</w:t>
      </w:r>
      <w:r>
        <w:rPr>
          <w:rFonts w:hint="eastAsia" w:ascii="宋体" w:hAnsi="宋体" w:cs="宋体"/>
          <w:color w:val="auto"/>
          <w:szCs w:val="21"/>
          <w:highlight w:val="none"/>
        </w:rPr>
        <w:t>。</w:t>
      </w:r>
    </w:p>
    <w:p w14:paraId="73312BF5">
      <w:pPr>
        <w:spacing w:line="360" w:lineRule="exact"/>
        <w:ind w:firstLine="482" w:firstLineChars="200"/>
        <w:rPr>
          <w:rFonts w:ascii="黑体" w:hAnsi="黑体" w:eastAsia="黑体" w:cs="宋体"/>
          <w:b/>
          <w:bCs/>
          <w:color w:val="auto"/>
          <w:sz w:val="24"/>
          <w:highlight w:val="none"/>
        </w:rPr>
      </w:pPr>
      <w:r>
        <w:rPr>
          <w:rFonts w:hint="eastAsia" w:ascii="黑体" w:hAnsi="黑体" w:eastAsia="黑体" w:cs="宋体"/>
          <w:b/>
          <w:bCs/>
          <w:color w:val="auto"/>
          <w:sz w:val="24"/>
          <w:highlight w:val="none"/>
        </w:rPr>
        <w:t>5</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最后报价</w:t>
      </w:r>
    </w:p>
    <w:p w14:paraId="40703CBB">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.1</w:t>
      </w:r>
      <w:r>
        <w:rPr>
          <w:rFonts w:hint="eastAsia" w:ascii="宋体" w:hAnsi="宋体" w:cs="宋体"/>
          <w:color w:val="auto"/>
          <w:szCs w:val="21"/>
          <w:highlight w:val="none"/>
        </w:rPr>
        <w:t>谈判文件能够详细列明采购标的的技术、服务要求的，谈判结束后，谈判小组应当要求所有继续参加谈判的供应商在规定时间内在广西政府采购云平台开标大厅提交最后报价，除本章第3.7条外，提交最后报价的供应商不得少于3家，否则应当重新采购。</w:t>
      </w:r>
    </w:p>
    <w:p w14:paraId="2CD6ACF9">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5</w:t>
      </w: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谈判文件不能详细列明采购标的的技术、服务要求，需经谈判由供应商提供最后设计方案或者解决方案的，谈判结束后，谈判小组应当按照少数服从多数的原则投票推荐3家以上供应商的设计方案或者解决方案，并要求其在规定时间内在广西政府采购云平台开标大厅提交最后报价。</w:t>
      </w:r>
    </w:p>
    <w:p w14:paraId="42B69A88">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5.3</w:t>
      </w:r>
      <w:r>
        <w:rPr>
          <w:rFonts w:hint="eastAsia" w:ascii="宋体" w:hAnsi="宋体" w:cs="宋体"/>
          <w:color w:val="auto"/>
          <w:szCs w:val="21"/>
          <w:highlight w:val="none"/>
        </w:rPr>
        <w:t>最后报价是供应商响应文件的有效组成部分。</w:t>
      </w:r>
    </w:p>
    <w:p w14:paraId="72533795">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5.4</w:t>
      </w:r>
      <w:r>
        <w:rPr>
          <w:rFonts w:hint="eastAsia" w:ascii="宋体" w:hAnsi="宋体" w:cs="宋体"/>
          <w:color w:val="auto"/>
          <w:szCs w:val="21"/>
          <w:highlight w:val="none"/>
        </w:rPr>
        <w:t>已经提交响应文件的供应商，在提交最后报价之前，可以根据谈判情况退出谈判，退出谈判的供应商的响应文件按无效响应处理。采购人、采购代理机构将退还退出谈判的供应商的保证金。</w:t>
      </w:r>
    </w:p>
    <w:p w14:paraId="7D8849B5">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5.5</w:t>
      </w:r>
      <w:r>
        <w:rPr>
          <w:rFonts w:hint="eastAsia" w:ascii="宋体" w:hAnsi="宋体" w:cs="宋体"/>
          <w:color w:val="auto"/>
          <w:szCs w:val="21"/>
          <w:highlight w:val="none"/>
        </w:rPr>
        <w:t>供应商未在规定时间内提交最后报价的，视为退出谈判，其响应文件按无效处理。</w:t>
      </w:r>
    </w:p>
    <w:p w14:paraId="7080AB3F">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ascii="宋体" w:hAnsi="宋体" w:cs="宋体"/>
          <w:color w:val="auto"/>
          <w:szCs w:val="21"/>
          <w:highlight w:val="none"/>
        </w:rPr>
        <w:t>.6</w:t>
      </w:r>
      <w:r>
        <w:rPr>
          <w:rFonts w:hint="eastAsia" w:ascii="宋体" w:hAnsi="宋体" w:cs="宋体"/>
          <w:color w:val="auto"/>
          <w:szCs w:val="21"/>
          <w:highlight w:val="none"/>
        </w:rPr>
        <w:t>最后报价统一开启后，谈判小组对最后报价进行有效性、完整性和响应程度的审查。</w:t>
      </w:r>
    </w:p>
    <w:p w14:paraId="133691E4">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5.7</w:t>
      </w:r>
      <w:r>
        <w:rPr>
          <w:rFonts w:hint="eastAsia" w:ascii="宋体" w:hAnsi="宋体" w:cs="宋体"/>
          <w:color w:val="auto"/>
          <w:szCs w:val="21"/>
          <w:highlight w:val="none"/>
        </w:rPr>
        <w:t>最后报价出现前后不一致的，按照本章第</w:t>
      </w:r>
      <w:r>
        <w:rPr>
          <w:rFonts w:ascii="宋体" w:hAnsi="宋体" w:cs="宋体"/>
          <w:color w:val="auto"/>
          <w:szCs w:val="21"/>
          <w:highlight w:val="none"/>
        </w:rPr>
        <w:t>3.4</w:t>
      </w:r>
      <w:r>
        <w:rPr>
          <w:rFonts w:hint="eastAsia" w:ascii="宋体" w:hAnsi="宋体" w:cs="宋体"/>
          <w:color w:val="auto"/>
          <w:szCs w:val="21"/>
          <w:highlight w:val="none"/>
        </w:rPr>
        <w:t>条的规定修正。</w:t>
      </w:r>
    </w:p>
    <w:p w14:paraId="2F879100">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5.8</w:t>
      </w:r>
      <w:r>
        <w:rPr>
          <w:rFonts w:hint="eastAsia" w:ascii="宋体" w:hAnsi="宋体" w:cs="宋体"/>
          <w:color w:val="auto"/>
          <w:szCs w:val="21"/>
          <w:highlight w:val="none"/>
        </w:rPr>
        <w:t>修正后的报价出现下列情形的，按无效响应处理：</w:t>
      </w:r>
    </w:p>
    <w:p w14:paraId="7ED2772D">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6B32F2CE">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（2）经供应商确认修正后的竞标报价（包含首次报价、最后报价）超过本项目规定的采购预算金额或者最高限价的（如本项目公布了最高限价）；</w:t>
      </w:r>
    </w:p>
    <w:p w14:paraId="1C99B39C">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5.9</w:t>
      </w:r>
      <w:r>
        <w:rPr>
          <w:rFonts w:hint="eastAsia" w:ascii="宋体" w:hAnsi="宋体" w:cs="宋体"/>
          <w:color w:val="auto"/>
          <w:szCs w:val="21"/>
          <w:highlight w:val="none"/>
        </w:rPr>
        <w:t>经供应商确认修正后的最后报价作为评审及签订合同的依据。</w:t>
      </w:r>
    </w:p>
    <w:p w14:paraId="4F8C3B5E">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5.10供应商出现最后报价按无效响应处理或者响应文件按无效处理时</w:t>
      </w:r>
      <w:r>
        <w:rPr>
          <w:rFonts w:hint="eastAsia" w:ascii="宋体" w:hAnsi="宋体"/>
          <w:color w:val="auto"/>
          <w:sz w:val="22"/>
          <w:szCs w:val="22"/>
          <w:highlight w:val="none"/>
        </w:rPr>
        <w:t>，谈判小组应当告知有关供应商</w:t>
      </w:r>
      <w:r>
        <w:rPr>
          <w:rFonts w:hint="eastAsia" w:ascii="宋体" w:hAnsi="宋体" w:cs="宋体"/>
          <w:color w:val="auto"/>
          <w:szCs w:val="21"/>
          <w:highlight w:val="none"/>
        </w:rPr>
        <w:t>。</w:t>
      </w:r>
    </w:p>
    <w:p w14:paraId="51CE5ADE">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rPr>
        <w:t>1最后报价结束后，谈判小组不得再与供应商进行任何形式的商谈。</w:t>
      </w:r>
    </w:p>
    <w:p w14:paraId="7480C8B1">
      <w:pPr>
        <w:spacing w:line="360" w:lineRule="exact"/>
        <w:ind w:firstLine="420" w:firstLineChars="200"/>
        <w:rPr>
          <w:rFonts w:ascii="宋体" w:hAnsi="宋体" w:cs="宋体"/>
          <w:color w:val="auto"/>
          <w:szCs w:val="21"/>
          <w:highlight w:val="none"/>
        </w:rPr>
      </w:pPr>
    </w:p>
    <w:p w14:paraId="0BA02A89">
      <w:pPr>
        <w:spacing w:line="360" w:lineRule="auto"/>
        <w:ind w:firstLine="472" w:firstLineChars="196"/>
        <w:rPr>
          <w:rFonts w:ascii="黑体" w:hAnsi="黑体" w:eastAsia="黑体" w:cs="宋体"/>
          <w:b/>
          <w:bCs/>
          <w:color w:val="auto"/>
          <w:sz w:val="24"/>
          <w:highlight w:val="none"/>
        </w:rPr>
      </w:pPr>
      <w:bookmarkStart w:id="94" w:name="_Toc74322012"/>
      <w:r>
        <w:rPr>
          <w:rFonts w:ascii="黑体" w:hAnsi="黑体" w:eastAsia="黑体" w:cs="宋体"/>
          <w:b/>
          <w:bCs/>
          <w:color w:val="auto"/>
          <w:sz w:val="24"/>
          <w:highlight w:val="none"/>
        </w:rPr>
        <w:t>6.</w:t>
      </w:r>
      <w:r>
        <w:rPr>
          <w:rFonts w:hint="eastAsia" w:ascii="黑体" w:hAnsi="黑体" w:eastAsia="黑体" w:cs="宋体"/>
          <w:b/>
          <w:bCs/>
          <w:color w:val="auto"/>
          <w:sz w:val="24"/>
          <w:highlight w:val="none"/>
        </w:rPr>
        <w:t>最后报价政府采购政策性扣除</w:t>
      </w:r>
    </w:p>
    <w:p w14:paraId="1A8C838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6</w:t>
      </w:r>
      <w:r>
        <w:rPr>
          <w:rFonts w:ascii="宋体" w:hAnsi="宋体" w:cs="宋体"/>
          <w:color w:val="auto"/>
          <w:szCs w:val="21"/>
          <w:highlight w:val="none"/>
        </w:rPr>
        <w:t>.1</w:t>
      </w:r>
      <w:r>
        <w:rPr>
          <w:rFonts w:hint="eastAsia" w:ascii="宋体" w:hAnsi="宋体" w:cs="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14:paraId="1B9F20B3">
      <w:pPr>
        <w:snapToGrid w:val="0"/>
        <w:spacing w:line="360" w:lineRule="auto"/>
        <w:ind w:firstLine="424" w:firstLineChars="202"/>
        <w:jc w:val="left"/>
        <w:rPr>
          <w:rFonts w:ascii="宋体" w:hAnsi="宋体"/>
          <w:color w:val="auto"/>
          <w:spacing w:val="-6"/>
          <w:szCs w:val="21"/>
          <w:highlight w:val="none"/>
        </w:rPr>
      </w:pPr>
      <w:r>
        <w:rPr>
          <w:rFonts w:hint="eastAsia" w:ascii="宋体" w:hAnsi="宋体" w:cs="宋体"/>
          <w:color w:val="auto"/>
          <w:szCs w:val="21"/>
          <w:highlight w:val="none"/>
        </w:rPr>
        <w:t>6</w:t>
      </w:r>
      <w:r>
        <w:rPr>
          <w:rFonts w:ascii="宋体" w:hAnsi="宋体" w:cs="宋体"/>
          <w:color w:val="auto"/>
          <w:szCs w:val="21"/>
          <w:highlight w:val="none"/>
        </w:rPr>
        <w:t>.</w:t>
      </w:r>
      <w:r>
        <w:rPr>
          <w:rFonts w:hint="eastAsia" w:ascii="宋体" w:hAnsi="宋体" w:cs="宋体"/>
          <w:color w:val="auto"/>
          <w:szCs w:val="21"/>
          <w:highlight w:val="none"/>
        </w:rPr>
        <w:t>2</w:t>
      </w:r>
      <w:r>
        <w:rPr>
          <w:rFonts w:hint="eastAsia" w:ascii="宋体" w:hAnsi="宋体"/>
          <w:color w:val="auto"/>
          <w:szCs w:val="21"/>
          <w:highlight w:val="none"/>
        </w:rPr>
        <w:t>异常低价响应审查</w:t>
      </w:r>
    </w:p>
    <w:p w14:paraId="42B62528">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（1）谈判小组在评审中发现下列情形之一的，应当启动异常低价响应审查程序：</w:t>
      </w:r>
    </w:p>
    <w:p w14:paraId="60BC36DC">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①</w:t>
      </w:r>
      <w:bookmarkStart w:id="95" w:name="OLE_LINK27"/>
      <w:r>
        <w:rPr>
          <w:rFonts w:hint="eastAsia" w:ascii="宋体" w:hAnsi="宋体"/>
          <w:color w:val="auto"/>
          <w:szCs w:val="21"/>
          <w:highlight w:val="none"/>
        </w:rPr>
        <w:t>竞标</w:t>
      </w:r>
      <w:bookmarkEnd w:id="95"/>
      <w:r>
        <w:rPr>
          <w:rFonts w:hint="eastAsia" w:ascii="宋体" w:hAnsi="宋体"/>
          <w:color w:val="auto"/>
          <w:szCs w:val="21"/>
          <w:highlight w:val="none"/>
        </w:rPr>
        <w:t>报价低于全部通过符合性审查供应商竞标报价平均值</w:t>
      </w:r>
      <w:r>
        <w:rPr>
          <w:rFonts w:hint="eastAsia" w:ascii="宋体" w:hAnsi="宋体"/>
          <w:color w:val="auto"/>
          <w:szCs w:val="21"/>
          <w:highlight w:val="none"/>
          <w:u w:val="single"/>
        </w:rPr>
        <w:t>65%</w:t>
      </w:r>
      <w:r>
        <w:rPr>
          <w:rFonts w:hint="eastAsia" w:ascii="宋体" w:hAnsi="宋体"/>
          <w:color w:val="auto"/>
          <w:szCs w:val="21"/>
          <w:highlight w:val="none"/>
        </w:rPr>
        <w:t>的，即竞标报价＜全部通过符合性审查供应商竞标报价平均值×</w:t>
      </w:r>
      <w:r>
        <w:rPr>
          <w:rFonts w:hint="eastAsia" w:ascii="宋体" w:hAnsi="宋体"/>
          <w:color w:val="auto"/>
          <w:szCs w:val="21"/>
          <w:highlight w:val="none"/>
          <w:u w:val="single"/>
        </w:rPr>
        <w:t>65%</w:t>
      </w:r>
      <w:r>
        <w:rPr>
          <w:rFonts w:hint="eastAsia" w:ascii="宋体" w:hAnsi="宋体"/>
          <w:color w:val="auto"/>
          <w:szCs w:val="21"/>
          <w:highlight w:val="none"/>
        </w:rPr>
        <w:t>；</w:t>
      </w:r>
    </w:p>
    <w:p w14:paraId="2F919321">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②竞标报价低于通过符合性审查的次低报价供应商竞标报价</w:t>
      </w:r>
      <w:r>
        <w:rPr>
          <w:rFonts w:hint="eastAsia" w:ascii="宋体" w:hAnsi="宋体"/>
          <w:color w:val="auto"/>
          <w:szCs w:val="21"/>
          <w:highlight w:val="none"/>
          <w:u w:val="single"/>
        </w:rPr>
        <w:t>65%</w:t>
      </w:r>
      <w:r>
        <w:rPr>
          <w:rFonts w:hint="eastAsia" w:ascii="宋体" w:hAnsi="宋体"/>
          <w:color w:val="auto"/>
          <w:szCs w:val="21"/>
          <w:highlight w:val="none"/>
        </w:rPr>
        <w:t>的，即竞标报价＜通过符合性审查的次低报价供应商竞标报价×</w:t>
      </w:r>
      <w:r>
        <w:rPr>
          <w:rFonts w:hint="eastAsia" w:ascii="宋体" w:hAnsi="宋体"/>
          <w:color w:val="auto"/>
          <w:szCs w:val="21"/>
          <w:highlight w:val="none"/>
          <w:u w:val="single"/>
        </w:rPr>
        <w:t>65%</w:t>
      </w:r>
      <w:r>
        <w:rPr>
          <w:rFonts w:hint="eastAsia" w:ascii="宋体" w:hAnsi="宋体"/>
          <w:color w:val="auto"/>
          <w:szCs w:val="21"/>
          <w:highlight w:val="none"/>
        </w:rPr>
        <w:t>；</w:t>
      </w:r>
    </w:p>
    <w:p w14:paraId="7EC62077">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③竞标报价低于采购项目最高限价</w:t>
      </w:r>
      <w:r>
        <w:rPr>
          <w:rFonts w:hint="eastAsia" w:ascii="宋体" w:hAnsi="宋体"/>
          <w:color w:val="auto"/>
          <w:szCs w:val="21"/>
          <w:highlight w:val="none"/>
          <w:u w:val="single"/>
        </w:rPr>
        <w:t>65%</w:t>
      </w:r>
      <w:r>
        <w:rPr>
          <w:rFonts w:hint="eastAsia" w:ascii="宋体" w:hAnsi="宋体"/>
          <w:color w:val="auto"/>
          <w:szCs w:val="21"/>
          <w:highlight w:val="none"/>
        </w:rPr>
        <w:t>的，即竞标报价＜采购项目最高限价×</w:t>
      </w:r>
      <w:r>
        <w:rPr>
          <w:rFonts w:hint="eastAsia" w:ascii="宋体" w:hAnsi="宋体"/>
          <w:color w:val="auto"/>
          <w:szCs w:val="21"/>
          <w:highlight w:val="none"/>
          <w:u w:val="single"/>
        </w:rPr>
        <w:t>65%</w:t>
      </w:r>
      <w:r>
        <w:rPr>
          <w:rFonts w:hint="eastAsia" w:ascii="宋体" w:hAnsi="宋体"/>
          <w:color w:val="auto"/>
          <w:szCs w:val="21"/>
          <w:highlight w:val="none"/>
        </w:rPr>
        <w:t>；</w:t>
      </w:r>
    </w:p>
    <w:p w14:paraId="11D88060">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④谈判小组基于专业判断，认为供应商报价过低，有可能影响产品质量或者不能诚信履约的其他情形。</w:t>
      </w:r>
    </w:p>
    <w:p w14:paraId="39C1A231">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谈判小组启动异常低价响应审查后，属于前述第1项至第4项情形的，应当要求相关供应商在评审现场合理的时间内对响应价格作出解释，并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5477F7EF">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谈判小组依据专业经验，参考同类项目中标（成交）价格、类似产品市场价格水平、行业人工费用标准、国家有关部门指导行业协会发布的行业平均成本等情况，对报价合理性进行判断。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highlight w:val="none"/>
        </w:rPr>
        <w:t>相关供应商不能提供书面说明、证明材料，或者提供的书面说明、证明材料不能证明其报价合理性的，谈判小组应当将其作为无效响应处理。</w:t>
      </w:r>
    </w:p>
    <w:p w14:paraId="196F6644">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采购人、采购代理机构应当为谈判小组在评审现场及时获取同类项目中标（成交）价格、类似产品市场价格水平、行业人工费用标准、国家有关部门指导行业协会发布的行业平均成本等相关信息资料提供便利。谈判小组借助互联网等渠道查询相关信息的，应当严格遵守评审工作纪律，不得实施影响评审公正的行为。</w:t>
      </w:r>
    </w:p>
    <w:p w14:paraId="61B2FB65">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异常低价响应审查的启动原因、审查意见和审查结果应当在评审报告中记录，并随供应商提供的相关书面说明及证明材料，以及谈判小组有关互联网浏览、查询历史一并归档。</w:t>
      </w:r>
    </w:p>
    <w:p w14:paraId="2A63307A">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6.3政策性扣除计算方法。</w:t>
      </w:r>
    </w:p>
    <w:p w14:paraId="3A47898B">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根据《政府采购促进中小企业发展管理办法》（财库〔2020〕46号）及《广西壮族自治区财政厅关于持续优化政府采购营商环境推动高质量发展的通知》（</w:t>
      </w:r>
      <w:bookmarkStart w:id="96" w:name="OLE_LINK22"/>
      <w:bookmarkStart w:id="97" w:name="OLE_LINK23"/>
      <w:r>
        <w:rPr>
          <w:rFonts w:hint="eastAsia" w:ascii="宋体" w:hAnsi="宋体"/>
          <w:color w:val="auto"/>
          <w:szCs w:val="21"/>
          <w:highlight w:val="none"/>
        </w:rPr>
        <w:t>桂财采〔2024〕55号</w:t>
      </w:r>
      <w:bookmarkEnd w:id="96"/>
      <w:bookmarkEnd w:id="97"/>
      <w:r>
        <w:rPr>
          <w:rFonts w:hint="eastAsia" w:ascii="宋体" w:hAnsi="宋体"/>
          <w:color w:val="auto"/>
          <w:szCs w:val="21"/>
          <w:highlight w:val="none"/>
        </w:rPr>
        <w:t>）的规定，供应商在其响应文件中提供《中小企业声明函》，且响应货物全部由小微企业制造，对供应商的最后报价给予10%的扣除，扣除后的价格为评审价，即评审价=最后报价×（1-10%）。除上述情况外，评审价=最后报价。</w:t>
      </w:r>
    </w:p>
    <w:p w14:paraId="65746F70">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6.4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3EE402A4">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6.5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4C461715">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6.6本国产品政策性扣除计算方法。</w:t>
      </w:r>
    </w:p>
    <w:p w14:paraId="37F061BD">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1BE252B9">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bookmarkStart w:id="98" w:name="OLE_LINK4"/>
      <w:bookmarkStart w:id="99" w:name="OLE_LINK3"/>
      <w:r>
        <w:rPr>
          <w:rFonts w:hint="eastAsia" w:ascii="宋体" w:hAnsi="宋体"/>
          <w:color w:val="auto"/>
          <w:szCs w:val="21"/>
          <w:highlight w:val="none"/>
        </w:rPr>
        <w:t>未达到80%，不享受价格评审优惠。</w:t>
      </w:r>
      <w:bookmarkEnd w:id="98"/>
      <w:bookmarkEnd w:id="99"/>
    </w:p>
    <w:p w14:paraId="548C4C7C">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如果所有参与竞争的供应商均可享受本国产品价格评审优惠，则统一不进行价格扣除。</w:t>
      </w:r>
    </w:p>
    <w:p w14:paraId="255F239D">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供应商在其响应文件中提供《关于符合本国产品标准的声明函》或财政部会同有关部门规定的有关证明文件，出具符合要求的《声明函》或有关证明文件的，该产品视为本国产品。</w:t>
      </w:r>
    </w:p>
    <w:p w14:paraId="4DE60D75">
      <w:pPr>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6.7中小企业折扣与本国产品折扣进行叠加计算，用扣除后的价格参加评审。即评审价=竞标报价-中小企业折扣-本国产品折扣，除上述情况外，评审价=竞标报价。</w:t>
      </w:r>
    </w:p>
    <w:p w14:paraId="0D9F3007">
      <w:pPr>
        <w:spacing w:line="360" w:lineRule="auto"/>
        <w:ind w:firstLine="420" w:firstLineChars="200"/>
        <w:rPr>
          <w:rFonts w:ascii="宋体" w:hAnsi="宋体" w:cs="宋体"/>
          <w:color w:val="auto"/>
          <w:highlight w:val="none"/>
        </w:rPr>
      </w:pPr>
    </w:p>
    <w:p w14:paraId="2F022CF3">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二、评定成交的标准</w:t>
      </w:r>
    </w:p>
    <w:p w14:paraId="018326CB">
      <w:pPr>
        <w:spacing w:line="360" w:lineRule="auto"/>
        <w:ind w:firstLine="482" w:firstLineChars="200"/>
        <w:rPr>
          <w:rFonts w:ascii="黑体" w:hAnsi="黑体" w:eastAsia="黑体" w:cs="宋体"/>
          <w:b/>
          <w:bCs/>
          <w:color w:val="auto"/>
          <w:sz w:val="24"/>
          <w:highlight w:val="none"/>
        </w:rPr>
      </w:pPr>
      <w:r>
        <w:rPr>
          <w:rFonts w:ascii="黑体" w:hAnsi="黑体" w:eastAsia="黑体" w:cs="宋体"/>
          <w:b/>
          <w:bCs/>
          <w:color w:val="auto"/>
          <w:sz w:val="24"/>
          <w:highlight w:val="none"/>
        </w:rPr>
        <w:t>7.</w:t>
      </w:r>
      <w:r>
        <w:rPr>
          <w:rFonts w:hint="eastAsia" w:ascii="黑体" w:hAnsi="黑体" w:eastAsia="黑体" w:cs="宋体"/>
          <w:b/>
          <w:bCs/>
          <w:color w:val="auto"/>
          <w:sz w:val="24"/>
          <w:highlight w:val="none"/>
        </w:rPr>
        <w:t>成交候选人推荐</w:t>
      </w:r>
    </w:p>
    <w:p w14:paraId="1F73FC49">
      <w:pPr>
        <w:spacing w:line="360" w:lineRule="auto"/>
        <w:ind w:firstLine="420" w:firstLineChars="200"/>
        <w:contextualSpacing/>
        <w:rPr>
          <w:rFonts w:hAnsi="宋体"/>
          <w:color w:val="auto"/>
          <w:highlight w:val="none"/>
        </w:rPr>
      </w:pPr>
      <w:r>
        <w:rPr>
          <w:rFonts w:hint="eastAsia" w:ascii="宋体" w:hAnsi="宋体" w:cs="宋体"/>
          <w:color w:val="auto"/>
          <w:highlight w:val="none"/>
        </w:rPr>
        <w:t>谈判小组应当从质量和服务均能满足谈判文件实质性响应要求的供应商中，按照评审价由低到高的顺序提出3名以上成交候选人（评审价相同时，按照最后报价由低到高顺序依次推荐；最后报价相同时，由谈判小组按“供应商须知前附表”第2</w:t>
      </w:r>
      <w:r>
        <w:rPr>
          <w:rFonts w:ascii="宋体" w:hAnsi="宋体" w:cs="宋体"/>
          <w:color w:val="auto"/>
          <w:highlight w:val="none"/>
        </w:rPr>
        <w:t>6</w:t>
      </w:r>
      <w:r>
        <w:rPr>
          <w:rFonts w:hint="eastAsia" w:ascii="宋体" w:hAnsi="宋体" w:cs="宋体"/>
          <w:color w:val="auto"/>
          <w:highlight w:val="none"/>
        </w:rPr>
        <w:t>条规定的顺序推荐），并编写评审报告，评审报告</w:t>
      </w:r>
      <w:r>
        <w:rPr>
          <w:rFonts w:hint="eastAsia" w:hAnsi="宋体"/>
          <w:color w:val="auto"/>
          <w:highlight w:val="none"/>
        </w:rPr>
        <w:t>通过电子交易平台向采购人、采购代理机构提交。</w:t>
      </w:r>
    </w:p>
    <w:p w14:paraId="3FA23B63">
      <w:pPr>
        <w:spacing w:line="360" w:lineRule="auto"/>
        <w:ind w:firstLine="420" w:firstLineChars="200"/>
        <w:rPr>
          <w:rFonts w:ascii="宋体" w:hAnsi="宋体" w:cs="宋体"/>
          <w:color w:val="auto"/>
          <w:highlight w:val="none"/>
        </w:rPr>
      </w:pPr>
      <w:r>
        <w:rPr>
          <w:rFonts w:ascii="宋体" w:hAnsi="宋体" w:cs="宋体"/>
          <w:color w:val="auto"/>
          <w:highlight w:val="none"/>
        </w:rPr>
        <w:br w:type="page"/>
      </w:r>
    </w:p>
    <w:p w14:paraId="4DCD1327">
      <w:pPr>
        <w:rPr>
          <w:color w:val="auto"/>
          <w:highlight w:val="none"/>
        </w:rPr>
      </w:pPr>
    </w:p>
    <w:p w14:paraId="4F649A94">
      <w:pPr>
        <w:rPr>
          <w:color w:val="auto"/>
          <w:highlight w:val="none"/>
        </w:rPr>
      </w:pPr>
    </w:p>
    <w:p w14:paraId="618B10AE">
      <w:pPr>
        <w:rPr>
          <w:color w:val="auto"/>
          <w:highlight w:val="none"/>
        </w:rPr>
      </w:pPr>
    </w:p>
    <w:p w14:paraId="2F0BD926">
      <w:pPr>
        <w:rPr>
          <w:color w:val="auto"/>
          <w:highlight w:val="none"/>
        </w:rPr>
      </w:pPr>
    </w:p>
    <w:p w14:paraId="74965CE5">
      <w:pPr>
        <w:rPr>
          <w:color w:val="auto"/>
          <w:highlight w:val="none"/>
        </w:rPr>
      </w:pPr>
    </w:p>
    <w:p w14:paraId="4776B214">
      <w:pPr>
        <w:rPr>
          <w:color w:val="auto"/>
          <w:highlight w:val="none"/>
        </w:rPr>
      </w:pPr>
    </w:p>
    <w:p w14:paraId="2F9A90E5">
      <w:pPr>
        <w:rPr>
          <w:color w:val="auto"/>
          <w:highlight w:val="none"/>
        </w:rPr>
      </w:pPr>
    </w:p>
    <w:p w14:paraId="57B55CAF">
      <w:pPr>
        <w:rPr>
          <w:color w:val="auto"/>
          <w:highlight w:val="none"/>
        </w:rPr>
      </w:pPr>
    </w:p>
    <w:p w14:paraId="63B187F4">
      <w:pPr>
        <w:rPr>
          <w:color w:val="auto"/>
          <w:highlight w:val="none"/>
        </w:rPr>
      </w:pPr>
    </w:p>
    <w:p w14:paraId="2CB98870">
      <w:pPr>
        <w:rPr>
          <w:color w:val="auto"/>
          <w:highlight w:val="none"/>
        </w:rPr>
      </w:pPr>
    </w:p>
    <w:p w14:paraId="64B400A2">
      <w:pPr>
        <w:rPr>
          <w:color w:val="auto"/>
          <w:highlight w:val="none"/>
        </w:rPr>
      </w:pPr>
    </w:p>
    <w:p w14:paraId="68893FC9">
      <w:pPr>
        <w:rPr>
          <w:color w:val="auto"/>
          <w:highlight w:val="none"/>
        </w:rPr>
      </w:pPr>
    </w:p>
    <w:p w14:paraId="7460E24D">
      <w:pPr>
        <w:rPr>
          <w:color w:val="auto"/>
          <w:highlight w:val="none"/>
        </w:rPr>
      </w:pPr>
    </w:p>
    <w:p w14:paraId="43D68D79">
      <w:pPr>
        <w:pStyle w:val="2"/>
        <w:jc w:val="center"/>
        <w:rPr>
          <w:color w:val="auto"/>
          <w:highlight w:val="none"/>
        </w:rPr>
      </w:pPr>
      <w:bookmarkStart w:id="100" w:name="_Toc196311783"/>
      <w:r>
        <w:rPr>
          <w:rFonts w:hint="eastAsia"/>
          <w:color w:val="auto"/>
          <w:highlight w:val="none"/>
        </w:rPr>
        <w:t>第五章 响应文件格式</w:t>
      </w:r>
      <w:bookmarkEnd w:id="94"/>
      <w:bookmarkEnd w:id="100"/>
    </w:p>
    <w:p w14:paraId="18FE2B35">
      <w:pPr>
        <w:spacing w:line="240" w:lineRule="atLeast"/>
        <w:rPr>
          <w:rFonts w:ascii="宋体" w:hAnsi="宋体"/>
          <w:b/>
          <w:color w:val="auto"/>
          <w:sz w:val="32"/>
          <w:szCs w:val="32"/>
          <w:highlight w:val="none"/>
        </w:rPr>
      </w:pPr>
    </w:p>
    <w:p w14:paraId="69CC5855">
      <w:pPr>
        <w:spacing w:line="240" w:lineRule="atLeast"/>
        <w:rPr>
          <w:rFonts w:ascii="宋体" w:hAnsi="宋体"/>
          <w:b/>
          <w:color w:val="auto"/>
          <w:sz w:val="32"/>
          <w:szCs w:val="32"/>
          <w:highlight w:val="none"/>
        </w:rPr>
      </w:pPr>
    </w:p>
    <w:p w14:paraId="5F65AB0A">
      <w:pPr>
        <w:spacing w:line="240" w:lineRule="atLeast"/>
        <w:rPr>
          <w:rFonts w:ascii="宋体" w:hAnsi="宋体"/>
          <w:b/>
          <w:color w:val="auto"/>
          <w:sz w:val="32"/>
          <w:szCs w:val="32"/>
          <w:highlight w:val="none"/>
        </w:rPr>
      </w:pPr>
    </w:p>
    <w:p w14:paraId="5A5F89A1">
      <w:pPr>
        <w:spacing w:line="240" w:lineRule="atLeast"/>
        <w:rPr>
          <w:rFonts w:ascii="宋体" w:hAnsi="宋体"/>
          <w:b/>
          <w:color w:val="auto"/>
          <w:sz w:val="32"/>
          <w:szCs w:val="32"/>
          <w:highlight w:val="none"/>
        </w:rPr>
      </w:pPr>
    </w:p>
    <w:p w14:paraId="1E2FCE04">
      <w:pPr>
        <w:spacing w:line="240" w:lineRule="atLeast"/>
        <w:rPr>
          <w:rFonts w:ascii="宋体" w:hAnsi="宋体"/>
          <w:b/>
          <w:color w:val="auto"/>
          <w:sz w:val="32"/>
          <w:szCs w:val="32"/>
          <w:highlight w:val="none"/>
        </w:rPr>
      </w:pPr>
    </w:p>
    <w:p w14:paraId="2AFF31D7">
      <w:pPr>
        <w:spacing w:line="240" w:lineRule="atLeast"/>
        <w:rPr>
          <w:rFonts w:ascii="宋体" w:hAnsi="宋体"/>
          <w:b/>
          <w:color w:val="auto"/>
          <w:sz w:val="32"/>
          <w:szCs w:val="32"/>
          <w:highlight w:val="none"/>
        </w:rPr>
      </w:pPr>
    </w:p>
    <w:p w14:paraId="1B27DC66">
      <w:pPr>
        <w:spacing w:line="240" w:lineRule="atLeast"/>
        <w:rPr>
          <w:rFonts w:ascii="宋体" w:hAnsi="宋体"/>
          <w:b/>
          <w:color w:val="auto"/>
          <w:sz w:val="32"/>
          <w:szCs w:val="32"/>
          <w:highlight w:val="none"/>
        </w:rPr>
      </w:pPr>
    </w:p>
    <w:p w14:paraId="633EFFFB">
      <w:pPr>
        <w:spacing w:line="240" w:lineRule="atLeast"/>
        <w:rPr>
          <w:rFonts w:ascii="宋体" w:hAnsi="宋体"/>
          <w:b/>
          <w:color w:val="auto"/>
          <w:sz w:val="32"/>
          <w:szCs w:val="32"/>
          <w:highlight w:val="none"/>
        </w:rPr>
      </w:pPr>
    </w:p>
    <w:p w14:paraId="02EF329A">
      <w:pPr>
        <w:spacing w:line="240" w:lineRule="atLeast"/>
        <w:rPr>
          <w:rFonts w:ascii="宋体" w:hAnsi="宋体"/>
          <w:b/>
          <w:color w:val="auto"/>
          <w:sz w:val="32"/>
          <w:szCs w:val="32"/>
          <w:highlight w:val="none"/>
        </w:rPr>
      </w:pPr>
    </w:p>
    <w:p w14:paraId="2D74FF6F">
      <w:pPr>
        <w:spacing w:line="240" w:lineRule="atLeast"/>
        <w:rPr>
          <w:rFonts w:ascii="宋体" w:hAnsi="宋体"/>
          <w:b/>
          <w:color w:val="auto"/>
          <w:sz w:val="32"/>
          <w:szCs w:val="32"/>
          <w:highlight w:val="none"/>
        </w:rPr>
      </w:pPr>
    </w:p>
    <w:p w14:paraId="7C7815B9">
      <w:pPr>
        <w:spacing w:line="240" w:lineRule="atLeast"/>
        <w:rPr>
          <w:rFonts w:ascii="宋体" w:hAnsi="宋体"/>
          <w:b/>
          <w:color w:val="auto"/>
          <w:sz w:val="32"/>
          <w:szCs w:val="32"/>
          <w:highlight w:val="none"/>
        </w:rPr>
      </w:pPr>
    </w:p>
    <w:p w14:paraId="25E6473B">
      <w:pPr>
        <w:rPr>
          <w:b/>
          <w:color w:val="auto"/>
          <w:sz w:val="32"/>
          <w:szCs w:val="32"/>
          <w:highlight w:val="none"/>
        </w:rPr>
      </w:pPr>
      <w:bookmarkStart w:id="101" w:name="_Toc71366060"/>
      <w:bookmarkStart w:id="102" w:name="_Toc71365382"/>
      <w:r>
        <w:rPr>
          <w:b/>
          <w:color w:val="auto"/>
          <w:sz w:val="32"/>
          <w:szCs w:val="32"/>
          <w:highlight w:val="none"/>
        </w:rPr>
        <w:br w:type="page"/>
      </w:r>
      <w:r>
        <w:rPr>
          <w:rFonts w:hint="eastAsia"/>
          <w:b/>
          <w:color w:val="auto"/>
          <w:sz w:val="32"/>
          <w:szCs w:val="32"/>
          <w:highlight w:val="none"/>
        </w:rPr>
        <w:t>一、资格证明文件格式</w:t>
      </w:r>
      <w:bookmarkEnd w:id="101"/>
      <w:bookmarkEnd w:id="102"/>
    </w:p>
    <w:p w14:paraId="0E476101">
      <w:pPr>
        <w:snapToGrid w:val="0"/>
        <w:spacing w:before="120" w:beforeLines="50" w:after="50" w:line="360" w:lineRule="auto"/>
        <w:jc w:val="left"/>
        <w:rPr>
          <w:rFonts w:ascii="宋体" w:hAnsi="宋体"/>
          <w:b/>
          <w:color w:val="auto"/>
          <w:sz w:val="24"/>
          <w:highlight w:val="none"/>
        </w:rPr>
      </w:pPr>
      <w:r>
        <w:rPr>
          <w:rFonts w:hint="eastAsia" w:ascii="宋体" w:hAnsi="宋体"/>
          <w:b/>
          <w:color w:val="auto"/>
          <w:sz w:val="32"/>
          <w:szCs w:val="32"/>
          <w:highlight w:val="none"/>
        </w:rPr>
        <w:t>1.资格证明文件封面格式：</w:t>
      </w:r>
    </w:p>
    <w:p w14:paraId="63610A2D">
      <w:pPr>
        <w:snapToGrid w:val="0"/>
        <w:spacing w:before="120" w:beforeLines="50" w:after="50"/>
        <w:rPr>
          <w:rFonts w:ascii="宋体" w:hAnsi="宋体"/>
          <w:bCs/>
          <w:color w:val="auto"/>
          <w:sz w:val="32"/>
          <w:szCs w:val="20"/>
          <w:highlight w:val="none"/>
        </w:rPr>
      </w:pPr>
    </w:p>
    <w:p w14:paraId="1CD03DA3">
      <w:pPr>
        <w:snapToGrid w:val="0"/>
        <w:spacing w:before="120" w:beforeLines="50" w:after="50"/>
        <w:jc w:val="center"/>
        <w:rPr>
          <w:rFonts w:ascii="宋体" w:hAnsi="宋体"/>
          <w:color w:val="auto"/>
          <w:sz w:val="44"/>
          <w:szCs w:val="44"/>
          <w:highlight w:val="none"/>
        </w:rPr>
      </w:pPr>
      <w:r>
        <w:rPr>
          <w:rFonts w:hint="eastAsia" w:ascii="宋体" w:hAnsi="宋体"/>
          <w:color w:val="auto"/>
          <w:sz w:val="44"/>
          <w:szCs w:val="44"/>
          <w:highlight w:val="none"/>
        </w:rPr>
        <w:t>电子响应文件</w:t>
      </w:r>
    </w:p>
    <w:p w14:paraId="7BD94F28">
      <w:pPr>
        <w:snapToGrid w:val="0"/>
        <w:spacing w:before="120" w:beforeLines="50" w:after="50"/>
        <w:rPr>
          <w:rFonts w:ascii="宋体" w:hAnsi="宋体"/>
          <w:color w:val="auto"/>
          <w:sz w:val="24"/>
          <w:szCs w:val="20"/>
          <w:highlight w:val="none"/>
        </w:rPr>
      </w:pPr>
    </w:p>
    <w:p w14:paraId="5ABEB388">
      <w:pPr>
        <w:snapToGrid w:val="0"/>
        <w:spacing w:before="120" w:beforeLines="50" w:after="50"/>
        <w:jc w:val="center"/>
        <w:rPr>
          <w:rFonts w:ascii="Arial Unicode MS" w:hAnsi="Arial Unicode MS" w:eastAsia="Arial Unicode MS" w:cs="Arial Unicode MS"/>
          <w:bCs/>
          <w:color w:val="auto"/>
          <w:sz w:val="44"/>
          <w:szCs w:val="44"/>
          <w:highlight w:val="none"/>
        </w:rPr>
      </w:pPr>
      <w:r>
        <w:rPr>
          <w:rFonts w:hint="eastAsia" w:ascii="Arial Unicode MS" w:hAnsi="Arial Unicode MS" w:eastAsia="Arial Unicode MS" w:cs="Arial Unicode MS"/>
          <w:bCs/>
          <w:color w:val="auto"/>
          <w:sz w:val="44"/>
          <w:szCs w:val="44"/>
          <w:highlight w:val="none"/>
        </w:rPr>
        <w:t>资格证明文件</w:t>
      </w:r>
    </w:p>
    <w:p w14:paraId="60FA47F0">
      <w:pPr>
        <w:snapToGrid w:val="0"/>
        <w:spacing w:before="120" w:beforeLines="50" w:after="50"/>
        <w:rPr>
          <w:rFonts w:ascii="宋体" w:hAnsi="宋体"/>
          <w:bCs/>
          <w:color w:val="auto"/>
          <w:sz w:val="24"/>
          <w:szCs w:val="20"/>
          <w:highlight w:val="none"/>
        </w:rPr>
      </w:pPr>
    </w:p>
    <w:p w14:paraId="7CA6B2BA">
      <w:pPr>
        <w:snapToGrid w:val="0"/>
        <w:spacing w:before="120" w:beforeLines="50" w:after="50"/>
        <w:rPr>
          <w:rFonts w:ascii="宋体" w:hAnsi="宋体"/>
          <w:bCs/>
          <w:color w:val="auto"/>
          <w:sz w:val="24"/>
          <w:szCs w:val="20"/>
          <w:highlight w:val="none"/>
        </w:rPr>
      </w:pPr>
    </w:p>
    <w:p w14:paraId="22238308">
      <w:pPr>
        <w:snapToGrid w:val="0"/>
        <w:spacing w:before="120" w:beforeLines="50" w:after="50"/>
        <w:rPr>
          <w:rFonts w:ascii="宋体" w:hAnsi="宋体"/>
          <w:bCs/>
          <w:color w:val="auto"/>
          <w:sz w:val="24"/>
          <w:szCs w:val="20"/>
          <w:highlight w:val="none"/>
        </w:rPr>
      </w:pPr>
    </w:p>
    <w:p w14:paraId="47668E51">
      <w:pPr>
        <w:snapToGrid w:val="0"/>
        <w:spacing w:before="120" w:beforeLines="50" w:after="50"/>
        <w:rPr>
          <w:rFonts w:ascii="宋体" w:hAnsi="宋体"/>
          <w:bCs/>
          <w:color w:val="auto"/>
          <w:sz w:val="24"/>
          <w:szCs w:val="20"/>
          <w:highlight w:val="none"/>
        </w:rPr>
      </w:pPr>
    </w:p>
    <w:p w14:paraId="446E8D0C">
      <w:pPr>
        <w:snapToGrid w:val="0"/>
        <w:spacing w:before="120" w:beforeLines="50" w:after="50"/>
        <w:rPr>
          <w:rFonts w:ascii="宋体" w:hAnsi="宋体"/>
          <w:bCs/>
          <w:color w:val="auto"/>
          <w:sz w:val="24"/>
          <w:szCs w:val="20"/>
          <w:highlight w:val="none"/>
        </w:rPr>
      </w:pPr>
    </w:p>
    <w:p w14:paraId="6025D41B">
      <w:pPr>
        <w:snapToGrid w:val="0"/>
        <w:spacing w:before="120"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26470C57">
      <w:pPr>
        <w:snapToGrid w:val="0"/>
        <w:spacing w:before="120" w:beforeLines="50" w:after="50"/>
        <w:ind w:firstLine="720" w:firstLineChars="225"/>
        <w:rPr>
          <w:rFonts w:ascii="宋体" w:hAnsi="宋体" w:cs="仿宋_GB2312"/>
          <w:bCs/>
          <w:color w:val="auto"/>
          <w:sz w:val="32"/>
          <w:szCs w:val="32"/>
          <w:highlight w:val="none"/>
        </w:rPr>
      </w:pPr>
    </w:p>
    <w:p w14:paraId="0EB13B1A">
      <w:pPr>
        <w:snapToGrid w:val="0"/>
        <w:spacing w:before="120" w:beforeLines="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40351196">
      <w:pPr>
        <w:snapToGrid w:val="0"/>
        <w:spacing w:before="120" w:beforeLines="50" w:after="50"/>
        <w:ind w:firstLine="720" w:firstLineChars="225"/>
        <w:rPr>
          <w:rFonts w:ascii="宋体" w:hAnsi="宋体" w:cs="仿宋_GB2312"/>
          <w:bCs/>
          <w:color w:val="auto"/>
          <w:sz w:val="32"/>
          <w:szCs w:val="32"/>
          <w:highlight w:val="none"/>
        </w:rPr>
      </w:pPr>
    </w:p>
    <w:p w14:paraId="4EF089B9">
      <w:pPr>
        <w:snapToGrid w:val="0"/>
        <w:spacing w:before="120" w:beforeLines="50" w:after="50"/>
        <w:ind w:firstLine="720" w:firstLineChars="225"/>
        <w:rPr>
          <w:rFonts w:ascii="宋体" w:hAnsi="宋体" w:cs="仿宋_GB2312"/>
          <w:bCs/>
          <w:color w:val="auto"/>
          <w:sz w:val="32"/>
          <w:szCs w:val="32"/>
          <w:highlight w:val="none"/>
        </w:rPr>
      </w:pPr>
    </w:p>
    <w:p w14:paraId="7CE05D10">
      <w:pPr>
        <w:pStyle w:val="9"/>
        <w:snapToGrid w:val="0"/>
        <w:spacing w:before="50" w:after="50"/>
        <w:ind w:firstLine="720" w:firstLineChars="225"/>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465F2D5E">
      <w:pPr>
        <w:snapToGrid w:val="0"/>
        <w:spacing w:before="120" w:beforeLines="50" w:after="50"/>
        <w:ind w:firstLine="640" w:firstLineChars="200"/>
        <w:rPr>
          <w:rFonts w:ascii="宋体" w:hAnsi="宋体" w:cs="仿宋_GB2312"/>
          <w:bCs/>
          <w:color w:val="auto"/>
          <w:sz w:val="32"/>
          <w:szCs w:val="32"/>
          <w:highlight w:val="none"/>
        </w:rPr>
      </w:pPr>
    </w:p>
    <w:p w14:paraId="4C5C410B">
      <w:pPr>
        <w:pStyle w:val="9"/>
        <w:snapToGrid w:val="0"/>
        <w:spacing w:before="50" w:after="50"/>
        <w:ind w:firstLine="720" w:firstLineChars="225"/>
        <w:rPr>
          <w:rFonts w:ascii="宋体" w:hAnsi="宋体" w:cs="仿宋_GB2312"/>
          <w:bCs/>
          <w:color w:val="auto"/>
          <w:sz w:val="32"/>
          <w:szCs w:val="32"/>
          <w:highlight w:val="none"/>
        </w:rPr>
      </w:pPr>
    </w:p>
    <w:p w14:paraId="0A38314B">
      <w:pPr>
        <w:pStyle w:val="9"/>
        <w:snapToGrid w:val="0"/>
        <w:spacing w:before="50" w:after="50"/>
        <w:ind w:firstLine="720" w:firstLineChars="225"/>
        <w:rPr>
          <w:rFonts w:ascii="宋体" w:hAnsi="宋体" w:cs="仿宋_GB2312"/>
          <w:bCs/>
          <w:color w:val="auto"/>
          <w:sz w:val="32"/>
          <w:szCs w:val="32"/>
          <w:highlight w:val="none"/>
        </w:rPr>
      </w:pPr>
    </w:p>
    <w:p w14:paraId="28C7CC1C">
      <w:pPr>
        <w:pStyle w:val="9"/>
        <w:snapToGrid w:val="0"/>
        <w:spacing w:before="50" w:after="50"/>
        <w:ind w:firstLine="1280" w:firstLineChars="400"/>
        <w:rPr>
          <w:rFonts w:ascii="宋体" w:hAnsi="宋体" w:cs="仿宋_GB2312"/>
          <w:bCs/>
          <w:color w:val="auto"/>
          <w:sz w:val="32"/>
          <w:szCs w:val="32"/>
          <w:highlight w:val="none"/>
        </w:rPr>
      </w:pPr>
    </w:p>
    <w:p w14:paraId="13EE1B0D">
      <w:pPr>
        <w:snapToGrid w:val="0"/>
        <w:spacing w:before="120" w:beforeLines="5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30908323">
      <w:pPr>
        <w:snapToGrid w:val="0"/>
        <w:spacing w:before="120" w:beforeLines="50" w:after="50" w:line="360" w:lineRule="auto"/>
        <w:ind w:left="142"/>
        <w:jc w:val="left"/>
        <w:rPr>
          <w:rFonts w:ascii="宋体" w:hAnsi="宋体"/>
          <w:b/>
          <w:bCs/>
          <w:color w:val="auto"/>
          <w:sz w:val="32"/>
          <w:szCs w:val="32"/>
          <w:highlight w:val="none"/>
        </w:rPr>
      </w:pPr>
      <w:r>
        <w:rPr>
          <w:rFonts w:ascii="宋体" w:hAnsi="宋体"/>
          <w:color w:val="auto"/>
          <w:sz w:val="24"/>
          <w:highlight w:val="none"/>
        </w:rPr>
        <w:br w:type="page"/>
      </w:r>
      <w:r>
        <w:rPr>
          <w:rFonts w:hint="eastAsia" w:ascii="宋体" w:hAnsi="宋体"/>
          <w:b/>
          <w:bCs/>
          <w:color w:val="auto"/>
          <w:sz w:val="32"/>
          <w:szCs w:val="32"/>
          <w:highlight w:val="none"/>
        </w:rPr>
        <w:t>2.资格证明文件目录</w:t>
      </w:r>
    </w:p>
    <w:p w14:paraId="33039F25">
      <w:pPr>
        <w:snapToGrid w:val="0"/>
        <w:spacing w:before="120" w:beforeLines="50" w:after="50" w:line="360" w:lineRule="auto"/>
        <w:rPr>
          <w:rFonts w:ascii="宋体" w:hAnsi="宋体"/>
          <w:color w:val="auto"/>
          <w:sz w:val="32"/>
          <w:szCs w:val="32"/>
          <w:highlight w:val="none"/>
        </w:rPr>
      </w:pPr>
      <w:r>
        <w:rPr>
          <w:rFonts w:hint="eastAsia" w:ascii="宋体" w:hAnsi="宋体"/>
          <w:color w:val="auto"/>
          <w:sz w:val="32"/>
          <w:szCs w:val="32"/>
          <w:highlight w:val="none"/>
        </w:rPr>
        <w:t>根据谈判文件规定及供应商提供的材料自行编写目录（部分格式后附）。</w:t>
      </w:r>
    </w:p>
    <w:p w14:paraId="2CFD2895">
      <w:pPr>
        <w:snapToGrid w:val="0"/>
        <w:spacing w:before="120" w:beforeLines="50" w:after="50" w:line="360" w:lineRule="auto"/>
        <w:rPr>
          <w:rFonts w:ascii="宋体" w:hAnsi="宋体"/>
          <w:color w:val="auto"/>
          <w:sz w:val="24"/>
          <w:szCs w:val="20"/>
          <w:highlight w:val="none"/>
        </w:rPr>
      </w:pPr>
    </w:p>
    <w:p w14:paraId="070AA351">
      <w:pPr>
        <w:spacing w:line="360" w:lineRule="auto"/>
        <w:rPr>
          <w:rFonts w:ascii="宋体" w:hAnsi="宋体"/>
          <w:color w:val="auto"/>
          <w:szCs w:val="21"/>
          <w:highlight w:val="none"/>
        </w:rPr>
      </w:pPr>
    </w:p>
    <w:p w14:paraId="3E27FCF8">
      <w:pPr>
        <w:spacing w:line="360" w:lineRule="auto"/>
        <w:rPr>
          <w:rFonts w:ascii="宋体" w:hAnsi="宋体"/>
          <w:color w:val="auto"/>
          <w:szCs w:val="21"/>
          <w:highlight w:val="none"/>
        </w:rPr>
      </w:pPr>
    </w:p>
    <w:p w14:paraId="1F2085D2">
      <w:pPr>
        <w:spacing w:line="360" w:lineRule="auto"/>
        <w:rPr>
          <w:rFonts w:ascii="宋体" w:hAnsi="宋体"/>
          <w:color w:val="auto"/>
          <w:szCs w:val="21"/>
          <w:highlight w:val="none"/>
        </w:rPr>
      </w:pPr>
    </w:p>
    <w:p w14:paraId="3DBA86F5">
      <w:pPr>
        <w:spacing w:line="360" w:lineRule="auto"/>
        <w:rPr>
          <w:rFonts w:ascii="宋体" w:hAnsi="宋体"/>
          <w:color w:val="auto"/>
          <w:szCs w:val="21"/>
          <w:highlight w:val="none"/>
        </w:rPr>
      </w:pPr>
    </w:p>
    <w:p w14:paraId="37D82B4A">
      <w:pPr>
        <w:spacing w:line="300" w:lineRule="auto"/>
        <w:rPr>
          <w:rFonts w:ascii="宋体" w:hAnsi="宋体"/>
          <w:color w:val="auto"/>
          <w:szCs w:val="21"/>
          <w:highlight w:val="none"/>
        </w:rPr>
      </w:pPr>
    </w:p>
    <w:p w14:paraId="7B0177E4">
      <w:pPr>
        <w:spacing w:line="300" w:lineRule="auto"/>
        <w:rPr>
          <w:rFonts w:ascii="宋体" w:hAnsi="宋体"/>
          <w:color w:val="auto"/>
          <w:szCs w:val="21"/>
          <w:highlight w:val="none"/>
        </w:rPr>
      </w:pPr>
    </w:p>
    <w:p w14:paraId="02616702">
      <w:pPr>
        <w:spacing w:line="300" w:lineRule="auto"/>
        <w:rPr>
          <w:rFonts w:ascii="宋体" w:hAnsi="宋体"/>
          <w:color w:val="auto"/>
          <w:szCs w:val="21"/>
          <w:highlight w:val="none"/>
        </w:rPr>
      </w:pPr>
    </w:p>
    <w:p w14:paraId="6DB970E5">
      <w:pPr>
        <w:spacing w:line="300" w:lineRule="auto"/>
        <w:rPr>
          <w:rFonts w:ascii="宋体" w:hAnsi="宋体"/>
          <w:color w:val="auto"/>
          <w:szCs w:val="21"/>
          <w:highlight w:val="none"/>
        </w:rPr>
      </w:pPr>
    </w:p>
    <w:p w14:paraId="7E2CF1BC">
      <w:pPr>
        <w:spacing w:line="300" w:lineRule="auto"/>
        <w:rPr>
          <w:rFonts w:ascii="宋体" w:hAnsi="宋体"/>
          <w:color w:val="auto"/>
          <w:szCs w:val="21"/>
          <w:highlight w:val="none"/>
        </w:rPr>
      </w:pPr>
    </w:p>
    <w:p w14:paraId="1D42A379">
      <w:pPr>
        <w:spacing w:line="300" w:lineRule="auto"/>
        <w:rPr>
          <w:rFonts w:ascii="宋体" w:hAnsi="宋体"/>
          <w:color w:val="auto"/>
          <w:szCs w:val="21"/>
          <w:highlight w:val="none"/>
        </w:rPr>
      </w:pPr>
    </w:p>
    <w:p w14:paraId="20861B45">
      <w:pPr>
        <w:spacing w:line="300" w:lineRule="auto"/>
        <w:rPr>
          <w:rFonts w:ascii="宋体" w:hAnsi="宋体"/>
          <w:color w:val="auto"/>
          <w:szCs w:val="21"/>
          <w:highlight w:val="none"/>
        </w:rPr>
      </w:pPr>
    </w:p>
    <w:p w14:paraId="53D0F663">
      <w:pPr>
        <w:spacing w:line="300" w:lineRule="auto"/>
        <w:rPr>
          <w:rFonts w:ascii="宋体" w:hAnsi="宋体"/>
          <w:color w:val="auto"/>
          <w:szCs w:val="21"/>
          <w:highlight w:val="none"/>
        </w:rPr>
      </w:pPr>
    </w:p>
    <w:p w14:paraId="12892961">
      <w:pPr>
        <w:spacing w:line="300" w:lineRule="auto"/>
        <w:rPr>
          <w:rFonts w:ascii="宋体" w:hAnsi="宋体"/>
          <w:color w:val="auto"/>
          <w:szCs w:val="21"/>
          <w:highlight w:val="none"/>
        </w:rPr>
      </w:pPr>
    </w:p>
    <w:p w14:paraId="330539EB">
      <w:pPr>
        <w:spacing w:line="300" w:lineRule="auto"/>
        <w:rPr>
          <w:rFonts w:ascii="宋体" w:hAnsi="宋体"/>
          <w:color w:val="auto"/>
          <w:szCs w:val="21"/>
          <w:highlight w:val="none"/>
        </w:rPr>
      </w:pPr>
    </w:p>
    <w:p w14:paraId="6A8BB161">
      <w:pPr>
        <w:spacing w:line="300" w:lineRule="auto"/>
        <w:rPr>
          <w:rFonts w:ascii="宋体" w:hAnsi="宋体"/>
          <w:color w:val="auto"/>
          <w:szCs w:val="21"/>
          <w:highlight w:val="none"/>
        </w:rPr>
      </w:pPr>
    </w:p>
    <w:p w14:paraId="0C20BB3F">
      <w:pPr>
        <w:spacing w:line="320" w:lineRule="exact"/>
        <w:jc w:val="left"/>
        <w:rPr>
          <w:rFonts w:ascii="宋体" w:hAnsi="宋体"/>
          <w:color w:val="auto"/>
          <w:szCs w:val="21"/>
          <w:highlight w:val="none"/>
        </w:rPr>
      </w:pPr>
    </w:p>
    <w:p w14:paraId="5EBC0DAB">
      <w:pPr>
        <w:adjustRightInd w:val="0"/>
        <w:snapToGrid w:val="0"/>
        <w:spacing w:line="300" w:lineRule="auto"/>
        <w:jc w:val="center"/>
        <w:rPr>
          <w:rFonts w:ascii="宋体" w:hAnsi="宋体"/>
          <w:b/>
          <w:color w:val="auto"/>
          <w:sz w:val="32"/>
          <w:szCs w:val="32"/>
          <w:highlight w:val="none"/>
        </w:rPr>
      </w:pPr>
      <w:r>
        <w:rPr>
          <w:rFonts w:ascii="宋体" w:hAnsi="宋体"/>
          <w:b/>
          <w:color w:val="auto"/>
          <w:sz w:val="32"/>
          <w:szCs w:val="32"/>
          <w:highlight w:val="none"/>
        </w:rPr>
        <w:br w:type="page"/>
      </w:r>
      <w:r>
        <w:rPr>
          <w:rFonts w:hint="eastAsia" w:ascii="宋体" w:hAnsi="宋体"/>
          <w:b/>
          <w:color w:val="auto"/>
          <w:sz w:val="32"/>
          <w:szCs w:val="32"/>
          <w:highlight w:val="none"/>
        </w:rPr>
        <w:t>供应商直接控股股东信息表</w:t>
      </w:r>
    </w:p>
    <w:p w14:paraId="6F653248">
      <w:pPr>
        <w:snapToGrid w:val="0"/>
        <w:spacing w:before="50" w:after="120" w:afterLines="50"/>
        <w:jc w:val="center"/>
        <w:rPr>
          <w:rFonts w:ascii="宋体" w:hAnsi="宋体"/>
          <w:b/>
          <w:color w:val="auto"/>
          <w:sz w:val="32"/>
          <w:szCs w:val="32"/>
          <w:highlight w:val="none"/>
        </w:rPr>
      </w:pPr>
    </w:p>
    <w:tbl>
      <w:tblPr>
        <w:tblStyle w:val="26"/>
        <w:tblW w:w="9478" w:type="dxa"/>
        <w:jc w:val="center"/>
        <w:shd w:val="clear" w:color="auto" w:fill="FBFBFB"/>
        <w:tblLayout w:type="fixed"/>
        <w:tblCellMar>
          <w:top w:w="0" w:type="dxa"/>
          <w:left w:w="0" w:type="dxa"/>
          <w:bottom w:w="0" w:type="dxa"/>
          <w:right w:w="0" w:type="dxa"/>
        </w:tblCellMar>
      </w:tblPr>
      <w:tblGrid>
        <w:gridCol w:w="822"/>
        <w:gridCol w:w="2480"/>
        <w:gridCol w:w="1359"/>
        <w:gridCol w:w="4005"/>
        <w:gridCol w:w="812"/>
      </w:tblGrid>
      <w:tr w14:paraId="7AD3D81E">
        <w:tblPrEx>
          <w:shd w:val="clear" w:color="auto" w:fill="FBFBFB"/>
          <w:tblCellMar>
            <w:top w:w="0" w:type="dxa"/>
            <w:left w:w="0" w:type="dxa"/>
            <w:bottom w:w="0" w:type="dxa"/>
            <w:right w:w="0" w:type="dxa"/>
          </w:tblCellMar>
        </w:tblPrEx>
        <w:trPr>
          <w:trHeight w:val="1214" w:hRule="atLeast"/>
          <w:tblHeader/>
          <w:jc w:val="center"/>
        </w:trPr>
        <w:tc>
          <w:tcPr>
            <w:tcW w:w="8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846FA35">
            <w:pPr>
              <w:widowControl/>
              <w:spacing w:line="360" w:lineRule="auto"/>
              <w:jc w:val="center"/>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序号</w:t>
            </w:r>
          </w:p>
        </w:tc>
        <w:tc>
          <w:tcPr>
            <w:tcW w:w="248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5F97514">
            <w:pPr>
              <w:widowControl/>
              <w:spacing w:line="360" w:lineRule="auto"/>
              <w:jc w:val="center"/>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直接控股股东名称</w:t>
            </w:r>
          </w:p>
        </w:tc>
        <w:tc>
          <w:tcPr>
            <w:tcW w:w="13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E0D7872">
            <w:pPr>
              <w:widowControl/>
              <w:spacing w:line="360" w:lineRule="auto"/>
              <w:jc w:val="center"/>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出资比例</w:t>
            </w:r>
          </w:p>
        </w:tc>
        <w:tc>
          <w:tcPr>
            <w:tcW w:w="4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5D2BB1A">
            <w:pPr>
              <w:widowControl/>
              <w:spacing w:line="360" w:lineRule="auto"/>
              <w:jc w:val="center"/>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身份证号码或者统一社会信用代码</w:t>
            </w:r>
          </w:p>
        </w:tc>
        <w:tc>
          <w:tcPr>
            <w:tcW w:w="81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060C0DD">
            <w:pPr>
              <w:widowControl/>
              <w:spacing w:line="360" w:lineRule="auto"/>
              <w:jc w:val="center"/>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备注</w:t>
            </w:r>
          </w:p>
        </w:tc>
      </w:tr>
      <w:tr w14:paraId="2AF75CB2">
        <w:tblPrEx>
          <w:tblCellMar>
            <w:top w:w="0" w:type="dxa"/>
            <w:left w:w="0" w:type="dxa"/>
            <w:bottom w:w="0" w:type="dxa"/>
            <w:right w:w="0" w:type="dxa"/>
          </w:tblCellMar>
        </w:tblPrEx>
        <w:trPr>
          <w:trHeight w:val="720" w:hRule="atLeast"/>
          <w:jc w:val="center"/>
        </w:trPr>
        <w:tc>
          <w:tcPr>
            <w:tcW w:w="8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C16DE14">
            <w:pPr>
              <w:widowControl/>
              <w:spacing w:line="360" w:lineRule="auto"/>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1</w:t>
            </w:r>
          </w:p>
        </w:tc>
        <w:tc>
          <w:tcPr>
            <w:tcW w:w="24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4525D64">
            <w:pPr>
              <w:widowControl/>
              <w:spacing w:line="360" w:lineRule="auto"/>
              <w:jc w:val="center"/>
              <w:rPr>
                <w:rFonts w:ascii="宋体" w:hAnsi="宋体" w:cs="宋体"/>
                <w:color w:val="auto"/>
                <w:kern w:val="0"/>
                <w:sz w:val="28"/>
                <w:szCs w:val="28"/>
                <w:highlight w:val="none"/>
              </w:rPr>
            </w:pPr>
          </w:p>
        </w:tc>
        <w:tc>
          <w:tcPr>
            <w:tcW w:w="13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D57AAD">
            <w:pPr>
              <w:widowControl/>
              <w:spacing w:line="360" w:lineRule="auto"/>
              <w:jc w:val="center"/>
              <w:rPr>
                <w:rFonts w:ascii="宋体" w:hAnsi="宋体" w:cs="宋体"/>
                <w:color w:val="auto"/>
                <w:kern w:val="0"/>
                <w:sz w:val="28"/>
                <w:szCs w:val="28"/>
                <w:highlight w:val="none"/>
              </w:rPr>
            </w:pPr>
          </w:p>
        </w:tc>
        <w:tc>
          <w:tcPr>
            <w:tcW w:w="4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6D02547">
            <w:pPr>
              <w:widowControl/>
              <w:spacing w:line="360" w:lineRule="auto"/>
              <w:jc w:val="center"/>
              <w:rPr>
                <w:rFonts w:ascii="宋体" w:hAnsi="宋体" w:cs="宋体"/>
                <w:color w:val="auto"/>
                <w:kern w:val="0"/>
                <w:sz w:val="28"/>
                <w:szCs w:val="28"/>
                <w:highlight w:val="none"/>
              </w:rPr>
            </w:pPr>
          </w:p>
        </w:tc>
        <w:tc>
          <w:tcPr>
            <w:tcW w:w="81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A32D3E3">
            <w:pPr>
              <w:widowControl/>
              <w:spacing w:line="360" w:lineRule="auto"/>
              <w:jc w:val="center"/>
              <w:rPr>
                <w:rFonts w:ascii="宋体" w:hAnsi="宋体" w:cs="宋体"/>
                <w:color w:val="auto"/>
                <w:kern w:val="0"/>
                <w:sz w:val="28"/>
                <w:szCs w:val="28"/>
                <w:highlight w:val="none"/>
              </w:rPr>
            </w:pPr>
          </w:p>
        </w:tc>
      </w:tr>
      <w:tr w14:paraId="5131E959">
        <w:tblPrEx>
          <w:tblCellMar>
            <w:top w:w="0" w:type="dxa"/>
            <w:left w:w="0" w:type="dxa"/>
            <w:bottom w:w="0" w:type="dxa"/>
            <w:right w:w="0" w:type="dxa"/>
          </w:tblCellMar>
        </w:tblPrEx>
        <w:trPr>
          <w:trHeight w:val="720" w:hRule="atLeast"/>
          <w:jc w:val="center"/>
        </w:trPr>
        <w:tc>
          <w:tcPr>
            <w:tcW w:w="8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EABD91A">
            <w:pPr>
              <w:widowControl/>
              <w:spacing w:line="360" w:lineRule="auto"/>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2</w:t>
            </w:r>
          </w:p>
        </w:tc>
        <w:tc>
          <w:tcPr>
            <w:tcW w:w="24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1B49C60">
            <w:pPr>
              <w:widowControl/>
              <w:spacing w:line="360" w:lineRule="auto"/>
              <w:jc w:val="center"/>
              <w:rPr>
                <w:rFonts w:ascii="宋体" w:hAnsi="宋体" w:cs="宋体"/>
                <w:color w:val="auto"/>
                <w:kern w:val="0"/>
                <w:sz w:val="28"/>
                <w:szCs w:val="28"/>
                <w:highlight w:val="none"/>
              </w:rPr>
            </w:pPr>
          </w:p>
        </w:tc>
        <w:tc>
          <w:tcPr>
            <w:tcW w:w="13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8DFF84D">
            <w:pPr>
              <w:widowControl/>
              <w:spacing w:line="360" w:lineRule="auto"/>
              <w:jc w:val="center"/>
              <w:rPr>
                <w:rFonts w:ascii="宋体" w:hAnsi="宋体" w:cs="宋体"/>
                <w:color w:val="auto"/>
                <w:kern w:val="0"/>
                <w:sz w:val="28"/>
                <w:szCs w:val="28"/>
                <w:highlight w:val="none"/>
              </w:rPr>
            </w:pPr>
          </w:p>
        </w:tc>
        <w:tc>
          <w:tcPr>
            <w:tcW w:w="4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3456B40">
            <w:pPr>
              <w:widowControl/>
              <w:spacing w:line="360" w:lineRule="auto"/>
              <w:jc w:val="center"/>
              <w:rPr>
                <w:rFonts w:ascii="宋体" w:hAnsi="宋体" w:cs="宋体"/>
                <w:color w:val="auto"/>
                <w:kern w:val="0"/>
                <w:sz w:val="28"/>
                <w:szCs w:val="28"/>
                <w:highlight w:val="none"/>
              </w:rPr>
            </w:pPr>
          </w:p>
        </w:tc>
        <w:tc>
          <w:tcPr>
            <w:tcW w:w="81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3068D0">
            <w:pPr>
              <w:widowControl/>
              <w:spacing w:line="360" w:lineRule="auto"/>
              <w:jc w:val="center"/>
              <w:rPr>
                <w:rFonts w:ascii="宋体" w:hAnsi="宋体" w:cs="宋体"/>
                <w:color w:val="auto"/>
                <w:kern w:val="0"/>
                <w:sz w:val="28"/>
                <w:szCs w:val="28"/>
                <w:highlight w:val="none"/>
              </w:rPr>
            </w:pPr>
          </w:p>
        </w:tc>
      </w:tr>
      <w:tr w14:paraId="6EC3BD59">
        <w:tblPrEx>
          <w:tblCellMar>
            <w:top w:w="0" w:type="dxa"/>
            <w:left w:w="0" w:type="dxa"/>
            <w:bottom w:w="0" w:type="dxa"/>
            <w:right w:w="0" w:type="dxa"/>
          </w:tblCellMar>
        </w:tblPrEx>
        <w:trPr>
          <w:trHeight w:val="720" w:hRule="atLeast"/>
          <w:jc w:val="center"/>
        </w:trPr>
        <w:tc>
          <w:tcPr>
            <w:tcW w:w="8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2D1E9DB">
            <w:pPr>
              <w:widowControl/>
              <w:spacing w:line="360" w:lineRule="auto"/>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3</w:t>
            </w:r>
          </w:p>
        </w:tc>
        <w:tc>
          <w:tcPr>
            <w:tcW w:w="24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A0526F6">
            <w:pPr>
              <w:widowControl/>
              <w:spacing w:line="360" w:lineRule="auto"/>
              <w:jc w:val="center"/>
              <w:rPr>
                <w:rFonts w:ascii="宋体" w:hAnsi="宋体" w:cs="宋体"/>
                <w:color w:val="auto"/>
                <w:kern w:val="0"/>
                <w:sz w:val="28"/>
                <w:szCs w:val="28"/>
                <w:highlight w:val="none"/>
              </w:rPr>
            </w:pPr>
          </w:p>
        </w:tc>
        <w:tc>
          <w:tcPr>
            <w:tcW w:w="13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2B4923F">
            <w:pPr>
              <w:widowControl/>
              <w:spacing w:line="360" w:lineRule="auto"/>
              <w:jc w:val="center"/>
              <w:rPr>
                <w:rFonts w:ascii="宋体" w:hAnsi="宋体" w:cs="宋体"/>
                <w:color w:val="auto"/>
                <w:kern w:val="0"/>
                <w:sz w:val="28"/>
                <w:szCs w:val="28"/>
                <w:highlight w:val="none"/>
              </w:rPr>
            </w:pPr>
          </w:p>
        </w:tc>
        <w:tc>
          <w:tcPr>
            <w:tcW w:w="4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5B546E">
            <w:pPr>
              <w:widowControl/>
              <w:spacing w:line="360" w:lineRule="auto"/>
              <w:jc w:val="center"/>
              <w:rPr>
                <w:rFonts w:ascii="宋体" w:hAnsi="宋体" w:cs="宋体"/>
                <w:color w:val="auto"/>
                <w:kern w:val="0"/>
                <w:sz w:val="28"/>
                <w:szCs w:val="28"/>
                <w:highlight w:val="none"/>
              </w:rPr>
            </w:pPr>
          </w:p>
        </w:tc>
        <w:tc>
          <w:tcPr>
            <w:tcW w:w="81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EC2B5C2">
            <w:pPr>
              <w:widowControl/>
              <w:spacing w:line="360" w:lineRule="auto"/>
              <w:jc w:val="center"/>
              <w:rPr>
                <w:rFonts w:ascii="宋体" w:hAnsi="宋体" w:cs="宋体"/>
                <w:color w:val="auto"/>
                <w:kern w:val="0"/>
                <w:sz w:val="28"/>
                <w:szCs w:val="28"/>
                <w:highlight w:val="none"/>
              </w:rPr>
            </w:pPr>
          </w:p>
        </w:tc>
      </w:tr>
      <w:tr w14:paraId="742E6635">
        <w:tblPrEx>
          <w:tblCellMar>
            <w:top w:w="0" w:type="dxa"/>
            <w:left w:w="0" w:type="dxa"/>
            <w:bottom w:w="0" w:type="dxa"/>
            <w:right w:w="0" w:type="dxa"/>
          </w:tblCellMar>
        </w:tblPrEx>
        <w:trPr>
          <w:trHeight w:val="729" w:hRule="atLeast"/>
          <w:jc w:val="center"/>
        </w:trPr>
        <w:tc>
          <w:tcPr>
            <w:tcW w:w="8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43F26B">
            <w:pPr>
              <w:widowControl/>
              <w:spacing w:line="360" w:lineRule="auto"/>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w:t>
            </w:r>
          </w:p>
        </w:tc>
        <w:tc>
          <w:tcPr>
            <w:tcW w:w="24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7B7F313">
            <w:pPr>
              <w:widowControl/>
              <w:spacing w:line="360" w:lineRule="auto"/>
              <w:jc w:val="center"/>
              <w:rPr>
                <w:rFonts w:ascii="宋体" w:hAnsi="宋体" w:cs="宋体"/>
                <w:color w:val="auto"/>
                <w:kern w:val="0"/>
                <w:sz w:val="28"/>
                <w:szCs w:val="28"/>
                <w:highlight w:val="none"/>
              </w:rPr>
            </w:pPr>
          </w:p>
        </w:tc>
        <w:tc>
          <w:tcPr>
            <w:tcW w:w="13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6F4F193">
            <w:pPr>
              <w:widowControl/>
              <w:spacing w:line="360" w:lineRule="auto"/>
              <w:jc w:val="center"/>
              <w:rPr>
                <w:rFonts w:ascii="宋体" w:hAnsi="宋体" w:cs="宋体"/>
                <w:color w:val="auto"/>
                <w:kern w:val="0"/>
                <w:sz w:val="28"/>
                <w:szCs w:val="28"/>
                <w:highlight w:val="none"/>
              </w:rPr>
            </w:pPr>
          </w:p>
        </w:tc>
        <w:tc>
          <w:tcPr>
            <w:tcW w:w="4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DE46DCB">
            <w:pPr>
              <w:widowControl/>
              <w:spacing w:line="360" w:lineRule="auto"/>
              <w:jc w:val="center"/>
              <w:rPr>
                <w:rFonts w:ascii="宋体" w:hAnsi="宋体" w:cs="宋体"/>
                <w:color w:val="auto"/>
                <w:kern w:val="0"/>
                <w:sz w:val="28"/>
                <w:szCs w:val="28"/>
                <w:highlight w:val="none"/>
              </w:rPr>
            </w:pPr>
          </w:p>
        </w:tc>
        <w:tc>
          <w:tcPr>
            <w:tcW w:w="81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F54D2F8">
            <w:pPr>
              <w:widowControl/>
              <w:spacing w:line="360" w:lineRule="auto"/>
              <w:jc w:val="center"/>
              <w:rPr>
                <w:rFonts w:ascii="宋体" w:hAnsi="宋体" w:cs="宋体"/>
                <w:color w:val="auto"/>
                <w:kern w:val="0"/>
                <w:sz w:val="28"/>
                <w:szCs w:val="28"/>
                <w:highlight w:val="none"/>
              </w:rPr>
            </w:pPr>
          </w:p>
        </w:tc>
      </w:tr>
    </w:tbl>
    <w:p w14:paraId="3313F1AC">
      <w:pPr>
        <w:spacing w:line="360" w:lineRule="auto"/>
        <w:contextualSpacing/>
        <w:jc w:val="left"/>
        <w:rPr>
          <w:rFonts w:ascii="宋体" w:hAnsi="宋体" w:cs="宋体"/>
          <w:color w:val="auto"/>
          <w:sz w:val="24"/>
          <w:highlight w:val="none"/>
        </w:rPr>
      </w:pPr>
      <w:r>
        <w:rPr>
          <w:rFonts w:hint="eastAsia" w:ascii="宋体" w:hAnsi="宋体" w:cs="宋体"/>
          <w:color w:val="auto"/>
          <w:sz w:val="24"/>
          <w:highlight w:val="none"/>
        </w:rPr>
        <w:t>注：</w:t>
      </w:r>
    </w:p>
    <w:p w14:paraId="1F2B150D">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2D344BA">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0E006578">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3.供应商不存在直接控股股东的，</w:t>
      </w:r>
      <w:r>
        <w:rPr>
          <w:rFonts w:hint="eastAsia" w:ascii="宋体" w:hAnsi="宋体"/>
          <w:color w:val="auto"/>
          <w:sz w:val="24"/>
          <w:highlight w:val="none"/>
        </w:rPr>
        <w:t>则在“直接控股股东名称”填“无”</w:t>
      </w:r>
      <w:r>
        <w:rPr>
          <w:rFonts w:hint="eastAsia" w:ascii="宋体" w:hAnsi="宋体" w:cs="宋体"/>
          <w:color w:val="auto"/>
          <w:sz w:val="24"/>
          <w:highlight w:val="none"/>
        </w:rPr>
        <w:t>。</w:t>
      </w:r>
    </w:p>
    <w:p w14:paraId="40417486">
      <w:pPr>
        <w:spacing w:line="360" w:lineRule="auto"/>
        <w:ind w:firstLine="420" w:firstLineChars="200"/>
        <w:contextualSpacing/>
        <w:jc w:val="left"/>
        <w:rPr>
          <w:rFonts w:ascii="宋体" w:hAnsi="宋体" w:cs="宋体"/>
          <w:color w:val="auto"/>
          <w:szCs w:val="21"/>
          <w:highlight w:val="none"/>
        </w:rPr>
      </w:pPr>
    </w:p>
    <w:p w14:paraId="2A2020E8">
      <w:pPr>
        <w:spacing w:line="360" w:lineRule="auto"/>
        <w:ind w:firstLine="560" w:firstLineChars="200"/>
        <w:contextualSpacing/>
        <w:jc w:val="left"/>
        <w:rPr>
          <w:rFonts w:ascii="宋体" w:hAnsi="宋体" w:cs="宋体"/>
          <w:color w:val="auto"/>
          <w:sz w:val="28"/>
          <w:szCs w:val="28"/>
          <w:highlight w:val="none"/>
        </w:rPr>
      </w:pPr>
    </w:p>
    <w:p w14:paraId="2D9B3129">
      <w:pPr>
        <w:spacing w:line="360" w:lineRule="auto"/>
        <w:ind w:right="480"/>
        <w:contextualSpacing/>
        <w:jc w:val="center"/>
        <w:rPr>
          <w:rFonts w:ascii="宋体" w:hAnsi="宋体" w:cs="宋体"/>
          <w:color w:val="auto"/>
          <w:sz w:val="24"/>
          <w:highlight w:val="none"/>
        </w:rPr>
      </w:pPr>
      <w:r>
        <w:rPr>
          <w:rFonts w:hint="eastAsia" w:ascii="宋体" w:hAnsi="宋体" w:cs="宋体"/>
          <w:color w:val="auto"/>
          <w:sz w:val="24"/>
          <w:highlight w:val="none"/>
        </w:rPr>
        <w:t>法定代表人或者委托代理人</w:t>
      </w:r>
      <w:r>
        <w:rPr>
          <w:rFonts w:hint="eastAsia" w:ascii="宋体" w:hAnsi="宋体"/>
          <w:color w:val="auto"/>
          <w:sz w:val="24"/>
          <w:highlight w:val="none"/>
        </w:rPr>
        <w:t>（签字或者电子签名）</w:t>
      </w:r>
      <w:r>
        <w:rPr>
          <w:rFonts w:hint="eastAsia" w:ascii="宋体" w:hAnsi="宋体" w:cs="宋体"/>
          <w:color w:val="auto"/>
          <w:sz w:val="24"/>
          <w:highlight w:val="none"/>
        </w:rPr>
        <w:t>：</w:t>
      </w:r>
    </w:p>
    <w:p w14:paraId="35B9B34F">
      <w:pPr>
        <w:spacing w:line="360" w:lineRule="auto"/>
        <w:ind w:right="480" w:firstLine="3000" w:firstLineChars="1250"/>
        <w:contextualSpacing/>
        <w:rPr>
          <w:rFonts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olor w:val="auto"/>
          <w:sz w:val="24"/>
          <w:highlight w:val="none"/>
        </w:rPr>
        <w:t>（</w:t>
      </w:r>
      <w:r>
        <w:rPr>
          <w:rFonts w:hint="eastAsia" w:ascii="宋体" w:hAnsi="宋体" w:cs="宋体"/>
          <w:color w:val="auto"/>
          <w:sz w:val="24"/>
          <w:highlight w:val="none"/>
        </w:rPr>
        <w:t>电子</w:t>
      </w:r>
      <w:r>
        <w:rPr>
          <w:rFonts w:hint="eastAsia" w:ascii="宋体" w:hAnsi="宋体"/>
          <w:color w:val="auto"/>
          <w:sz w:val="24"/>
          <w:highlight w:val="none"/>
        </w:rPr>
        <w:t>签章）</w:t>
      </w:r>
      <w:r>
        <w:rPr>
          <w:rFonts w:hint="eastAsia" w:ascii="宋体" w:hAnsi="宋体" w:cs="宋体"/>
          <w:color w:val="auto"/>
          <w:sz w:val="24"/>
          <w:highlight w:val="none"/>
        </w:rPr>
        <w:t>：</w:t>
      </w:r>
    </w:p>
    <w:p w14:paraId="3020A721">
      <w:pPr>
        <w:spacing w:line="360" w:lineRule="auto"/>
        <w:ind w:right="480" w:firstLine="3000" w:firstLineChars="1250"/>
        <w:contextualSpacing/>
        <w:rPr>
          <w:rFonts w:ascii="宋体" w:hAnsi="宋体" w:cs="宋体"/>
          <w:color w:val="auto"/>
          <w:sz w:val="28"/>
          <w:szCs w:val="28"/>
          <w:highlight w:val="none"/>
        </w:rPr>
      </w:pPr>
      <w:r>
        <w:rPr>
          <w:rFonts w:hint="eastAsia" w:ascii="宋体" w:hAnsi="宋体" w:cs="宋体"/>
          <w:color w:val="auto"/>
          <w:sz w:val="24"/>
          <w:highlight w:val="non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年  月  日</w:t>
      </w:r>
    </w:p>
    <w:p w14:paraId="6FB87720">
      <w:pPr>
        <w:snapToGrid w:val="0"/>
        <w:jc w:val="center"/>
        <w:rPr>
          <w:rFonts w:ascii="宋体" w:hAnsi="宋体"/>
          <w:b/>
          <w:color w:val="auto"/>
          <w:sz w:val="32"/>
          <w:szCs w:val="32"/>
          <w:highlight w:val="none"/>
        </w:rPr>
      </w:pPr>
      <w:r>
        <w:rPr>
          <w:rFonts w:ascii="宋体" w:hAnsi="宋体"/>
          <w:b/>
          <w:color w:val="auto"/>
          <w:sz w:val="28"/>
          <w:szCs w:val="28"/>
          <w:highlight w:val="none"/>
        </w:rPr>
        <w:br w:type="page"/>
      </w:r>
      <w:r>
        <w:rPr>
          <w:rFonts w:hint="eastAsia" w:ascii="宋体" w:hAnsi="宋体"/>
          <w:b/>
          <w:color w:val="auto"/>
          <w:sz w:val="32"/>
          <w:szCs w:val="32"/>
          <w:highlight w:val="none"/>
        </w:rPr>
        <w:t>供应商直接管理关系信息表</w:t>
      </w:r>
    </w:p>
    <w:p w14:paraId="12BEF42C">
      <w:pPr>
        <w:snapToGrid w:val="0"/>
        <w:jc w:val="center"/>
        <w:rPr>
          <w:rFonts w:ascii="宋体" w:hAnsi="宋体"/>
          <w:b/>
          <w:color w:val="auto"/>
          <w:sz w:val="32"/>
          <w:szCs w:val="32"/>
          <w:highlight w:val="none"/>
        </w:rPr>
      </w:pPr>
    </w:p>
    <w:tbl>
      <w:tblPr>
        <w:tblStyle w:val="26"/>
        <w:tblW w:w="9652" w:type="dxa"/>
        <w:jc w:val="center"/>
        <w:shd w:val="clear" w:color="auto" w:fill="FBFBFB"/>
        <w:tblLayout w:type="fixed"/>
        <w:tblCellMar>
          <w:top w:w="0" w:type="dxa"/>
          <w:left w:w="0" w:type="dxa"/>
          <w:bottom w:w="0" w:type="dxa"/>
          <w:right w:w="0" w:type="dxa"/>
        </w:tblCellMar>
      </w:tblPr>
      <w:tblGrid>
        <w:gridCol w:w="808"/>
        <w:gridCol w:w="3600"/>
        <w:gridCol w:w="3555"/>
        <w:gridCol w:w="1689"/>
      </w:tblGrid>
      <w:tr w14:paraId="1B1B924F">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2AA050A">
            <w:pPr>
              <w:widowControl/>
              <w:jc w:val="center"/>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F902E4C">
            <w:pPr>
              <w:widowControl/>
              <w:jc w:val="center"/>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94CCF09">
            <w:pPr>
              <w:widowControl/>
              <w:jc w:val="center"/>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2AF534E">
            <w:pPr>
              <w:widowControl/>
              <w:jc w:val="center"/>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备注</w:t>
            </w:r>
          </w:p>
        </w:tc>
      </w:tr>
      <w:tr w14:paraId="15A28877">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C8924F">
            <w:pPr>
              <w:widowControl/>
              <w:wordWrap w:val="0"/>
              <w:spacing w:line="200" w:lineRule="atLeast"/>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8A18E42">
            <w:pPr>
              <w:widowControl/>
              <w:wordWrap w:val="0"/>
              <w:spacing w:line="200" w:lineRule="atLeast"/>
              <w:jc w:val="center"/>
              <w:rPr>
                <w:rFonts w:ascii="宋体" w:hAnsi="宋体" w:cs="宋体"/>
                <w:color w:val="auto"/>
                <w:kern w:val="0"/>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8DB3E3C">
            <w:pPr>
              <w:widowControl/>
              <w:wordWrap w:val="0"/>
              <w:spacing w:line="200" w:lineRule="atLeast"/>
              <w:jc w:val="center"/>
              <w:rPr>
                <w:rFonts w:ascii="宋体" w:hAnsi="宋体" w:cs="宋体"/>
                <w:color w:val="auto"/>
                <w:kern w:val="0"/>
                <w:sz w:val="28"/>
                <w:szCs w:val="28"/>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DEF6FD7">
            <w:pPr>
              <w:widowControl/>
              <w:wordWrap w:val="0"/>
              <w:spacing w:line="200" w:lineRule="atLeast"/>
              <w:jc w:val="center"/>
              <w:rPr>
                <w:rFonts w:ascii="宋体" w:hAnsi="宋体" w:cs="宋体"/>
                <w:color w:val="auto"/>
                <w:kern w:val="0"/>
                <w:sz w:val="28"/>
                <w:szCs w:val="28"/>
                <w:highlight w:val="none"/>
              </w:rPr>
            </w:pPr>
          </w:p>
        </w:tc>
      </w:tr>
      <w:tr w14:paraId="494CB9F0">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759EC5D">
            <w:pPr>
              <w:widowControl/>
              <w:wordWrap w:val="0"/>
              <w:spacing w:line="200" w:lineRule="atLeast"/>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FCD68ED">
            <w:pPr>
              <w:widowControl/>
              <w:wordWrap w:val="0"/>
              <w:spacing w:line="200" w:lineRule="atLeast"/>
              <w:jc w:val="center"/>
              <w:rPr>
                <w:rFonts w:ascii="宋体" w:hAnsi="宋体" w:cs="宋体"/>
                <w:color w:val="auto"/>
                <w:kern w:val="0"/>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63F2E54">
            <w:pPr>
              <w:widowControl/>
              <w:wordWrap w:val="0"/>
              <w:spacing w:line="200" w:lineRule="atLeast"/>
              <w:jc w:val="center"/>
              <w:rPr>
                <w:rFonts w:ascii="宋体" w:hAnsi="宋体" w:cs="宋体"/>
                <w:color w:val="auto"/>
                <w:kern w:val="0"/>
                <w:sz w:val="28"/>
                <w:szCs w:val="28"/>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0E12B73">
            <w:pPr>
              <w:widowControl/>
              <w:wordWrap w:val="0"/>
              <w:spacing w:line="200" w:lineRule="atLeast"/>
              <w:jc w:val="center"/>
              <w:rPr>
                <w:rFonts w:ascii="宋体" w:hAnsi="宋体" w:cs="宋体"/>
                <w:color w:val="auto"/>
                <w:kern w:val="0"/>
                <w:sz w:val="28"/>
                <w:szCs w:val="28"/>
                <w:highlight w:val="none"/>
              </w:rPr>
            </w:pPr>
          </w:p>
        </w:tc>
      </w:tr>
      <w:tr w14:paraId="03C6A183">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85F9E4">
            <w:pPr>
              <w:widowControl/>
              <w:wordWrap w:val="0"/>
              <w:spacing w:line="200" w:lineRule="atLeast"/>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D0612A">
            <w:pPr>
              <w:widowControl/>
              <w:wordWrap w:val="0"/>
              <w:spacing w:line="200" w:lineRule="atLeast"/>
              <w:jc w:val="center"/>
              <w:rPr>
                <w:rFonts w:ascii="宋体" w:hAnsi="宋体" w:cs="宋体"/>
                <w:color w:val="auto"/>
                <w:kern w:val="0"/>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22C7115">
            <w:pPr>
              <w:widowControl/>
              <w:wordWrap w:val="0"/>
              <w:spacing w:line="200" w:lineRule="atLeast"/>
              <w:jc w:val="center"/>
              <w:rPr>
                <w:rFonts w:ascii="宋体" w:hAnsi="宋体" w:cs="宋体"/>
                <w:color w:val="auto"/>
                <w:kern w:val="0"/>
                <w:sz w:val="28"/>
                <w:szCs w:val="28"/>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DFB10F6">
            <w:pPr>
              <w:widowControl/>
              <w:wordWrap w:val="0"/>
              <w:spacing w:line="200" w:lineRule="atLeast"/>
              <w:jc w:val="center"/>
              <w:rPr>
                <w:rFonts w:ascii="宋体" w:hAnsi="宋体" w:cs="宋体"/>
                <w:color w:val="auto"/>
                <w:kern w:val="0"/>
                <w:sz w:val="28"/>
                <w:szCs w:val="28"/>
                <w:highlight w:val="none"/>
              </w:rPr>
            </w:pPr>
          </w:p>
        </w:tc>
      </w:tr>
      <w:tr w14:paraId="46B0A92D">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62EC088">
            <w:pPr>
              <w:widowControl/>
              <w:wordWrap w:val="0"/>
              <w:spacing w:line="200" w:lineRule="atLeast"/>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A9D061B">
            <w:pPr>
              <w:widowControl/>
              <w:wordWrap w:val="0"/>
              <w:spacing w:line="200" w:lineRule="atLeast"/>
              <w:jc w:val="center"/>
              <w:rPr>
                <w:rFonts w:ascii="宋体" w:hAnsi="宋体" w:cs="宋体"/>
                <w:color w:val="auto"/>
                <w:kern w:val="0"/>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5003ECE">
            <w:pPr>
              <w:widowControl/>
              <w:wordWrap w:val="0"/>
              <w:spacing w:line="200" w:lineRule="atLeast"/>
              <w:jc w:val="center"/>
              <w:rPr>
                <w:rFonts w:ascii="宋体" w:hAnsi="宋体" w:cs="宋体"/>
                <w:color w:val="auto"/>
                <w:kern w:val="0"/>
                <w:sz w:val="28"/>
                <w:szCs w:val="28"/>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5764E90">
            <w:pPr>
              <w:widowControl/>
              <w:wordWrap w:val="0"/>
              <w:spacing w:line="200" w:lineRule="atLeast"/>
              <w:jc w:val="center"/>
              <w:rPr>
                <w:rFonts w:ascii="宋体" w:hAnsi="宋体" w:cs="宋体"/>
                <w:color w:val="auto"/>
                <w:kern w:val="0"/>
                <w:sz w:val="28"/>
                <w:szCs w:val="28"/>
                <w:highlight w:val="none"/>
              </w:rPr>
            </w:pPr>
          </w:p>
        </w:tc>
      </w:tr>
    </w:tbl>
    <w:p w14:paraId="02570C67">
      <w:pPr>
        <w:spacing w:line="360" w:lineRule="auto"/>
        <w:contextualSpacing/>
        <w:jc w:val="left"/>
        <w:rPr>
          <w:rFonts w:ascii="宋体" w:hAnsi="宋体"/>
          <w:color w:val="auto"/>
          <w:sz w:val="24"/>
          <w:highlight w:val="none"/>
        </w:rPr>
      </w:pPr>
      <w:r>
        <w:rPr>
          <w:rFonts w:hint="eastAsia" w:ascii="宋体" w:hAnsi="宋体"/>
          <w:color w:val="auto"/>
          <w:sz w:val="24"/>
          <w:highlight w:val="none"/>
        </w:rPr>
        <w:t>注：</w:t>
      </w:r>
    </w:p>
    <w:p w14:paraId="608371DB">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2DB3BF5F">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63C15DB3">
      <w:pPr>
        <w:spacing w:line="360" w:lineRule="auto"/>
        <w:ind w:firstLine="480" w:firstLineChars="200"/>
        <w:contextualSpacing/>
        <w:jc w:val="left"/>
        <w:rPr>
          <w:rFonts w:ascii="宋体" w:hAnsi="宋体"/>
          <w:color w:val="auto"/>
          <w:sz w:val="24"/>
          <w:highlight w:val="none"/>
        </w:rPr>
      </w:pPr>
      <w:r>
        <w:rPr>
          <w:rFonts w:hint="eastAsia" w:ascii="宋体" w:hAnsi="宋体"/>
          <w:color w:val="auto"/>
          <w:sz w:val="24"/>
          <w:highlight w:val="none"/>
        </w:rPr>
        <w:t>3.供应商不存在直接管理关系的，则在“直接管理关系单位名称”填“无”。</w:t>
      </w:r>
    </w:p>
    <w:p w14:paraId="0C349318">
      <w:pPr>
        <w:spacing w:line="360" w:lineRule="auto"/>
        <w:contextualSpacing/>
        <w:jc w:val="left"/>
        <w:rPr>
          <w:rFonts w:ascii="宋体" w:hAnsi="宋体"/>
          <w:color w:val="auto"/>
          <w:sz w:val="28"/>
          <w:szCs w:val="28"/>
          <w:highlight w:val="none"/>
        </w:rPr>
      </w:pPr>
    </w:p>
    <w:p w14:paraId="57FBA4E2">
      <w:pPr>
        <w:spacing w:line="360" w:lineRule="auto"/>
        <w:contextualSpacing/>
        <w:jc w:val="left"/>
        <w:rPr>
          <w:rFonts w:ascii="宋体" w:hAnsi="宋体"/>
          <w:color w:val="auto"/>
          <w:sz w:val="28"/>
          <w:szCs w:val="28"/>
          <w:highlight w:val="none"/>
        </w:rPr>
      </w:pPr>
    </w:p>
    <w:p w14:paraId="6BF14F89">
      <w:pPr>
        <w:spacing w:line="360" w:lineRule="auto"/>
        <w:contextualSpacing/>
        <w:jc w:val="left"/>
        <w:rPr>
          <w:color w:val="auto"/>
          <w:sz w:val="28"/>
          <w:szCs w:val="28"/>
          <w:highlight w:val="none"/>
        </w:rPr>
      </w:pPr>
    </w:p>
    <w:p w14:paraId="23852804">
      <w:pPr>
        <w:spacing w:line="360" w:lineRule="auto"/>
        <w:contextualSpacing/>
        <w:jc w:val="left"/>
        <w:rPr>
          <w:color w:val="auto"/>
          <w:sz w:val="28"/>
          <w:szCs w:val="28"/>
          <w:highlight w:val="none"/>
        </w:rPr>
      </w:pPr>
    </w:p>
    <w:p w14:paraId="465CF500">
      <w:pPr>
        <w:spacing w:line="360" w:lineRule="auto"/>
        <w:contextualSpacing/>
        <w:jc w:val="left"/>
        <w:rPr>
          <w:color w:val="auto"/>
          <w:sz w:val="28"/>
          <w:szCs w:val="28"/>
          <w:highlight w:val="none"/>
        </w:rPr>
      </w:pPr>
    </w:p>
    <w:p w14:paraId="772FC8C7">
      <w:pPr>
        <w:spacing w:line="360" w:lineRule="auto"/>
        <w:contextualSpacing/>
        <w:jc w:val="left"/>
        <w:rPr>
          <w:rFonts w:ascii="宋体" w:hAnsi="宋体"/>
          <w:color w:val="auto"/>
          <w:sz w:val="28"/>
          <w:szCs w:val="28"/>
          <w:highlight w:val="none"/>
        </w:rPr>
      </w:pPr>
    </w:p>
    <w:p w14:paraId="7F367AF1">
      <w:pPr>
        <w:spacing w:line="360" w:lineRule="auto"/>
        <w:ind w:right="480"/>
        <w:contextualSpacing/>
        <w:jc w:val="center"/>
        <w:rPr>
          <w:rFonts w:ascii="宋体" w:hAnsi="宋体"/>
          <w:color w:val="auto"/>
          <w:sz w:val="24"/>
          <w:highlight w:val="none"/>
          <w:u w:val="single"/>
        </w:rPr>
      </w:pPr>
      <w:r>
        <w:rPr>
          <w:rFonts w:hint="eastAsia" w:ascii="宋体" w:hAnsi="宋体"/>
          <w:color w:val="auto"/>
          <w:sz w:val="24"/>
          <w:highlight w:val="none"/>
        </w:rPr>
        <w:t>法定代表人或者委托代理人（签字或者电子签名）：</w:t>
      </w:r>
    </w:p>
    <w:p w14:paraId="68176B1B">
      <w:pPr>
        <w:spacing w:line="360" w:lineRule="auto"/>
        <w:ind w:right="480" w:firstLine="3360" w:firstLineChars="1400"/>
        <w:contextualSpacing/>
        <w:rPr>
          <w:rFonts w:ascii="宋体" w:hAnsi="宋体"/>
          <w:color w:val="auto"/>
          <w:sz w:val="24"/>
          <w:highlight w:val="none"/>
        </w:rPr>
      </w:pPr>
      <w:r>
        <w:rPr>
          <w:rFonts w:hint="eastAsia" w:ascii="宋体" w:hAnsi="宋体"/>
          <w:color w:val="auto"/>
          <w:sz w:val="24"/>
          <w:highlight w:val="none"/>
        </w:rPr>
        <w:t>供应商名称（电子签章）：</w:t>
      </w:r>
    </w:p>
    <w:p w14:paraId="6574D8E0">
      <w:pPr>
        <w:spacing w:line="360" w:lineRule="auto"/>
        <w:ind w:right="480" w:firstLine="240" w:firstLineChars="100"/>
        <w:contextualSpacing/>
        <w:jc w:val="center"/>
        <w:rPr>
          <w:rFonts w:ascii="宋体" w:hAnsi="宋体"/>
          <w:color w:val="auto"/>
          <w:sz w:val="28"/>
          <w:szCs w:val="28"/>
          <w:highlight w:val="none"/>
        </w:rPr>
      </w:pP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年  月  日</w:t>
      </w:r>
    </w:p>
    <w:p w14:paraId="4EB1030F">
      <w:pPr>
        <w:spacing w:line="500" w:lineRule="exact"/>
        <w:jc w:val="center"/>
        <w:rPr>
          <w:rFonts w:ascii="Arial Unicode MS" w:hAnsi="宋体" w:eastAsia="Arial Unicode MS"/>
          <w:b/>
          <w:color w:val="auto"/>
          <w:sz w:val="32"/>
          <w:szCs w:val="32"/>
          <w:highlight w:val="none"/>
        </w:rPr>
      </w:pPr>
      <w:r>
        <w:rPr>
          <w:rFonts w:ascii="宋体" w:hAnsi="宋体"/>
          <w:b/>
          <w:color w:val="auto"/>
          <w:sz w:val="32"/>
          <w:szCs w:val="32"/>
          <w:highlight w:val="none"/>
        </w:rPr>
        <w:br w:type="page"/>
      </w:r>
      <w:r>
        <w:rPr>
          <w:rFonts w:hint="eastAsia" w:ascii="Arial Unicode MS" w:hAnsi="宋体" w:eastAsia="Arial Unicode MS"/>
          <w:b/>
          <w:color w:val="auto"/>
          <w:sz w:val="32"/>
          <w:szCs w:val="32"/>
          <w:highlight w:val="none"/>
        </w:rPr>
        <w:t>竞标声明</w:t>
      </w:r>
    </w:p>
    <w:p w14:paraId="77CF2FB0">
      <w:pPr>
        <w:spacing w:line="500" w:lineRule="exact"/>
        <w:jc w:val="center"/>
        <w:rPr>
          <w:rFonts w:ascii="宋体" w:hAnsi="宋体"/>
          <w:color w:val="auto"/>
          <w:sz w:val="24"/>
          <w:szCs w:val="20"/>
          <w:highlight w:val="none"/>
        </w:rPr>
      </w:pPr>
    </w:p>
    <w:p w14:paraId="62655996">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652AC9FF">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p>
    <w:p w14:paraId="35943B2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12AE99F2">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4F548AA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olor w:val="auto"/>
          <w:sz w:val="24"/>
          <w:highlight w:val="none"/>
        </w:rPr>
        <w:t>我方不是为本次采购项目提供整体设计、规范编制或者项目管理、监理、检测等服务的供应商</w:t>
      </w:r>
      <w:r>
        <w:rPr>
          <w:rFonts w:hint="eastAsia" w:ascii="宋体" w:hAnsi="宋体" w:cs="宋体"/>
          <w:color w:val="auto"/>
          <w:sz w:val="24"/>
          <w:highlight w:val="none"/>
        </w:rPr>
        <w:t>。</w:t>
      </w:r>
    </w:p>
    <w:p w14:paraId="79588CF9">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3.在此，我方宣布同意如下：</w:t>
      </w:r>
    </w:p>
    <w:p w14:paraId="552517E7">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（1）将按谈判文件的约定履行合同责任和义务；</w:t>
      </w:r>
    </w:p>
    <w:p w14:paraId="0B12E50B">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（2）已详细审查全部谈判文件，包括补遗文件（如有）；</w:t>
      </w:r>
    </w:p>
    <w:p w14:paraId="6EE98E97">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（3）同意提供按照贵方可能要求的与谈判有关的一切数据或者资料；</w:t>
      </w:r>
    </w:p>
    <w:p w14:paraId="11102E85">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（4）响应谈判文件规定的竞标有效期。</w:t>
      </w:r>
    </w:p>
    <w:p w14:paraId="34D55AF1">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780E92FC">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（1）具有独立承担民事责任的能力；</w:t>
      </w:r>
    </w:p>
    <w:p w14:paraId="6229B9AB">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75C4B327">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1619DDCD">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795EB40C">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412E2180">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（6）法律、行政法规规定的其他条件。</w:t>
      </w:r>
    </w:p>
    <w:p w14:paraId="21C81022">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131F99A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3E568970">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18E36B80">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p>
    <w:p w14:paraId="679FD0DC">
      <w:pPr>
        <w:pStyle w:val="16"/>
        <w:spacing w:line="360" w:lineRule="auto"/>
        <w:ind w:firstLine="530" w:firstLineChars="221"/>
        <w:rPr>
          <w:color w:val="auto"/>
          <w:sz w:val="24"/>
          <w:szCs w:val="24"/>
          <w:highlight w:val="none"/>
        </w:rPr>
      </w:pPr>
      <w:r>
        <w:rPr>
          <w:rFonts w:hint="eastAsia"/>
          <w:color w:val="auto"/>
          <w:sz w:val="24"/>
          <w:szCs w:val="24"/>
          <w:highlight w:val="none"/>
        </w:rPr>
        <w:t>7.如我方成交：</w:t>
      </w:r>
    </w:p>
    <w:p w14:paraId="791C6D12">
      <w:pPr>
        <w:pStyle w:val="16"/>
        <w:spacing w:line="360" w:lineRule="auto"/>
        <w:ind w:firstLine="360"/>
        <w:rPr>
          <w:rFonts w:hAnsi="宋体" w:cs="宋体"/>
          <w:color w:val="auto"/>
          <w:sz w:val="24"/>
          <w:szCs w:val="24"/>
          <w:highlight w:val="none"/>
        </w:rPr>
      </w:pPr>
      <w:r>
        <w:rPr>
          <w:rFonts w:hint="eastAsia"/>
          <w:color w:val="auto"/>
          <w:sz w:val="24"/>
          <w:szCs w:val="24"/>
          <w:highlight w:val="none"/>
        </w:rPr>
        <w:t>（1）我方承诺</w:t>
      </w:r>
      <w:r>
        <w:rPr>
          <w:rFonts w:hint="eastAsia" w:hAnsi="宋体" w:cs="宋体"/>
          <w:color w:val="auto"/>
          <w:sz w:val="24"/>
          <w:szCs w:val="24"/>
          <w:highlight w:val="none"/>
        </w:rPr>
        <w:t>，若我方成交，保证在公告成交结果之日起5个工作日内，按本项目谈判文件的规定及标准向贵单位一次性足额支付代理服务费。代理服务费发票我方选择开具：□</w:t>
      </w:r>
      <w:r>
        <w:rPr>
          <w:rFonts w:hint="eastAsia" w:hAnsi="宋体" w:cs="宋体"/>
          <w:color w:val="auto"/>
          <w:sz w:val="24"/>
          <w:szCs w:val="24"/>
          <w:highlight w:val="none"/>
          <w:u w:val="single"/>
        </w:rPr>
        <w:t>增值税普通发票</w:t>
      </w:r>
      <w:r>
        <w:rPr>
          <w:rFonts w:hint="eastAsia" w:hAnsi="宋体" w:cs="宋体"/>
          <w:color w:val="auto"/>
          <w:sz w:val="24"/>
          <w:szCs w:val="24"/>
          <w:highlight w:val="none"/>
        </w:rPr>
        <w:t>、□</w:t>
      </w:r>
      <w:r>
        <w:rPr>
          <w:rFonts w:hint="eastAsia" w:hAnsi="宋体" w:cs="宋体"/>
          <w:color w:val="auto"/>
          <w:sz w:val="24"/>
          <w:szCs w:val="24"/>
          <w:highlight w:val="none"/>
          <w:u w:val="single"/>
        </w:rPr>
        <w:t>增值税专用发票</w:t>
      </w:r>
      <w:r>
        <w:rPr>
          <w:rFonts w:hint="eastAsia" w:hAnsi="宋体" w:cs="宋体"/>
          <w:color w:val="auto"/>
          <w:sz w:val="24"/>
          <w:szCs w:val="24"/>
          <w:highlight w:val="none"/>
        </w:rPr>
        <w:t>，开票信息如下：</w:t>
      </w:r>
    </w:p>
    <w:p w14:paraId="529153FC">
      <w:pPr>
        <w:spacing w:line="360" w:lineRule="auto"/>
        <w:ind w:firstLine="420"/>
        <w:rPr>
          <w:rFonts w:ascii="宋体" w:hAnsi="宋体" w:cs="宋体"/>
          <w:color w:val="auto"/>
          <w:kern w:val="0"/>
          <w:sz w:val="24"/>
          <w:highlight w:val="none"/>
        </w:rPr>
      </w:pPr>
      <w:r>
        <w:rPr>
          <w:rFonts w:hint="eastAsia" w:ascii="宋体" w:hAnsi="宋体" w:cs="宋体"/>
          <w:color w:val="auto"/>
          <w:kern w:val="0"/>
          <w:sz w:val="24"/>
          <w:highlight w:val="none"/>
        </w:rPr>
        <w:t>①公司名称：</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14:paraId="2C4FBB8C">
      <w:pPr>
        <w:spacing w:line="360" w:lineRule="auto"/>
        <w:ind w:firstLine="420"/>
        <w:rPr>
          <w:rFonts w:ascii="宋体" w:hAnsi="宋体" w:cs="宋体"/>
          <w:color w:val="auto"/>
          <w:kern w:val="0"/>
          <w:sz w:val="24"/>
          <w:highlight w:val="none"/>
        </w:rPr>
      </w:pPr>
      <w:r>
        <w:rPr>
          <w:rFonts w:hint="eastAsia" w:ascii="宋体" w:hAnsi="宋体" w:cs="宋体"/>
          <w:color w:val="auto"/>
          <w:kern w:val="0"/>
          <w:sz w:val="24"/>
          <w:highlight w:val="none"/>
        </w:rPr>
        <w:t>②纳税人识别号：</w:t>
      </w:r>
      <w:r>
        <w:rPr>
          <w:rFonts w:hint="eastAsia" w:ascii="宋体" w:hAnsi="宋体" w:cs="宋体"/>
          <w:color w:val="auto"/>
          <w:kern w:val="0"/>
          <w:sz w:val="24"/>
          <w:highlight w:val="none"/>
          <w:u w:val="single"/>
        </w:rPr>
        <w:t xml:space="preserve">               </w:t>
      </w:r>
    </w:p>
    <w:p w14:paraId="09DAAAE7">
      <w:pPr>
        <w:pStyle w:val="16"/>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8.与本谈判有关的一切正式往来信函请寄：</w:t>
      </w:r>
      <w:r>
        <w:rPr>
          <w:rFonts w:hint="eastAsia" w:hAnsi="宋体" w:cs="宋体"/>
          <w:color w:val="auto"/>
          <w:sz w:val="24"/>
          <w:highlight w:val="none"/>
          <w:u w:val="single"/>
        </w:rPr>
        <w:t xml:space="preserve">               </w:t>
      </w:r>
    </w:p>
    <w:p w14:paraId="24DB0682">
      <w:pPr>
        <w:pStyle w:val="16"/>
        <w:spacing w:line="360" w:lineRule="auto"/>
        <w:ind w:firstLine="480" w:firstLineChars="200"/>
        <w:contextualSpacing/>
        <w:rPr>
          <w:rFonts w:hAnsi="宋体" w:cs="宋体"/>
          <w:color w:val="auto"/>
          <w:sz w:val="24"/>
          <w:szCs w:val="24"/>
          <w:highlight w:val="none"/>
          <w:u w:val="single"/>
        </w:rPr>
      </w:pPr>
      <w:r>
        <w:rPr>
          <w:rFonts w:hint="eastAsia" w:hAnsi="宋体" w:cs="宋体"/>
          <w:color w:val="auto"/>
          <w:sz w:val="24"/>
          <w:szCs w:val="24"/>
          <w:highlight w:val="none"/>
        </w:rPr>
        <w:t>邮政编号：</w:t>
      </w:r>
      <w:r>
        <w:rPr>
          <w:rFonts w:hint="eastAsia" w:hAnsi="宋体" w:cs="宋体"/>
          <w:color w:val="auto"/>
          <w:sz w:val="24"/>
          <w:highlight w:val="none"/>
          <w:u w:val="single"/>
        </w:rPr>
        <w:t xml:space="preserve">               </w:t>
      </w:r>
    </w:p>
    <w:p w14:paraId="0195719D">
      <w:pPr>
        <w:pStyle w:val="16"/>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highlight w:val="none"/>
          <w:u w:val="single"/>
        </w:rPr>
        <w:t xml:space="preserve">               </w:t>
      </w:r>
      <w:r>
        <w:rPr>
          <w:rFonts w:hint="eastAsia" w:hAnsi="宋体" w:cs="宋体"/>
          <w:color w:val="auto"/>
          <w:sz w:val="24"/>
          <w:szCs w:val="24"/>
          <w:highlight w:val="none"/>
        </w:rPr>
        <w:t>电子邮箱：</w:t>
      </w:r>
      <w:r>
        <w:rPr>
          <w:rFonts w:hint="eastAsia" w:hAnsi="宋体" w:cs="宋体"/>
          <w:color w:val="auto"/>
          <w:sz w:val="24"/>
          <w:highlight w:val="none"/>
          <w:u w:val="single"/>
        </w:rPr>
        <w:t xml:space="preserve">               </w:t>
      </w:r>
    </w:p>
    <w:p w14:paraId="5D3432FB">
      <w:pPr>
        <w:pStyle w:val="14"/>
        <w:tabs>
          <w:tab w:val="left" w:pos="939"/>
        </w:tabs>
        <w:spacing w:line="360" w:lineRule="auto"/>
        <w:ind w:left="141" w:leftChars="67" w:firstLine="360" w:firstLineChars="150"/>
        <w:rPr>
          <w:rFonts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kern w:val="0"/>
          <w:sz w:val="24"/>
          <w:highlight w:val="none"/>
          <w:u w:val="single"/>
        </w:rPr>
        <w:t xml:space="preserve">               </w:t>
      </w:r>
      <w:r>
        <w:rPr>
          <w:rFonts w:hint="eastAsia" w:ascii="宋体" w:hAnsi="宋体" w:cs="宋体"/>
          <w:color w:val="auto"/>
          <w:sz w:val="24"/>
          <w:highlight w:val="none"/>
        </w:rPr>
        <w:t>账号/行号：</w:t>
      </w:r>
      <w:r>
        <w:rPr>
          <w:rFonts w:hint="eastAsia" w:ascii="宋体" w:hAnsi="宋体" w:cs="宋体"/>
          <w:color w:val="auto"/>
          <w:kern w:val="0"/>
          <w:sz w:val="24"/>
          <w:highlight w:val="none"/>
          <w:u w:val="single"/>
        </w:rPr>
        <w:t xml:space="preserve">               </w:t>
      </w:r>
    </w:p>
    <w:p w14:paraId="3694A1B3">
      <w:pPr>
        <w:pStyle w:val="14"/>
        <w:tabs>
          <w:tab w:val="left" w:pos="939"/>
        </w:tabs>
        <w:spacing w:line="360" w:lineRule="auto"/>
        <w:ind w:left="141" w:leftChars="67" w:firstLine="360" w:firstLineChars="150"/>
        <w:rPr>
          <w:rFonts w:ascii="宋体" w:hAnsi="宋体" w:cs="宋体"/>
          <w:color w:val="auto"/>
          <w:sz w:val="24"/>
          <w:highlight w:val="none"/>
        </w:rPr>
      </w:pPr>
      <w:r>
        <w:rPr>
          <w:rFonts w:hint="eastAsia" w:ascii="宋体" w:hAnsi="宋体" w:cs="宋体"/>
          <w:color w:val="auto"/>
          <w:sz w:val="24"/>
          <w:highlight w:val="none"/>
        </w:rPr>
        <w:t>9.以上事项如有虚假或者隐瞒，我方愿意承担一切后果，并不再寻求任何旨在减轻或者免除法律责任的辩解。</w:t>
      </w:r>
    </w:p>
    <w:p w14:paraId="7F0C1F26">
      <w:pPr>
        <w:pStyle w:val="14"/>
        <w:tabs>
          <w:tab w:val="left" w:pos="939"/>
        </w:tabs>
        <w:spacing w:line="360" w:lineRule="auto"/>
        <w:ind w:left="141" w:leftChars="67" w:firstLine="360" w:firstLineChars="150"/>
        <w:rPr>
          <w:rFonts w:ascii="宋体" w:hAnsi="宋体" w:cs="宋体"/>
          <w:color w:val="auto"/>
          <w:szCs w:val="21"/>
          <w:highlight w:val="none"/>
        </w:rPr>
      </w:pPr>
      <w:r>
        <w:rPr>
          <w:rFonts w:hint="eastAsia" w:ascii="宋体" w:hAnsi="宋体" w:cs="宋体"/>
          <w:color w:val="auto"/>
          <w:sz w:val="24"/>
          <w:highlight w:val="none"/>
        </w:rPr>
        <w:t>特此承诺。</w:t>
      </w:r>
    </w:p>
    <w:p w14:paraId="0F13EDD1">
      <w:pPr>
        <w:spacing w:line="360" w:lineRule="auto"/>
        <w:contextualSpacing/>
        <w:jc w:val="left"/>
        <w:rPr>
          <w:rFonts w:ascii="宋体" w:hAnsi="宋体"/>
          <w:b/>
          <w:color w:val="auto"/>
          <w:sz w:val="24"/>
          <w:highlight w:val="none"/>
        </w:rPr>
      </w:pPr>
      <w:r>
        <w:rPr>
          <w:rFonts w:hint="eastAsia" w:ascii="宋体" w:hAnsi="宋体"/>
          <w:b/>
          <w:color w:val="auto"/>
          <w:sz w:val="24"/>
          <w:highlight w:val="none"/>
        </w:rPr>
        <w:t>注：如为联合体竞标，盖章处须加盖联合体牵头人电子签章并由联合体牵头人法定代表人分别签字或者电子签名，否则响应文件按无效处理。</w:t>
      </w:r>
    </w:p>
    <w:p w14:paraId="0A972BE4">
      <w:pPr>
        <w:spacing w:line="360" w:lineRule="auto"/>
        <w:contextualSpacing/>
        <w:jc w:val="left"/>
        <w:rPr>
          <w:rFonts w:ascii="宋体" w:hAnsi="宋体" w:cs="宋体"/>
          <w:color w:val="auto"/>
          <w:szCs w:val="21"/>
          <w:highlight w:val="none"/>
        </w:rPr>
      </w:pPr>
    </w:p>
    <w:p w14:paraId="647B8FCF">
      <w:pPr>
        <w:spacing w:line="360" w:lineRule="auto"/>
        <w:ind w:firstLine="1800" w:firstLineChars="750"/>
        <w:contextualSpacing/>
        <w:rPr>
          <w:color w:val="auto"/>
          <w:sz w:val="24"/>
          <w:highlight w:val="none"/>
        </w:rPr>
      </w:pPr>
      <w:r>
        <w:rPr>
          <w:rFonts w:hint="eastAsia"/>
          <w:color w:val="auto"/>
          <w:sz w:val="24"/>
          <w:highlight w:val="none"/>
        </w:rPr>
        <w:t>法定代表人（</w:t>
      </w:r>
      <w:r>
        <w:rPr>
          <w:rFonts w:hint="eastAsia" w:ascii="宋体" w:hAnsi="宋体"/>
          <w:color w:val="auto"/>
          <w:sz w:val="24"/>
          <w:highlight w:val="none"/>
        </w:rPr>
        <w:t>签字或者电子签名</w:t>
      </w:r>
      <w:r>
        <w:rPr>
          <w:rFonts w:hint="eastAsia"/>
          <w:color w:val="auto"/>
          <w:sz w:val="24"/>
          <w:highlight w:val="none"/>
        </w:rPr>
        <w:t>）：</w:t>
      </w:r>
    </w:p>
    <w:p w14:paraId="7348EB10">
      <w:pPr>
        <w:spacing w:line="360" w:lineRule="auto"/>
        <w:ind w:firstLine="1800" w:firstLineChars="750"/>
        <w:contextualSpacing/>
        <w:rPr>
          <w:color w:val="auto"/>
          <w:sz w:val="24"/>
          <w:highlight w:val="none"/>
        </w:rPr>
      </w:pPr>
    </w:p>
    <w:p w14:paraId="4F6EB01C">
      <w:pPr>
        <w:spacing w:line="360" w:lineRule="auto"/>
        <w:ind w:firstLine="2640" w:firstLineChars="1100"/>
        <w:contextualSpacing/>
        <w:rPr>
          <w:color w:val="auto"/>
          <w:sz w:val="24"/>
          <w:highlight w:val="none"/>
        </w:rPr>
      </w:pPr>
      <w:r>
        <w:rPr>
          <w:rFonts w:hint="eastAsia"/>
          <w:color w:val="auto"/>
          <w:sz w:val="24"/>
          <w:highlight w:val="none"/>
        </w:rPr>
        <w:t>供应商名称（</w:t>
      </w:r>
      <w:r>
        <w:rPr>
          <w:rFonts w:hint="eastAsia" w:ascii="宋体" w:hAnsi="宋体"/>
          <w:color w:val="auto"/>
          <w:sz w:val="24"/>
          <w:highlight w:val="none"/>
        </w:rPr>
        <w:t>电子签章</w:t>
      </w:r>
      <w:r>
        <w:rPr>
          <w:rFonts w:hint="eastAsia"/>
          <w:color w:val="auto"/>
          <w:sz w:val="24"/>
          <w:highlight w:val="none"/>
        </w:rPr>
        <w:t>）：</w:t>
      </w:r>
    </w:p>
    <w:p w14:paraId="64670034">
      <w:pPr>
        <w:spacing w:line="360" w:lineRule="auto"/>
        <w:ind w:firstLine="2640" w:firstLineChars="1100"/>
        <w:contextualSpacing/>
        <w:rPr>
          <w:rFonts w:ascii="宋体" w:hAnsi="宋体" w:cs="宋体"/>
          <w:color w:val="auto"/>
          <w:sz w:val="24"/>
          <w:highlight w:val="none"/>
          <w:u w:val="single"/>
        </w:rPr>
      </w:pPr>
    </w:p>
    <w:p w14:paraId="5E7FC985">
      <w:pPr>
        <w:spacing w:line="360" w:lineRule="auto"/>
        <w:ind w:right="482" w:firstLine="240" w:firstLineChars="100"/>
        <w:contextualSpacing/>
        <w:jc w:val="center"/>
        <w:rPr>
          <w:rFonts w:ascii="宋体" w:hAnsi="宋体"/>
          <w:color w:val="auto"/>
          <w:sz w:val="24"/>
          <w:highlight w:val="none"/>
        </w:rPr>
      </w:pPr>
      <w:r>
        <w:rPr>
          <w:color w:val="auto"/>
          <w:sz w:val="24"/>
          <w:highlight w:val="none"/>
        </w:rPr>
        <w:t xml:space="preserve">                         </w:t>
      </w:r>
      <w:r>
        <w:rPr>
          <w:rFonts w:hint="eastAsia"/>
          <w:color w:val="auto"/>
          <w:sz w:val="24"/>
          <w:highlight w:val="none"/>
        </w:rPr>
        <w:t xml:space="preserve">  年   月  日</w:t>
      </w:r>
    </w:p>
    <w:p w14:paraId="6762CC1B">
      <w:pPr>
        <w:pStyle w:val="9"/>
        <w:overflowPunct w:val="0"/>
        <w:spacing w:line="520" w:lineRule="exact"/>
        <w:ind w:firstLine="0"/>
        <w:jc w:val="center"/>
        <w:rPr>
          <w:rFonts w:ascii="宋体" w:hAnsi="宋体"/>
          <w:b/>
          <w:color w:val="auto"/>
          <w:sz w:val="32"/>
          <w:szCs w:val="32"/>
          <w:highlight w:val="none"/>
        </w:rPr>
      </w:pPr>
      <w:r>
        <w:rPr>
          <w:rFonts w:hint="eastAsia" w:ascii="Arial Unicode MS" w:hAnsi="Arial Unicode MS" w:eastAsia="Arial Unicode MS" w:cs="Arial Unicode MS"/>
          <w:color w:val="auto"/>
          <w:sz w:val="32"/>
          <w:szCs w:val="32"/>
          <w:highlight w:val="none"/>
        </w:rPr>
        <w:br w:type="page"/>
      </w:r>
      <w:r>
        <w:rPr>
          <w:rFonts w:hint="eastAsia" w:ascii="宋体" w:hAnsi="宋体"/>
          <w:b/>
          <w:bCs/>
          <w:color w:val="auto"/>
          <w:sz w:val="32"/>
          <w:szCs w:val="32"/>
          <w:highlight w:val="none"/>
        </w:rPr>
        <w:t>二、</w:t>
      </w:r>
      <w:r>
        <w:rPr>
          <w:rFonts w:hint="eastAsia" w:ascii="宋体" w:hAnsi="宋体"/>
          <w:b/>
          <w:color w:val="auto"/>
          <w:sz w:val="32"/>
          <w:szCs w:val="32"/>
          <w:highlight w:val="none"/>
        </w:rPr>
        <w:t>报价文件格式</w:t>
      </w:r>
    </w:p>
    <w:p w14:paraId="543D0B03">
      <w:pPr>
        <w:snapToGrid w:val="0"/>
        <w:spacing w:before="120" w:beforeLines="50" w:after="50" w:line="360" w:lineRule="auto"/>
        <w:jc w:val="left"/>
        <w:rPr>
          <w:rFonts w:ascii="宋体" w:hAnsi="宋体"/>
          <w:b/>
          <w:color w:val="auto"/>
          <w:sz w:val="32"/>
          <w:szCs w:val="32"/>
          <w:highlight w:val="none"/>
        </w:rPr>
      </w:pPr>
      <w:r>
        <w:rPr>
          <w:rFonts w:hint="eastAsia" w:ascii="宋体" w:hAnsi="宋体"/>
          <w:b/>
          <w:color w:val="auto"/>
          <w:sz w:val="32"/>
          <w:szCs w:val="32"/>
          <w:highlight w:val="none"/>
        </w:rPr>
        <w:t>1.报价文件封面格式</w:t>
      </w:r>
    </w:p>
    <w:p w14:paraId="44DC5ED0">
      <w:pPr>
        <w:snapToGrid w:val="0"/>
        <w:spacing w:before="120" w:beforeLines="50" w:after="50"/>
        <w:rPr>
          <w:rFonts w:ascii="宋体" w:hAnsi="宋体"/>
          <w:bCs/>
          <w:color w:val="auto"/>
          <w:sz w:val="32"/>
          <w:szCs w:val="20"/>
          <w:highlight w:val="none"/>
        </w:rPr>
      </w:pPr>
    </w:p>
    <w:p w14:paraId="552E1A8B">
      <w:pPr>
        <w:snapToGrid w:val="0"/>
        <w:spacing w:before="120" w:beforeLines="50" w:after="50"/>
        <w:jc w:val="center"/>
        <w:rPr>
          <w:rFonts w:ascii="宋体" w:hAnsi="宋体"/>
          <w:color w:val="auto"/>
          <w:sz w:val="24"/>
          <w:szCs w:val="20"/>
          <w:highlight w:val="none"/>
        </w:rPr>
      </w:pPr>
      <w:r>
        <w:rPr>
          <w:rFonts w:hint="eastAsia" w:ascii="宋体" w:hAnsi="宋体"/>
          <w:color w:val="auto"/>
          <w:sz w:val="44"/>
          <w:szCs w:val="44"/>
          <w:highlight w:val="none"/>
        </w:rPr>
        <w:t>电子响应文件</w:t>
      </w:r>
    </w:p>
    <w:p w14:paraId="64BD1D30">
      <w:pPr>
        <w:snapToGrid w:val="0"/>
        <w:spacing w:before="120" w:beforeLines="50" w:after="50"/>
        <w:rPr>
          <w:rFonts w:ascii="宋体" w:hAnsi="宋体"/>
          <w:color w:val="auto"/>
          <w:sz w:val="24"/>
          <w:szCs w:val="20"/>
          <w:highlight w:val="none"/>
        </w:rPr>
      </w:pPr>
    </w:p>
    <w:p w14:paraId="46159A58">
      <w:pPr>
        <w:snapToGrid w:val="0"/>
        <w:spacing w:before="120" w:beforeLines="50" w:after="50"/>
        <w:rPr>
          <w:rFonts w:ascii="宋体" w:hAnsi="宋体"/>
          <w:color w:val="auto"/>
          <w:sz w:val="24"/>
          <w:szCs w:val="20"/>
          <w:highlight w:val="none"/>
        </w:rPr>
      </w:pPr>
    </w:p>
    <w:p w14:paraId="45CF0EFD">
      <w:pPr>
        <w:snapToGrid w:val="0"/>
        <w:spacing w:before="120" w:beforeLines="50" w:after="50"/>
        <w:jc w:val="center"/>
        <w:rPr>
          <w:rFonts w:ascii="Arial Unicode MS" w:hAnsi="Arial Unicode MS" w:eastAsia="Arial Unicode MS" w:cs="Arial Unicode MS"/>
          <w:bCs/>
          <w:color w:val="auto"/>
          <w:sz w:val="44"/>
          <w:szCs w:val="44"/>
          <w:highlight w:val="none"/>
        </w:rPr>
      </w:pPr>
      <w:r>
        <w:rPr>
          <w:rFonts w:hint="eastAsia" w:ascii="Arial Unicode MS" w:hAnsi="Arial Unicode MS" w:eastAsia="Arial Unicode MS" w:cs="Arial Unicode MS"/>
          <w:bCs/>
          <w:color w:val="auto"/>
          <w:sz w:val="44"/>
          <w:szCs w:val="44"/>
          <w:highlight w:val="none"/>
        </w:rPr>
        <w:t>报价文件</w:t>
      </w:r>
    </w:p>
    <w:p w14:paraId="337EE4C4">
      <w:pPr>
        <w:snapToGrid w:val="0"/>
        <w:spacing w:before="120" w:beforeLines="50" w:after="50"/>
        <w:rPr>
          <w:rFonts w:ascii="宋体" w:hAnsi="宋体"/>
          <w:bCs/>
          <w:color w:val="auto"/>
          <w:sz w:val="24"/>
          <w:szCs w:val="20"/>
          <w:highlight w:val="none"/>
        </w:rPr>
      </w:pPr>
    </w:p>
    <w:p w14:paraId="261AF96A">
      <w:pPr>
        <w:snapToGrid w:val="0"/>
        <w:spacing w:before="120" w:beforeLines="50" w:after="50"/>
        <w:rPr>
          <w:rFonts w:ascii="宋体" w:hAnsi="宋体"/>
          <w:bCs/>
          <w:color w:val="auto"/>
          <w:sz w:val="24"/>
          <w:szCs w:val="20"/>
          <w:highlight w:val="none"/>
        </w:rPr>
      </w:pPr>
    </w:p>
    <w:p w14:paraId="73DF128C">
      <w:pPr>
        <w:snapToGrid w:val="0"/>
        <w:spacing w:before="120" w:beforeLines="50" w:after="50"/>
        <w:rPr>
          <w:rFonts w:ascii="宋体" w:hAnsi="宋体"/>
          <w:bCs/>
          <w:color w:val="auto"/>
          <w:sz w:val="24"/>
          <w:szCs w:val="20"/>
          <w:highlight w:val="none"/>
        </w:rPr>
      </w:pPr>
    </w:p>
    <w:p w14:paraId="4FD78A28">
      <w:pPr>
        <w:snapToGrid w:val="0"/>
        <w:spacing w:before="120" w:beforeLines="50" w:after="50"/>
        <w:rPr>
          <w:rFonts w:ascii="宋体" w:hAnsi="宋体"/>
          <w:bCs/>
          <w:color w:val="auto"/>
          <w:sz w:val="24"/>
          <w:szCs w:val="20"/>
          <w:highlight w:val="none"/>
        </w:rPr>
      </w:pPr>
    </w:p>
    <w:p w14:paraId="1ADBFFC5">
      <w:pPr>
        <w:snapToGrid w:val="0"/>
        <w:spacing w:before="120" w:beforeLines="50" w:after="50"/>
        <w:rPr>
          <w:rFonts w:ascii="宋体" w:hAnsi="宋体"/>
          <w:bCs/>
          <w:color w:val="auto"/>
          <w:sz w:val="24"/>
          <w:szCs w:val="20"/>
          <w:highlight w:val="none"/>
        </w:rPr>
      </w:pPr>
    </w:p>
    <w:p w14:paraId="04EFD6E0">
      <w:pPr>
        <w:snapToGrid w:val="0"/>
        <w:spacing w:before="120"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00130C98">
      <w:pPr>
        <w:snapToGrid w:val="0"/>
        <w:spacing w:before="120" w:beforeLines="50" w:after="50"/>
        <w:ind w:firstLine="720" w:firstLineChars="225"/>
        <w:rPr>
          <w:rFonts w:ascii="宋体" w:hAnsi="宋体" w:cs="仿宋_GB2312"/>
          <w:bCs/>
          <w:color w:val="auto"/>
          <w:sz w:val="32"/>
          <w:szCs w:val="32"/>
          <w:highlight w:val="none"/>
        </w:rPr>
      </w:pPr>
    </w:p>
    <w:p w14:paraId="75D6E60D">
      <w:pPr>
        <w:snapToGrid w:val="0"/>
        <w:spacing w:before="120"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504481D3">
      <w:pPr>
        <w:snapToGrid w:val="0"/>
        <w:spacing w:before="120" w:beforeLines="50" w:after="50"/>
        <w:ind w:firstLine="720" w:firstLineChars="225"/>
        <w:rPr>
          <w:rFonts w:ascii="宋体" w:hAnsi="宋体" w:cs="仿宋_GB2312"/>
          <w:bCs/>
          <w:color w:val="auto"/>
          <w:sz w:val="32"/>
          <w:szCs w:val="32"/>
          <w:highlight w:val="none"/>
        </w:rPr>
      </w:pPr>
    </w:p>
    <w:p w14:paraId="6F3561ED">
      <w:pPr>
        <w:snapToGrid w:val="0"/>
        <w:spacing w:before="120" w:beforeLines="50" w:after="50"/>
        <w:ind w:firstLine="720" w:firstLineChars="225"/>
        <w:rPr>
          <w:rFonts w:ascii="宋体" w:hAnsi="宋体" w:cs="仿宋_GB2312"/>
          <w:bCs/>
          <w:color w:val="auto"/>
          <w:sz w:val="32"/>
          <w:szCs w:val="32"/>
          <w:highlight w:val="none"/>
        </w:rPr>
      </w:pPr>
    </w:p>
    <w:p w14:paraId="6DFABEFA">
      <w:pPr>
        <w:pStyle w:val="9"/>
        <w:snapToGrid w:val="0"/>
        <w:spacing w:before="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477D5CA7">
      <w:pPr>
        <w:pStyle w:val="9"/>
        <w:snapToGrid w:val="0"/>
        <w:spacing w:before="50" w:after="50"/>
        <w:ind w:firstLine="640" w:firstLineChars="200"/>
        <w:rPr>
          <w:rFonts w:ascii="宋体" w:hAnsi="宋体" w:cs="仿宋_GB2312"/>
          <w:bCs/>
          <w:color w:val="auto"/>
          <w:sz w:val="32"/>
          <w:szCs w:val="32"/>
          <w:highlight w:val="none"/>
        </w:rPr>
      </w:pPr>
    </w:p>
    <w:p w14:paraId="2F5858CC">
      <w:pPr>
        <w:pStyle w:val="9"/>
        <w:snapToGrid w:val="0"/>
        <w:spacing w:before="50" w:after="50"/>
        <w:ind w:firstLine="720" w:firstLineChars="225"/>
        <w:rPr>
          <w:rFonts w:ascii="宋体" w:hAnsi="宋体" w:cs="仿宋_GB2312"/>
          <w:bCs/>
          <w:color w:val="auto"/>
          <w:sz w:val="32"/>
          <w:szCs w:val="32"/>
          <w:highlight w:val="none"/>
        </w:rPr>
      </w:pPr>
    </w:p>
    <w:p w14:paraId="6B5353B0">
      <w:pPr>
        <w:pStyle w:val="9"/>
        <w:snapToGrid w:val="0"/>
        <w:spacing w:before="50" w:after="50"/>
        <w:ind w:firstLine="0"/>
        <w:rPr>
          <w:rFonts w:ascii="宋体" w:hAnsi="宋体" w:cs="仿宋_GB2312"/>
          <w:bCs/>
          <w:color w:val="auto"/>
          <w:sz w:val="32"/>
          <w:szCs w:val="32"/>
          <w:highlight w:val="none"/>
        </w:rPr>
      </w:pPr>
    </w:p>
    <w:p w14:paraId="76BE6F03">
      <w:pPr>
        <w:pStyle w:val="9"/>
        <w:snapToGrid w:val="0"/>
        <w:spacing w:before="50" w:after="50"/>
        <w:ind w:firstLine="1280" w:firstLineChars="400"/>
        <w:rPr>
          <w:rFonts w:ascii="宋体" w:hAnsi="宋体" w:cs="仿宋_GB2312"/>
          <w:bCs/>
          <w:color w:val="auto"/>
          <w:sz w:val="32"/>
          <w:szCs w:val="32"/>
          <w:highlight w:val="none"/>
        </w:rPr>
      </w:pPr>
    </w:p>
    <w:p w14:paraId="02B5AB79">
      <w:pPr>
        <w:snapToGrid w:val="0"/>
        <w:spacing w:before="120" w:beforeLines="5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0E7FEB4B">
      <w:pPr>
        <w:snapToGrid w:val="0"/>
        <w:spacing w:before="120" w:beforeLines="50" w:after="50" w:line="360" w:lineRule="auto"/>
        <w:ind w:left="142"/>
        <w:jc w:val="left"/>
        <w:rPr>
          <w:rFonts w:ascii="宋体" w:hAnsi="宋体"/>
          <w:b/>
          <w:bCs/>
          <w:color w:val="auto"/>
          <w:sz w:val="24"/>
          <w:highlight w:val="none"/>
        </w:rPr>
      </w:pPr>
      <w:r>
        <w:rPr>
          <w:rFonts w:ascii="宋体" w:hAnsi="宋体"/>
          <w:color w:val="auto"/>
          <w:szCs w:val="21"/>
          <w:highlight w:val="none"/>
        </w:rPr>
        <w:br w:type="page"/>
      </w:r>
      <w:r>
        <w:rPr>
          <w:rFonts w:hint="eastAsia" w:ascii="宋体" w:hAnsi="宋体"/>
          <w:b/>
          <w:bCs/>
          <w:color w:val="auto"/>
          <w:sz w:val="32"/>
          <w:szCs w:val="32"/>
          <w:highlight w:val="none"/>
        </w:rPr>
        <w:t>2.报价文件目录</w:t>
      </w:r>
    </w:p>
    <w:p w14:paraId="5C7267C6">
      <w:pPr>
        <w:tabs>
          <w:tab w:val="left" w:pos="3479"/>
        </w:tabs>
        <w:spacing w:line="520" w:lineRule="exact"/>
        <w:jc w:val="left"/>
        <w:rPr>
          <w:rFonts w:ascii="宋体" w:hAnsi="宋体"/>
          <w:color w:val="auto"/>
          <w:sz w:val="32"/>
          <w:szCs w:val="32"/>
          <w:highlight w:val="none"/>
        </w:rPr>
      </w:pPr>
      <w:r>
        <w:rPr>
          <w:rFonts w:hint="eastAsia" w:ascii="宋体" w:hAnsi="宋体"/>
          <w:color w:val="auto"/>
          <w:sz w:val="32"/>
          <w:szCs w:val="32"/>
          <w:highlight w:val="none"/>
        </w:rPr>
        <w:t>根据谈判文件规定及供应商提供的材料自行编写目录（部分格式后附）。</w:t>
      </w:r>
    </w:p>
    <w:p w14:paraId="2C040B5F">
      <w:pPr>
        <w:tabs>
          <w:tab w:val="left" w:pos="3479"/>
        </w:tabs>
        <w:spacing w:line="520" w:lineRule="exact"/>
        <w:jc w:val="center"/>
        <w:rPr>
          <w:rFonts w:ascii="宋体" w:hAnsi="宋体" w:cs="Arial Unicode MS"/>
          <w:b/>
          <w:bCs/>
          <w:color w:val="auto"/>
          <w:sz w:val="32"/>
          <w:szCs w:val="32"/>
          <w:highlight w:val="none"/>
        </w:rPr>
      </w:pPr>
      <w:r>
        <w:rPr>
          <w:rFonts w:ascii="宋体" w:hAnsi="宋体"/>
          <w:color w:val="auto"/>
          <w:szCs w:val="21"/>
          <w:highlight w:val="none"/>
        </w:rPr>
        <w:br w:type="page"/>
      </w:r>
      <w:r>
        <w:rPr>
          <w:rFonts w:hint="eastAsia" w:ascii="宋体" w:hAnsi="宋体" w:cs="Arial Unicode MS"/>
          <w:b/>
          <w:bCs/>
          <w:color w:val="auto"/>
          <w:sz w:val="44"/>
          <w:szCs w:val="44"/>
          <w:highlight w:val="none"/>
        </w:rPr>
        <w:t>竞标报价表</w:t>
      </w:r>
    </w:p>
    <w:p w14:paraId="3234F954">
      <w:pPr>
        <w:spacing w:line="520" w:lineRule="exact"/>
        <w:jc w:val="center"/>
        <w:rPr>
          <w:rFonts w:ascii="Arial Unicode MS" w:hAnsi="Arial Unicode MS" w:eastAsia="Arial Unicode MS" w:cs="Arial Unicode MS"/>
          <w:bCs/>
          <w:color w:val="auto"/>
          <w:sz w:val="32"/>
          <w:szCs w:val="32"/>
          <w:highlight w:val="none"/>
        </w:rPr>
      </w:pPr>
    </w:p>
    <w:p w14:paraId="354DDFBC">
      <w:pPr>
        <w:snapToGrid w:val="0"/>
        <w:spacing w:before="50" w:after="50" w:line="360" w:lineRule="auto"/>
        <w:rPr>
          <w:rFonts w:ascii="宋体" w:hAnsi="宋体" w:cs="仿宋_GB2312"/>
          <w:color w:val="auto"/>
          <w:sz w:val="24"/>
          <w:highlight w:val="none"/>
        </w:rPr>
      </w:pPr>
      <w:r>
        <w:rPr>
          <w:rFonts w:hint="eastAsia" w:ascii="宋体" w:hAnsi="宋体" w:cs="仿宋_GB2312"/>
          <w:color w:val="auto"/>
          <w:sz w:val="24"/>
          <w:highlight w:val="none"/>
        </w:rPr>
        <w:t>项目名称：                          项目编号：</w:t>
      </w:r>
    </w:p>
    <w:p w14:paraId="078D0F6F">
      <w:pPr>
        <w:snapToGrid w:val="0"/>
        <w:spacing w:before="50" w:after="50" w:line="360" w:lineRule="auto"/>
        <w:rPr>
          <w:rFonts w:ascii="宋体" w:hAnsi="宋体" w:cs="仿宋_GB2312"/>
          <w:color w:val="auto"/>
          <w:sz w:val="24"/>
          <w:highlight w:val="none"/>
        </w:rPr>
      </w:pPr>
      <w:r>
        <w:rPr>
          <w:rFonts w:hint="eastAsia" w:ascii="宋体" w:hAnsi="宋体" w:cs="仿宋_GB2312"/>
          <w:color w:val="auto"/>
          <w:sz w:val="24"/>
          <w:highlight w:val="none"/>
        </w:rPr>
        <w:t>供应商名称：                        单位：元</w:t>
      </w:r>
    </w:p>
    <w:tbl>
      <w:tblPr>
        <w:tblStyle w:val="26"/>
        <w:tblW w:w="1001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37"/>
        <w:gridCol w:w="1037"/>
        <w:gridCol w:w="923"/>
        <w:gridCol w:w="799"/>
        <w:gridCol w:w="978"/>
        <w:gridCol w:w="945"/>
        <w:gridCol w:w="1006"/>
        <w:gridCol w:w="1181"/>
        <w:gridCol w:w="716"/>
        <w:gridCol w:w="1393"/>
      </w:tblGrid>
      <w:tr w14:paraId="2A5139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24" w:hRule="atLeast"/>
          <w:jc w:val="center"/>
        </w:trPr>
        <w:tc>
          <w:tcPr>
            <w:tcW w:w="1037" w:type="dxa"/>
            <w:tcBorders>
              <w:top w:val="single" w:color="auto" w:sz="4" w:space="0"/>
              <w:left w:val="single" w:color="auto" w:sz="4" w:space="0"/>
              <w:bottom w:val="single" w:color="auto" w:sz="4" w:space="0"/>
              <w:right w:val="single" w:color="auto" w:sz="4" w:space="0"/>
            </w:tcBorders>
            <w:vAlign w:val="center"/>
          </w:tcPr>
          <w:p w14:paraId="4995CA86">
            <w:pPr>
              <w:spacing w:line="360" w:lineRule="auto"/>
              <w:jc w:val="center"/>
              <w:rPr>
                <w:rFonts w:ascii="宋体" w:hAnsi="宋体" w:cs="仿宋_GB2312"/>
                <w:b/>
                <w:bCs/>
                <w:color w:val="auto"/>
                <w:sz w:val="24"/>
                <w:highlight w:val="none"/>
              </w:rPr>
            </w:pPr>
            <w:r>
              <w:rPr>
                <w:rFonts w:hint="eastAsia" w:ascii="宋体" w:hAnsi="宋体" w:cs="仿宋_GB2312"/>
                <w:b/>
                <w:bCs/>
                <w:color w:val="auto"/>
                <w:sz w:val="24"/>
                <w:highlight w:val="none"/>
              </w:rPr>
              <w:t>项号</w:t>
            </w:r>
          </w:p>
        </w:tc>
        <w:tc>
          <w:tcPr>
            <w:tcW w:w="1037" w:type="dxa"/>
            <w:tcBorders>
              <w:top w:val="single" w:color="auto" w:sz="4" w:space="0"/>
              <w:left w:val="single" w:color="auto" w:sz="4" w:space="0"/>
              <w:bottom w:val="single" w:color="auto" w:sz="4" w:space="0"/>
              <w:right w:val="single" w:color="auto" w:sz="4" w:space="0"/>
            </w:tcBorders>
            <w:vAlign w:val="center"/>
          </w:tcPr>
          <w:p w14:paraId="12874F2C">
            <w:pPr>
              <w:spacing w:line="360" w:lineRule="auto"/>
              <w:jc w:val="center"/>
              <w:rPr>
                <w:rFonts w:ascii="宋体" w:hAnsi="宋体" w:cs="仿宋_GB2312"/>
                <w:b/>
                <w:bCs/>
                <w:color w:val="auto"/>
                <w:sz w:val="24"/>
                <w:highlight w:val="none"/>
              </w:rPr>
            </w:pPr>
            <w:r>
              <w:rPr>
                <w:rFonts w:hint="eastAsia" w:ascii="宋体" w:hAnsi="宋体" w:cs="仿宋_GB2312"/>
                <w:b/>
                <w:bCs/>
                <w:color w:val="auto"/>
                <w:sz w:val="24"/>
                <w:highlight w:val="none"/>
              </w:rPr>
              <w:t>标的的名称</w:t>
            </w:r>
          </w:p>
        </w:tc>
        <w:tc>
          <w:tcPr>
            <w:tcW w:w="923" w:type="dxa"/>
            <w:tcBorders>
              <w:top w:val="single" w:color="auto" w:sz="4" w:space="0"/>
              <w:left w:val="single" w:color="auto" w:sz="4" w:space="0"/>
              <w:bottom w:val="single" w:color="auto" w:sz="4" w:space="0"/>
              <w:right w:val="single" w:color="auto" w:sz="4" w:space="0"/>
            </w:tcBorders>
            <w:vAlign w:val="center"/>
          </w:tcPr>
          <w:p w14:paraId="6BF51250">
            <w:pPr>
              <w:spacing w:line="360" w:lineRule="auto"/>
              <w:jc w:val="center"/>
              <w:rPr>
                <w:rFonts w:ascii="宋体" w:hAnsi="宋体" w:cs="仿宋_GB2312"/>
                <w:b/>
                <w:bCs/>
                <w:color w:val="auto"/>
                <w:sz w:val="24"/>
                <w:highlight w:val="none"/>
              </w:rPr>
            </w:pPr>
            <w:r>
              <w:rPr>
                <w:rFonts w:hint="eastAsia" w:ascii="宋体" w:hAnsi="宋体" w:cs="仿宋_GB2312"/>
                <w:b/>
                <w:bCs/>
                <w:color w:val="auto"/>
                <w:sz w:val="24"/>
                <w:highlight w:val="none"/>
              </w:rPr>
              <w:t>数量及单位</w:t>
            </w:r>
          </w:p>
          <w:p w14:paraId="33CC8445">
            <w:pPr>
              <w:spacing w:line="360" w:lineRule="auto"/>
              <w:jc w:val="center"/>
              <w:rPr>
                <w:rFonts w:ascii="宋体" w:hAnsi="宋体" w:cs="仿宋_GB2312"/>
                <w:b/>
                <w:bCs/>
                <w:color w:val="auto"/>
                <w:sz w:val="24"/>
                <w:highlight w:val="none"/>
              </w:rPr>
            </w:pPr>
            <w:r>
              <w:rPr>
                <w:rFonts w:hint="eastAsia" w:ascii="宋体" w:hAnsi="宋体" w:cs="仿宋_GB2312"/>
                <w:b/>
                <w:bCs/>
                <w:color w:val="auto"/>
                <w:sz w:val="24"/>
                <w:highlight w:val="none"/>
              </w:rPr>
              <w:t>①</w:t>
            </w:r>
          </w:p>
        </w:tc>
        <w:tc>
          <w:tcPr>
            <w:tcW w:w="799" w:type="dxa"/>
            <w:tcBorders>
              <w:top w:val="single" w:color="auto" w:sz="4" w:space="0"/>
              <w:left w:val="single" w:color="auto" w:sz="4" w:space="0"/>
              <w:bottom w:val="single" w:color="auto" w:sz="4" w:space="0"/>
              <w:right w:val="single" w:color="auto" w:sz="4" w:space="0"/>
            </w:tcBorders>
            <w:vAlign w:val="center"/>
          </w:tcPr>
          <w:p w14:paraId="47FB129F">
            <w:pPr>
              <w:spacing w:line="360" w:lineRule="auto"/>
              <w:jc w:val="center"/>
              <w:rPr>
                <w:rFonts w:ascii="宋体" w:hAnsi="宋体" w:cs="仿宋_GB2312"/>
                <w:b/>
                <w:bCs/>
                <w:color w:val="auto"/>
                <w:sz w:val="24"/>
                <w:highlight w:val="none"/>
              </w:rPr>
            </w:pPr>
            <w:r>
              <w:rPr>
                <w:rFonts w:hint="eastAsia" w:ascii="宋体" w:hAnsi="宋体" w:cs="仿宋_GB2312"/>
                <w:b/>
                <w:bCs/>
                <w:color w:val="auto"/>
                <w:sz w:val="24"/>
                <w:highlight w:val="none"/>
              </w:rPr>
              <w:t>品牌</w:t>
            </w:r>
          </w:p>
        </w:tc>
        <w:tc>
          <w:tcPr>
            <w:tcW w:w="978" w:type="dxa"/>
            <w:tcBorders>
              <w:top w:val="single" w:color="auto" w:sz="4" w:space="0"/>
              <w:left w:val="single" w:color="auto" w:sz="4" w:space="0"/>
              <w:bottom w:val="single" w:color="auto" w:sz="4" w:space="0"/>
              <w:right w:val="single" w:color="auto" w:sz="4" w:space="0"/>
            </w:tcBorders>
            <w:vAlign w:val="center"/>
          </w:tcPr>
          <w:p w14:paraId="06064983">
            <w:pPr>
              <w:spacing w:line="360" w:lineRule="auto"/>
              <w:jc w:val="center"/>
              <w:rPr>
                <w:rFonts w:ascii="宋体" w:hAnsi="宋体" w:cs="仿宋_GB2312"/>
                <w:b/>
                <w:bCs/>
                <w:color w:val="auto"/>
                <w:sz w:val="24"/>
                <w:highlight w:val="none"/>
              </w:rPr>
            </w:pPr>
            <w:r>
              <w:rPr>
                <w:rFonts w:hint="eastAsia" w:ascii="宋体" w:hAnsi="宋体" w:cs="仿宋_GB2312"/>
                <w:b/>
                <w:bCs/>
                <w:color w:val="auto"/>
                <w:sz w:val="24"/>
                <w:highlight w:val="none"/>
              </w:rPr>
              <w:t>规格</w:t>
            </w:r>
          </w:p>
          <w:p w14:paraId="3A3EE1B5">
            <w:pPr>
              <w:spacing w:line="360" w:lineRule="auto"/>
              <w:jc w:val="center"/>
              <w:rPr>
                <w:rFonts w:ascii="宋体" w:hAnsi="宋体" w:cs="仿宋_GB2312"/>
                <w:b/>
                <w:bCs/>
                <w:color w:val="auto"/>
                <w:sz w:val="24"/>
                <w:highlight w:val="none"/>
              </w:rPr>
            </w:pPr>
            <w:r>
              <w:rPr>
                <w:rFonts w:hint="eastAsia" w:ascii="宋体" w:hAnsi="宋体" w:cs="仿宋_GB2312"/>
                <w:b/>
                <w:bCs/>
                <w:color w:val="auto"/>
                <w:sz w:val="24"/>
                <w:highlight w:val="none"/>
              </w:rPr>
              <w:t>型号</w:t>
            </w:r>
          </w:p>
        </w:tc>
        <w:tc>
          <w:tcPr>
            <w:tcW w:w="945" w:type="dxa"/>
            <w:tcBorders>
              <w:top w:val="single" w:color="auto" w:sz="4" w:space="0"/>
              <w:left w:val="single" w:color="auto" w:sz="4" w:space="0"/>
              <w:bottom w:val="single" w:color="auto" w:sz="4" w:space="0"/>
              <w:right w:val="single" w:color="auto" w:sz="4" w:space="0"/>
            </w:tcBorders>
            <w:vAlign w:val="center"/>
          </w:tcPr>
          <w:p w14:paraId="1965C2A9">
            <w:pPr>
              <w:spacing w:line="360" w:lineRule="auto"/>
              <w:jc w:val="center"/>
              <w:rPr>
                <w:rFonts w:ascii="宋体" w:hAnsi="宋体" w:cs="仿宋_GB2312"/>
                <w:b/>
                <w:bCs/>
                <w:color w:val="auto"/>
                <w:sz w:val="24"/>
                <w:highlight w:val="none"/>
              </w:rPr>
            </w:pPr>
            <w:r>
              <w:rPr>
                <w:rFonts w:hint="eastAsia" w:ascii="宋体" w:hAnsi="宋体" w:cs="仿宋_GB2312"/>
                <w:b/>
                <w:bCs/>
                <w:color w:val="auto"/>
                <w:sz w:val="24"/>
                <w:highlight w:val="none"/>
              </w:rPr>
              <w:t>制造商</w:t>
            </w:r>
          </w:p>
        </w:tc>
        <w:tc>
          <w:tcPr>
            <w:tcW w:w="1006" w:type="dxa"/>
            <w:tcBorders>
              <w:top w:val="single" w:color="auto" w:sz="4" w:space="0"/>
              <w:left w:val="single" w:color="auto" w:sz="4" w:space="0"/>
              <w:bottom w:val="single" w:color="auto" w:sz="4" w:space="0"/>
              <w:right w:val="single" w:color="auto" w:sz="4" w:space="0"/>
            </w:tcBorders>
            <w:vAlign w:val="center"/>
          </w:tcPr>
          <w:p w14:paraId="6FE98211">
            <w:pPr>
              <w:spacing w:line="360" w:lineRule="auto"/>
              <w:jc w:val="center"/>
              <w:rPr>
                <w:rFonts w:ascii="宋体" w:hAnsi="宋体" w:cs="仿宋_GB2312"/>
                <w:b/>
                <w:bCs/>
                <w:color w:val="auto"/>
                <w:sz w:val="24"/>
                <w:highlight w:val="none"/>
              </w:rPr>
            </w:pPr>
            <w:r>
              <w:rPr>
                <w:rFonts w:hint="eastAsia" w:ascii="宋体" w:hAnsi="宋体" w:cs="仿宋_GB2312"/>
                <w:b/>
                <w:bCs/>
                <w:color w:val="auto"/>
                <w:sz w:val="24"/>
                <w:highlight w:val="none"/>
              </w:rPr>
              <w:t>原产地</w:t>
            </w:r>
          </w:p>
        </w:tc>
        <w:tc>
          <w:tcPr>
            <w:tcW w:w="1181" w:type="dxa"/>
            <w:tcBorders>
              <w:top w:val="single" w:color="auto" w:sz="4" w:space="0"/>
              <w:left w:val="single" w:color="auto" w:sz="4" w:space="0"/>
              <w:bottom w:val="single" w:color="auto" w:sz="4" w:space="0"/>
              <w:right w:val="single" w:color="auto" w:sz="4" w:space="0"/>
            </w:tcBorders>
            <w:vAlign w:val="center"/>
          </w:tcPr>
          <w:p w14:paraId="6C2FBA9D">
            <w:pPr>
              <w:spacing w:line="360" w:lineRule="auto"/>
              <w:jc w:val="center"/>
              <w:rPr>
                <w:rFonts w:ascii="宋体" w:hAnsi="宋体" w:cs="仿宋_GB2312"/>
                <w:b/>
                <w:bCs/>
                <w:color w:val="auto"/>
                <w:sz w:val="24"/>
                <w:highlight w:val="none"/>
              </w:rPr>
            </w:pPr>
            <w:bookmarkStart w:id="103" w:name="OLE_LINK24"/>
            <w:r>
              <w:rPr>
                <w:rFonts w:hint="eastAsia" w:ascii="宋体" w:hAnsi="宋体" w:cs="仿宋_GB2312"/>
                <w:b/>
                <w:bCs/>
                <w:color w:val="auto"/>
                <w:sz w:val="24"/>
                <w:highlight w:val="none"/>
              </w:rPr>
              <w:t>技术参数、性能、指标及配置</w:t>
            </w:r>
            <w:bookmarkEnd w:id="103"/>
          </w:p>
        </w:tc>
        <w:tc>
          <w:tcPr>
            <w:tcW w:w="716" w:type="dxa"/>
            <w:tcBorders>
              <w:top w:val="single" w:color="auto" w:sz="4" w:space="0"/>
              <w:left w:val="single" w:color="auto" w:sz="4" w:space="0"/>
              <w:bottom w:val="single" w:color="auto" w:sz="4" w:space="0"/>
              <w:right w:val="single" w:color="auto" w:sz="4" w:space="0"/>
            </w:tcBorders>
            <w:vAlign w:val="center"/>
          </w:tcPr>
          <w:p w14:paraId="7E16FD5C">
            <w:pPr>
              <w:spacing w:line="360" w:lineRule="auto"/>
              <w:jc w:val="center"/>
              <w:rPr>
                <w:rFonts w:ascii="宋体" w:hAnsi="宋体" w:cs="仿宋_GB2312"/>
                <w:b/>
                <w:bCs/>
                <w:color w:val="auto"/>
                <w:sz w:val="24"/>
                <w:highlight w:val="none"/>
              </w:rPr>
            </w:pPr>
            <w:r>
              <w:rPr>
                <w:rFonts w:hint="eastAsia" w:ascii="宋体" w:hAnsi="宋体" w:cs="仿宋_GB2312"/>
                <w:b/>
                <w:bCs/>
                <w:color w:val="auto"/>
                <w:sz w:val="24"/>
                <w:highlight w:val="none"/>
              </w:rPr>
              <w:t>单价</w:t>
            </w:r>
          </w:p>
          <w:p w14:paraId="5302BB04">
            <w:pPr>
              <w:spacing w:line="360" w:lineRule="auto"/>
              <w:jc w:val="center"/>
              <w:rPr>
                <w:rFonts w:ascii="宋体" w:hAnsi="宋体" w:cs="仿宋_GB2312"/>
                <w:b/>
                <w:bCs/>
                <w:color w:val="auto"/>
                <w:sz w:val="24"/>
                <w:highlight w:val="none"/>
              </w:rPr>
            </w:pPr>
            <w:r>
              <w:rPr>
                <w:rFonts w:hint="eastAsia" w:ascii="宋体" w:hAnsi="宋体" w:cs="仿宋_GB2312"/>
                <w:b/>
                <w:bCs/>
                <w:color w:val="auto"/>
                <w:sz w:val="24"/>
                <w:highlight w:val="none"/>
              </w:rPr>
              <w:t>②</w:t>
            </w:r>
          </w:p>
        </w:tc>
        <w:tc>
          <w:tcPr>
            <w:tcW w:w="1393" w:type="dxa"/>
            <w:tcBorders>
              <w:top w:val="single" w:color="auto" w:sz="4" w:space="0"/>
              <w:left w:val="single" w:color="auto" w:sz="4" w:space="0"/>
              <w:bottom w:val="single" w:color="auto" w:sz="4" w:space="0"/>
              <w:right w:val="single" w:color="auto" w:sz="4" w:space="0"/>
            </w:tcBorders>
            <w:vAlign w:val="center"/>
          </w:tcPr>
          <w:p w14:paraId="2ACD6764">
            <w:pPr>
              <w:spacing w:line="360" w:lineRule="auto"/>
              <w:jc w:val="center"/>
              <w:rPr>
                <w:rFonts w:ascii="宋体" w:hAnsi="宋体" w:cs="仿宋_GB2312"/>
                <w:b/>
                <w:bCs/>
                <w:color w:val="auto"/>
                <w:sz w:val="24"/>
                <w:highlight w:val="none"/>
              </w:rPr>
            </w:pPr>
            <w:r>
              <w:rPr>
                <w:rFonts w:hint="eastAsia" w:ascii="宋体" w:hAnsi="宋体" w:cs="仿宋_GB2312"/>
                <w:b/>
                <w:bCs/>
                <w:color w:val="auto"/>
                <w:sz w:val="24"/>
                <w:highlight w:val="none"/>
              </w:rPr>
              <w:t>竞标报价</w:t>
            </w:r>
          </w:p>
          <w:p w14:paraId="25042020">
            <w:pPr>
              <w:spacing w:line="360" w:lineRule="auto"/>
              <w:jc w:val="center"/>
              <w:rPr>
                <w:rFonts w:ascii="宋体" w:hAnsi="宋体" w:cs="仿宋_GB2312"/>
                <w:b/>
                <w:bCs/>
                <w:color w:val="auto"/>
                <w:sz w:val="24"/>
                <w:highlight w:val="none"/>
              </w:rPr>
            </w:pPr>
            <w:r>
              <w:rPr>
                <w:rFonts w:hint="eastAsia" w:ascii="宋体" w:hAnsi="宋体" w:cs="仿宋_GB2312"/>
                <w:b/>
                <w:bCs/>
                <w:color w:val="auto"/>
                <w:sz w:val="24"/>
                <w:highlight w:val="none"/>
              </w:rPr>
              <w:t>③=①×②</w:t>
            </w:r>
          </w:p>
        </w:tc>
      </w:tr>
      <w:tr w14:paraId="19B1A7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63" w:hRule="atLeast"/>
          <w:jc w:val="center"/>
        </w:trPr>
        <w:tc>
          <w:tcPr>
            <w:tcW w:w="1037" w:type="dxa"/>
            <w:tcBorders>
              <w:top w:val="single" w:color="auto" w:sz="4" w:space="0"/>
              <w:left w:val="single" w:color="auto" w:sz="4" w:space="0"/>
              <w:bottom w:val="single" w:color="auto" w:sz="4" w:space="0"/>
              <w:right w:val="single" w:color="auto" w:sz="4" w:space="0"/>
            </w:tcBorders>
            <w:vAlign w:val="center"/>
          </w:tcPr>
          <w:p w14:paraId="09110CDB">
            <w:pPr>
              <w:spacing w:line="360" w:lineRule="auto"/>
              <w:jc w:val="center"/>
              <w:rPr>
                <w:rFonts w:ascii="宋体" w:hAnsi="宋体" w:cs="仿宋_GB2312"/>
                <w:color w:val="auto"/>
                <w:sz w:val="24"/>
                <w:highlight w:val="none"/>
              </w:rPr>
            </w:pPr>
            <w:r>
              <w:rPr>
                <w:rFonts w:hint="eastAsia" w:ascii="宋体" w:hAnsi="宋体" w:cs="仿宋_GB2312"/>
                <w:color w:val="auto"/>
                <w:sz w:val="24"/>
                <w:highlight w:val="none"/>
              </w:rPr>
              <w:t>1</w:t>
            </w:r>
          </w:p>
        </w:tc>
        <w:tc>
          <w:tcPr>
            <w:tcW w:w="1037" w:type="dxa"/>
            <w:tcBorders>
              <w:top w:val="single" w:color="auto" w:sz="4" w:space="0"/>
              <w:left w:val="single" w:color="auto" w:sz="4" w:space="0"/>
              <w:bottom w:val="single" w:color="auto" w:sz="4" w:space="0"/>
              <w:right w:val="single" w:color="auto" w:sz="4" w:space="0"/>
            </w:tcBorders>
            <w:vAlign w:val="center"/>
          </w:tcPr>
          <w:p w14:paraId="6E26F004">
            <w:pPr>
              <w:spacing w:line="360" w:lineRule="auto"/>
              <w:jc w:val="center"/>
              <w:rPr>
                <w:rFonts w:ascii="宋体" w:hAnsi="宋体" w:cs="仿宋_GB2312"/>
                <w:color w:val="auto"/>
                <w:sz w:val="24"/>
                <w:highlight w:val="none"/>
              </w:rPr>
            </w:pPr>
          </w:p>
        </w:tc>
        <w:tc>
          <w:tcPr>
            <w:tcW w:w="923" w:type="dxa"/>
            <w:tcBorders>
              <w:top w:val="single" w:color="auto" w:sz="4" w:space="0"/>
              <w:left w:val="single" w:color="auto" w:sz="4" w:space="0"/>
              <w:bottom w:val="single" w:color="auto" w:sz="4" w:space="0"/>
              <w:right w:val="single" w:color="auto" w:sz="4" w:space="0"/>
            </w:tcBorders>
            <w:vAlign w:val="center"/>
          </w:tcPr>
          <w:p w14:paraId="66D2CE13">
            <w:pPr>
              <w:spacing w:line="360" w:lineRule="auto"/>
              <w:jc w:val="center"/>
              <w:rPr>
                <w:rFonts w:ascii="宋体" w:hAnsi="宋体" w:cs="仿宋_GB2312"/>
                <w:color w:val="auto"/>
                <w:sz w:val="24"/>
                <w:highlight w:val="none"/>
              </w:rPr>
            </w:pPr>
          </w:p>
        </w:tc>
        <w:tc>
          <w:tcPr>
            <w:tcW w:w="799" w:type="dxa"/>
            <w:tcBorders>
              <w:top w:val="single" w:color="auto" w:sz="4" w:space="0"/>
              <w:left w:val="single" w:color="auto" w:sz="4" w:space="0"/>
              <w:bottom w:val="single" w:color="auto" w:sz="4" w:space="0"/>
              <w:right w:val="single" w:color="auto" w:sz="4" w:space="0"/>
            </w:tcBorders>
            <w:vAlign w:val="center"/>
          </w:tcPr>
          <w:p w14:paraId="40389C39">
            <w:pPr>
              <w:spacing w:line="360" w:lineRule="auto"/>
              <w:jc w:val="center"/>
              <w:rPr>
                <w:rFonts w:ascii="宋体" w:hAnsi="宋体" w:cs="仿宋_GB2312"/>
                <w:color w:val="auto"/>
                <w:sz w:val="24"/>
                <w:highlight w:val="none"/>
              </w:rPr>
            </w:pPr>
          </w:p>
        </w:tc>
        <w:tc>
          <w:tcPr>
            <w:tcW w:w="978" w:type="dxa"/>
            <w:tcBorders>
              <w:top w:val="single" w:color="auto" w:sz="4" w:space="0"/>
              <w:left w:val="single" w:color="auto" w:sz="4" w:space="0"/>
              <w:bottom w:val="single" w:color="auto" w:sz="4" w:space="0"/>
              <w:right w:val="single" w:color="auto" w:sz="4" w:space="0"/>
            </w:tcBorders>
            <w:vAlign w:val="center"/>
          </w:tcPr>
          <w:p w14:paraId="56CE1112">
            <w:pPr>
              <w:spacing w:line="360" w:lineRule="auto"/>
              <w:jc w:val="center"/>
              <w:rPr>
                <w:rFonts w:ascii="宋体" w:hAnsi="宋体" w:cs="仿宋_GB2312"/>
                <w:color w:val="auto"/>
                <w:sz w:val="24"/>
                <w:highlight w:val="none"/>
              </w:rPr>
            </w:pPr>
          </w:p>
        </w:tc>
        <w:tc>
          <w:tcPr>
            <w:tcW w:w="945" w:type="dxa"/>
            <w:tcBorders>
              <w:top w:val="single" w:color="auto" w:sz="4" w:space="0"/>
              <w:left w:val="single" w:color="auto" w:sz="4" w:space="0"/>
              <w:bottom w:val="single" w:color="auto" w:sz="4" w:space="0"/>
              <w:right w:val="single" w:color="auto" w:sz="4" w:space="0"/>
            </w:tcBorders>
            <w:vAlign w:val="center"/>
          </w:tcPr>
          <w:p w14:paraId="3A71BBA0">
            <w:pPr>
              <w:spacing w:line="360" w:lineRule="auto"/>
              <w:jc w:val="center"/>
              <w:rPr>
                <w:rFonts w:ascii="宋体" w:hAnsi="宋体" w:cs="仿宋_GB2312"/>
                <w:color w:val="auto"/>
                <w:sz w:val="24"/>
                <w:highlight w:val="none"/>
              </w:rPr>
            </w:pPr>
          </w:p>
        </w:tc>
        <w:tc>
          <w:tcPr>
            <w:tcW w:w="1006" w:type="dxa"/>
            <w:tcBorders>
              <w:top w:val="single" w:color="auto" w:sz="4" w:space="0"/>
              <w:left w:val="single" w:color="auto" w:sz="4" w:space="0"/>
              <w:bottom w:val="single" w:color="auto" w:sz="4" w:space="0"/>
              <w:right w:val="single" w:color="auto" w:sz="4" w:space="0"/>
            </w:tcBorders>
          </w:tcPr>
          <w:p w14:paraId="3837CC08">
            <w:pPr>
              <w:spacing w:line="360" w:lineRule="auto"/>
              <w:jc w:val="center"/>
              <w:rPr>
                <w:rFonts w:ascii="宋体" w:hAnsi="宋体" w:cs="仿宋_GB2312"/>
                <w:color w:val="auto"/>
                <w:sz w:val="24"/>
                <w:highlight w:val="none"/>
              </w:rPr>
            </w:pPr>
          </w:p>
        </w:tc>
        <w:tc>
          <w:tcPr>
            <w:tcW w:w="1181" w:type="dxa"/>
            <w:tcBorders>
              <w:top w:val="single" w:color="auto" w:sz="4" w:space="0"/>
              <w:left w:val="single" w:color="auto" w:sz="4" w:space="0"/>
              <w:bottom w:val="single" w:color="auto" w:sz="4" w:space="0"/>
              <w:right w:val="single" w:color="auto" w:sz="4" w:space="0"/>
            </w:tcBorders>
            <w:vAlign w:val="center"/>
          </w:tcPr>
          <w:p w14:paraId="4F9B1FC1">
            <w:pPr>
              <w:spacing w:line="360" w:lineRule="auto"/>
              <w:jc w:val="center"/>
              <w:rPr>
                <w:rFonts w:ascii="宋体" w:hAnsi="宋体" w:cs="仿宋_GB2312"/>
                <w:color w:val="auto"/>
                <w:sz w:val="24"/>
                <w:highlight w:val="none"/>
              </w:rPr>
            </w:pPr>
          </w:p>
        </w:tc>
        <w:tc>
          <w:tcPr>
            <w:tcW w:w="716" w:type="dxa"/>
            <w:tcBorders>
              <w:top w:val="single" w:color="auto" w:sz="4" w:space="0"/>
              <w:left w:val="single" w:color="auto" w:sz="4" w:space="0"/>
              <w:bottom w:val="single" w:color="auto" w:sz="4" w:space="0"/>
              <w:right w:val="single" w:color="auto" w:sz="4" w:space="0"/>
            </w:tcBorders>
            <w:vAlign w:val="center"/>
          </w:tcPr>
          <w:p w14:paraId="0D1E0895">
            <w:pPr>
              <w:spacing w:line="360" w:lineRule="auto"/>
              <w:jc w:val="center"/>
              <w:rPr>
                <w:rFonts w:ascii="宋体" w:hAnsi="宋体" w:cs="仿宋_GB2312"/>
                <w:color w:val="auto"/>
                <w:sz w:val="24"/>
                <w:highlight w:val="none"/>
              </w:rPr>
            </w:pPr>
          </w:p>
        </w:tc>
        <w:tc>
          <w:tcPr>
            <w:tcW w:w="1393" w:type="dxa"/>
            <w:tcBorders>
              <w:top w:val="single" w:color="auto" w:sz="4" w:space="0"/>
              <w:left w:val="single" w:color="auto" w:sz="4" w:space="0"/>
              <w:bottom w:val="single" w:color="auto" w:sz="4" w:space="0"/>
              <w:right w:val="single" w:color="auto" w:sz="4" w:space="0"/>
            </w:tcBorders>
            <w:vAlign w:val="center"/>
          </w:tcPr>
          <w:p w14:paraId="543BEAF5">
            <w:pPr>
              <w:spacing w:line="360" w:lineRule="auto"/>
              <w:jc w:val="center"/>
              <w:rPr>
                <w:rFonts w:ascii="宋体" w:hAnsi="宋体" w:cs="仿宋_GB2312"/>
                <w:color w:val="auto"/>
                <w:sz w:val="24"/>
                <w:highlight w:val="none"/>
              </w:rPr>
            </w:pPr>
          </w:p>
        </w:tc>
      </w:tr>
      <w:tr w14:paraId="09DF46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63" w:hRule="atLeast"/>
          <w:jc w:val="center"/>
        </w:trPr>
        <w:tc>
          <w:tcPr>
            <w:tcW w:w="1037" w:type="dxa"/>
            <w:tcBorders>
              <w:top w:val="single" w:color="auto" w:sz="4" w:space="0"/>
              <w:left w:val="single" w:color="auto" w:sz="4" w:space="0"/>
              <w:bottom w:val="single" w:color="auto" w:sz="4" w:space="0"/>
              <w:right w:val="single" w:color="auto" w:sz="4" w:space="0"/>
            </w:tcBorders>
            <w:vAlign w:val="center"/>
          </w:tcPr>
          <w:p w14:paraId="4F60775A">
            <w:pPr>
              <w:spacing w:line="360" w:lineRule="auto"/>
              <w:jc w:val="center"/>
              <w:rPr>
                <w:rFonts w:ascii="宋体" w:hAnsi="宋体" w:cs="仿宋_GB2312"/>
                <w:color w:val="auto"/>
                <w:sz w:val="24"/>
                <w:highlight w:val="none"/>
              </w:rPr>
            </w:pPr>
            <w:r>
              <w:rPr>
                <w:rFonts w:hint="eastAsia" w:ascii="宋体" w:hAnsi="宋体" w:cs="仿宋_GB2312"/>
                <w:color w:val="auto"/>
                <w:sz w:val="24"/>
                <w:highlight w:val="none"/>
              </w:rPr>
              <w:t>2</w:t>
            </w:r>
          </w:p>
        </w:tc>
        <w:tc>
          <w:tcPr>
            <w:tcW w:w="1037" w:type="dxa"/>
            <w:tcBorders>
              <w:top w:val="single" w:color="auto" w:sz="4" w:space="0"/>
              <w:left w:val="single" w:color="auto" w:sz="4" w:space="0"/>
              <w:bottom w:val="single" w:color="auto" w:sz="4" w:space="0"/>
              <w:right w:val="single" w:color="auto" w:sz="4" w:space="0"/>
            </w:tcBorders>
            <w:vAlign w:val="center"/>
          </w:tcPr>
          <w:p w14:paraId="42CF950E">
            <w:pPr>
              <w:spacing w:line="360" w:lineRule="auto"/>
              <w:jc w:val="center"/>
              <w:rPr>
                <w:rFonts w:ascii="宋体" w:hAnsi="宋体" w:cs="仿宋_GB2312"/>
                <w:color w:val="auto"/>
                <w:sz w:val="24"/>
                <w:highlight w:val="none"/>
              </w:rPr>
            </w:pPr>
          </w:p>
        </w:tc>
        <w:tc>
          <w:tcPr>
            <w:tcW w:w="923" w:type="dxa"/>
            <w:tcBorders>
              <w:top w:val="single" w:color="auto" w:sz="4" w:space="0"/>
              <w:left w:val="single" w:color="auto" w:sz="4" w:space="0"/>
              <w:bottom w:val="single" w:color="auto" w:sz="4" w:space="0"/>
              <w:right w:val="single" w:color="auto" w:sz="4" w:space="0"/>
            </w:tcBorders>
            <w:vAlign w:val="center"/>
          </w:tcPr>
          <w:p w14:paraId="3096205D">
            <w:pPr>
              <w:spacing w:line="360" w:lineRule="auto"/>
              <w:jc w:val="center"/>
              <w:rPr>
                <w:rFonts w:ascii="宋体" w:hAnsi="宋体" w:cs="仿宋_GB2312"/>
                <w:color w:val="auto"/>
                <w:sz w:val="24"/>
                <w:highlight w:val="none"/>
              </w:rPr>
            </w:pPr>
          </w:p>
        </w:tc>
        <w:tc>
          <w:tcPr>
            <w:tcW w:w="799" w:type="dxa"/>
            <w:tcBorders>
              <w:top w:val="single" w:color="auto" w:sz="4" w:space="0"/>
              <w:left w:val="single" w:color="auto" w:sz="4" w:space="0"/>
              <w:bottom w:val="single" w:color="auto" w:sz="4" w:space="0"/>
              <w:right w:val="single" w:color="auto" w:sz="4" w:space="0"/>
            </w:tcBorders>
            <w:vAlign w:val="center"/>
          </w:tcPr>
          <w:p w14:paraId="0A64674E">
            <w:pPr>
              <w:spacing w:line="360" w:lineRule="auto"/>
              <w:jc w:val="center"/>
              <w:rPr>
                <w:rFonts w:ascii="宋体" w:hAnsi="宋体" w:cs="仿宋_GB2312"/>
                <w:color w:val="auto"/>
                <w:sz w:val="24"/>
                <w:highlight w:val="none"/>
              </w:rPr>
            </w:pPr>
          </w:p>
        </w:tc>
        <w:tc>
          <w:tcPr>
            <w:tcW w:w="978" w:type="dxa"/>
            <w:tcBorders>
              <w:top w:val="single" w:color="auto" w:sz="4" w:space="0"/>
              <w:left w:val="single" w:color="auto" w:sz="4" w:space="0"/>
              <w:bottom w:val="single" w:color="auto" w:sz="4" w:space="0"/>
              <w:right w:val="single" w:color="auto" w:sz="4" w:space="0"/>
            </w:tcBorders>
            <w:vAlign w:val="center"/>
          </w:tcPr>
          <w:p w14:paraId="48DBD4CE">
            <w:pPr>
              <w:spacing w:line="360" w:lineRule="auto"/>
              <w:jc w:val="center"/>
              <w:rPr>
                <w:rFonts w:ascii="宋体" w:hAnsi="宋体" w:cs="仿宋_GB2312"/>
                <w:color w:val="auto"/>
                <w:sz w:val="24"/>
                <w:highlight w:val="none"/>
              </w:rPr>
            </w:pPr>
          </w:p>
        </w:tc>
        <w:tc>
          <w:tcPr>
            <w:tcW w:w="945" w:type="dxa"/>
            <w:tcBorders>
              <w:top w:val="single" w:color="auto" w:sz="4" w:space="0"/>
              <w:left w:val="single" w:color="auto" w:sz="4" w:space="0"/>
              <w:bottom w:val="single" w:color="auto" w:sz="4" w:space="0"/>
              <w:right w:val="single" w:color="auto" w:sz="4" w:space="0"/>
            </w:tcBorders>
            <w:vAlign w:val="center"/>
          </w:tcPr>
          <w:p w14:paraId="347FC8E4">
            <w:pPr>
              <w:spacing w:line="360" w:lineRule="auto"/>
              <w:jc w:val="center"/>
              <w:rPr>
                <w:rFonts w:ascii="宋体" w:hAnsi="宋体" w:cs="仿宋_GB2312"/>
                <w:color w:val="auto"/>
                <w:sz w:val="24"/>
                <w:highlight w:val="none"/>
              </w:rPr>
            </w:pPr>
          </w:p>
        </w:tc>
        <w:tc>
          <w:tcPr>
            <w:tcW w:w="1006" w:type="dxa"/>
            <w:tcBorders>
              <w:top w:val="single" w:color="auto" w:sz="4" w:space="0"/>
              <w:left w:val="single" w:color="auto" w:sz="4" w:space="0"/>
              <w:bottom w:val="single" w:color="auto" w:sz="4" w:space="0"/>
              <w:right w:val="single" w:color="auto" w:sz="4" w:space="0"/>
            </w:tcBorders>
          </w:tcPr>
          <w:p w14:paraId="254A9571">
            <w:pPr>
              <w:spacing w:line="360" w:lineRule="auto"/>
              <w:jc w:val="center"/>
              <w:rPr>
                <w:rFonts w:ascii="宋体" w:hAnsi="宋体" w:cs="仿宋_GB2312"/>
                <w:color w:val="auto"/>
                <w:sz w:val="24"/>
                <w:highlight w:val="none"/>
              </w:rPr>
            </w:pPr>
          </w:p>
        </w:tc>
        <w:tc>
          <w:tcPr>
            <w:tcW w:w="1181" w:type="dxa"/>
            <w:tcBorders>
              <w:top w:val="single" w:color="auto" w:sz="4" w:space="0"/>
              <w:left w:val="single" w:color="auto" w:sz="4" w:space="0"/>
              <w:bottom w:val="single" w:color="auto" w:sz="4" w:space="0"/>
              <w:right w:val="single" w:color="auto" w:sz="4" w:space="0"/>
            </w:tcBorders>
            <w:vAlign w:val="center"/>
          </w:tcPr>
          <w:p w14:paraId="3953D5E2">
            <w:pPr>
              <w:spacing w:line="360" w:lineRule="auto"/>
              <w:jc w:val="center"/>
              <w:rPr>
                <w:rFonts w:ascii="宋体" w:hAnsi="宋体" w:cs="仿宋_GB2312"/>
                <w:color w:val="auto"/>
                <w:sz w:val="24"/>
                <w:highlight w:val="none"/>
              </w:rPr>
            </w:pPr>
          </w:p>
        </w:tc>
        <w:tc>
          <w:tcPr>
            <w:tcW w:w="716" w:type="dxa"/>
            <w:tcBorders>
              <w:top w:val="single" w:color="auto" w:sz="4" w:space="0"/>
              <w:left w:val="single" w:color="auto" w:sz="4" w:space="0"/>
              <w:bottom w:val="single" w:color="auto" w:sz="4" w:space="0"/>
              <w:right w:val="single" w:color="auto" w:sz="4" w:space="0"/>
            </w:tcBorders>
            <w:vAlign w:val="center"/>
          </w:tcPr>
          <w:p w14:paraId="60412407">
            <w:pPr>
              <w:spacing w:line="360" w:lineRule="auto"/>
              <w:jc w:val="center"/>
              <w:rPr>
                <w:rFonts w:ascii="宋体" w:hAnsi="宋体" w:cs="仿宋_GB2312"/>
                <w:color w:val="auto"/>
                <w:sz w:val="24"/>
                <w:highlight w:val="none"/>
              </w:rPr>
            </w:pPr>
          </w:p>
        </w:tc>
        <w:tc>
          <w:tcPr>
            <w:tcW w:w="1393" w:type="dxa"/>
            <w:tcBorders>
              <w:top w:val="single" w:color="auto" w:sz="4" w:space="0"/>
              <w:left w:val="single" w:color="auto" w:sz="4" w:space="0"/>
              <w:bottom w:val="single" w:color="auto" w:sz="4" w:space="0"/>
              <w:right w:val="single" w:color="auto" w:sz="4" w:space="0"/>
            </w:tcBorders>
            <w:vAlign w:val="center"/>
          </w:tcPr>
          <w:p w14:paraId="3E101415">
            <w:pPr>
              <w:spacing w:line="360" w:lineRule="auto"/>
              <w:jc w:val="center"/>
              <w:rPr>
                <w:rFonts w:ascii="宋体" w:hAnsi="宋体" w:cs="仿宋_GB2312"/>
                <w:color w:val="auto"/>
                <w:sz w:val="24"/>
                <w:highlight w:val="none"/>
              </w:rPr>
            </w:pPr>
          </w:p>
        </w:tc>
      </w:tr>
      <w:tr w14:paraId="621082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63" w:hRule="atLeast"/>
          <w:jc w:val="center"/>
        </w:trPr>
        <w:tc>
          <w:tcPr>
            <w:tcW w:w="1037" w:type="dxa"/>
            <w:tcBorders>
              <w:top w:val="single" w:color="auto" w:sz="4" w:space="0"/>
              <w:left w:val="single" w:color="auto" w:sz="4" w:space="0"/>
              <w:bottom w:val="single" w:color="auto" w:sz="4" w:space="0"/>
              <w:right w:val="single" w:color="auto" w:sz="4" w:space="0"/>
            </w:tcBorders>
            <w:vAlign w:val="center"/>
          </w:tcPr>
          <w:p w14:paraId="55B05E51">
            <w:pPr>
              <w:spacing w:line="360" w:lineRule="auto"/>
              <w:jc w:val="center"/>
              <w:rPr>
                <w:rFonts w:ascii="宋体" w:hAnsi="宋体" w:cs="仿宋_GB2312"/>
                <w:color w:val="auto"/>
                <w:sz w:val="24"/>
                <w:highlight w:val="none"/>
              </w:rPr>
            </w:pPr>
            <w:r>
              <w:rPr>
                <w:rFonts w:hint="eastAsia" w:ascii="宋体" w:hAnsi="宋体" w:cs="仿宋_GB2312"/>
                <w:color w:val="auto"/>
                <w:sz w:val="24"/>
                <w:highlight w:val="none"/>
              </w:rPr>
              <w:t>...</w:t>
            </w:r>
          </w:p>
        </w:tc>
        <w:tc>
          <w:tcPr>
            <w:tcW w:w="1037" w:type="dxa"/>
            <w:tcBorders>
              <w:top w:val="single" w:color="auto" w:sz="4" w:space="0"/>
              <w:left w:val="single" w:color="auto" w:sz="4" w:space="0"/>
              <w:bottom w:val="single" w:color="auto" w:sz="4" w:space="0"/>
              <w:right w:val="single" w:color="auto" w:sz="4" w:space="0"/>
            </w:tcBorders>
            <w:vAlign w:val="center"/>
          </w:tcPr>
          <w:p w14:paraId="6A1F2510">
            <w:pPr>
              <w:spacing w:line="360" w:lineRule="auto"/>
              <w:jc w:val="center"/>
              <w:rPr>
                <w:rFonts w:ascii="宋体" w:hAnsi="宋体" w:cs="仿宋_GB2312"/>
                <w:color w:val="auto"/>
                <w:sz w:val="24"/>
                <w:highlight w:val="none"/>
              </w:rPr>
            </w:pPr>
          </w:p>
        </w:tc>
        <w:tc>
          <w:tcPr>
            <w:tcW w:w="923" w:type="dxa"/>
            <w:tcBorders>
              <w:top w:val="single" w:color="auto" w:sz="4" w:space="0"/>
              <w:left w:val="single" w:color="auto" w:sz="4" w:space="0"/>
              <w:bottom w:val="single" w:color="auto" w:sz="4" w:space="0"/>
              <w:right w:val="single" w:color="auto" w:sz="4" w:space="0"/>
            </w:tcBorders>
            <w:vAlign w:val="center"/>
          </w:tcPr>
          <w:p w14:paraId="47DDB645">
            <w:pPr>
              <w:spacing w:line="360" w:lineRule="auto"/>
              <w:jc w:val="center"/>
              <w:rPr>
                <w:rFonts w:ascii="宋体" w:hAnsi="宋体" w:cs="仿宋_GB2312"/>
                <w:color w:val="auto"/>
                <w:sz w:val="24"/>
                <w:highlight w:val="none"/>
              </w:rPr>
            </w:pPr>
          </w:p>
        </w:tc>
        <w:tc>
          <w:tcPr>
            <w:tcW w:w="799" w:type="dxa"/>
            <w:tcBorders>
              <w:top w:val="single" w:color="auto" w:sz="4" w:space="0"/>
              <w:left w:val="single" w:color="auto" w:sz="4" w:space="0"/>
              <w:bottom w:val="single" w:color="auto" w:sz="4" w:space="0"/>
              <w:right w:val="single" w:color="auto" w:sz="4" w:space="0"/>
            </w:tcBorders>
            <w:vAlign w:val="center"/>
          </w:tcPr>
          <w:p w14:paraId="1FA65EA5">
            <w:pPr>
              <w:spacing w:line="360" w:lineRule="auto"/>
              <w:jc w:val="center"/>
              <w:rPr>
                <w:rFonts w:ascii="宋体" w:hAnsi="宋体" w:cs="仿宋_GB2312"/>
                <w:color w:val="auto"/>
                <w:sz w:val="24"/>
                <w:highlight w:val="none"/>
              </w:rPr>
            </w:pPr>
          </w:p>
        </w:tc>
        <w:tc>
          <w:tcPr>
            <w:tcW w:w="978" w:type="dxa"/>
            <w:tcBorders>
              <w:top w:val="single" w:color="auto" w:sz="4" w:space="0"/>
              <w:left w:val="single" w:color="auto" w:sz="4" w:space="0"/>
              <w:bottom w:val="single" w:color="auto" w:sz="4" w:space="0"/>
              <w:right w:val="single" w:color="auto" w:sz="4" w:space="0"/>
            </w:tcBorders>
            <w:vAlign w:val="center"/>
          </w:tcPr>
          <w:p w14:paraId="4C8990CB">
            <w:pPr>
              <w:spacing w:line="360" w:lineRule="auto"/>
              <w:jc w:val="center"/>
              <w:rPr>
                <w:rFonts w:ascii="宋体" w:hAnsi="宋体" w:cs="仿宋_GB2312"/>
                <w:color w:val="auto"/>
                <w:sz w:val="24"/>
                <w:highlight w:val="none"/>
              </w:rPr>
            </w:pPr>
          </w:p>
        </w:tc>
        <w:tc>
          <w:tcPr>
            <w:tcW w:w="945" w:type="dxa"/>
            <w:tcBorders>
              <w:top w:val="single" w:color="auto" w:sz="4" w:space="0"/>
              <w:left w:val="single" w:color="auto" w:sz="4" w:space="0"/>
              <w:bottom w:val="single" w:color="auto" w:sz="4" w:space="0"/>
              <w:right w:val="single" w:color="auto" w:sz="4" w:space="0"/>
            </w:tcBorders>
            <w:vAlign w:val="center"/>
          </w:tcPr>
          <w:p w14:paraId="5484A612">
            <w:pPr>
              <w:spacing w:line="360" w:lineRule="auto"/>
              <w:jc w:val="center"/>
              <w:rPr>
                <w:rFonts w:ascii="宋体" w:hAnsi="宋体" w:cs="仿宋_GB2312"/>
                <w:color w:val="auto"/>
                <w:sz w:val="24"/>
                <w:highlight w:val="none"/>
              </w:rPr>
            </w:pPr>
          </w:p>
        </w:tc>
        <w:tc>
          <w:tcPr>
            <w:tcW w:w="1006" w:type="dxa"/>
            <w:tcBorders>
              <w:top w:val="single" w:color="auto" w:sz="4" w:space="0"/>
              <w:left w:val="single" w:color="auto" w:sz="4" w:space="0"/>
              <w:bottom w:val="single" w:color="auto" w:sz="4" w:space="0"/>
              <w:right w:val="single" w:color="auto" w:sz="4" w:space="0"/>
            </w:tcBorders>
          </w:tcPr>
          <w:p w14:paraId="7FE3D0B5">
            <w:pPr>
              <w:spacing w:line="360" w:lineRule="auto"/>
              <w:jc w:val="center"/>
              <w:rPr>
                <w:rFonts w:ascii="宋体" w:hAnsi="宋体" w:cs="仿宋_GB2312"/>
                <w:color w:val="auto"/>
                <w:sz w:val="24"/>
                <w:highlight w:val="none"/>
              </w:rPr>
            </w:pPr>
          </w:p>
        </w:tc>
        <w:tc>
          <w:tcPr>
            <w:tcW w:w="1181" w:type="dxa"/>
            <w:tcBorders>
              <w:top w:val="single" w:color="auto" w:sz="4" w:space="0"/>
              <w:left w:val="single" w:color="auto" w:sz="4" w:space="0"/>
              <w:bottom w:val="single" w:color="auto" w:sz="4" w:space="0"/>
              <w:right w:val="single" w:color="auto" w:sz="4" w:space="0"/>
            </w:tcBorders>
            <w:vAlign w:val="center"/>
          </w:tcPr>
          <w:p w14:paraId="61CABD97">
            <w:pPr>
              <w:spacing w:line="360" w:lineRule="auto"/>
              <w:jc w:val="center"/>
              <w:rPr>
                <w:rFonts w:ascii="宋体" w:hAnsi="宋体" w:cs="仿宋_GB2312"/>
                <w:color w:val="auto"/>
                <w:sz w:val="24"/>
                <w:highlight w:val="none"/>
              </w:rPr>
            </w:pPr>
          </w:p>
        </w:tc>
        <w:tc>
          <w:tcPr>
            <w:tcW w:w="716" w:type="dxa"/>
            <w:tcBorders>
              <w:top w:val="single" w:color="auto" w:sz="4" w:space="0"/>
              <w:left w:val="single" w:color="auto" w:sz="4" w:space="0"/>
              <w:bottom w:val="single" w:color="auto" w:sz="4" w:space="0"/>
              <w:right w:val="single" w:color="auto" w:sz="4" w:space="0"/>
            </w:tcBorders>
            <w:vAlign w:val="center"/>
          </w:tcPr>
          <w:p w14:paraId="39D84437">
            <w:pPr>
              <w:spacing w:line="360" w:lineRule="auto"/>
              <w:jc w:val="center"/>
              <w:rPr>
                <w:rFonts w:ascii="宋体" w:hAnsi="宋体" w:cs="仿宋_GB2312"/>
                <w:color w:val="auto"/>
                <w:sz w:val="24"/>
                <w:highlight w:val="none"/>
              </w:rPr>
            </w:pPr>
          </w:p>
        </w:tc>
        <w:tc>
          <w:tcPr>
            <w:tcW w:w="1393" w:type="dxa"/>
            <w:tcBorders>
              <w:top w:val="single" w:color="auto" w:sz="4" w:space="0"/>
              <w:left w:val="single" w:color="auto" w:sz="4" w:space="0"/>
              <w:bottom w:val="single" w:color="auto" w:sz="4" w:space="0"/>
              <w:right w:val="single" w:color="auto" w:sz="4" w:space="0"/>
            </w:tcBorders>
            <w:vAlign w:val="center"/>
          </w:tcPr>
          <w:p w14:paraId="38BDBD36">
            <w:pPr>
              <w:spacing w:line="360" w:lineRule="auto"/>
              <w:jc w:val="center"/>
              <w:rPr>
                <w:rFonts w:ascii="宋体" w:hAnsi="宋体" w:cs="仿宋_GB2312"/>
                <w:color w:val="auto"/>
                <w:sz w:val="24"/>
                <w:highlight w:val="none"/>
              </w:rPr>
            </w:pPr>
          </w:p>
        </w:tc>
      </w:tr>
      <w:tr w14:paraId="0C132F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10015" w:type="dxa"/>
            <w:gridSpan w:val="10"/>
            <w:tcBorders>
              <w:top w:val="single" w:color="auto" w:sz="4" w:space="0"/>
              <w:left w:val="single" w:color="auto" w:sz="4" w:space="0"/>
              <w:bottom w:val="single" w:color="auto" w:sz="4" w:space="0"/>
              <w:right w:val="single" w:color="auto" w:sz="4" w:space="0"/>
            </w:tcBorders>
          </w:tcPr>
          <w:p w14:paraId="2E5EF614">
            <w:pPr>
              <w:snapToGrid w:val="0"/>
              <w:spacing w:before="50" w:after="50" w:line="360" w:lineRule="auto"/>
              <w:rPr>
                <w:rFonts w:ascii="宋体" w:hAnsi="宋体" w:cs="仿宋_GB2312"/>
                <w:color w:val="auto"/>
                <w:sz w:val="24"/>
                <w:highlight w:val="none"/>
              </w:rPr>
            </w:pPr>
            <w:r>
              <w:rPr>
                <w:rFonts w:hint="eastAsia" w:ascii="宋体" w:hAnsi="宋体" w:cs="仿宋_GB2312"/>
                <w:color w:val="auto"/>
                <w:sz w:val="24"/>
                <w:highlight w:val="none"/>
              </w:rPr>
              <w:t>合计金额大写：人民币</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p>
        </w:tc>
      </w:tr>
      <w:tr w14:paraId="7B96E7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24" w:hRule="atLeast"/>
          <w:jc w:val="center"/>
        </w:trPr>
        <w:tc>
          <w:tcPr>
            <w:tcW w:w="10015" w:type="dxa"/>
            <w:gridSpan w:val="10"/>
            <w:tcBorders>
              <w:top w:val="single" w:color="auto" w:sz="4" w:space="0"/>
              <w:left w:val="single" w:color="auto" w:sz="4" w:space="0"/>
              <w:bottom w:val="single" w:color="auto" w:sz="4" w:space="0"/>
              <w:right w:val="single" w:color="auto" w:sz="4" w:space="0"/>
            </w:tcBorders>
          </w:tcPr>
          <w:p w14:paraId="57052630">
            <w:pPr>
              <w:snapToGrid w:val="0"/>
              <w:spacing w:before="50" w:after="50" w:line="360" w:lineRule="auto"/>
              <w:rPr>
                <w:rFonts w:ascii="宋体" w:hAnsi="宋体" w:cs="仿宋_GB2312"/>
                <w:color w:val="auto"/>
                <w:sz w:val="24"/>
                <w:highlight w:val="none"/>
              </w:rPr>
            </w:pPr>
            <w:r>
              <w:rPr>
                <w:rFonts w:hint="eastAsia" w:ascii="宋体" w:hAnsi="宋体" w:cs="仿宋_GB2312"/>
                <w:b/>
                <w:bCs/>
                <w:i/>
                <w:color w:val="auto"/>
                <w:sz w:val="24"/>
                <w:highlight w:val="none"/>
                <w:u w:val="single"/>
              </w:rPr>
              <w:t>响应产品中，属于本国产品总值为¥       （具体明细详见附表，附表格式自拟），占响应产品的比例为    %。</w:t>
            </w:r>
          </w:p>
        </w:tc>
      </w:tr>
    </w:tbl>
    <w:p w14:paraId="674231A2">
      <w:pPr>
        <w:spacing w:line="320" w:lineRule="exact"/>
        <w:contextualSpacing/>
        <w:jc w:val="left"/>
        <w:rPr>
          <w:rFonts w:ascii="宋体" w:hAnsi="宋体" w:cs="仿宋_GB2312"/>
          <w:color w:val="auto"/>
          <w:sz w:val="24"/>
          <w:highlight w:val="none"/>
        </w:rPr>
      </w:pPr>
    </w:p>
    <w:p w14:paraId="7176FBC6">
      <w:pPr>
        <w:spacing w:line="320" w:lineRule="exact"/>
        <w:contextualSpacing/>
        <w:jc w:val="left"/>
        <w:rPr>
          <w:rFonts w:ascii="宋体" w:hAnsi="宋体" w:cs="仿宋_GB2312"/>
          <w:color w:val="auto"/>
          <w:sz w:val="24"/>
          <w:highlight w:val="none"/>
        </w:rPr>
      </w:pPr>
      <w:r>
        <w:rPr>
          <w:rFonts w:hint="eastAsia" w:ascii="宋体" w:hAnsi="宋体" w:cs="仿宋_GB2312"/>
          <w:color w:val="auto"/>
          <w:sz w:val="24"/>
          <w:highlight w:val="none"/>
        </w:rPr>
        <w:t>注：</w:t>
      </w:r>
    </w:p>
    <w:p w14:paraId="7CA5D8A8">
      <w:pPr>
        <w:wordWrap w:val="0"/>
        <w:spacing w:line="320" w:lineRule="exact"/>
        <w:ind w:firstLine="480" w:firstLineChars="200"/>
        <w:contextualSpacing/>
        <w:jc w:val="left"/>
        <w:rPr>
          <w:rFonts w:ascii="宋体" w:hAnsi="宋体" w:cs="仿宋_GB2312"/>
          <w:color w:val="auto"/>
          <w:sz w:val="24"/>
          <w:highlight w:val="none"/>
        </w:rPr>
      </w:pPr>
      <w:r>
        <w:rPr>
          <w:rFonts w:hint="eastAsia" w:ascii="宋体" w:hAnsi="宋体" w:cs="仿宋_GB2312"/>
          <w:color w:val="auto"/>
          <w:sz w:val="24"/>
          <w:highlight w:val="none"/>
        </w:rPr>
        <w:t>1. 以上竞标报价表中“标的的名称；数量及单位；品牌；规格型号；制造商；原产地；技术参数、性能、指标及配置”必须如实填写完整，填写有缺漏的，</w:t>
      </w:r>
      <w:r>
        <w:rPr>
          <w:rFonts w:hint="eastAsia" w:ascii="宋体" w:hAnsi="宋体" w:cs="仿宋_GB2312"/>
          <w:b/>
          <w:bCs/>
          <w:color w:val="auto"/>
          <w:sz w:val="24"/>
          <w:highlight w:val="none"/>
        </w:rPr>
        <w:t>其响应文件按无效处理。</w:t>
      </w:r>
    </w:p>
    <w:p w14:paraId="01759D72">
      <w:pPr>
        <w:wordWrap w:val="0"/>
        <w:spacing w:line="320" w:lineRule="exact"/>
        <w:ind w:firstLine="480" w:firstLineChars="200"/>
        <w:contextualSpacing/>
        <w:jc w:val="left"/>
        <w:rPr>
          <w:rFonts w:ascii="宋体" w:hAnsi="宋体" w:cs="仿宋_GB2312"/>
          <w:color w:val="auto"/>
          <w:sz w:val="24"/>
          <w:highlight w:val="none"/>
        </w:rPr>
      </w:pPr>
      <w:r>
        <w:rPr>
          <w:rFonts w:ascii="宋体" w:hAnsi="宋体" w:cs="仿宋_GB2312"/>
          <w:color w:val="auto"/>
          <w:sz w:val="24"/>
          <w:highlight w:val="none"/>
        </w:rPr>
        <w:t>2</w:t>
      </w:r>
      <w:r>
        <w:rPr>
          <w:rFonts w:hint="eastAsia" w:ascii="宋体" w:hAnsi="宋体" w:cs="仿宋_GB2312"/>
          <w:color w:val="auto"/>
          <w:sz w:val="24"/>
          <w:highlight w:val="none"/>
        </w:rPr>
        <w:t>.供应商的报价表必须加盖供应商电子签章并由法定代表人或者委托代理人签字或者电子签名，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1825CDFF">
      <w:pPr>
        <w:wordWrap w:val="0"/>
        <w:spacing w:line="320" w:lineRule="exact"/>
        <w:ind w:firstLine="480" w:firstLineChars="200"/>
        <w:contextualSpacing/>
        <w:jc w:val="left"/>
        <w:rPr>
          <w:rFonts w:ascii="宋体" w:hAnsi="宋体" w:cs="仿宋_GB2312"/>
          <w:b/>
          <w:color w:val="auto"/>
          <w:sz w:val="24"/>
          <w:highlight w:val="none"/>
        </w:rPr>
      </w:pPr>
      <w:r>
        <w:rPr>
          <w:rFonts w:ascii="宋体" w:hAnsi="宋体" w:cs="仿宋_GB2312"/>
          <w:bCs/>
          <w:color w:val="auto"/>
          <w:sz w:val="24"/>
          <w:highlight w:val="none"/>
        </w:rPr>
        <w:t>3</w:t>
      </w:r>
      <w:r>
        <w:rPr>
          <w:rFonts w:hint="eastAsia" w:ascii="宋体" w:hAnsi="宋体" w:cs="仿宋_GB2312"/>
          <w:bCs/>
          <w:color w:val="auto"/>
          <w:sz w:val="24"/>
          <w:highlight w:val="none"/>
        </w:rPr>
        <w:t>.</w:t>
      </w:r>
      <w:r>
        <w:rPr>
          <w:rFonts w:hint="eastAsia" w:ascii="宋体" w:hAnsi="宋体" w:cs="仿宋_GB2312"/>
          <w:color w:val="auto"/>
          <w:sz w:val="24"/>
          <w:highlight w:val="none"/>
        </w:rPr>
        <w:t>报价一经涂改，应在涂改处加盖供应商公章或者加盖电子签章或者由法定代表人或者授权委托人签字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14:paraId="7D5C7039">
      <w:pPr>
        <w:wordWrap w:val="0"/>
        <w:spacing w:line="320" w:lineRule="exact"/>
        <w:ind w:firstLine="480" w:firstLineChars="200"/>
        <w:contextualSpacing/>
        <w:jc w:val="left"/>
        <w:rPr>
          <w:rFonts w:ascii="宋体" w:hAnsi="宋体" w:cs="仿宋_GB2312"/>
          <w:color w:val="auto"/>
          <w:sz w:val="24"/>
          <w:highlight w:val="none"/>
        </w:rPr>
      </w:pPr>
      <w:r>
        <w:rPr>
          <w:rFonts w:ascii="宋体" w:hAnsi="宋体" w:cs="仿宋_GB2312"/>
          <w:color w:val="auto"/>
          <w:sz w:val="24"/>
          <w:highlight w:val="none"/>
        </w:rPr>
        <w:t>4</w:t>
      </w:r>
      <w:r>
        <w:rPr>
          <w:rFonts w:hint="eastAsia" w:ascii="宋体" w:hAnsi="宋体" w:cs="仿宋_GB2312"/>
          <w:color w:val="auto"/>
          <w:sz w:val="24"/>
          <w:highlight w:val="none"/>
        </w:rPr>
        <w:t>.谈判文件中列明采购专用耗材的，应按谈判文件规定的耗材量或者按耗材的常规使用量提供报价。</w:t>
      </w:r>
    </w:p>
    <w:p w14:paraId="5E4A3613">
      <w:pPr>
        <w:wordWrap w:val="0"/>
        <w:spacing w:line="320" w:lineRule="exact"/>
        <w:ind w:firstLine="480" w:firstLineChars="200"/>
        <w:contextualSpacing/>
        <w:jc w:val="left"/>
        <w:rPr>
          <w:rFonts w:ascii="宋体" w:hAnsi="宋体" w:cs="仿宋_GB2312"/>
          <w:i/>
          <w:color w:val="auto"/>
          <w:sz w:val="24"/>
          <w:highlight w:val="none"/>
        </w:rPr>
      </w:pPr>
      <w:r>
        <w:rPr>
          <w:rFonts w:ascii="宋体" w:hAnsi="宋体" w:cs="仿宋_GB2312"/>
          <w:color w:val="auto"/>
          <w:sz w:val="24"/>
          <w:highlight w:val="none"/>
        </w:rPr>
        <w:t>5</w:t>
      </w:r>
      <w:r>
        <w:rPr>
          <w:rFonts w:hint="eastAsia" w:ascii="宋体" w:hAnsi="宋体" w:cs="仿宋_GB2312"/>
          <w:color w:val="auto"/>
          <w:sz w:val="24"/>
          <w:highlight w:val="none"/>
        </w:rPr>
        <w:t>.如为联合体竞标，“供应商名称”处必须列明联合体各方名称，标注联合体牵头人名称，</w:t>
      </w:r>
      <w:r>
        <w:rPr>
          <w:rFonts w:hint="eastAsia" w:ascii="宋体" w:hAnsi="宋体" w:cs="仿宋_GB2312"/>
          <w:b/>
          <w:color w:val="auto"/>
          <w:sz w:val="24"/>
          <w:highlight w:val="none"/>
        </w:rPr>
        <w:t>否则其响应文件按无效处理。</w:t>
      </w:r>
    </w:p>
    <w:p w14:paraId="600966C5">
      <w:pPr>
        <w:wordWrap w:val="0"/>
        <w:spacing w:line="320" w:lineRule="exact"/>
        <w:ind w:firstLine="480" w:firstLineChars="200"/>
        <w:contextualSpacing/>
        <w:jc w:val="left"/>
        <w:rPr>
          <w:rFonts w:ascii="宋体" w:hAnsi="宋体" w:cs="仿宋_GB2312"/>
          <w:color w:val="auto"/>
          <w:sz w:val="24"/>
          <w:highlight w:val="none"/>
        </w:rPr>
      </w:pPr>
      <w:r>
        <w:rPr>
          <w:rFonts w:ascii="宋体" w:hAnsi="宋体" w:cs="仿宋_GB2312"/>
          <w:color w:val="auto"/>
          <w:sz w:val="24"/>
          <w:highlight w:val="none"/>
        </w:rPr>
        <w:t>6</w:t>
      </w:r>
      <w:r>
        <w:rPr>
          <w:rFonts w:hint="eastAsia" w:ascii="宋体" w:hAnsi="宋体" w:cs="仿宋_GB2312"/>
          <w:color w:val="auto"/>
          <w:sz w:val="24"/>
          <w:highlight w:val="none"/>
        </w:rPr>
        <w:t>.如为联合体竞标，</w:t>
      </w:r>
      <w:r>
        <w:rPr>
          <w:rFonts w:hint="eastAsia" w:ascii="宋体" w:hAnsi="宋体"/>
          <w:color w:val="auto"/>
          <w:spacing w:val="-6"/>
          <w:sz w:val="24"/>
          <w:highlight w:val="none"/>
        </w:rPr>
        <w:t xml:space="preserve"> 盖章处须加盖联合体牵头人电子签章</w:t>
      </w:r>
      <w:r>
        <w:rPr>
          <w:rFonts w:hint="eastAsia" w:ascii="宋体" w:hAnsi="宋体" w:cs="仿宋_GB2312"/>
          <w:color w:val="auto"/>
          <w:sz w:val="24"/>
          <w:highlight w:val="none"/>
        </w:rPr>
        <w:t>，</w:t>
      </w:r>
      <w:r>
        <w:rPr>
          <w:rFonts w:hint="eastAsia" w:ascii="宋体" w:hAnsi="宋体" w:cs="仿宋_GB2312"/>
          <w:b/>
          <w:color w:val="auto"/>
          <w:sz w:val="24"/>
          <w:highlight w:val="none"/>
        </w:rPr>
        <w:t>否则其响应文件按无效处理。</w:t>
      </w:r>
    </w:p>
    <w:p w14:paraId="63B874AC">
      <w:pPr>
        <w:wordWrap w:val="0"/>
        <w:spacing w:line="320" w:lineRule="exact"/>
        <w:ind w:firstLine="480" w:firstLineChars="200"/>
        <w:contextualSpacing/>
        <w:rPr>
          <w:rFonts w:ascii="宋体" w:hAnsi="宋体" w:cs="仿宋_GB2312"/>
          <w:b/>
          <w:color w:val="auto"/>
          <w:sz w:val="24"/>
          <w:highlight w:val="none"/>
        </w:rPr>
      </w:pPr>
      <w:r>
        <w:rPr>
          <w:rFonts w:ascii="宋体" w:hAnsi="宋体" w:cs="仿宋_GB2312"/>
          <w:color w:val="auto"/>
          <w:sz w:val="24"/>
          <w:highlight w:val="none"/>
        </w:rPr>
        <w:t>7</w:t>
      </w:r>
      <w:r>
        <w:rPr>
          <w:rFonts w:hint="eastAsia" w:ascii="宋体" w:hAnsi="宋体" w:cs="仿宋_GB2312"/>
          <w:color w:val="auto"/>
          <w:sz w:val="24"/>
          <w:highlight w:val="none"/>
        </w:rPr>
        <w:t>.</w:t>
      </w:r>
      <w:r>
        <w:rPr>
          <w:rFonts w:hint="eastAsia" w:ascii="宋体" w:hAnsi="宋体" w:cs="仿宋_GB2312"/>
          <w:color w:val="auto"/>
          <w:spacing w:val="-6"/>
          <w:sz w:val="24"/>
          <w:highlight w:val="none"/>
        </w:rPr>
        <w:t>如有多分标，分别列明各分标的报价表，</w:t>
      </w:r>
      <w:r>
        <w:rPr>
          <w:rFonts w:hint="eastAsia" w:ascii="宋体" w:hAnsi="宋体" w:cs="仿宋_GB2312"/>
          <w:b/>
          <w:color w:val="auto"/>
          <w:spacing w:val="-6"/>
          <w:sz w:val="24"/>
          <w:highlight w:val="none"/>
        </w:rPr>
        <w:t>否则其响应文件按无效处理。</w:t>
      </w:r>
    </w:p>
    <w:p w14:paraId="3660D3E9">
      <w:pPr>
        <w:spacing w:line="320" w:lineRule="exact"/>
        <w:ind w:firstLine="480" w:firstLineChars="200"/>
        <w:contextualSpacing/>
        <w:jc w:val="left"/>
        <w:rPr>
          <w:rFonts w:ascii="宋体" w:hAnsi="宋体" w:cs="仿宋_GB2312"/>
          <w:color w:val="auto"/>
          <w:sz w:val="24"/>
          <w:highlight w:val="none"/>
        </w:rPr>
      </w:pPr>
    </w:p>
    <w:p w14:paraId="3BAE5AED">
      <w:pPr>
        <w:spacing w:line="320" w:lineRule="exact"/>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法定代表人或者委托代理人（签字或者电子签名）：</w:t>
      </w:r>
    </w:p>
    <w:p w14:paraId="2AE3024D">
      <w:pPr>
        <w:spacing w:line="320" w:lineRule="exact"/>
        <w:ind w:right="-817" w:rightChars="-389" w:firstLine="2640" w:firstLineChars="1100"/>
        <w:contextualSpacing/>
        <w:rPr>
          <w:rFonts w:ascii="宋体" w:hAnsi="宋体" w:cs="仿宋_GB2312"/>
          <w:color w:val="auto"/>
          <w:sz w:val="24"/>
          <w:highlight w:val="none"/>
        </w:rPr>
      </w:pPr>
      <w:r>
        <w:rPr>
          <w:rFonts w:hint="eastAsia" w:ascii="宋体" w:hAnsi="宋体" w:cs="仿宋_GB2312"/>
          <w:color w:val="auto"/>
          <w:sz w:val="24"/>
          <w:highlight w:val="none"/>
        </w:rPr>
        <w:t>供应商（电子签章）：</w:t>
      </w:r>
    </w:p>
    <w:p w14:paraId="61DC1365">
      <w:pPr>
        <w:spacing w:line="320" w:lineRule="exact"/>
        <w:ind w:right="-817" w:rightChars="-389"/>
        <w:contextualSpacing/>
        <w:rPr>
          <w:rFonts w:ascii="仿宋_GB2312" w:hAnsi="仿宋_GB2312" w:eastAsia="仿宋_GB2312" w:cs="仿宋_GB2312"/>
          <w:b/>
          <w:color w:val="auto"/>
          <w:sz w:val="32"/>
          <w:szCs w:val="32"/>
          <w:highlight w:val="none"/>
        </w:rPr>
      </w:pPr>
      <w:r>
        <w:rPr>
          <w:rFonts w:hint="eastAsia" w:ascii="宋体" w:hAnsi="宋体" w:cs="仿宋_GB2312"/>
          <w:color w:val="auto"/>
          <w:sz w:val="24"/>
          <w:highlight w:val="none"/>
        </w:rPr>
        <w:t xml:space="preserve">                      日期：  年  月  日</w:t>
      </w:r>
    </w:p>
    <w:p w14:paraId="52E0F836">
      <w:pPr>
        <w:spacing w:line="360" w:lineRule="auto"/>
        <w:ind w:right="420"/>
        <w:contextualSpacing/>
        <w:jc w:val="left"/>
        <w:rPr>
          <w:rFonts w:ascii="宋体" w:hAnsi="宋体"/>
          <w:b/>
          <w:bCs/>
          <w:color w:val="auto"/>
          <w:sz w:val="32"/>
          <w:szCs w:val="32"/>
          <w:highlight w:val="none"/>
        </w:rPr>
      </w:pPr>
    </w:p>
    <w:p w14:paraId="1B9F0663">
      <w:pPr>
        <w:spacing w:line="360" w:lineRule="auto"/>
        <w:ind w:right="420"/>
        <w:contextualSpacing/>
        <w:jc w:val="left"/>
        <w:rPr>
          <w:rFonts w:ascii="宋体" w:hAnsi="宋体"/>
          <w:b/>
          <w:color w:val="auto"/>
          <w:sz w:val="32"/>
          <w:szCs w:val="32"/>
          <w:highlight w:val="none"/>
        </w:rPr>
      </w:pPr>
      <w:r>
        <w:rPr>
          <w:rFonts w:hint="eastAsia" w:ascii="宋体" w:hAnsi="宋体"/>
          <w:b/>
          <w:bCs/>
          <w:color w:val="auto"/>
          <w:sz w:val="32"/>
          <w:szCs w:val="32"/>
          <w:highlight w:val="none"/>
        </w:rPr>
        <w:t>三、</w:t>
      </w:r>
      <w:r>
        <w:rPr>
          <w:rFonts w:hint="eastAsia" w:ascii="宋体" w:hAnsi="宋体"/>
          <w:b/>
          <w:color w:val="auto"/>
          <w:sz w:val="32"/>
          <w:szCs w:val="32"/>
          <w:highlight w:val="none"/>
        </w:rPr>
        <w:t>商务技术文件格式</w:t>
      </w:r>
    </w:p>
    <w:p w14:paraId="3EC4C47A">
      <w:pPr>
        <w:snapToGrid w:val="0"/>
        <w:spacing w:before="120" w:beforeLines="50" w:after="50" w:line="360" w:lineRule="auto"/>
        <w:jc w:val="left"/>
        <w:rPr>
          <w:rFonts w:ascii="宋体" w:hAnsi="宋体"/>
          <w:b/>
          <w:color w:val="auto"/>
          <w:sz w:val="32"/>
          <w:szCs w:val="32"/>
          <w:highlight w:val="none"/>
        </w:rPr>
      </w:pPr>
      <w:r>
        <w:rPr>
          <w:rFonts w:hint="eastAsia" w:ascii="宋体" w:hAnsi="宋体"/>
          <w:b/>
          <w:color w:val="auto"/>
          <w:sz w:val="32"/>
          <w:szCs w:val="32"/>
          <w:highlight w:val="none"/>
        </w:rPr>
        <w:t>1.商务技术文件封面格式</w:t>
      </w:r>
    </w:p>
    <w:p w14:paraId="1DB26539">
      <w:pPr>
        <w:snapToGrid w:val="0"/>
        <w:spacing w:before="120" w:beforeLines="50" w:after="50"/>
        <w:rPr>
          <w:rFonts w:ascii="宋体" w:hAnsi="宋体"/>
          <w:bCs/>
          <w:color w:val="auto"/>
          <w:sz w:val="32"/>
          <w:szCs w:val="20"/>
          <w:highlight w:val="none"/>
        </w:rPr>
      </w:pPr>
    </w:p>
    <w:p w14:paraId="5FE1FA92">
      <w:pPr>
        <w:snapToGrid w:val="0"/>
        <w:spacing w:before="120" w:beforeLines="50" w:after="50"/>
        <w:jc w:val="center"/>
        <w:rPr>
          <w:rFonts w:ascii="宋体" w:hAnsi="宋体"/>
          <w:color w:val="auto"/>
          <w:sz w:val="24"/>
          <w:szCs w:val="20"/>
          <w:highlight w:val="none"/>
        </w:rPr>
      </w:pPr>
      <w:r>
        <w:rPr>
          <w:rFonts w:hint="eastAsia" w:ascii="宋体" w:hAnsi="宋体"/>
          <w:color w:val="auto"/>
          <w:sz w:val="44"/>
          <w:szCs w:val="44"/>
          <w:highlight w:val="none"/>
        </w:rPr>
        <w:t>电子响应文件</w:t>
      </w:r>
    </w:p>
    <w:p w14:paraId="7B569C16">
      <w:pPr>
        <w:snapToGrid w:val="0"/>
        <w:spacing w:before="120" w:beforeLines="50" w:after="50"/>
        <w:rPr>
          <w:rFonts w:ascii="宋体" w:hAnsi="宋体"/>
          <w:color w:val="auto"/>
          <w:sz w:val="24"/>
          <w:szCs w:val="20"/>
          <w:highlight w:val="none"/>
        </w:rPr>
      </w:pPr>
    </w:p>
    <w:p w14:paraId="44AEEB28">
      <w:pPr>
        <w:snapToGrid w:val="0"/>
        <w:spacing w:before="120" w:beforeLines="50" w:after="50"/>
        <w:rPr>
          <w:rFonts w:ascii="宋体" w:hAnsi="宋体"/>
          <w:color w:val="auto"/>
          <w:sz w:val="24"/>
          <w:szCs w:val="20"/>
          <w:highlight w:val="none"/>
        </w:rPr>
      </w:pPr>
    </w:p>
    <w:p w14:paraId="05803E6B">
      <w:pPr>
        <w:snapToGrid w:val="0"/>
        <w:spacing w:before="120" w:beforeLines="50" w:after="50"/>
        <w:jc w:val="center"/>
        <w:rPr>
          <w:rFonts w:ascii="Arial Unicode MS" w:hAnsi="Arial Unicode MS" w:eastAsia="Arial Unicode MS" w:cs="Arial Unicode MS"/>
          <w:bCs/>
          <w:color w:val="auto"/>
          <w:sz w:val="44"/>
          <w:szCs w:val="44"/>
          <w:highlight w:val="none"/>
        </w:rPr>
      </w:pPr>
      <w:r>
        <w:rPr>
          <w:rFonts w:hint="eastAsia" w:ascii="Arial Unicode MS" w:hAnsi="Arial Unicode MS" w:eastAsia="Arial Unicode MS" w:cs="Arial Unicode MS"/>
          <w:bCs/>
          <w:color w:val="auto"/>
          <w:sz w:val="44"/>
          <w:szCs w:val="44"/>
          <w:highlight w:val="none"/>
        </w:rPr>
        <w:t>商务技术文件</w:t>
      </w:r>
    </w:p>
    <w:p w14:paraId="23E73D07">
      <w:pPr>
        <w:snapToGrid w:val="0"/>
        <w:spacing w:before="120" w:beforeLines="50" w:after="50"/>
        <w:rPr>
          <w:rFonts w:ascii="宋体" w:hAnsi="宋体"/>
          <w:bCs/>
          <w:color w:val="auto"/>
          <w:sz w:val="24"/>
          <w:szCs w:val="20"/>
          <w:highlight w:val="none"/>
        </w:rPr>
      </w:pPr>
    </w:p>
    <w:p w14:paraId="791D0B2F">
      <w:pPr>
        <w:snapToGrid w:val="0"/>
        <w:spacing w:before="120" w:beforeLines="50" w:after="50"/>
        <w:rPr>
          <w:rFonts w:ascii="宋体" w:hAnsi="宋体"/>
          <w:bCs/>
          <w:color w:val="auto"/>
          <w:sz w:val="24"/>
          <w:szCs w:val="20"/>
          <w:highlight w:val="none"/>
        </w:rPr>
      </w:pPr>
    </w:p>
    <w:p w14:paraId="6A42FB83">
      <w:pPr>
        <w:snapToGrid w:val="0"/>
        <w:spacing w:before="120" w:beforeLines="50" w:after="50"/>
        <w:rPr>
          <w:rFonts w:ascii="宋体" w:hAnsi="宋体"/>
          <w:bCs/>
          <w:color w:val="auto"/>
          <w:sz w:val="24"/>
          <w:szCs w:val="20"/>
          <w:highlight w:val="none"/>
        </w:rPr>
      </w:pPr>
    </w:p>
    <w:p w14:paraId="26B7D118">
      <w:pPr>
        <w:snapToGrid w:val="0"/>
        <w:spacing w:before="120" w:beforeLines="50" w:after="50"/>
        <w:rPr>
          <w:rFonts w:ascii="宋体" w:hAnsi="宋体"/>
          <w:bCs/>
          <w:color w:val="auto"/>
          <w:sz w:val="24"/>
          <w:szCs w:val="20"/>
          <w:highlight w:val="none"/>
        </w:rPr>
      </w:pPr>
    </w:p>
    <w:p w14:paraId="74DD4CE6">
      <w:pPr>
        <w:snapToGrid w:val="0"/>
        <w:spacing w:before="120" w:beforeLines="50" w:after="50"/>
        <w:rPr>
          <w:rFonts w:ascii="宋体" w:hAnsi="宋体"/>
          <w:bCs/>
          <w:color w:val="auto"/>
          <w:sz w:val="24"/>
          <w:szCs w:val="20"/>
          <w:highlight w:val="none"/>
        </w:rPr>
      </w:pPr>
    </w:p>
    <w:p w14:paraId="68DC02D2">
      <w:pPr>
        <w:snapToGrid w:val="0"/>
        <w:spacing w:before="120"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5B652873">
      <w:pPr>
        <w:snapToGrid w:val="0"/>
        <w:spacing w:before="120" w:beforeLines="50" w:after="50"/>
        <w:ind w:firstLine="720" w:firstLineChars="225"/>
        <w:rPr>
          <w:rFonts w:ascii="宋体" w:hAnsi="宋体" w:cs="仿宋_GB2312"/>
          <w:bCs/>
          <w:color w:val="auto"/>
          <w:sz w:val="32"/>
          <w:szCs w:val="32"/>
          <w:highlight w:val="none"/>
        </w:rPr>
      </w:pPr>
    </w:p>
    <w:p w14:paraId="52CDAEC6">
      <w:pPr>
        <w:snapToGrid w:val="0"/>
        <w:spacing w:before="120" w:beforeLines="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37B6CA75">
      <w:pPr>
        <w:snapToGrid w:val="0"/>
        <w:spacing w:before="120" w:beforeLines="50" w:after="50"/>
        <w:ind w:firstLine="720" w:firstLineChars="225"/>
        <w:rPr>
          <w:rFonts w:ascii="宋体" w:hAnsi="宋体" w:cs="仿宋_GB2312"/>
          <w:bCs/>
          <w:color w:val="auto"/>
          <w:sz w:val="32"/>
          <w:szCs w:val="32"/>
          <w:highlight w:val="none"/>
        </w:rPr>
      </w:pPr>
    </w:p>
    <w:p w14:paraId="7A81ACE3">
      <w:pPr>
        <w:pStyle w:val="9"/>
        <w:snapToGrid w:val="0"/>
        <w:spacing w:before="50" w:after="50"/>
        <w:ind w:firstLine="640" w:firstLineChars="200"/>
        <w:rPr>
          <w:rFonts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5BD27E1E">
      <w:pPr>
        <w:pStyle w:val="9"/>
        <w:snapToGrid w:val="0"/>
        <w:spacing w:before="50" w:after="50"/>
        <w:ind w:firstLine="640" w:firstLineChars="200"/>
        <w:rPr>
          <w:rFonts w:ascii="宋体" w:hAnsi="宋体" w:cs="仿宋_GB2312"/>
          <w:bCs/>
          <w:color w:val="auto"/>
          <w:sz w:val="32"/>
          <w:szCs w:val="32"/>
          <w:highlight w:val="none"/>
        </w:rPr>
      </w:pPr>
    </w:p>
    <w:p w14:paraId="353D3644">
      <w:pPr>
        <w:pStyle w:val="9"/>
        <w:snapToGrid w:val="0"/>
        <w:spacing w:before="50" w:after="50"/>
        <w:ind w:firstLine="720" w:firstLineChars="225"/>
        <w:rPr>
          <w:rFonts w:ascii="宋体" w:hAnsi="宋体" w:cs="仿宋_GB2312"/>
          <w:bCs/>
          <w:color w:val="auto"/>
          <w:sz w:val="32"/>
          <w:szCs w:val="32"/>
          <w:highlight w:val="none"/>
        </w:rPr>
      </w:pPr>
    </w:p>
    <w:p w14:paraId="0857A1BA">
      <w:pPr>
        <w:pStyle w:val="9"/>
        <w:snapToGrid w:val="0"/>
        <w:spacing w:before="50" w:after="50"/>
        <w:ind w:firstLine="0"/>
        <w:rPr>
          <w:rFonts w:ascii="宋体" w:hAnsi="宋体" w:cs="仿宋_GB2312"/>
          <w:bCs/>
          <w:color w:val="auto"/>
          <w:sz w:val="32"/>
          <w:szCs w:val="32"/>
          <w:highlight w:val="none"/>
        </w:rPr>
      </w:pPr>
    </w:p>
    <w:p w14:paraId="24E419F0">
      <w:pPr>
        <w:pStyle w:val="9"/>
        <w:snapToGrid w:val="0"/>
        <w:spacing w:before="50" w:after="50"/>
        <w:ind w:firstLine="1280" w:firstLineChars="400"/>
        <w:rPr>
          <w:rFonts w:ascii="宋体" w:hAnsi="宋体" w:cs="仿宋_GB2312"/>
          <w:bCs/>
          <w:color w:val="auto"/>
          <w:sz w:val="32"/>
          <w:szCs w:val="32"/>
          <w:highlight w:val="none"/>
        </w:rPr>
      </w:pPr>
    </w:p>
    <w:p w14:paraId="5DC3DCF5">
      <w:pPr>
        <w:snapToGrid w:val="0"/>
        <w:spacing w:before="120" w:beforeLines="50" w:after="50"/>
        <w:jc w:val="center"/>
        <w:rPr>
          <w:rFonts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3E009BDD">
      <w:pPr>
        <w:snapToGrid w:val="0"/>
        <w:spacing w:before="120" w:beforeLines="50" w:after="50" w:line="360" w:lineRule="auto"/>
        <w:jc w:val="left"/>
        <w:rPr>
          <w:rFonts w:ascii="宋体" w:hAnsi="宋体"/>
          <w:b/>
          <w:bCs/>
          <w:color w:val="auto"/>
          <w:sz w:val="24"/>
          <w:highlight w:val="none"/>
        </w:rPr>
      </w:pPr>
      <w:r>
        <w:rPr>
          <w:rFonts w:ascii="宋体" w:hAnsi="宋体"/>
          <w:color w:val="auto"/>
          <w:sz w:val="24"/>
          <w:highlight w:val="none"/>
        </w:rPr>
        <w:br w:type="page"/>
      </w:r>
      <w:r>
        <w:rPr>
          <w:rFonts w:hint="eastAsia" w:ascii="宋体" w:hAnsi="宋体"/>
          <w:b/>
          <w:bCs/>
          <w:color w:val="auto"/>
          <w:sz w:val="32"/>
          <w:szCs w:val="32"/>
          <w:highlight w:val="none"/>
        </w:rPr>
        <w:t>2.商务技术文件目录</w:t>
      </w:r>
    </w:p>
    <w:p w14:paraId="3868469A">
      <w:pPr>
        <w:snapToGrid w:val="0"/>
        <w:spacing w:before="120" w:beforeLines="50" w:after="50" w:line="360" w:lineRule="auto"/>
        <w:rPr>
          <w:rFonts w:ascii="宋体" w:hAnsi="宋体"/>
          <w:color w:val="auto"/>
          <w:sz w:val="32"/>
          <w:szCs w:val="32"/>
          <w:highlight w:val="none"/>
        </w:rPr>
      </w:pPr>
      <w:r>
        <w:rPr>
          <w:rFonts w:hint="eastAsia" w:ascii="宋体" w:hAnsi="宋体"/>
          <w:color w:val="auto"/>
          <w:sz w:val="32"/>
          <w:szCs w:val="32"/>
          <w:highlight w:val="none"/>
        </w:rPr>
        <w:t>根据谈判文件规定及供应商提供的材料自行编写目录（部分格式后附）。</w:t>
      </w:r>
    </w:p>
    <w:p w14:paraId="13694935">
      <w:pPr>
        <w:spacing w:line="400" w:lineRule="exact"/>
        <w:rPr>
          <w:rFonts w:ascii="仿宋_GB2312" w:hAnsi="仿宋_GB2312" w:eastAsia="仿宋_GB2312" w:cs="仿宋_GB2312"/>
          <w:color w:val="auto"/>
          <w:sz w:val="32"/>
          <w:szCs w:val="32"/>
          <w:highlight w:val="none"/>
        </w:rPr>
      </w:pPr>
    </w:p>
    <w:p w14:paraId="492A1FC4">
      <w:pPr>
        <w:spacing w:line="520" w:lineRule="exact"/>
        <w:jc w:val="center"/>
        <w:rPr>
          <w:rFonts w:ascii="宋体" w:hAnsi="宋体" w:cs="仿宋_GB2312"/>
          <w:b/>
          <w:color w:val="auto"/>
          <w:sz w:val="32"/>
          <w:szCs w:val="32"/>
          <w:highlight w:val="none"/>
        </w:rPr>
      </w:pPr>
      <w:r>
        <w:rPr>
          <w:rFonts w:hint="eastAsia" w:ascii="Arial Unicode MS" w:hAnsi="Arial Unicode MS" w:eastAsia="Arial Unicode MS" w:cs="Arial Unicode MS"/>
          <w:color w:val="auto"/>
          <w:sz w:val="44"/>
          <w:szCs w:val="44"/>
          <w:highlight w:val="none"/>
        </w:rPr>
        <w:br w:type="page"/>
      </w:r>
      <w:r>
        <w:rPr>
          <w:rFonts w:hint="eastAsia" w:ascii="宋体" w:hAnsi="宋体" w:cs="Arial Unicode MS"/>
          <w:b/>
          <w:color w:val="auto"/>
          <w:sz w:val="44"/>
          <w:szCs w:val="44"/>
          <w:highlight w:val="none"/>
        </w:rPr>
        <w:t>无串通竞标行为的承诺函</w:t>
      </w:r>
    </w:p>
    <w:p w14:paraId="70116DCE">
      <w:pPr>
        <w:spacing w:line="360" w:lineRule="auto"/>
        <w:ind w:firstLine="640" w:firstLineChars="200"/>
        <w:contextualSpacing/>
        <w:rPr>
          <w:rFonts w:ascii="仿宋_GB2312" w:hAnsi="仿宋_GB2312" w:eastAsia="仿宋_GB2312" w:cs="仿宋_GB2312"/>
          <w:color w:val="auto"/>
          <w:sz w:val="32"/>
          <w:szCs w:val="32"/>
          <w:highlight w:val="none"/>
        </w:rPr>
      </w:pPr>
    </w:p>
    <w:p w14:paraId="67AE5C3D">
      <w:pPr>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一、我方承诺无下列相互串通竞标的情形：</w:t>
      </w:r>
    </w:p>
    <w:p w14:paraId="27157949">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1.不同供应商的响应文件由同一单位或者个人编制；</w:t>
      </w:r>
    </w:p>
    <w:p w14:paraId="7DDAB949">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2.不同供应商委托同一单位或者个人办理竞标事宜；</w:t>
      </w:r>
    </w:p>
    <w:p w14:paraId="4B032892">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3.不同的供应商的响应文件载明的项目管理员为同一个人；</w:t>
      </w:r>
    </w:p>
    <w:p w14:paraId="5338370A">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4.不</w:t>
      </w:r>
      <w:r>
        <w:rPr>
          <w:rFonts w:hint="eastAsia" w:ascii="宋体" w:hAnsi="宋体" w:cs="仿宋_GB2312"/>
          <w:color w:val="auto"/>
          <w:spacing w:val="-6"/>
          <w:sz w:val="24"/>
          <w:highlight w:val="none"/>
        </w:rPr>
        <w:t>同供应商的响应文件异常一致或者竞标报价呈规律性差异；</w:t>
      </w:r>
    </w:p>
    <w:p w14:paraId="2EA457D8">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14:paraId="71CAD1CE">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6.不同供应商的竞标保证金从同一单位或者个人账户转出。</w:t>
      </w:r>
    </w:p>
    <w:p w14:paraId="0CDFD1F6">
      <w:pPr>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p>
    <w:p w14:paraId="0186833E">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14:paraId="20658FD5">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14:paraId="734B9B98">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3.供</w:t>
      </w:r>
      <w:r>
        <w:rPr>
          <w:rFonts w:hint="eastAsia" w:ascii="宋体" w:hAnsi="宋体" w:cs="仿宋_GB2312"/>
          <w:color w:val="auto"/>
          <w:spacing w:val="-6"/>
          <w:sz w:val="24"/>
          <w:highlight w:val="none"/>
        </w:rPr>
        <w:t>应商之间协商报价、技术方案等响应文件的实质性内容；</w:t>
      </w:r>
    </w:p>
    <w:p w14:paraId="369D0AEC">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4.属于同一集团、协会、商会等组织成员的供应商按照该组织要求协同参加政府采购活动；</w:t>
      </w:r>
    </w:p>
    <w:p w14:paraId="41B8C2CC">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5.供应商之间事先约定一致抬高或者压低竞标报价，或者在竞争性谈判项目中事先约定轮流以高价位或者低价位成交，或者事先约定由某一特定供应商成交，然后再参加竞标；</w:t>
      </w:r>
    </w:p>
    <w:p w14:paraId="6815D563">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6.供应商之间商定部分供应商放弃参加政府采购活动或者放弃成交；</w:t>
      </w:r>
    </w:p>
    <w:p w14:paraId="28A82988">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w:t>
      </w:r>
      <w:r>
        <w:rPr>
          <w:rFonts w:hint="eastAsia" w:ascii="宋体" w:hAnsi="宋体" w:cs="仿宋_GB2312"/>
          <w:color w:val="auto"/>
          <w:spacing w:val="-6"/>
          <w:sz w:val="24"/>
          <w:highlight w:val="none"/>
        </w:rPr>
        <w:t>谋求特定供应商成交或者排斥其他供应商的其他串通行为。</w:t>
      </w:r>
    </w:p>
    <w:p w14:paraId="564E15D4">
      <w:pPr>
        <w:spacing w:line="360" w:lineRule="auto"/>
        <w:ind w:firstLine="480" w:firstLineChars="200"/>
        <w:contextualSpacing/>
        <w:rPr>
          <w:rFonts w:ascii="宋体" w:hAnsi="宋体" w:cs="仿宋_GB2312"/>
          <w:color w:val="auto"/>
          <w:sz w:val="24"/>
          <w:highlight w:val="none"/>
        </w:rPr>
      </w:pPr>
    </w:p>
    <w:p w14:paraId="0CA8548A">
      <w:pPr>
        <w:spacing w:line="360" w:lineRule="auto"/>
        <w:ind w:firstLine="482" w:firstLineChars="200"/>
        <w:contextualSpacing/>
        <w:rPr>
          <w:rFonts w:ascii="宋体" w:hAnsi="宋体" w:cs="仿宋_GB2312"/>
          <w:b/>
          <w:bCs/>
          <w:color w:val="auto"/>
          <w:sz w:val="24"/>
          <w:highlight w:val="none"/>
        </w:rPr>
      </w:pPr>
      <w:r>
        <w:rPr>
          <w:rFonts w:hint="eastAsia" w:ascii="宋体" w:hAnsi="宋体" w:cs="仿宋_GB2312"/>
          <w:b/>
          <w:bCs/>
          <w:color w:val="auto"/>
          <w:sz w:val="24"/>
          <w:highlight w:val="none"/>
        </w:rPr>
        <w:t>以上情形一经核查属实，我方愿意承担一切后果，并不再寻求任何旨在减轻或者免除法律责任的辩解。</w:t>
      </w:r>
    </w:p>
    <w:p w14:paraId="30BFE28A">
      <w:pPr>
        <w:spacing w:line="360" w:lineRule="auto"/>
        <w:ind w:firstLine="480" w:firstLineChars="200"/>
        <w:contextualSpacing/>
        <w:rPr>
          <w:rFonts w:ascii="宋体" w:hAnsi="宋体" w:cs="仿宋_GB2312"/>
          <w:color w:val="auto"/>
          <w:sz w:val="24"/>
          <w:highlight w:val="none"/>
        </w:rPr>
      </w:pPr>
    </w:p>
    <w:p w14:paraId="4C6288A5">
      <w:pPr>
        <w:spacing w:line="360" w:lineRule="auto"/>
        <w:contextualSpacing/>
        <w:rPr>
          <w:rFonts w:ascii="宋体" w:hAnsi="宋体" w:cs="仿宋_GB2312"/>
          <w:color w:val="auto"/>
          <w:sz w:val="24"/>
          <w:highlight w:val="none"/>
        </w:rPr>
      </w:pPr>
    </w:p>
    <w:p w14:paraId="7B210AD6">
      <w:pPr>
        <w:spacing w:line="360" w:lineRule="auto"/>
        <w:ind w:firstLine="3600" w:firstLineChars="1500"/>
        <w:contextualSpacing/>
        <w:rPr>
          <w:rFonts w:ascii="宋体" w:hAnsi="宋体" w:cs="仿宋_GB2312"/>
          <w:color w:val="auto"/>
          <w:sz w:val="24"/>
          <w:highlight w:val="none"/>
        </w:rPr>
      </w:pPr>
      <w:r>
        <w:rPr>
          <w:rFonts w:hint="eastAsia" w:ascii="宋体" w:hAnsi="宋体" w:cs="仿宋_GB2312"/>
          <w:color w:val="auto"/>
          <w:sz w:val="24"/>
          <w:highlight w:val="none"/>
        </w:rPr>
        <w:t>供应商名称（电子签章）：</w:t>
      </w:r>
    </w:p>
    <w:p w14:paraId="3DA9BF56">
      <w:pPr>
        <w:snapToGrid w:val="0"/>
        <w:spacing w:before="120" w:beforeLines="50" w:after="50" w:line="360" w:lineRule="auto"/>
        <w:ind w:right="480"/>
        <w:jc w:val="center"/>
        <w:rPr>
          <w:rFonts w:ascii="微软雅黑" w:hAnsi="微软雅黑" w:eastAsia="微软雅黑" w:cs="微软雅黑"/>
          <w:color w:val="auto"/>
          <w:sz w:val="44"/>
          <w:szCs w:val="44"/>
          <w:highlight w:val="none"/>
        </w:rPr>
      </w:pPr>
      <w:r>
        <w:rPr>
          <w:rFonts w:hint="eastAsia" w:ascii="宋体" w:hAnsi="宋体" w:cs="仿宋_GB2312"/>
          <w:color w:val="auto"/>
          <w:sz w:val="24"/>
          <w:highlight w:val="none"/>
        </w:rPr>
        <w:t>年  月  日</w:t>
      </w:r>
      <w:r>
        <w:rPr>
          <w:rFonts w:ascii="宋体" w:hAnsi="宋体" w:cs="Arial Unicode MS"/>
          <w:b/>
          <w:bCs/>
          <w:color w:val="auto"/>
          <w:sz w:val="44"/>
          <w:szCs w:val="44"/>
          <w:highlight w:val="none"/>
        </w:rPr>
        <w:br w:type="page"/>
      </w:r>
      <w:r>
        <w:rPr>
          <w:rFonts w:hint="eastAsia" w:ascii="微软雅黑" w:hAnsi="微软雅黑" w:eastAsia="微软雅黑" w:cs="微软雅黑"/>
          <w:color w:val="auto"/>
          <w:sz w:val="44"/>
          <w:szCs w:val="44"/>
          <w:highlight w:val="none"/>
          <w:lang w:bidi="ar"/>
        </w:rPr>
        <w:t>供应商参加本项目无回避事项的承诺函</w:t>
      </w:r>
    </w:p>
    <w:p w14:paraId="341E0901">
      <w:pPr>
        <w:tabs>
          <w:tab w:val="left" w:pos="1890"/>
        </w:tabs>
        <w:spacing w:after="160" w:line="400" w:lineRule="exact"/>
        <w:contextualSpacing/>
        <w:jc w:val="left"/>
        <w:rPr>
          <w:rFonts w:ascii="宋体" w:hAnsi="宋体" w:cs="宋体"/>
          <w:color w:val="auto"/>
          <w:sz w:val="24"/>
          <w:highlight w:val="none"/>
        </w:rPr>
      </w:pPr>
      <w:r>
        <w:rPr>
          <w:rFonts w:hint="eastAsia" w:ascii="宋体" w:hAnsi="宋体" w:cs="宋体"/>
          <w:color w:val="auto"/>
          <w:sz w:val="24"/>
          <w:highlight w:val="none"/>
          <w:u w:val="single"/>
          <w:lang w:bidi="ar"/>
        </w:rPr>
        <w:t>（采购人名称）</w:t>
      </w:r>
      <w:r>
        <w:rPr>
          <w:rFonts w:hint="eastAsia" w:ascii="宋体" w:hAnsi="宋体" w:cs="宋体"/>
          <w:color w:val="auto"/>
          <w:sz w:val="24"/>
          <w:highlight w:val="none"/>
          <w:lang w:bidi="ar"/>
        </w:rPr>
        <w:t>：</w:t>
      </w:r>
    </w:p>
    <w:p w14:paraId="7F4C3F21">
      <w:pPr>
        <w:spacing w:after="160" w:line="400" w:lineRule="exact"/>
        <w:ind w:firstLine="523" w:firstLineChars="218"/>
        <w:contextualSpacing/>
        <w:jc w:val="left"/>
        <w:rPr>
          <w:rFonts w:ascii="宋体" w:hAnsi="宋体" w:cs="宋体"/>
          <w:color w:val="auto"/>
          <w:sz w:val="24"/>
          <w:highlight w:val="none"/>
        </w:rPr>
      </w:pPr>
      <w:r>
        <w:rPr>
          <w:rFonts w:hint="eastAsia" w:ascii="宋体" w:hAnsi="宋体" w:cs="宋体"/>
          <w:color w:val="auto"/>
          <w:sz w:val="24"/>
          <w:highlight w:val="none"/>
          <w:lang w:bidi="ar"/>
        </w:rPr>
        <w:t>我方参加贵单位组织项目</w:t>
      </w:r>
      <w:r>
        <w:rPr>
          <w:rFonts w:hint="eastAsia" w:ascii="宋体" w:hAnsi="宋体" w:cs="宋体"/>
          <w:color w:val="auto"/>
          <w:sz w:val="24"/>
          <w:highlight w:val="none"/>
          <w:u w:val="single"/>
          <w:lang w:bidi="ar"/>
        </w:rPr>
        <w:t xml:space="preserve">           </w:t>
      </w:r>
      <w:r>
        <w:rPr>
          <w:rFonts w:hint="eastAsia" w:ascii="宋体" w:hAnsi="宋体" w:cs="宋体"/>
          <w:color w:val="auto"/>
          <w:sz w:val="24"/>
          <w:highlight w:val="none"/>
          <w:lang w:bidi="ar"/>
        </w:rPr>
        <w:t>（项目编号：</w:t>
      </w:r>
      <w:r>
        <w:rPr>
          <w:rFonts w:hint="eastAsia" w:ascii="宋体" w:hAnsi="宋体" w:cs="宋体"/>
          <w:color w:val="auto"/>
          <w:sz w:val="24"/>
          <w:highlight w:val="none"/>
          <w:u w:val="single"/>
          <w:lang w:bidi="ar"/>
        </w:rPr>
        <w:t xml:space="preserve">          </w:t>
      </w:r>
      <w:r>
        <w:rPr>
          <w:rFonts w:hint="eastAsia" w:ascii="宋体" w:hAnsi="宋体" w:cs="宋体"/>
          <w:color w:val="auto"/>
          <w:sz w:val="24"/>
          <w:highlight w:val="none"/>
          <w:lang w:bidi="ar"/>
        </w:rPr>
        <w:t>）的政府采购活动。我方在此郑重承诺：</w:t>
      </w:r>
    </w:p>
    <w:p w14:paraId="2B1ED80A">
      <w:pPr>
        <w:spacing w:after="160" w:line="400" w:lineRule="exact"/>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lang w:bidi="ar"/>
        </w:rPr>
        <w:t>我方承诺参加本项目的政府采购活动中与采购人员及相关人员不存在《中华人民共和国政府采购法实施条例》第九条情形；如有，自行提出回避申请：</w:t>
      </w:r>
    </w:p>
    <w:p w14:paraId="5952C5A2">
      <w:pPr>
        <w:spacing w:after="160" w:line="400" w:lineRule="exact"/>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lang w:bidi="ar"/>
        </w:rPr>
        <w:t>在政府采购活动中，采购人员及相关人员与供应商有下列利害关系之一的，应当回避：</w:t>
      </w:r>
    </w:p>
    <w:p w14:paraId="5774B510">
      <w:pPr>
        <w:spacing w:after="160" w:line="400" w:lineRule="exact"/>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lang w:bidi="ar"/>
        </w:rPr>
        <w:t>（1）参加采购活动前3年内与供应商存在劳动关系；</w:t>
      </w:r>
    </w:p>
    <w:p w14:paraId="3352FF27">
      <w:pPr>
        <w:spacing w:after="160" w:line="400" w:lineRule="exact"/>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lang w:bidi="ar"/>
        </w:rPr>
        <w:t>（2）参加采购活动前3年内担任供应商的董事、监事；</w:t>
      </w:r>
    </w:p>
    <w:p w14:paraId="12135AEE">
      <w:pPr>
        <w:spacing w:after="160" w:line="400" w:lineRule="exact"/>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lang w:bidi="ar"/>
        </w:rPr>
        <w:t>（3）参加采购活动前3年内是供应商的控股股东或者实际控制人；</w:t>
      </w:r>
    </w:p>
    <w:p w14:paraId="0B94152F">
      <w:pPr>
        <w:spacing w:after="160" w:line="400" w:lineRule="exact"/>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lang w:bidi="ar"/>
        </w:rPr>
        <w:t>（4）与供应商的法定代表人或者负责人有夫妻、直系血亲、三代以内旁系血亲或者近姻亲关系；</w:t>
      </w:r>
    </w:p>
    <w:p w14:paraId="4AFD72CE">
      <w:pPr>
        <w:spacing w:after="160" w:line="400" w:lineRule="exact"/>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lang w:bidi="ar"/>
        </w:rPr>
        <w:t>（5）与供应商有其他可能影响政府采购活动公平、公正进行的关系。</w:t>
      </w:r>
    </w:p>
    <w:p w14:paraId="782A34A8">
      <w:pPr>
        <w:spacing w:after="160" w:line="400" w:lineRule="exact"/>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lang w:bidi="ar"/>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0632F97C">
      <w:pPr>
        <w:spacing w:after="160" w:line="400" w:lineRule="exact"/>
        <w:contextualSpacing/>
        <w:jc w:val="left"/>
        <w:rPr>
          <w:rFonts w:ascii="宋体" w:hAnsi="宋体" w:cs="宋体"/>
          <w:color w:val="auto"/>
          <w:sz w:val="24"/>
          <w:highlight w:val="none"/>
        </w:rPr>
      </w:pPr>
      <w:r>
        <w:rPr>
          <w:rFonts w:hint="eastAsia" w:ascii="宋体" w:hAnsi="宋体" w:cs="宋体"/>
          <w:color w:val="auto"/>
          <w:sz w:val="24"/>
          <w:highlight w:val="none"/>
          <w:lang w:bidi="ar"/>
        </w:rPr>
        <w:t xml:space="preserve">    特此承诺。</w:t>
      </w:r>
    </w:p>
    <w:p w14:paraId="6C99C59D">
      <w:pPr>
        <w:spacing w:after="160" w:line="440" w:lineRule="exact"/>
        <w:ind w:firstLine="482" w:firstLineChars="200"/>
        <w:contextualSpacing/>
        <w:jc w:val="left"/>
        <w:rPr>
          <w:rFonts w:ascii="宋体" w:hAnsi="宋体" w:cs="宋体"/>
          <w:b/>
          <w:color w:val="auto"/>
          <w:sz w:val="24"/>
          <w:highlight w:val="none"/>
        </w:rPr>
      </w:pPr>
      <w:r>
        <w:rPr>
          <w:rFonts w:hint="eastAsia" w:ascii="宋体" w:hAnsi="宋体" w:cs="宋体"/>
          <w:b/>
          <w:color w:val="auto"/>
          <w:sz w:val="24"/>
          <w:highlight w:val="none"/>
          <w:lang w:bidi="ar"/>
        </w:rPr>
        <w:t>以上情形一经核查属实，我方愿意承担一切后果，并不再寻求任何旨在减轻或者免除法律责任的辩解。</w:t>
      </w:r>
    </w:p>
    <w:p w14:paraId="623F0162">
      <w:pPr>
        <w:spacing w:after="160" w:line="400" w:lineRule="exact"/>
        <w:contextualSpacing/>
        <w:jc w:val="left"/>
        <w:rPr>
          <w:rFonts w:ascii="宋体" w:hAnsi="宋体" w:cs="宋体"/>
          <w:color w:val="auto"/>
          <w:sz w:val="24"/>
          <w:highlight w:val="none"/>
        </w:rPr>
      </w:pPr>
      <w:r>
        <w:rPr>
          <w:rFonts w:hint="eastAsia" w:ascii="宋体" w:hAnsi="宋体" w:cs="宋体"/>
          <w:color w:val="auto"/>
          <w:sz w:val="24"/>
          <w:highlight w:val="none"/>
          <w:lang w:bidi="ar"/>
        </w:rPr>
        <w:t xml:space="preserve">                              </w:t>
      </w:r>
    </w:p>
    <w:p w14:paraId="2624F56E">
      <w:pPr>
        <w:spacing w:after="160" w:line="400" w:lineRule="exact"/>
        <w:ind w:firstLine="3120" w:firstLineChars="1300"/>
        <w:contextualSpacing/>
        <w:jc w:val="left"/>
        <w:rPr>
          <w:rFonts w:ascii="宋体" w:hAnsi="宋体" w:cs="宋体"/>
          <w:color w:val="auto"/>
          <w:sz w:val="24"/>
          <w:highlight w:val="none"/>
        </w:rPr>
      </w:pPr>
      <w:r>
        <w:rPr>
          <w:rFonts w:hint="eastAsia" w:ascii="宋体" w:hAnsi="宋体" w:cs="宋体"/>
          <w:color w:val="auto"/>
          <w:sz w:val="24"/>
          <w:highlight w:val="none"/>
          <w:lang w:bidi="ar"/>
        </w:rPr>
        <w:t>法定代表人签字（或签章或电子签名）：</w:t>
      </w:r>
      <w:r>
        <w:rPr>
          <w:rFonts w:hint="eastAsia" w:hAnsi="宋体"/>
          <w:color w:val="auto"/>
          <w:sz w:val="24"/>
          <w:highlight w:val="none"/>
          <w:u w:val="single"/>
          <w:lang w:bidi="ar"/>
        </w:rPr>
        <w:t xml:space="preserve">           </w:t>
      </w:r>
    </w:p>
    <w:p w14:paraId="72E834DB">
      <w:pPr>
        <w:spacing w:after="160" w:line="400" w:lineRule="exact"/>
        <w:contextualSpacing/>
        <w:jc w:val="left"/>
        <w:rPr>
          <w:rFonts w:ascii="宋体" w:hAnsi="宋体" w:cs="宋体"/>
          <w:color w:val="auto"/>
          <w:sz w:val="24"/>
          <w:highlight w:val="none"/>
          <w:u w:val="single"/>
        </w:rPr>
      </w:pPr>
      <w:r>
        <w:rPr>
          <w:rFonts w:hint="eastAsia" w:ascii="宋体" w:hAnsi="宋体" w:cs="宋体"/>
          <w:color w:val="auto"/>
          <w:sz w:val="24"/>
          <w:highlight w:val="none"/>
          <w:lang w:bidi="ar"/>
        </w:rPr>
        <w:t xml:space="preserve">                                          供应商（盖电子签章）：</w:t>
      </w:r>
      <w:r>
        <w:rPr>
          <w:rFonts w:hint="eastAsia" w:hAnsi="宋体"/>
          <w:color w:val="auto"/>
          <w:sz w:val="24"/>
          <w:highlight w:val="none"/>
          <w:u w:val="single"/>
          <w:lang w:bidi="ar"/>
        </w:rPr>
        <w:t xml:space="preserve">         </w:t>
      </w:r>
    </w:p>
    <w:p w14:paraId="5140A2BA">
      <w:pPr>
        <w:spacing w:after="160" w:line="400" w:lineRule="exact"/>
        <w:contextualSpacing/>
        <w:jc w:val="left"/>
        <w:rPr>
          <w:rFonts w:ascii="宋体" w:hAnsi="宋体" w:cs="宋体"/>
          <w:color w:val="auto"/>
          <w:sz w:val="24"/>
          <w:highlight w:val="none"/>
        </w:rPr>
      </w:pPr>
      <w:r>
        <w:rPr>
          <w:rFonts w:hint="eastAsia" w:ascii="宋体" w:hAnsi="宋体" w:cs="宋体"/>
          <w:color w:val="auto"/>
          <w:sz w:val="24"/>
          <w:highlight w:val="none"/>
          <w:lang w:bidi="ar"/>
        </w:rPr>
        <w:t xml:space="preserve">                                               </w:t>
      </w:r>
      <w:r>
        <w:rPr>
          <w:rFonts w:hint="eastAsia" w:hAnsi="宋体"/>
          <w:color w:val="auto"/>
          <w:sz w:val="24"/>
          <w:highlight w:val="none"/>
          <w:u w:val="single"/>
          <w:lang w:bidi="ar"/>
        </w:rPr>
        <w:t xml:space="preserve">      </w:t>
      </w:r>
      <w:r>
        <w:rPr>
          <w:rFonts w:hint="eastAsia" w:ascii="宋体" w:hAnsi="宋体" w:cs="宋体"/>
          <w:color w:val="auto"/>
          <w:sz w:val="24"/>
          <w:highlight w:val="none"/>
          <w:lang w:bidi="ar"/>
        </w:rPr>
        <w:t>年</w:t>
      </w:r>
      <w:r>
        <w:rPr>
          <w:rFonts w:hint="eastAsia" w:hAnsi="宋体"/>
          <w:color w:val="auto"/>
          <w:sz w:val="24"/>
          <w:highlight w:val="none"/>
          <w:u w:val="single"/>
          <w:lang w:bidi="ar"/>
        </w:rPr>
        <w:t xml:space="preserve">      </w:t>
      </w:r>
      <w:r>
        <w:rPr>
          <w:rFonts w:hint="eastAsia" w:ascii="宋体" w:hAnsi="宋体" w:cs="宋体"/>
          <w:color w:val="auto"/>
          <w:sz w:val="24"/>
          <w:highlight w:val="none"/>
          <w:lang w:bidi="ar"/>
        </w:rPr>
        <w:t>月</w:t>
      </w:r>
      <w:r>
        <w:rPr>
          <w:rFonts w:hint="eastAsia" w:hAnsi="宋体"/>
          <w:color w:val="auto"/>
          <w:sz w:val="24"/>
          <w:highlight w:val="none"/>
          <w:u w:val="single"/>
          <w:lang w:bidi="ar"/>
        </w:rPr>
        <w:t xml:space="preserve">      </w:t>
      </w:r>
      <w:r>
        <w:rPr>
          <w:rFonts w:hint="eastAsia" w:ascii="宋体" w:hAnsi="宋体" w:cs="宋体"/>
          <w:color w:val="auto"/>
          <w:sz w:val="24"/>
          <w:highlight w:val="none"/>
          <w:lang w:bidi="ar"/>
        </w:rPr>
        <w:t>日</w:t>
      </w:r>
    </w:p>
    <w:p w14:paraId="37AFAC70">
      <w:pPr>
        <w:spacing w:line="360" w:lineRule="auto"/>
        <w:ind w:firstLine="883" w:firstLineChars="200"/>
        <w:contextualSpacing/>
        <w:jc w:val="center"/>
        <w:rPr>
          <w:rFonts w:ascii="宋体" w:hAnsi="宋体" w:cs="Arial Unicode MS"/>
          <w:b/>
          <w:bCs/>
          <w:color w:val="auto"/>
          <w:sz w:val="44"/>
          <w:szCs w:val="44"/>
          <w:highlight w:val="none"/>
        </w:rPr>
      </w:pPr>
    </w:p>
    <w:p w14:paraId="6977099F">
      <w:pPr>
        <w:spacing w:line="360" w:lineRule="auto"/>
        <w:ind w:firstLine="883" w:firstLineChars="200"/>
        <w:contextualSpacing/>
        <w:jc w:val="center"/>
        <w:rPr>
          <w:rFonts w:ascii="宋体" w:hAnsi="宋体" w:cs="Arial Unicode MS"/>
          <w:b/>
          <w:bCs/>
          <w:color w:val="auto"/>
          <w:sz w:val="44"/>
          <w:szCs w:val="44"/>
          <w:highlight w:val="none"/>
        </w:rPr>
      </w:pPr>
    </w:p>
    <w:p w14:paraId="16B8F6CD">
      <w:pPr>
        <w:spacing w:line="360" w:lineRule="auto"/>
        <w:ind w:firstLine="883" w:firstLineChars="200"/>
        <w:contextualSpacing/>
        <w:jc w:val="center"/>
        <w:rPr>
          <w:rFonts w:ascii="宋体" w:hAnsi="宋体" w:cs="Arial Unicode MS"/>
          <w:b/>
          <w:bCs/>
          <w:color w:val="auto"/>
          <w:sz w:val="44"/>
          <w:szCs w:val="44"/>
          <w:highlight w:val="none"/>
        </w:rPr>
      </w:pPr>
    </w:p>
    <w:p w14:paraId="50E0C860">
      <w:pPr>
        <w:spacing w:line="360" w:lineRule="auto"/>
        <w:ind w:firstLine="883" w:firstLineChars="200"/>
        <w:contextualSpacing/>
        <w:jc w:val="center"/>
        <w:rPr>
          <w:rFonts w:ascii="宋体" w:hAnsi="宋体" w:cs="Arial Unicode MS"/>
          <w:b/>
          <w:bCs/>
          <w:color w:val="auto"/>
          <w:sz w:val="44"/>
          <w:szCs w:val="44"/>
          <w:highlight w:val="none"/>
        </w:rPr>
      </w:pPr>
    </w:p>
    <w:p w14:paraId="5A73E3AA">
      <w:pPr>
        <w:spacing w:line="360" w:lineRule="auto"/>
        <w:ind w:firstLine="883" w:firstLineChars="200"/>
        <w:contextualSpacing/>
        <w:jc w:val="center"/>
        <w:rPr>
          <w:rFonts w:ascii="宋体" w:hAnsi="宋体" w:cs="仿宋_GB2312"/>
          <w:b/>
          <w:color w:val="auto"/>
          <w:sz w:val="32"/>
          <w:szCs w:val="32"/>
          <w:highlight w:val="none"/>
        </w:rPr>
      </w:pPr>
      <w:r>
        <w:rPr>
          <w:rFonts w:hint="eastAsia" w:ascii="宋体" w:hAnsi="宋体" w:cs="Arial Unicode MS"/>
          <w:b/>
          <w:bCs/>
          <w:color w:val="auto"/>
          <w:sz w:val="44"/>
          <w:szCs w:val="44"/>
          <w:highlight w:val="none"/>
        </w:rPr>
        <w:t>法定代表人证明书</w:t>
      </w:r>
    </w:p>
    <w:p w14:paraId="2AF1D3F7">
      <w:pPr>
        <w:spacing w:line="360" w:lineRule="auto"/>
        <w:ind w:left="540"/>
        <w:contextualSpacing/>
        <w:rPr>
          <w:rFonts w:ascii="仿宋_GB2312" w:hAnsi="仿宋_GB2312" w:eastAsia="仿宋_GB2312" w:cs="仿宋_GB2312"/>
          <w:color w:val="auto"/>
          <w:sz w:val="32"/>
          <w:szCs w:val="32"/>
          <w:highlight w:val="none"/>
        </w:rPr>
      </w:pPr>
    </w:p>
    <w:p w14:paraId="1A5D7117">
      <w:pPr>
        <w:spacing w:line="360" w:lineRule="auto"/>
        <w:ind w:left="540"/>
        <w:contextualSpacing/>
        <w:rPr>
          <w:rFonts w:ascii="宋体" w:hAnsi="宋体" w:cs="仿宋_GB2312"/>
          <w:color w:val="auto"/>
          <w:sz w:val="24"/>
          <w:highlight w:val="none"/>
          <w:u w:val="singl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p>
    <w:p w14:paraId="0DC84857">
      <w:pPr>
        <w:spacing w:line="360" w:lineRule="auto"/>
        <w:ind w:left="540"/>
        <w:contextualSpacing/>
        <w:rPr>
          <w:rFonts w:ascii="宋体" w:hAnsi="宋体" w:cs="仿宋_GB2312"/>
          <w:color w:val="auto"/>
          <w:sz w:val="24"/>
          <w:highlight w:val="none"/>
          <w:u w:val="single"/>
        </w:rPr>
      </w:pPr>
      <w:r>
        <w:rPr>
          <w:rFonts w:hint="eastAsia" w:ascii="宋体" w:hAnsi="宋体" w:cs="仿宋_GB2312"/>
          <w:color w:val="auto"/>
          <w:sz w:val="24"/>
          <w:highlight w:val="none"/>
        </w:rPr>
        <w:t>地址：</w:t>
      </w:r>
      <w:r>
        <w:rPr>
          <w:rFonts w:hint="eastAsia" w:ascii="宋体" w:hAnsi="宋体" w:cs="仿宋_GB2312"/>
          <w:color w:val="auto"/>
          <w:sz w:val="24"/>
          <w:highlight w:val="none"/>
          <w:u w:val="single"/>
        </w:rPr>
        <w:t xml:space="preserve">                                   </w:t>
      </w:r>
    </w:p>
    <w:p w14:paraId="578BE1EF">
      <w:pPr>
        <w:spacing w:line="360" w:lineRule="auto"/>
        <w:ind w:left="540"/>
        <w:contextualSpacing/>
        <w:rPr>
          <w:rFonts w:ascii="宋体" w:hAnsi="宋体" w:cs="仿宋_GB2312"/>
          <w:color w:val="auto"/>
          <w:sz w:val="24"/>
          <w:highlight w:val="none"/>
          <w:u w:val="single"/>
        </w:rPr>
      </w:pPr>
      <w:r>
        <w:rPr>
          <w:rFonts w:hint="eastAsia" w:ascii="宋体" w:hAnsi="宋体" w:cs="仿宋_GB2312"/>
          <w:color w:val="auto"/>
          <w:sz w:val="24"/>
          <w:highlight w:val="none"/>
        </w:rPr>
        <w:t>姓名：</w:t>
      </w:r>
      <w:r>
        <w:rPr>
          <w:rFonts w:hint="eastAsia" w:ascii="宋体" w:hAnsi="宋体" w:cs="仿宋_GB2312"/>
          <w:color w:val="auto"/>
          <w:sz w:val="24"/>
          <w:highlight w:val="none"/>
          <w:u w:val="single"/>
        </w:rPr>
        <w:t xml:space="preserve">                                   </w:t>
      </w:r>
    </w:p>
    <w:p w14:paraId="2C676DBC">
      <w:pPr>
        <w:spacing w:line="360" w:lineRule="auto"/>
        <w:ind w:left="540"/>
        <w:contextualSpacing/>
        <w:rPr>
          <w:rFonts w:ascii="宋体" w:hAnsi="宋体" w:cs="仿宋_GB2312"/>
          <w:color w:val="auto"/>
          <w:sz w:val="24"/>
          <w:highlight w:val="none"/>
          <w:u w:val="single"/>
        </w:rPr>
      </w:pPr>
      <w:r>
        <w:rPr>
          <w:rFonts w:hint="eastAsia" w:ascii="宋体" w:hAnsi="宋体" w:cs="仿宋_GB2312"/>
          <w:color w:val="auto"/>
          <w:sz w:val="24"/>
          <w:highlight w:val="none"/>
        </w:rPr>
        <w:t>性别：</w:t>
      </w:r>
      <w:r>
        <w:rPr>
          <w:rFonts w:hint="eastAsia" w:ascii="宋体" w:hAnsi="宋体" w:cs="仿宋_GB2312"/>
          <w:color w:val="auto"/>
          <w:sz w:val="24"/>
          <w:highlight w:val="none"/>
          <w:u w:val="single"/>
        </w:rPr>
        <w:t xml:space="preserve">                                   </w:t>
      </w:r>
    </w:p>
    <w:p w14:paraId="16E98BF5">
      <w:pPr>
        <w:spacing w:line="360" w:lineRule="auto"/>
        <w:ind w:left="540"/>
        <w:contextualSpacing/>
        <w:rPr>
          <w:rFonts w:ascii="宋体" w:hAnsi="宋体" w:cs="仿宋_GB2312"/>
          <w:color w:val="auto"/>
          <w:sz w:val="24"/>
          <w:highlight w:val="none"/>
          <w:u w:val="single"/>
        </w:rPr>
      </w:pPr>
      <w:r>
        <w:rPr>
          <w:rFonts w:hint="eastAsia" w:ascii="宋体" w:hAnsi="宋体" w:cs="仿宋_GB2312"/>
          <w:color w:val="auto"/>
          <w:sz w:val="24"/>
          <w:highlight w:val="none"/>
        </w:rPr>
        <w:t>年龄：</w:t>
      </w:r>
      <w:r>
        <w:rPr>
          <w:rFonts w:hint="eastAsia" w:ascii="宋体" w:hAnsi="宋体" w:cs="仿宋_GB2312"/>
          <w:color w:val="auto"/>
          <w:sz w:val="24"/>
          <w:highlight w:val="none"/>
          <w:u w:val="single"/>
        </w:rPr>
        <w:t xml:space="preserve">                                   </w:t>
      </w:r>
    </w:p>
    <w:p w14:paraId="18AAF47F">
      <w:pPr>
        <w:spacing w:line="360" w:lineRule="auto"/>
        <w:ind w:left="540"/>
        <w:contextualSpacing/>
        <w:rPr>
          <w:rFonts w:ascii="宋体" w:hAnsi="宋体" w:cs="仿宋_GB2312"/>
          <w:color w:val="auto"/>
          <w:sz w:val="24"/>
          <w:highlight w:val="none"/>
          <w:u w:val="single"/>
        </w:rPr>
      </w:pPr>
      <w:r>
        <w:rPr>
          <w:rFonts w:hint="eastAsia" w:ascii="宋体" w:hAnsi="宋体" w:cs="仿宋_GB2312"/>
          <w:color w:val="auto"/>
          <w:sz w:val="24"/>
          <w:highlight w:val="none"/>
        </w:rPr>
        <w:t>职务：</w:t>
      </w:r>
      <w:r>
        <w:rPr>
          <w:rFonts w:hint="eastAsia" w:ascii="宋体" w:hAnsi="宋体" w:cs="仿宋_GB2312"/>
          <w:color w:val="auto"/>
          <w:sz w:val="24"/>
          <w:highlight w:val="none"/>
          <w:u w:val="single"/>
        </w:rPr>
        <w:t xml:space="preserve">                                   </w:t>
      </w:r>
    </w:p>
    <w:p w14:paraId="71727258">
      <w:pPr>
        <w:spacing w:line="360" w:lineRule="auto"/>
        <w:ind w:left="540"/>
        <w:contextualSpacing/>
        <w:rPr>
          <w:rFonts w:ascii="宋体" w:hAnsi="宋体" w:cs="仿宋_GB2312"/>
          <w:color w:val="auto"/>
          <w:sz w:val="24"/>
          <w:highlight w:val="none"/>
          <w:u w:val="single"/>
        </w:rPr>
      </w:pPr>
      <w:r>
        <w:rPr>
          <w:rFonts w:hint="eastAsia" w:ascii="宋体" w:hAnsi="宋体" w:cs="仿宋_GB2312"/>
          <w:color w:val="auto"/>
          <w:sz w:val="24"/>
          <w:highlight w:val="none"/>
        </w:rPr>
        <w:t>身份证号码：</w:t>
      </w:r>
      <w:r>
        <w:rPr>
          <w:rFonts w:hint="eastAsia" w:ascii="宋体" w:hAnsi="宋体" w:cs="仿宋_GB2312"/>
          <w:color w:val="auto"/>
          <w:sz w:val="24"/>
          <w:highlight w:val="none"/>
          <w:u w:val="single"/>
        </w:rPr>
        <w:t xml:space="preserve">                                   </w:t>
      </w:r>
    </w:p>
    <w:p w14:paraId="4E997B60">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（供应商名称）                   </w:t>
      </w:r>
      <w:r>
        <w:rPr>
          <w:rFonts w:hint="eastAsia" w:ascii="宋体" w:hAnsi="宋体" w:cs="仿宋_GB2312"/>
          <w:color w:val="auto"/>
          <w:sz w:val="24"/>
          <w:highlight w:val="none"/>
        </w:rPr>
        <w:t>的法定代表人。</w:t>
      </w:r>
    </w:p>
    <w:p w14:paraId="711EF0CE">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特此证明。</w:t>
      </w:r>
    </w:p>
    <w:p w14:paraId="4B09145C">
      <w:pPr>
        <w:spacing w:line="360" w:lineRule="auto"/>
        <w:ind w:left="540"/>
        <w:contextualSpacing/>
        <w:rPr>
          <w:rFonts w:ascii="宋体" w:hAnsi="宋体" w:cs="仿宋_GB2312"/>
          <w:color w:val="auto"/>
          <w:sz w:val="24"/>
          <w:highlight w:val="none"/>
        </w:rPr>
      </w:pPr>
    </w:p>
    <w:p w14:paraId="365EDB46">
      <w:pPr>
        <w:spacing w:line="360" w:lineRule="auto"/>
        <w:ind w:left="540"/>
        <w:contextualSpacing/>
        <w:rPr>
          <w:rFonts w:ascii="宋体" w:hAnsi="宋体" w:cs="仿宋_GB2312"/>
          <w:color w:val="auto"/>
          <w:sz w:val="24"/>
          <w:highlight w:val="none"/>
        </w:rPr>
      </w:pPr>
    </w:p>
    <w:p w14:paraId="700EDBB4">
      <w:pPr>
        <w:spacing w:line="360" w:lineRule="auto"/>
        <w:ind w:left="540"/>
        <w:contextualSpacing/>
        <w:rPr>
          <w:rFonts w:ascii="宋体" w:hAnsi="宋体" w:cs="仿宋_GB2312"/>
          <w:color w:val="auto"/>
          <w:sz w:val="24"/>
          <w:highlight w:val="none"/>
        </w:rPr>
      </w:pPr>
    </w:p>
    <w:p w14:paraId="050F68FA">
      <w:pPr>
        <w:spacing w:line="360" w:lineRule="auto"/>
        <w:ind w:left="540"/>
        <w:contextualSpacing/>
        <w:rPr>
          <w:rFonts w:ascii="宋体" w:hAnsi="宋体" w:cs="仿宋_GB2312"/>
          <w:color w:val="auto"/>
          <w:sz w:val="24"/>
          <w:highlight w:val="none"/>
        </w:rPr>
      </w:pPr>
      <w:r>
        <w:rPr>
          <w:rFonts w:hint="eastAsia" w:ascii="宋体" w:hAnsi="宋体" w:cs="仿宋_GB2312"/>
          <w:color w:val="auto"/>
          <w:sz w:val="24"/>
          <w:highlight w:val="none"/>
        </w:rPr>
        <w:t>附件：法定代表人有效身份证正反面复印件</w:t>
      </w:r>
    </w:p>
    <w:p w14:paraId="3B3AF78B">
      <w:pPr>
        <w:spacing w:line="360" w:lineRule="auto"/>
        <w:ind w:left="540"/>
        <w:contextualSpacing/>
        <w:jc w:val="right"/>
        <w:rPr>
          <w:rFonts w:ascii="宋体" w:hAnsi="宋体" w:cs="仿宋_GB2312"/>
          <w:color w:val="auto"/>
          <w:sz w:val="24"/>
          <w:highlight w:val="none"/>
        </w:rPr>
      </w:pPr>
    </w:p>
    <w:p w14:paraId="6037563A">
      <w:pPr>
        <w:spacing w:line="360" w:lineRule="auto"/>
        <w:ind w:left="540"/>
        <w:contextualSpacing/>
        <w:jc w:val="right"/>
        <w:rPr>
          <w:rFonts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olor w:val="auto"/>
          <w:sz w:val="24"/>
          <w:highlight w:val="none"/>
        </w:rPr>
        <w:t>电子签章</w:t>
      </w:r>
      <w:r>
        <w:rPr>
          <w:rFonts w:hint="eastAsia" w:ascii="宋体" w:hAnsi="宋体" w:cs="仿宋_GB2312"/>
          <w:color w:val="auto"/>
          <w:sz w:val="24"/>
          <w:highlight w:val="none"/>
        </w:rPr>
        <w:t>）：</w:t>
      </w:r>
    </w:p>
    <w:p w14:paraId="45F3DAE4">
      <w:pPr>
        <w:spacing w:line="360" w:lineRule="auto"/>
        <w:ind w:firstLine="6480" w:firstLineChars="2700"/>
        <w:contextualSpacing/>
        <w:rPr>
          <w:rFonts w:ascii="宋体" w:hAnsi="宋体" w:cs="仿宋_GB2312"/>
          <w:color w:val="auto"/>
          <w:sz w:val="24"/>
          <w:highlight w:val="none"/>
        </w:rPr>
      </w:pPr>
      <w:r>
        <w:rPr>
          <w:rFonts w:hint="eastAsia" w:ascii="宋体" w:hAnsi="宋体" w:cs="仿宋_GB2312"/>
          <w:color w:val="auto"/>
          <w:sz w:val="24"/>
          <w:highlight w:val="none"/>
        </w:rPr>
        <w:t>年   月   日</w:t>
      </w:r>
    </w:p>
    <w:p w14:paraId="37214547">
      <w:pPr>
        <w:spacing w:line="360" w:lineRule="auto"/>
        <w:contextualSpacing/>
        <w:jc w:val="center"/>
        <w:rPr>
          <w:rFonts w:ascii="宋体" w:hAnsi="宋体" w:cs="仿宋_GB2312"/>
          <w:b/>
          <w:color w:val="auto"/>
          <w:sz w:val="24"/>
          <w:highlight w:val="none"/>
        </w:rPr>
      </w:pPr>
    </w:p>
    <w:p w14:paraId="126B9694">
      <w:pPr>
        <w:adjustRightInd w:val="0"/>
        <w:snapToGrid w:val="0"/>
        <w:spacing w:line="300" w:lineRule="auto"/>
        <w:jc w:val="left"/>
        <w:rPr>
          <w:rFonts w:ascii="宋体" w:hAnsi="宋体"/>
          <w:b/>
          <w:color w:val="auto"/>
          <w:szCs w:val="21"/>
          <w:highlight w:val="none"/>
        </w:rPr>
      </w:pPr>
    </w:p>
    <w:p w14:paraId="447C60D1">
      <w:pPr>
        <w:spacing w:line="520" w:lineRule="exact"/>
        <w:jc w:val="center"/>
        <w:rPr>
          <w:rFonts w:ascii="宋体" w:hAnsi="宋体" w:cs="Arial Unicode MS"/>
          <w:b/>
          <w:color w:val="auto"/>
          <w:sz w:val="44"/>
          <w:szCs w:val="44"/>
          <w:highlight w:val="none"/>
        </w:rPr>
      </w:pPr>
      <w:r>
        <w:rPr>
          <w:rFonts w:hint="eastAsia" w:ascii="Arial Unicode MS" w:hAnsi="Arial Unicode MS" w:eastAsia="Arial Unicode MS" w:cs="Arial Unicode MS"/>
          <w:color w:val="auto"/>
          <w:sz w:val="44"/>
          <w:szCs w:val="44"/>
          <w:highlight w:val="none"/>
        </w:rPr>
        <w:br w:type="page"/>
      </w:r>
      <w:r>
        <w:rPr>
          <w:rFonts w:hint="eastAsia" w:ascii="宋体" w:hAnsi="宋体" w:cs="Arial Unicode MS"/>
          <w:b/>
          <w:color w:val="auto"/>
          <w:sz w:val="44"/>
          <w:szCs w:val="44"/>
          <w:highlight w:val="none"/>
        </w:rPr>
        <w:t>授权委托书（如有委托时）</w:t>
      </w:r>
    </w:p>
    <w:p w14:paraId="729AFC7A">
      <w:pPr>
        <w:spacing w:line="360" w:lineRule="auto"/>
        <w:contextualSpacing/>
        <w:rPr>
          <w:rFonts w:ascii="仿宋_GB2312" w:hAnsi="仿宋_GB2312" w:eastAsia="仿宋_GB2312" w:cs="仿宋_GB2312"/>
          <w:color w:val="auto"/>
          <w:sz w:val="32"/>
          <w:szCs w:val="32"/>
          <w:highlight w:val="none"/>
        </w:rPr>
      </w:pPr>
    </w:p>
    <w:p w14:paraId="3ED4CA42">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致：</w:t>
      </w:r>
      <w:r>
        <w:rPr>
          <w:rFonts w:hint="eastAsia" w:ascii="宋体" w:hAnsi="宋体" w:cs="仿宋_GB2312"/>
          <w:color w:val="auto"/>
          <w:sz w:val="24"/>
          <w:highlight w:val="none"/>
          <w:u w:val="single"/>
        </w:rPr>
        <w:t>（采购人名称）</w:t>
      </w:r>
      <w:r>
        <w:rPr>
          <w:rFonts w:hint="eastAsia" w:ascii="宋体" w:hAnsi="宋体" w:cs="仿宋_GB2312"/>
          <w:color w:val="auto"/>
          <w:sz w:val="24"/>
          <w:highlight w:val="none"/>
        </w:rPr>
        <w:t>：</w:t>
      </w:r>
    </w:p>
    <w:p w14:paraId="04601C39">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我</w:t>
      </w:r>
      <w:r>
        <w:rPr>
          <w:rFonts w:hint="eastAsia" w:ascii="宋体" w:hAnsi="宋体" w:cs="仿宋_GB2312"/>
          <w:color w:val="auto"/>
          <w:sz w:val="24"/>
          <w:highlight w:val="none"/>
          <w:u w:val="single"/>
        </w:rPr>
        <w:t>（姓名）</w:t>
      </w:r>
      <w:r>
        <w:rPr>
          <w:rFonts w:hint="eastAsia" w:ascii="宋体" w:hAnsi="宋体" w:cs="仿宋_GB2312"/>
          <w:color w:val="auto"/>
          <w:sz w:val="24"/>
          <w:highlight w:val="none"/>
        </w:rPr>
        <w:t>系</w:t>
      </w:r>
      <w:r>
        <w:rPr>
          <w:rFonts w:hint="eastAsia" w:ascii="宋体" w:hAnsi="宋体" w:cs="仿宋_GB2312"/>
          <w:color w:val="auto"/>
          <w:sz w:val="24"/>
          <w:highlight w:val="none"/>
          <w:u w:val="single"/>
        </w:rPr>
        <w:t>（供应商名称）</w:t>
      </w:r>
      <w:r>
        <w:rPr>
          <w:rFonts w:hint="eastAsia" w:ascii="宋体" w:hAnsi="宋体" w:cs="仿宋_GB2312"/>
          <w:color w:val="auto"/>
          <w:sz w:val="24"/>
          <w:highlight w:val="none"/>
        </w:rPr>
        <w:t>的（</w:t>
      </w:r>
      <w:r>
        <w:rPr>
          <w:rFonts w:hint="eastAsia" w:ascii="宋体" w:hAnsi="宋体" w:cs="仿宋_GB2312"/>
          <w:color w:val="auto"/>
          <w:sz w:val="24"/>
          <w:highlight w:val="none"/>
          <w:u w:val="single"/>
        </w:rPr>
        <w:t>□法定代表人/□负责人/□自然人本人</w:t>
      </w:r>
      <w:r>
        <w:rPr>
          <w:rFonts w:hint="eastAsia" w:ascii="宋体" w:hAnsi="宋体" w:cs="仿宋_GB2312"/>
          <w:color w:val="auto"/>
          <w:sz w:val="24"/>
          <w:highlight w:val="none"/>
        </w:rPr>
        <w:t>），现授权</w:t>
      </w:r>
      <w:r>
        <w:rPr>
          <w:rFonts w:hint="eastAsia" w:ascii="宋体" w:hAnsi="宋体" w:cs="仿宋_GB2312"/>
          <w:color w:val="auto"/>
          <w:sz w:val="24"/>
          <w:highlight w:val="none"/>
          <w:u w:val="single"/>
        </w:rPr>
        <w:t>（姓名）</w:t>
      </w:r>
      <w:r>
        <w:rPr>
          <w:rFonts w:hint="eastAsia" w:ascii="宋体" w:hAnsi="宋体" w:cs="仿宋_GB2312"/>
          <w:color w:val="auto"/>
          <w:sz w:val="24"/>
          <w:highlight w:val="none"/>
        </w:rPr>
        <w:t>以我方的名义参加项目的竞标活动，并代表我方全权办理针对上述项目的所有采购程序和环节的具体事务和签署相关文件。</w:t>
      </w:r>
    </w:p>
    <w:p w14:paraId="76276CCD">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我方对委托代理人的</w:t>
      </w:r>
      <w:r>
        <w:rPr>
          <w:rFonts w:hint="eastAsia" w:ascii="宋体" w:hAnsi="宋体"/>
          <w:color w:val="auto"/>
          <w:sz w:val="24"/>
          <w:highlight w:val="none"/>
        </w:rPr>
        <w:t>签字或者电子签名</w:t>
      </w:r>
      <w:r>
        <w:rPr>
          <w:rFonts w:hint="eastAsia" w:ascii="宋体" w:hAnsi="宋体" w:cs="仿宋_GB2312"/>
          <w:color w:val="auto"/>
          <w:sz w:val="24"/>
          <w:highlight w:val="none"/>
        </w:rPr>
        <w:t>事项负全部责任。</w:t>
      </w:r>
    </w:p>
    <w:p w14:paraId="6185FA38">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6BDD1906">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1C15DD7D">
      <w:pPr>
        <w:spacing w:line="360" w:lineRule="auto"/>
        <w:ind w:firstLine="480" w:firstLineChars="200"/>
        <w:contextualSpacing/>
        <w:rPr>
          <w:rFonts w:ascii="宋体" w:hAnsi="宋体" w:cs="仿宋_GB2312"/>
          <w:color w:val="auto"/>
          <w:sz w:val="24"/>
          <w:highlight w:val="none"/>
        </w:rPr>
      </w:pPr>
      <w:r>
        <w:rPr>
          <w:rFonts w:hint="eastAsia" w:ascii="宋体" w:hAnsi="宋体" w:cs="仿宋_GB2312"/>
          <w:color w:val="auto"/>
          <w:sz w:val="24"/>
          <w:highlight w:val="none"/>
        </w:rPr>
        <w:t>附：法定代表人身份证明书及委托代理人有效身份证正反面复印件</w:t>
      </w:r>
    </w:p>
    <w:p w14:paraId="0DDEC3E1">
      <w:pPr>
        <w:spacing w:line="360" w:lineRule="auto"/>
        <w:contextualSpacing/>
        <w:rPr>
          <w:rFonts w:ascii="宋体" w:hAnsi="宋体" w:cs="仿宋_GB2312"/>
          <w:color w:val="auto"/>
          <w:sz w:val="24"/>
          <w:highlight w:val="none"/>
        </w:rPr>
      </w:pPr>
    </w:p>
    <w:p w14:paraId="360D3C72">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委托代理人（</w:t>
      </w:r>
      <w:r>
        <w:rPr>
          <w:rFonts w:hint="eastAsia" w:ascii="宋体" w:hAnsi="宋体"/>
          <w:color w:val="auto"/>
          <w:sz w:val="24"/>
          <w:highlight w:val="none"/>
        </w:rPr>
        <w:t>签字或者电子签名</w:t>
      </w:r>
      <w:r>
        <w:rPr>
          <w:rFonts w:hint="eastAsia" w:ascii="宋体" w:hAnsi="宋体" w:cs="仿宋_GB2312"/>
          <w:color w:val="auto"/>
          <w:sz w:val="24"/>
          <w:highlight w:val="none"/>
        </w:rPr>
        <w:t>）：</w:t>
      </w:r>
      <w:r>
        <w:rPr>
          <w:rFonts w:ascii="宋体" w:hAnsi="宋体" w:cs="仿宋_GB2312"/>
          <w:color w:val="auto"/>
          <w:sz w:val="24"/>
          <w:highlight w:val="none"/>
        </w:rPr>
        <w:t xml:space="preserve"> </w:t>
      </w:r>
    </w:p>
    <w:p w14:paraId="34D4B39D">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委托代理人身份证号码：</w:t>
      </w:r>
    </w:p>
    <w:p w14:paraId="5EFB4B7A">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法定代表人（签字或者电子签名）：</w:t>
      </w:r>
    </w:p>
    <w:p w14:paraId="698B5F0F">
      <w:pPr>
        <w:spacing w:line="360" w:lineRule="auto"/>
        <w:ind w:left="5250" w:leftChars="2500"/>
        <w:contextualSpacing/>
        <w:rPr>
          <w:rFonts w:ascii="宋体" w:hAnsi="宋体" w:cs="仿宋_GB2312"/>
          <w:color w:val="auto"/>
          <w:sz w:val="24"/>
          <w:highlight w:val="none"/>
        </w:rPr>
      </w:pPr>
      <w:r>
        <w:rPr>
          <w:rFonts w:hint="eastAsia" w:ascii="宋体" w:hAnsi="宋体" w:cs="仿宋_GB2312"/>
          <w:color w:val="auto"/>
          <w:sz w:val="24"/>
          <w:highlight w:val="none"/>
        </w:rPr>
        <w:t>供应商名称（电子签章）：</w:t>
      </w:r>
    </w:p>
    <w:p w14:paraId="22CAB731">
      <w:pPr>
        <w:spacing w:line="360" w:lineRule="auto"/>
        <w:ind w:left="5250" w:leftChars="2500" w:firstLine="360" w:firstLineChars="150"/>
        <w:contextualSpacing/>
        <w:rPr>
          <w:rFonts w:ascii="宋体" w:hAnsi="宋体" w:cs="仿宋_GB2312"/>
          <w:color w:val="auto"/>
          <w:sz w:val="24"/>
          <w:highlight w:val="none"/>
        </w:rPr>
      </w:pPr>
      <w:r>
        <w:rPr>
          <w:rFonts w:hint="eastAsia" w:ascii="宋体" w:hAnsi="宋体" w:cs="仿宋_GB2312"/>
          <w:color w:val="auto"/>
          <w:sz w:val="24"/>
          <w:highlight w:val="none"/>
        </w:rPr>
        <w:t>年   月   日</w:t>
      </w:r>
    </w:p>
    <w:p w14:paraId="55E28620">
      <w:pPr>
        <w:spacing w:line="360" w:lineRule="auto"/>
        <w:contextualSpacing/>
        <w:rPr>
          <w:rFonts w:ascii="宋体" w:hAnsi="宋体" w:cs="仿宋_GB2312"/>
          <w:color w:val="auto"/>
          <w:sz w:val="24"/>
          <w:highlight w:val="none"/>
        </w:rPr>
      </w:pPr>
    </w:p>
    <w:p w14:paraId="6E4063B9">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注：1.法定代表人必须在授权委托书上签字</w:t>
      </w:r>
      <w:r>
        <w:rPr>
          <w:rFonts w:hint="eastAsia" w:ascii="宋体" w:hAnsi="宋体"/>
          <w:color w:val="auto"/>
          <w:sz w:val="24"/>
          <w:highlight w:val="none"/>
        </w:rPr>
        <w:t>或者电子签名</w:t>
      </w:r>
      <w:r>
        <w:rPr>
          <w:rFonts w:hint="eastAsia" w:ascii="宋体" w:hAnsi="宋体" w:cs="仿宋_GB2312"/>
          <w:color w:val="auto"/>
          <w:sz w:val="24"/>
          <w:highlight w:val="none"/>
        </w:rPr>
        <w:t>，委托代理人必须在授权委托书上签字或者电子签名，</w:t>
      </w:r>
      <w:r>
        <w:rPr>
          <w:rFonts w:hint="eastAsia" w:ascii="宋体" w:hAnsi="宋体" w:cs="仿宋_GB2312"/>
          <w:b/>
          <w:color w:val="auto"/>
          <w:sz w:val="24"/>
          <w:highlight w:val="none"/>
        </w:rPr>
        <w:t>否则其响应文件按无效响应处理。</w:t>
      </w:r>
    </w:p>
    <w:p w14:paraId="373E91D7">
      <w:pPr>
        <w:spacing w:line="360" w:lineRule="auto"/>
        <w:ind w:firstLine="480" w:firstLineChars="200"/>
        <w:contextualSpacing/>
        <w:jc w:val="left"/>
        <w:rPr>
          <w:rFonts w:ascii="宋体" w:hAnsi="宋体" w:cs="仿宋_GB2312"/>
          <w:color w:val="auto"/>
          <w:sz w:val="24"/>
          <w:highlight w:val="none"/>
        </w:rPr>
      </w:pPr>
      <w:r>
        <w:rPr>
          <w:rFonts w:ascii="宋体" w:hAnsi="宋体" w:cs="仿宋_GB2312"/>
          <w:color w:val="auto"/>
          <w:sz w:val="24"/>
          <w:highlight w:val="none"/>
        </w:rPr>
        <w:t>2.</w:t>
      </w:r>
      <w:r>
        <w:rPr>
          <w:rFonts w:hint="eastAsia" w:ascii="宋体" w:hAnsi="宋体" w:cs="仿宋_GB2312"/>
          <w:color w:val="auto"/>
          <w:sz w:val="24"/>
          <w:highlight w:val="none"/>
        </w:rPr>
        <w:t>法人、其他组织竞标时“我方”是指“我单位”，自然人竞标时“我方”是指“本人”。</w:t>
      </w:r>
    </w:p>
    <w:p w14:paraId="766DB2A7">
      <w:pPr>
        <w:spacing w:line="360" w:lineRule="auto"/>
        <w:ind w:firstLine="420" w:firstLineChars="200"/>
        <w:contextualSpacing/>
        <w:jc w:val="left"/>
        <w:rPr>
          <w:rFonts w:ascii="仿宋_GB2312" w:hAnsi="仿宋_GB2312" w:eastAsia="仿宋_GB2312" w:cs="仿宋_GB2312"/>
          <w:color w:val="auto"/>
          <w:szCs w:val="21"/>
          <w:highlight w:val="none"/>
        </w:rPr>
      </w:pPr>
    </w:p>
    <w:p w14:paraId="696BB0CB">
      <w:pPr>
        <w:spacing w:line="500" w:lineRule="exact"/>
        <w:jc w:val="center"/>
        <w:rPr>
          <w:rFonts w:ascii="微软雅黑" w:hAnsi="微软雅黑" w:eastAsia="微软雅黑" w:cs="微软雅黑"/>
          <w:bCs/>
          <w:color w:val="auto"/>
          <w:sz w:val="44"/>
          <w:szCs w:val="44"/>
          <w:highlight w:val="none"/>
        </w:rPr>
      </w:pPr>
      <w:r>
        <w:rPr>
          <w:rFonts w:ascii="仿宋_GB2312" w:hAnsi="仿宋_GB2312" w:eastAsia="仿宋_GB2312" w:cs="仿宋_GB2312"/>
          <w:color w:val="auto"/>
          <w:szCs w:val="21"/>
          <w:highlight w:val="none"/>
        </w:rPr>
        <w:br w:type="page"/>
      </w:r>
      <w:bookmarkStart w:id="104" w:name="OLE_LINK26"/>
      <w:r>
        <w:rPr>
          <w:rFonts w:hint="eastAsia" w:ascii="微软雅黑" w:hAnsi="微软雅黑" w:eastAsia="微软雅黑" w:cs="微软雅黑"/>
          <w:bCs/>
          <w:color w:val="auto"/>
          <w:sz w:val="44"/>
          <w:szCs w:val="44"/>
          <w:highlight w:val="none"/>
        </w:rPr>
        <w:t>商务要求</w:t>
      </w:r>
      <w:bookmarkEnd w:id="104"/>
      <w:r>
        <w:rPr>
          <w:rFonts w:hint="eastAsia" w:ascii="微软雅黑" w:hAnsi="微软雅黑" w:eastAsia="微软雅黑" w:cs="微软雅黑"/>
          <w:bCs/>
          <w:color w:val="auto"/>
          <w:sz w:val="44"/>
          <w:szCs w:val="44"/>
          <w:highlight w:val="none"/>
        </w:rPr>
        <w:t>响应表</w:t>
      </w:r>
    </w:p>
    <w:p w14:paraId="636A4CF6">
      <w:pPr>
        <w:snapToGrid w:val="0"/>
        <w:spacing w:before="50"/>
        <w:jc w:val="left"/>
        <w:rPr>
          <w:rFonts w:ascii="宋体" w:hAnsi="宋体"/>
          <w:color w:val="auto"/>
          <w:sz w:val="24"/>
          <w:highlight w:val="none"/>
        </w:rPr>
      </w:pPr>
    </w:p>
    <w:p w14:paraId="001764D2">
      <w:pPr>
        <w:pStyle w:val="16"/>
        <w:spacing w:line="360" w:lineRule="auto"/>
        <w:rPr>
          <w:rFonts w:hAnsi="宋体" w:cs="仿宋_GB2312"/>
          <w:color w:val="auto"/>
          <w:sz w:val="24"/>
          <w:szCs w:val="24"/>
          <w:highlight w:val="none"/>
        </w:rPr>
      </w:pPr>
      <w:r>
        <w:rPr>
          <w:rFonts w:hint="eastAsia" w:hAnsi="宋体" w:cs="仿宋_GB2312"/>
          <w:color w:val="auto"/>
          <w:sz w:val="24"/>
          <w:highlight w:val="none"/>
        </w:rPr>
        <w:t>项目名称：</w:t>
      </w:r>
      <w:r>
        <w:rPr>
          <w:rFonts w:hint="eastAsia" w:hAnsi="宋体" w:cs="仿宋_GB2312"/>
          <w:color w:val="auto"/>
          <w:sz w:val="24"/>
          <w:highlight w:val="none"/>
          <w:u w:val="single"/>
        </w:rPr>
        <w:t xml:space="preserve">                </w:t>
      </w:r>
      <w:r>
        <w:rPr>
          <w:rFonts w:hint="eastAsia" w:hAnsi="宋体" w:cs="仿宋_GB2312"/>
          <w:color w:val="auto"/>
          <w:sz w:val="24"/>
          <w:highlight w:val="none"/>
        </w:rPr>
        <w:t>项目编号：</w:t>
      </w:r>
      <w:r>
        <w:rPr>
          <w:rFonts w:hint="eastAsia" w:hAnsi="宋体" w:cs="仿宋_GB2312"/>
          <w:color w:val="auto"/>
          <w:sz w:val="24"/>
          <w:highlight w:val="none"/>
          <w:u w:val="single"/>
        </w:rPr>
        <w:t xml:space="preserve">               </w:t>
      </w:r>
      <w:r>
        <w:rPr>
          <w:rFonts w:hint="eastAsia" w:hAnsi="宋体" w:cs="仿宋_GB2312"/>
          <w:color w:val="auto"/>
          <w:sz w:val="24"/>
          <w:highlight w:val="none"/>
        </w:rPr>
        <w:t xml:space="preserve"> 所竞分标（如有）：</w:t>
      </w:r>
      <w:r>
        <w:rPr>
          <w:rFonts w:hint="eastAsia" w:hAnsi="宋体" w:cs="仿宋_GB2312"/>
          <w:color w:val="auto"/>
          <w:sz w:val="24"/>
          <w:highlight w:val="none"/>
          <w:u w:val="single"/>
        </w:rPr>
        <w:t xml:space="preserve">          </w:t>
      </w:r>
    </w:p>
    <w:tbl>
      <w:tblPr>
        <w:tblStyle w:val="26"/>
        <w:tblW w:w="959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42"/>
        <w:gridCol w:w="2835"/>
        <w:gridCol w:w="2835"/>
        <w:gridCol w:w="851"/>
        <w:gridCol w:w="1829"/>
      </w:tblGrid>
      <w:tr w14:paraId="5AD20B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42" w:type="dxa"/>
            <w:tcBorders>
              <w:top w:val="single" w:color="auto" w:sz="4" w:space="0"/>
              <w:left w:val="single" w:color="auto" w:sz="4" w:space="0"/>
              <w:bottom w:val="single" w:color="auto" w:sz="4" w:space="0"/>
              <w:right w:val="single" w:color="auto" w:sz="4" w:space="0"/>
            </w:tcBorders>
            <w:vAlign w:val="center"/>
          </w:tcPr>
          <w:p w14:paraId="1C836B89">
            <w:pPr>
              <w:snapToGrid w:val="0"/>
              <w:spacing w:line="360" w:lineRule="atLeast"/>
              <w:jc w:val="center"/>
              <w:rPr>
                <w:rFonts w:ascii="宋体" w:hAnsi="宋体" w:cs="仿宋_GB2312"/>
                <w:color w:val="auto"/>
                <w:sz w:val="24"/>
                <w:highlight w:val="none"/>
              </w:rPr>
            </w:pPr>
            <w:bookmarkStart w:id="105" w:name="OLE_LINK29" w:colFirst="1" w:colLast="2"/>
            <w:bookmarkStart w:id="106" w:name="_Hlk184859946"/>
            <w:r>
              <w:rPr>
                <w:rFonts w:hint="eastAsia" w:ascii="宋体" w:hAnsi="宋体" w:cs="仿宋_GB2312"/>
                <w:color w:val="auto"/>
                <w:sz w:val="24"/>
                <w:highlight w:val="none"/>
              </w:rPr>
              <w:t>条款</w:t>
            </w:r>
          </w:p>
        </w:tc>
        <w:tc>
          <w:tcPr>
            <w:tcW w:w="2835" w:type="dxa"/>
            <w:tcBorders>
              <w:top w:val="single" w:color="auto" w:sz="4" w:space="0"/>
              <w:left w:val="single" w:color="auto" w:sz="4" w:space="0"/>
              <w:bottom w:val="single" w:color="auto" w:sz="4" w:space="0"/>
              <w:right w:val="single" w:color="auto" w:sz="4" w:space="0"/>
            </w:tcBorders>
            <w:vAlign w:val="center"/>
          </w:tcPr>
          <w:p w14:paraId="78C136CB">
            <w:pPr>
              <w:snapToGrid w:val="0"/>
              <w:spacing w:line="360" w:lineRule="atLeast"/>
              <w:jc w:val="center"/>
              <w:rPr>
                <w:rFonts w:ascii="宋体" w:hAnsi="宋体" w:cs="仿宋_GB2312"/>
                <w:color w:val="auto"/>
                <w:sz w:val="24"/>
                <w:highlight w:val="none"/>
              </w:rPr>
            </w:pPr>
            <w:bookmarkStart w:id="107" w:name="OLE_LINK25"/>
            <w:r>
              <w:rPr>
                <w:rFonts w:hint="eastAsia" w:ascii="宋体" w:hAnsi="宋体" w:cs="仿宋_GB2312"/>
                <w:color w:val="auto"/>
                <w:sz w:val="24"/>
                <w:highlight w:val="none"/>
              </w:rPr>
              <w:t>谈判文件“第三章 采购需求”中的商务要求</w:t>
            </w:r>
            <w:bookmarkEnd w:id="107"/>
          </w:p>
        </w:tc>
        <w:tc>
          <w:tcPr>
            <w:tcW w:w="2835" w:type="dxa"/>
            <w:tcBorders>
              <w:top w:val="single" w:color="auto" w:sz="4" w:space="0"/>
              <w:left w:val="single" w:color="auto" w:sz="4" w:space="0"/>
              <w:bottom w:val="single" w:color="auto" w:sz="4" w:space="0"/>
              <w:right w:val="single" w:color="auto" w:sz="4" w:space="0"/>
            </w:tcBorders>
            <w:vAlign w:val="center"/>
          </w:tcPr>
          <w:p w14:paraId="275FF0ED">
            <w:pPr>
              <w:snapToGrid w:val="0"/>
              <w:spacing w:line="360" w:lineRule="atLeast"/>
              <w:jc w:val="center"/>
              <w:rPr>
                <w:rFonts w:ascii="宋体" w:hAnsi="宋体" w:cs="仿宋_GB2312"/>
                <w:color w:val="auto"/>
                <w:sz w:val="24"/>
                <w:highlight w:val="none"/>
              </w:rPr>
            </w:pPr>
            <w:r>
              <w:rPr>
                <w:rFonts w:hint="eastAsia" w:ascii="宋体" w:hAnsi="宋体" w:cs="仿宋_GB2312"/>
                <w:color w:val="auto"/>
                <w:sz w:val="24"/>
                <w:highlight w:val="none"/>
              </w:rPr>
              <w:t>供应商对照谈判文件“第三章 采购需求”中的商务要求详细的响应承诺</w:t>
            </w:r>
          </w:p>
        </w:tc>
        <w:tc>
          <w:tcPr>
            <w:tcW w:w="851" w:type="dxa"/>
            <w:tcBorders>
              <w:top w:val="single" w:color="auto" w:sz="4" w:space="0"/>
              <w:left w:val="single" w:color="auto" w:sz="4" w:space="0"/>
              <w:bottom w:val="single" w:color="auto" w:sz="4" w:space="0"/>
              <w:right w:val="single" w:color="auto" w:sz="4" w:space="0"/>
            </w:tcBorders>
            <w:vAlign w:val="center"/>
          </w:tcPr>
          <w:p w14:paraId="26AA6C39">
            <w:pPr>
              <w:snapToGrid w:val="0"/>
              <w:spacing w:line="360" w:lineRule="atLeast"/>
              <w:jc w:val="center"/>
              <w:rPr>
                <w:rFonts w:ascii="宋体" w:hAnsi="宋体" w:cs="仿宋_GB2312"/>
                <w:color w:val="auto"/>
                <w:sz w:val="24"/>
                <w:highlight w:val="none"/>
              </w:rPr>
            </w:pPr>
            <w:r>
              <w:rPr>
                <w:rFonts w:hint="eastAsia" w:ascii="宋体" w:hAnsi="宋体" w:cs="仿宋_GB2312"/>
                <w:color w:val="auto"/>
                <w:sz w:val="24"/>
                <w:highlight w:val="none"/>
              </w:rPr>
              <w:t>偏离说明</w:t>
            </w:r>
          </w:p>
        </w:tc>
        <w:tc>
          <w:tcPr>
            <w:tcW w:w="1829" w:type="dxa"/>
            <w:tcBorders>
              <w:top w:val="single" w:color="auto" w:sz="4" w:space="0"/>
              <w:left w:val="single" w:color="auto" w:sz="4" w:space="0"/>
              <w:bottom w:val="single" w:color="auto" w:sz="4" w:space="0"/>
              <w:right w:val="single" w:color="auto" w:sz="4" w:space="0"/>
            </w:tcBorders>
            <w:vAlign w:val="center"/>
          </w:tcPr>
          <w:p w14:paraId="73067C0E">
            <w:pPr>
              <w:snapToGrid w:val="0"/>
              <w:spacing w:line="360" w:lineRule="atLeast"/>
              <w:jc w:val="center"/>
              <w:rPr>
                <w:rFonts w:ascii="宋体" w:hAnsi="宋体" w:cs="仿宋_GB2312"/>
                <w:color w:val="auto"/>
                <w:sz w:val="24"/>
                <w:highlight w:val="none"/>
              </w:rPr>
            </w:pPr>
            <w:r>
              <w:rPr>
                <w:rFonts w:hint="eastAsia" w:ascii="宋体" w:hAnsi="宋体" w:cs="仿宋_GB2312"/>
                <w:color w:val="auto"/>
                <w:sz w:val="24"/>
                <w:highlight w:val="none"/>
              </w:rPr>
              <w:t>备注</w:t>
            </w:r>
          </w:p>
        </w:tc>
      </w:tr>
      <w:bookmarkEnd w:id="105"/>
      <w:bookmarkEnd w:id="106"/>
      <w:tr w14:paraId="43B375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42" w:type="dxa"/>
            <w:tcBorders>
              <w:top w:val="single" w:color="auto" w:sz="4" w:space="0"/>
              <w:left w:val="single" w:color="auto" w:sz="4" w:space="0"/>
              <w:bottom w:val="single" w:color="auto" w:sz="4" w:space="0"/>
              <w:right w:val="single" w:color="auto" w:sz="4" w:space="0"/>
            </w:tcBorders>
            <w:vAlign w:val="center"/>
          </w:tcPr>
          <w:p w14:paraId="4710861E">
            <w:pPr>
              <w:spacing w:line="360" w:lineRule="exact"/>
              <w:jc w:val="center"/>
              <w:rPr>
                <w:rFonts w:ascii="宋体" w:hAnsi="宋体"/>
                <w:color w:val="auto"/>
                <w:sz w:val="24"/>
                <w:highlight w:val="none"/>
              </w:rPr>
            </w:pPr>
            <w:r>
              <w:rPr>
                <w:rFonts w:hint="eastAsia" w:ascii="宋体" w:hAnsi="宋体"/>
                <w:color w:val="auto"/>
                <w:sz w:val="24"/>
                <w:highlight w:val="none"/>
              </w:rPr>
              <w:t>（一）</w:t>
            </w:r>
            <w:r>
              <w:rPr>
                <w:rFonts w:hint="eastAsia" w:ascii="宋体" w:hAnsi="宋体"/>
                <w:color w:val="auto"/>
                <w:spacing w:val="-2"/>
                <w:sz w:val="24"/>
                <w:highlight w:val="none"/>
              </w:rPr>
              <w:t>售后服务要求</w:t>
            </w:r>
          </w:p>
        </w:tc>
        <w:tc>
          <w:tcPr>
            <w:tcW w:w="2835" w:type="dxa"/>
            <w:tcBorders>
              <w:top w:val="single" w:color="auto" w:sz="4" w:space="0"/>
              <w:left w:val="single" w:color="auto" w:sz="4" w:space="0"/>
              <w:bottom w:val="single" w:color="auto" w:sz="4" w:space="0"/>
              <w:right w:val="single" w:color="auto" w:sz="4" w:space="0"/>
            </w:tcBorders>
            <w:vAlign w:val="center"/>
          </w:tcPr>
          <w:p w14:paraId="5FF60B75">
            <w:pPr>
              <w:spacing w:line="360" w:lineRule="atLeast"/>
              <w:jc w:val="center"/>
              <w:rPr>
                <w:rFonts w:ascii="宋体" w:hAnsi="宋体"/>
                <w:color w:val="auto"/>
                <w:sz w:val="24"/>
                <w:highlight w:val="none"/>
              </w:rPr>
            </w:pPr>
          </w:p>
        </w:tc>
        <w:tc>
          <w:tcPr>
            <w:tcW w:w="2835" w:type="dxa"/>
            <w:tcBorders>
              <w:top w:val="single" w:color="auto" w:sz="4" w:space="0"/>
              <w:left w:val="single" w:color="auto" w:sz="4" w:space="0"/>
              <w:bottom w:val="single" w:color="auto" w:sz="4" w:space="0"/>
              <w:right w:val="single" w:color="auto" w:sz="4" w:space="0"/>
            </w:tcBorders>
            <w:vAlign w:val="center"/>
          </w:tcPr>
          <w:p w14:paraId="7D226A2E">
            <w:pPr>
              <w:snapToGrid w:val="0"/>
              <w:spacing w:line="360" w:lineRule="atLeast"/>
              <w:jc w:val="center"/>
              <w:rPr>
                <w:rFonts w:ascii="宋体" w:hAnsi="宋体" w:cs="仿宋_GB2312"/>
                <w:color w:val="auto"/>
                <w:sz w:val="24"/>
                <w:highlight w:val="none"/>
              </w:rPr>
            </w:pPr>
          </w:p>
        </w:tc>
        <w:tc>
          <w:tcPr>
            <w:tcW w:w="851" w:type="dxa"/>
            <w:tcBorders>
              <w:top w:val="single" w:color="auto" w:sz="4" w:space="0"/>
              <w:left w:val="single" w:color="auto" w:sz="4" w:space="0"/>
              <w:bottom w:val="single" w:color="auto" w:sz="4" w:space="0"/>
              <w:right w:val="single" w:color="auto" w:sz="4" w:space="0"/>
            </w:tcBorders>
            <w:vAlign w:val="center"/>
          </w:tcPr>
          <w:p w14:paraId="2C506F62">
            <w:pPr>
              <w:snapToGrid w:val="0"/>
              <w:spacing w:line="360" w:lineRule="atLeast"/>
              <w:jc w:val="center"/>
              <w:rPr>
                <w:rFonts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vAlign w:val="center"/>
          </w:tcPr>
          <w:p w14:paraId="24CDC211">
            <w:pPr>
              <w:snapToGrid w:val="0"/>
              <w:spacing w:line="360" w:lineRule="atLeast"/>
              <w:rPr>
                <w:rFonts w:ascii="宋体" w:hAnsi="宋体" w:cs="仿宋_GB2312"/>
                <w:color w:val="auto"/>
                <w:sz w:val="24"/>
                <w:highlight w:val="none"/>
              </w:rPr>
            </w:pPr>
            <w:r>
              <w:rPr>
                <w:rFonts w:hint="eastAsia" w:ascii="宋体" w:hAnsi="宋体" w:cs="仿宋_GB2312"/>
                <w:color w:val="auto"/>
                <w:sz w:val="24"/>
                <w:highlight w:val="none"/>
              </w:rPr>
              <w:t>售后服务联系电话：</w:t>
            </w:r>
            <w:bookmarkStart w:id="108" w:name="OLE_LINK28"/>
            <w:r>
              <w:rPr>
                <w:rFonts w:hint="eastAsia" w:ascii="宋体" w:hAnsi="宋体" w:cs="仿宋_GB2312"/>
                <w:color w:val="auto"/>
                <w:sz w:val="24"/>
                <w:highlight w:val="none"/>
                <w:u w:val="single"/>
              </w:rPr>
              <w:t xml:space="preserve"> </w:t>
            </w:r>
            <w:r>
              <w:rPr>
                <w:rFonts w:ascii="宋体" w:hAnsi="宋体" w:cs="仿宋_GB2312"/>
                <w:color w:val="auto"/>
                <w:sz w:val="24"/>
                <w:highlight w:val="none"/>
                <w:u w:val="single"/>
              </w:rPr>
              <w:t xml:space="preserve">   </w:t>
            </w:r>
            <w:bookmarkEnd w:id="108"/>
          </w:p>
          <w:p w14:paraId="049ADA40">
            <w:pPr>
              <w:snapToGrid w:val="0"/>
              <w:spacing w:line="360" w:lineRule="atLeast"/>
              <w:rPr>
                <w:rFonts w:ascii="宋体" w:hAnsi="宋体" w:cs="仿宋_GB2312"/>
                <w:color w:val="auto"/>
                <w:sz w:val="24"/>
                <w:highlight w:val="none"/>
              </w:rPr>
            </w:pPr>
            <w:r>
              <w:rPr>
                <w:rFonts w:hint="eastAsia" w:ascii="宋体" w:hAnsi="宋体" w:cs="仿宋_GB2312"/>
                <w:color w:val="auto"/>
                <w:sz w:val="24"/>
                <w:highlight w:val="none"/>
              </w:rPr>
              <w:t>联系人：</w:t>
            </w:r>
            <w:r>
              <w:rPr>
                <w:rFonts w:ascii="宋体" w:hAnsi="宋体" w:cs="仿宋_GB2312"/>
                <w:color w:val="auto"/>
                <w:sz w:val="24"/>
                <w:highlight w:val="none"/>
                <w:u w:val="single"/>
              </w:rPr>
              <w:t xml:space="preserve">    </w:t>
            </w:r>
          </w:p>
        </w:tc>
      </w:tr>
      <w:tr w14:paraId="180EC6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42" w:type="dxa"/>
            <w:tcBorders>
              <w:top w:val="single" w:color="auto" w:sz="4" w:space="0"/>
              <w:left w:val="single" w:color="auto" w:sz="4" w:space="0"/>
              <w:bottom w:val="single" w:color="auto" w:sz="4" w:space="0"/>
              <w:right w:val="single" w:color="auto" w:sz="4" w:space="0"/>
            </w:tcBorders>
            <w:vAlign w:val="center"/>
          </w:tcPr>
          <w:p w14:paraId="569F8A6F">
            <w:pPr>
              <w:spacing w:line="360" w:lineRule="exact"/>
              <w:jc w:val="center"/>
              <w:rPr>
                <w:rFonts w:ascii="宋体" w:hAnsi="宋体"/>
                <w:color w:val="auto"/>
                <w:sz w:val="24"/>
                <w:highlight w:val="none"/>
              </w:rPr>
            </w:pPr>
            <w:r>
              <w:rPr>
                <w:rFonts w:hint="eastAsia" w:ascii="宋体" w:hAnsi="宋体"/>
                <w:color w:val="auto"/>
                <w:sz w:val="24"/>
                <w:highlight w:val="none"/>
              </w:rPr>
              <w:t>（二）交付时间和地点</w:t>
            </w:r>
          </w:p>
        </w:tc>
        <w:tc>
          <w:tcPr>
            <w:tcW w:w="2835" w:type="dxa"/>
            <w:tcBorders>
              <w:top w:val="single" w:color="auto" w:sz="4" w:space="0"/>
              <w:left w:val="single" w:color="auto" w:sz="4" w:space="0"/>
              <w:bottom w:val="single" w:color="auto" w:sz="4" w:space="0"/>
              <w:right w:val="single" w:color="auto" w:sz="4" w:space="0"/>
            </w:tcBorders>
            <w:vAlign w:val="center"/>
          </w:tcPr>
          <w:p w14:paraId="418E9C11">
            <w:pPr>
              <w:spacing w:line="360" w:lineRule="atLeast"/>
              <w:jc w:val="center"/>
              <w:rPr>
                <w:rFonts w:ascii="宋体" w:hAnsi="宋体"/>
                <w:color w:val="auto"/>
                <w:sz w:val="24"/>
                <w:highlight w:val="none"/>
              </w:rPr>
            </w:pPr>
          </w:p>
        </w:tc>
        <w:tc>
          <w:tcPr>
            <w:tcW w:w="2835" w:type="dxa"/>
            <w:tcBorders>
              <w:top w:val="single" w:color="auto" w:sz="4" w:space="0"/>
              <w:left w:val="single" w:color="auto" w:sz="4" w:space="0"/>
              <w:bottom w:val="single" w:color="auto" w:sz="4" w:space="0"/>
              <w:right w:val="single" w:color="auto" w:sz="4" w:space="0"/>
            </w:tcBorders>
            <w:vAlign w:val="center"/>
          </w:tcPr>
          <w:p w14:paraId="1706068E">
            <w:pPr>
              <w:snapToGrid w:val="0"/>
              <w:spacing w:line="360" w:lineRule="atLeast"/>
              <w:jc w:val="center"/>
              <w:rPr>
                <w:rFonts w:ascii="宋体" w:hAnsi="宋体" w:cs="仿宋_GB2312"/>
                <w:color w:val="auto"/>
                <w:sz w:val="24"/>
                <w:highlight w:val="none"/>
              </w:rPr>
            </w:pPr>
          </w:p>
        </w:tc>
        <w:tc>
          <w:tcPr>
            <w:tcW w:w="851" w:type="dxa"/>
            <w:tcBorders>
              <w:top w:val="single" w:color="auto" w:sz="4" w:space="0"/>
              <w:left w:val="single" w:color="auto" w:sz="4" w:space="0"/>
              <w:bottom w:val="single" w:color="auto" w:sz="4" w:space="0"/>
              <w:right w:val="single" w:color="auto" w:sz="4" w:space="0"/>
            </w:tcBorders>
            <w:vAlign w:val="center"/>
          </w:tcPr>
          <w:p w14:paraId="5D3628E9">
            <w:pPr>
              <w:snapToGrid w:val="0"/>
              <w:spacing w:line="360" w:lineRule="atLeast"/>
              <w:jc w:val="center"/>
              <w:rPr>
                <w:rFonts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tcPr>
          <w:p w14:paraId="01CC5CBF">
            <w:pPr>
              <w:snapToGrid w:val="0"/>
              <w:spacing w:line="360" w:lineRule="atLeast"/>
              <w:jc w:val="center"/>
              <w:rPr>
                <w:rFonts w:ascii="宋体" w:hAnsi="宋体" w:cs="仿宋_GB2312"/>
                <w:color w:val="auto"/>
                <w:sz w:val="24"/>
                <w:highlight w:val="none"/>
              </w:rPr>
            </w:pPr>
          </w:p>
        </w:tc>
      </w:tr>
      <w:tr w14:paraId="387892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42" w:type="dxa"/>
            <w:tcBorders>
              <w:top w:val="single" w:color="auto" w:sz="4" w:space="0"/>
              <w:left w:val="single" w:color="auto" w:sz="4" w:space="0"/>
              <w:bottom w:val="single" w:color="auto" w:sz="4" w:space="0"/>
              <w:right w:val="single" w:color="auto" w:sz="4" w:space="0"/>
            </w:tcBorders>
            <w:vAlign w:val="center"/>
          </w:tcPr>
          <w:p w14:paraId="09E7E883">
            <w:pPr>
              <w:spacing w:line="360" w:lineRule="exact"/>
              <w:jc w:val="center"/>
              <w:rPr>
                <w:rFonts w:ascii="宋体" w:hAnsi="宋体"/>
                <w:color w:val="auto"/>
                <w:sz w:val="24"/>
                <w:highlight w:val="none"/>
              </w:rPr>
            </w:pPr>
            <w:r>
              <w:rPr>
                <w:rFonts w:hint="eastAsia" w:ascii="宋体" w:hAnsi="宋体"/>
                <w:color w:val="auto"/>
                <w:sz w:val="24"/>
                <w:highlight w:val="none"/>
              </w:rPr>
              <w:t>（三）合同签订时间</w:t>
            </w:r>
          </w:p>
        </w:tc>
        <w:tc>
          <w:tcPr>
            <w:tcW w:w="2835" w:type="dxa"/>
            <w:tcBorders>
              <w:top w:val="single" w:color="auto" w:sz="4" w:space="0"/>
              <w:left w:val="single" w:color="auto" w:sz="4" w:space="0"/>
              <w:bottom w:val="single" w:color="auto" w:sz="4" w:space="0"/>
              <w:right w:val="single" w:color="auto" w:sz="4" w:space="0"/>
            </w:tcBorders>
            <w:vAlign w:val="center"/>
          </w:tcPr>
          <w:p w14:paraId="20CFAD07">
            <w:pPr>
              <w:snapToGrid w:val="0"/>
              <w:spacing w:line="360" w:lineRule="atLeast"/>
              <w:jc w:val="center"/>
              <w:rPr>
                <w:rFonts w:ascii="宋体" w:hAnsi="宋体" w:cs="仿宋_GB2312"/>
                <w:color w:val="auto"/>
                <w:sz w:val="24"/>
                <w:highlight w:val="none"/>
              </w:rPr>
            </w:pPr>
          </w:p>
        </w:tc>
        <w:tc>
          <w:tcPr>
            <w:tcW w:w="2835" w:type="dxa"/>
            <w:tcBorders>
              <w:top w:val="single" w:color="auto" w:sz="4" w:space="0"/>
              <w:left w:val="single" w:color="auto" w:sz="4" w:space="0"/>
              <w:bottom w:val="single" w:color="auto" w:sz="4" w:space="0"/>
              <w:right w:val="single" w:color="auto" w:sz="4" w:space="0"/>
            </w:tcBorders>
            <w:vAlign w:val="center"/>
          </w:tcPr>
          <w:p w14:paraId="5A2DAB4D">
            <w:pPr>
              <w:snapToGrid w:val="0"/>
              <w:spacing w:line="360" w:lineRule="atLeast"/>
              <w:jc w:val="center"/>
              <w:rPr>
                <w:rFonts w:ascii="宋体" w:hAnsi="宋体" w:cs="仿宋_GB2312"/>
                <w:color w:val="auto"/>
                <w:sz w:val="24"/>
                <w:highlight w:val="none"/>
              </w:rPr>
            </w:pPr>
          </w:p>
        </w:tc>
        <w:tc>
          <w:tcPr>
            <w:tcW w:w="851" w:type="dxa"/>
            <w:tcBorders>
              <w:top w:val="single" w:color="auto" w:sz="4" w:space="0"/>
              <w:left w:val="single" w:color="auto" w:sz="4" w:space="0"/>
              <w:bottom w:val="single" w:color="auto" w:sz="4" w:space="0"/>
              <w:right w:val="single" w:color="auto" w:sz="4" w:space="0"/>
            </w:tcBorders>
            <w:vAlign w:val="center"/>
          </w:tcPr>
          <w:p w14:paraId="251186EF">
            <w:pPr>
              <w:snapToGrid w:val="0"/>
              <w:spacing w:line="360" w:lineRule="atLeast"/>
              <w:jc w:val="center"/>
              <w:rPr>
                <w:rFonts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tcPr>
          <w:p w14:paraId="2C72501F">
            <w:pPr>
              <w:snapToGrid w:val="0"/>
              <w:spacing w:line="360" w:lineRule="atLeast"/>
              <w:jc w:val="center"/>
              <w:rPr>
                <w:rFonts w:ascii="宋体" w:hAnsi="宋体" w:cs="仿宋_GB2312"/>
                <w:color w:val="auto"/>
                <w:sz w:val="24"/>
                <w:highlight w:val="none"/>
              </w:rPr>
            </w:pPr>
          </w:p>
        </w:tc>
      </w:tr>
      <w:tr w14:paraId="6AB2E8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42" w:type="dxa"/>
            <w:tcBorders>
              <w:top w:val="single" w:color="auto" w:sz="4" w:space="0"/>
              <w:left w:val="single" w:color="auto" w:sz="4" w:space="0"/>
              <w:bottom w:val="single" w:color="auto" w:sz="4" w:space="0"/>
              <w:right w:val="single" w:color="auto" w:sz="4" w:space="0"/>
            </w:tcBorders>
            <w:vAlign w:val="center"/>
          </w:tcPr>
          <w:p w14:paraId="048C84D2">
            <w:pPr>
              <w:spacing w:line="360" w:lineRule="exact"/>
              <w:jc w:val="center"/>
              <w:rPr>
                <w:rFonts w:ascii="宋体" w:hAnsi="宋体"/>
                <w:color w:val="auto"/>
                <w:sz w:val="24"/>
                <w:highlight w:val="none"/>
              </w:rPr>
            </w:pPr>
            <w:r>
              <w:rPr>
                <w:rFonts w:hint="eastAsia" w:ascii="宋体" w:hAnsi="宋体"/>
                <w:color w:val="auto"/>
                <w:sz w:val="24"/>
                <w:highlight w:val="none"/>
              </w:rPr>
              <w:t>（四）付款方式</w:t>
            </w:r>
          </w:p>
        </w:tc>
        <w:tc>
          <w:tcPr>
            <w:tcW w:w="2835" w:type="dxa"/>
            <w:tcBorders>
              <w:top w:val="single" w:color="auto" w:sz="4" w:space="0"/>
              <w:left w:val="single" w:color="auto" w:sz="4" w:space="0"/>
              <w:bottom w:val="single" w:color="auto" w:sz="4" w:space="0"/>
              <w:right w:val="single" w:color="auto" w:sz="4" w:space="0"/>
            </w:tcBorders>
            <w:vAlign w:val="center"/>
          </w:tcPr>
          <w:p w14:paraId="1DD00FCF">
            <w:pPr>
              <w:snapToGrid w:val="0"/>
              <w:spacing w:line="360" w:lineRule="atLeast"/>
              <w:jc w:val="center"/>
              <w:rPr>
                <w:rFonts w:ascii="宋体" w:hAnsi="宋体" w:cs="仿宋_GB2312"/>
                <w:color w:val="auto"/>
                <w:sz w:val="24"/>
                <w:highlight w:val="none"/>
              </w:rPr>
            </w:pPr>
          </w:p>
        </w:tc>
        <w:tc>
          <w:tcPr>
            <w:tcW w:w="2835" w:type="dxa"/>
            <w:tcBorders>
              <w:top w:val="single" w:color="auto" w:sz="4" w:space="0"/>
              <w:left w:val="single" w:color="auto" w:sz="4" w:space="0"/>
              <w:bottom w:val="single" w:color="auto" w:sz="4" w:space="0"/>
              <w:right w:val="single" w:color="auto" w:sz="4" w:space="0"/>
            </w:tcBorders>
            <w:vAlign w:val="center"/>
          </w:tcPr>
          <w:p w14:paraId="51FB2F6C">
            <w:pPr>
              <w:snapToGrid w:val="0"/>
              <w:spacing w:line="360" w:lineRule="atLeast"/>
              <w:jc w:val="center"/>
              <w:rPr>
                <w:rFonts w:ascii="宋体" w:hAnsi="宋体" w:cs="仿宋_GB2312"/>
                <w:color w:val="auto"/>
                <w:sz w:val="24"/>
                <w:highlight w:val="none"/>
              </w:rPr>
            </w:pPr>
          </w:p>
        </w:tc>
        <w:tc>
          <w:tcPr>
            <w:tcW w:w="851" w:type="dxa"/>
            <w:tcBorders>
              <w:top w:val="single" w:color="auto" w:sz="4" w:space="0"/>
              <w:left w:val="single" w:color="auto" w:sz="4" w:space="0"/>
              <w:bottom w:val="single" w:color="auto" w:sz="4" w:space="0"/>
              <w:right w:val="single" w:color="auto" w:sz="4" w:space="0"/>
            </w:tcBorders>
            <w:vAlign w:val="center"/>
          </w:tcPr>
          <w:p w14:paraId="2C57170E">
            <w:pPr>
              <w:snapToGrid w:val="0"/>
              <w:spacing w:line="360" w:lineRule="atLeast"/>
              <w:jc w:val="center"/>
              <w:rPr>
                <w:rFonts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tcPr>
          <w:p w14:paraId="241C3F3E">
            <w:pPr>
              <w:snapToGrid w:val="0"/>
              <w:spacing w:line="360" w:lineRule="atLeast"/>
              <w:jc w:val="center"/>
              <w:rPr>
                <w:rFonts w:ascii="宋体" w:hAnsi="宋体" w:cs="仿宋_GB2312"/>
                <w:color w:val="auto"/>
                <w:sz w:val="24"/>
                <w:highlight w:val="none"/>
              </w:rPr>
            </w:pPr>
          </w:p>
        </w:tc>
      </w:tr>
      <w:tr w14:paraId="6E14B9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42" w:type="dxa"/>
            <w:tcBorders>
              <w:top w:val="single" w:color="auto" w:sz="4" w:space="0"/>
              <w:left w:val="single" w:color="auto" w:sz="4" w:space="0"/>
              <w:bottom w:val="single" w:color="auto" w:sz="4" w:space="0"/>
              <w:right w:val="single" w:color="auto" w:sz="4" w:space="0"/>
            </w:tcBorders>
            <w:vAlign w:val="center"/>
          </w:tcPr>
          <w:p w14:paraId="6C7FA262">
            <w:pPr>
              <w:spacing w:line="360" w:lineRule="exact"/>
              <w:jc w:val="center"/>
              <w:rPr>
                <w:rFonts w:ascii="宋体" w:hAnsi="宋体"/>
                <w:color w:val="auto"/>
                <w:sz w:val="24"/>
                <w:highlight w:val="none"/>
              </w:rPr>
            </w:pPr>
            <w:r>
              <w:rPr>
                <w:rFonts w:hint="eastAsia" w:ascii="宋体" w:hAnsi="宋体"/>
                <w:color w:val="auto"/>
                <w:sz w:val="24"/>
                <w:highlight w:val="none"/>
              </w:rPr>
              <w:t>（五）包装和运输</w:t>
            </w:r>
          </w:p>
        </w:tc>
        <w:tc>
          <w:tcPr>
            <w:tcW w:w="2835" w:type="dxa"/>
            <w:tcBorders>
              <w:top w:val="single" w:color="auto" w:sz="4" w:space="0"/>
              <w:left w:val="single" w:color="auto" w:sz="4" w:space="0"/>
              <w:bottom w:val="single" w:color="auto" w:sz="4" w:space="0"/>
              <w:right w:val="single" w:color="auto" w:sz="4" w:space="0"/>
            </w:tcBorders>
            <w:vAlign w:val="center"/>
          </w:tcPr>
          <w:p w14:paraId="7785817C">
            <w:pPr>
              <w:snapToGrid w:val="0"/>
              <w:spacing w:line="360" w:lineRule="atLeast"/>
              <w:jc w:val="center"/>
              <w:rPr>
                <w:rFonts w:ascii="宋体" w:hAnsi="宋体" w:cs="仿宋_GB2312"/>
                <w:color w:val="auto"/>
                <w:sz w:val="24"/>
                <w:highlight w:val="none"/>
              </w:rPr>
            </w:pPr>
          </w:p>
        </w:tc>
        <w:tc>
          <w:tcPr>
            <w:tcW w:w="2835" w:type="dxa"/>
            <w:tcBorders>
              <w:top w:val="single" w:color="auto" w:sz="4" w:space="0"/>
              <w:left w:val="single" w:color="auto" w:sz="4" w:space="0"/>
              <w:bottom w:val="single" w:color="auto" w:sz="4" w:space="0"/>
              <w:right w:val="single" w:color="auto" w:sz="4" w:space="0"/>
            </w:tcBorders>
            <w:vAlign w:val="center"/>
          </w:tcPr>
          <w:p w14:paraId="57C563DD">
            <w:pPr>
              <w:snapToGrid w:val="0"/>
              <w:spacing w:line="360" w:lineRule="atLeast"/>
              <w:jc w:val="center"/>
              <w:rPr>
                <w:rFonts w:ascii="宋体" w:hAnsi="宋体" w:cs="仿宋_GB2312"/>
                <w:color w:val="auto"/>
                <w:sz w:val="24"/>
                <w:highlight w:val="none"/>
              </w:rPr>
            </w:pPr>
          </w:p>
        </w:tc>
        <w:tc>
          <w:tcPr>
            <w:tcW w:w="851" w:type="dxa"/>
            <w:tcBorders>
              <w:top w:val="single" w:color="auto" w:sz="4" w:space="0"/>
              <w:left w:val="single" w:color="auto" w:sz="4" w:space="0"/>
              <w:bottom w:val="single" w:color="auto" w:sz="4" w:space="0"/>
              <w:right w:val="single" w:color="auto" w:sz="4" w:space="0"/>
            </w:tcBorders>
            <w:vAlign w:val="center"/>
          </w:tcPr>
          <w:p w14:paraId="4A94EBD4">
            <w:pPr>
              <w:snapToGrid w:val="0"/>
              <w:spacing w:line="360" w:lineRule="atLeast"/>
              <w:jc w:val="center"/>
              <w:rPr>
                <w:rFonts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tcPr>
          <w:p w14:paraId="4E27F5FD">
            <w:pPr>
              <w:snapToGrid w:val="0"/>
              <w:spacing w:line="360" w:lineRule="atLeast"/>
              <w:jc w:val="center"/>
              <w:rPr>
                <w:rFonts w:ascii="宋体" w:hAnsi="宋体" w:cs="仿宋_GB2312"/>
                <w:color w:val="auto"/>
                <w:sz w:val="24"/>
                <w:highlight w:val="none"/>
              </w:rPr>
            </w:pPr>
          </w:p>
        </w:tc>
      </w:tr>
      <w:tr w14:paraId="51A388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42" w:type="dxa"/>
            <w:tcBorders>
              <w:top w:val="single" w:color="auto" w:sz="4" w:space="0"/>
              <w:left w:val="single" w:color="auto" w:sz="4" w:space="0"/>
              <w:bottom w:val="single" w:color="auto" w:sz="4" w:space="0"/>
              <w:right w:val="single" w:color="auto" w:sz="4" w:space="0"/>
            </w:tcBorders>
            <w:vAlign w:val="center"/>
          </w:tcPr>
          <w:p w14:paraId="2C291E4E">
            <w:pPr>
              <w:spacing w:line="360" w:lineRule="exact"/>
              <w:jc w:val="center"/>
              <w:rPr>
                <w:rFonts w:ascii="宋体" w:hAnsi="宋体"/>
                <w:color w:val="auto"/>
                <w:sz w:val="24"/>
                <w:highlight w:val="none"/>
              </w:rPr>
            </w:pPr>
            <w:r>
              <w:rPr>
                <w:rFonts w:hint="eastAsia" w:ascii="宋体" w:hAnsi="宋体"/>
                <w:color w:val="auto"/>
                <w:sz w:val="24"/>
                <w:highlight w:val="none"/>
              </w:rPr>
              <w:t>（六）保险</w:t>
            </w:r>
          </w:p>
        </w:tc>
        <w:tc>
          <w:tcPr>
            <w:tcW w:w="2835" w:type="dxa"/>
            <w:tcBorders>
              <w:top w:val="single" w:color="auto" w:sz="4" w:space="0"/>
              <w:left w:val="single" w:color="auto" w:sz="4" w:space="0"/>
              <w:bottom w:val="single" w:color="auto" w:sz="4" w:space="0"/>
              <w:right w:val="single" w:color="auto" w:sz="4" w:space="0"/>
            </w:tcBorders>
            <w:vAlign w:val="center"/>
          </w:tcPr>
          <w:p w14:paraId="407C6396">
            <w:pPr>
              <w:snapToGrid w:val="0"/>
              <w:spacing w:line="360" w:lineRule="atLeast"/>
              <w:jc w:val="center"/>
              <w:rPr>
                <w:rFonts w:ascii="宋体" w:hAnsi="宋体" w:cs="仿宋_GB2312"/>
                <w:color w:val="auto"/>
                <w:sz w:val="24"/>
                <w:highlight w:val="none"/>
              </w:rPr>
            </w:pPr>
          </w:p>
        </w:tc>
        <w:tc>
          <w:tcPr>
            <w:tcW w:w="2835" w:type="dxa"/>
            <w:tcBorders>
              <w:top w:val="single" w:color="auto" w:sz="4" w:space="0"/>
              <w:left w:val="single" w:color="auto" w:sz="4" w:space="0"/>
              <w:bottom w:val="single" w:color="auto" w:sz="4" w:space="0"/>
              <w:right w:val="single" w:color="auto" w:sz="4" w:space="0"/>
            </w:tcBorders>
            <w:vAlign w:val="center"/>
          </w:tcPr>
          <w:p w14:paraId="7F0555BE">
            <w:pPr>
              <w:snapToGrid w:val="0"/>
              <w:spacing w:line="360" w:lineRule="atLeast"/>
              <w:jc w:val="center"/>
              <w:rPr>
                <w:rFonts w:ascii="宋体" w:hAnsi="宋体" w:cs="仿宋_GB2312"/>
                <w:color w:val="auto"/>
                <w:sz w:val="24"/>
                <w:highlight w:val="none"/>
              </w:rPr>
            </w:pPr>
          </w:p>
        </w:tc>
        <w:tc>
          <w:tcPr>
            <w:tcW w:w="851" w:type="dxa"/>
            <w:tcBorders>
              <w:top w:val="single" w:color="auto" w:sz="4" w:space="0"/>
              <w:left w:val="single" w:color="auto" w:sz="4" w:space="0"/>
              <w:bottom w:val="single" w:color="auto" w:sz="4" w:space="0"/>
              <w:right w:val="single" w:color="auto" w:sz="4" w:space="0"/>
            </w:tcBorders>
            <w:vAlign w:val="center"/>
          </w:tcPr>
          <w:p w14:paraId="0AB75B94">
            <w:pPr>
              <w:snapToGrid w:val="0"/>
              <w:spacing w:line="360" w:lineRule="atLeast"/>
              <w:jc w:val="center"/>
              <w:rPr>
                <w:rFonts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tcPr>
          <w:p w14:paraId="3740F27D">
            <w:pPr>
              <w:snapToGrid w:val="0"/>
              <w:spacing w:line="360" w:lineRule="atLeast"/>
              <w:jc w:val="center"/>
              <w:rPr>
                <w:rFonts w:ascii="宋体" w:hAnsi="宋体" w:cs="仿宋_GB2312"/>
                <w:color w:val="auto"/>
                <w:sz w:val="24"/>
                <w:highlight w:val="none"/>
              </w:rPr>
            </w:pPr>
          </w:p>
        </w:tc>
      </w:tr>
      <w:tr w14:paraId="3383B2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42" w:type="dxa"/>
            <w:tcBorders>
              <w:top w:val="single" w:color="auto" w:sz="4" w:space="0"/>
              <w:left w:val="single" w:color="auto" w:sz="4" w:space="0"/>
              <w:bottom w:val="single" w:color="auto" w:sz="4" w:space="0"/>
              <w:right w:val="single" w:color="auto" w:sz="4" w:space="0"/>
            </w:tcBorders>
            <w:vAlign w:val="center"/>
          </w:tcPr>
          <w:p w14:paraId="09B15C47">
            <w:pPr>
              <w:spacing w:line="360" w:lineRule="exact"/>
              <w:jc w:val="center"/>
              <w:rPr>
                <w:rFonts w:ascii="宋体" w:hAnsi="宋体"/>
                <w:color w:val="auto"/>
                <w:sz w:val="24"/>
                <w:highlight w:val="none"/>
              </w:rPr>
            </w:pPr>
            <w:r>
              <w:rPr>
                <w:rFonts w:hint="eastAsia" w:ascii="宋体" w:hAnsi="宋体"/>
                <w:color w:val="auto"/>
                <w:sz w:val="24"/>
                <w:highlight w:val="none"/>
              </w:rPr>
              <w:t>（七）质量及验收标准</w:t>
            </w:r>
          </w:p>
        </w:tc>
        <w:tc>
          <w:tcPr>
            <w:tcW w:w="2835" w:type="dxa"/>
            <w:tcBorders>
              <w:top w:val="single" w:color="auto" w:sz="4" w:space="0"/>
              <w:left w:val="single" w:color="auto" w:sz="4" w:space="0"/>
              <w:bottom w:val="single" w:color="auto" w:sz="4" w:space="0"/>
              <w:right w:val="single" w:color="auto" w:sz="4" w:space="0"/>
            </w:tcBorders>
            <w:vAlign w:val="center"/>
          </w:tcPr>
          <w:p w14:paraId="742DC2E4">
            <w:pPr>
              <w:snapToGrid w:val="0"/>
              <w:spacing w:line="360" w:lineRule="atLeast"/>
              <w:jc w:val="center"/>
              <w:rPr>
                <w:rFonts w:ascii="宋体" w:hAnsi="宋体" w:cs="仿宋_GB2312"/>
                <w:color w:val="auto"/>
                <w:sz w:val="24"/>
                <w:highlight w:val="none"/>
              </w:rPr>
            </w:pPr>
          </w:p>
        </w:tc>
        <w:tc>
          <w:tcPr>
            <w:tcW w:w="2835" w:type="dxa"/>
            <w:tcBorders>
              <w:top w:val="single" w:color="auto" w:sz="4" w:space="0"/>
              <w:left w:val="single" w:color="auto" w:sz="4" w:space="0"/>
              <w:bottom w:val="single" w:color="auto" w:sz="4" w:space="0"/>
              <w:right w:val="single" w:color="auto" w:sz="4" w:space="0"/>
            </w:tcBorders>
            <w:vAlign w:val="center"/>
          </w:tcPr>
          <w:p w14:paraId="1A9AA063">
            <w:pPr>
              <w:snapToGrid w:val="0"/>
              <w:spacing w:line="360" w:lineRule="atLeast"/>
              <w:jc w:val="center"/>
              <w:rPr>
                <w:rFonts w:ascii="宋体" w:hAnsi="宋体" w:cs="仿宋_GB2312"/>
                <w:color w:val="auto"/>
                <w:sz w:val="24"/>
                <w:highlight w:val="none"/>
              </w:rPr>
            </w:pPr>
          </w:p>
        </w:tc>
        <w:tc>
          <w:tcPr>
            <w:tcW w:w="851" w:type="dxa"/>
            <w:tcBorders>
              <w:top w:val="single" w:color="auto" w:sz="4" w:space="0"/>
              <w:left w:val="single" w:color="auto" w:sz="4" w:space="0"/>
              <w:bottom w:val="single" w:color="auto" w:sz="4" w:space="0"/>
              <w:right w:val="single" w:color="auto" w:sz="4" w:space="0"/>
            </w:tcBorders>
            <w:vAlign w:val="center"/>
          </w:tcPr>
          <w:p w14:paraId="3907BDAC">
            <w:pPr>
              <w:snapToGrid w:val="0"/>
              <w:spacing w:line="360" w:lineRule="atLeast"/>
              <w:jc w:val="center"/>
              <w:rPr>
                <w:rFonts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tcPr>
          <w:p w14:paraId="790442CD">
            <w:pPr>
              <w:snapToGrid w:val="0"/>
              <w:spacing w:line="360" w:lineRule="atLeast"/>
              <w:jc w:val="center"/>
              <w:rPr>
                <w:rFonts w:ascii="宋体" w:hAnsi="宋体" w:cs="仿宋_GB2312"/>
                <w:color w:val="auto"/>
                <w:sz w:val="24"/>
                <w:highlight w:val="none"/>
              </w:rPr>
            </w:pPr>
          </w:p>
        </w:tc>
      </w:tr>
      <w:tr w14:paraId="547D4C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42" w:type="dxa"/>
            <w:tcBorders>
              <w:top w:val="single" w:color="auto" w:sz="4" w:space="0"/>
              <w:left w:val="single" w:color="auto" w:sz="4" w:space="0"/>
              <w:bottom w:val="single" w:color="auto" w:sz="4" w:space="0"/>
              <w:right w:val="single" w:color="auto" w:sz="4" w:space="0"/>
            </w:tcBorders>
            <w:vAlign w:val="center"/>
          </w:tcPr>
          <w:p w14:paraId="5E5369A1">
            <w:pPr>
              <w:spacing w:line="360" w:lineRule="exact"/>
              <w:jc w:val="center"/>
              <w:rPr>
                <w:rFonts w:ascii="宋体" w:hAnsi="宋体"/>
                <w:color w:val="auto"/>
                <w:sz w:val="24"/>
                <w:highlight w:val="none"/>
              </w:rPr>
            </w:pPr>
            <w:r>
              <w:rPr>
                <w:rFonts w:hint="eastAsia" w:ascii="宋体" w:hAnsi="宋体"/>
                <w:color w:val="auto"/>
                <w:sz w:val="24"/>
                <w:highlight w:val="none"/>
              </w:rPr>
              <w:t>（八）违约责任</w:t>
            </w:r>
          </w:p>
        </w:tc>
        <w:tc>
          <w:tcPr>
            <w:tcW w:w="2835" w:type="dxa"/>
            <w:tcBorders>
              <w:top w:val="single" w:color="auto" w:sz="4" w:space="0"/>
              <w:left w:val="single" w:color="auto" w:sz="4" w:space="0"/>
              <w:bottom w:val="single" w:color="auto" w:sz="4" w:space="0"/>
              <w:right w:val="single" w:color="auto" w:sz="4" w:space="0"/>
            </w:tcBorders>
            <w:vAlign w:val="center"/>
          </w:tcPr>
          <w:p w14:paraId="41082074">
            <w:pPr>
              <w:snapToGrid w:val="0"/>
              <w:spacing w:line="360" w:lineRule="atLeast"/>
              <w:jc w:val="center"/>
              <w:rPr>
                <w:rFonts w:ascii="宋体" w:hAnsi="宋体" w:cs="仿宋_GB2312"/>
                <w:color w:val="auto"/>
                <w:sz w:val="24"/>
                <w:highlight w:val="none"/>
              </w:rPr>
            </w:pPr>
          </w:p>
        </w:tc>
        <w:tc>
          <w:tcPr>
            <w:tcW w:w="2835" w:type="dxa"/>
            <w:tcBorders>
              <w:top w:val="single" w:color="auto" w:sz="4" w:space="0"/>
              <w:left w:val="single" w:color="auto" w:sz="4" w:space="0"/>
              <w:bottom w:val="single" w:color="auto" w:sz="4" w:space="0"/>
              <w:right w:val="single" w:color="auto" w:sz="4" w:space="0"/>
            </w:tcBorders>
            <w:vAlign w:val="center"/>
          </w:tcPr>
          <w:p w14:paraId="6FD1C93F">
            <w:pPr>
              <w:snapToGrid w:val="0"/>
              <w:spacing w:line="360" w:lineRule="atLeast"/>
              <w:jc w:val="center"/>
              <w:rPr>
                <w:rFonts w:ascii="宋体" w:hAnsi="宋体" w:cs="仿宋_GB2312"/>
                <w:color w:val="auto"/>
                <w:sz w:val="24"/>
                <w:highlight w:val="none"/>
              </w:rPr>
            </w:pPr>
          </w:p>
        </w:tc>
        <w:tc>
          <w:tcPr>
            <w:tcW w:w="851" w:type="dxa"/>
            <w:tcBorders>
              <w:top w:val="single" w:color="auto" w:sz="4" w:space="0"/>
              <w:left w:val="single" w:color="auto" w:sz="4" w:space="0"/>
              <w:bottom w:val="single" w:color="auto" w:sz="4" w:space="0"/>
              <w:right w:val="single" w:color="auto" w:sz="4" w:space="0"/>
            </w:tcBorders>
            <w:vAlign w:val="center"/>
          </w:tcPr>
          <w:p w14:paraId="5E225E2F">
            <w:pPr>
              <w:snapToGrid w:val="0"/>
              <w:spacing w:line="360" w:lineRule="atLeast"/>
              <w:jc w:val="center"/>
              <w:rPr>
                <w:rFonts w:ascii="宋体" w:hAnsi="宋体" w:cs="仿宋_GB2312"/>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tcPr>
          <w:p w14:paraId="67842B48">
            <w:pPr>
              <w:snapToGrid w:val="0"/>
              <w:spacing w:line="360" w:lineRule="atLeast"/>
              <w:jc w:val="center"/>
              <w:rPr>
                <w:rFonts w:ascii="宋体" w:hAnsi="宋体" w:cs="仿宋_GB2312"/>
                <w:color w:val="auto"/>
                <w:sz w:val="24"/>
                <w:highlight w:val="none"/>
              </w:rPr>
            </w:pPr>
          </w:p>
        </w:tc>
      </w:tr>
    </w:tbl>
    <w:p w14:paraId="65F8915D">
      <w:pPr>
        <w:pStyle w:val="11"/>
        <w:spacing w:after="0" w:line="360" w:lineRule="exact"/>
        <w:contextualSpacing/>
        <w:rPr>
          <w:rFonts w:ascii="宋体" w:hAnsi="宋体"/>
          <w:color w:val="auto"/>
          <w:kern w:val="0"/>
          <w:sz w:val="24"/>
          <w:szCs w:val="24"/>
          <w:highlight w:val="none"/>
        </w:rPr>
      </w:pPr>
      <w:r>
        <w:rPr>
          <w:rFonts w:hint="eastAsia" w:ascii="宋体" w:hAnsi="宋体"/>
          <w:color w:val="auto"/>
          <w:kern w:val="0"/>
          <w:sz w:val="24"/>
          <w:szCs w:val="24"/>
          <w:highlight w:val="none"/>
        </w:rPr>
        <w:t>注：</w:t>
      </w:r>
    </w:p>
    <w:p w14:paraId="0BED99C5">
      <w:pPr>
        <w:pStyle w:val="11"/>
        <w:spacing w:after="0" w:line="360" w:lineRule="exact"/>
        <w:contextualSpacing/>
        <w:rPr>
          <w:rFonts w:ascii="宋体" w:hAnsi="宋体"/>
          <w:color w:val="auto"/>
          <w:kern w:val="0"/>
          <w:sz w:val="24"/>
          <w:szCs w:val="24"/>
          <w:highlight w:val="none"/>
        </w:rPr>
      </w:pPr>
      <w:r>
        <w:rPr>
          <w:rFonts w:hint="eastAsia" w:ascii="宋体" w:hAnsi="宋体"/>
          <w:color w:val="auto"/>
          <w:kern w:val="0"/>
          <w:sz w:val="24"/>
          <w:szCs w:val="24"/>
          <w:highlight w:val="none"/>
        </w:rPr>
        <w:t>1.说明：供应商应对照谈判文件“第三章 采购需求”中的商务要求逐条明确响应，并作出偏离说明。</w:t>
      </w:r>
    </w:p>
    <w:p w14:paraId="3530CD25">
      <w:pPr>
        <w:pStyle w:val="11"/>
        <w:spacing w:after="0" w:line="360" w:lineRule="exact"/>
        <w:contextualSpacing/>
        <w:rPr>
          <w:rFonts w:ascii="宋体" w:hAnsi="宋体" w:cs="仿宋_GB2312"/>
          <w:color w:val="auto"/>
          <w:sz w:val="24"/>
          <w:highlight w:val="none"/>
        </w:rPr>
      </w:pPr>
      <w:r>
        <w:rPr>
          <w:rFonts w:hint="eastAsia" w:ascii="宋体" w:hAnsi="宋体"/>
          <w:color w:val="auto"/>
          <w:kern w:val="0"/>
          <w:sz w:val="24"/>
          <w:szCs w:val="24"/>
          <w:highlight w:val="none"/>
        </w:rPr>
        <w:t>2.供应商应根据自身的承诺，对照谈判文件要求在“偏离说明”中注明“正偏离”、“负偏离”或者“无偏离”。既不属于“正偏离”也不属于“负偏离”即为“无偏离”。</w:t>
      </w:r>
    </w:p>
    <w:p w14:paraId="2C3ACF39">
      <w:pPr>
        <w:spacing w:line="360" w:lineRule="auto"/>
        <w:ind w:right="-817" w:rightChars="-389"/>
        <w:contextualSpacing/>
        <w:jc w:val="center"/>
        <w:rPr>
          <w:rFonts w:ascii="宋体" w:hAnsi="宋体" w:cs="仿宋_GB2312"/>
          <w:color w:val="auto"/>
          <w:sz w:val="24"/>
          <w:highlight w:val="none"/>
        </w:rPr>
      </w:pPr>
      <w:r>
        <w:rPr>
          <w:rFonts w:hint="eastAsia" w:ascii="宋体" w:hAnsi="宋体" w:cs="仿宋_GB2312"/>
          <w:color w:val="auto"/>
          <w:sz w:val="24"/>
          <w:highlight w:val="none"/>
        </w:rPr>
        <w:t>法定代表人或者委托代理人（签字或者电子签名）：</w:t>
      </w:r>
    </w:p>
    <w:p w14:paraId="672C7BD2">
      <w:pPr>
        <w:spacing w:line="360" w:lineRule="auto"/>
        <w:ind w:right="-817" w:rightChars="-389" w:firstLine="2880" w:firstLineChars="1200"/>
        <w:contextualSpacing/>
        <w:rPr>
          <w:rFonts w:ascii="宋体" w:hAnsi="宋体" w:cs="仿宋_GB2312"/>
          <w:color w:val="auto"/>
          <w:sz w:val="24"/>
          <w:highlight w:val="none"/>
        </w:rPr>
      </w:pPr>
      <w:r>
        <w:rPr>
          <w:rFonts w:hint="eastAsia" w:ascii="宋体" w:hAnsi="宋体" w:cs="仿宋_GB2312"/>
          <w:color w:val="auto"/>
          <w:sz w:val="24"/>
          <w:highlight w:val="none"/>
        </w:rPr>
        <w:t xml:space="preserve">供应商名称（电子签章）：      </w:t>
      </w:r>
    </w:p>
    <w:p w14:paraId="30971762">
      <w:pPr>
        <w:spacing w:line="360" w:lineRule="auto"/>
        <w:ind w:right="-817" w:rightChars="-389" w:firstLine="2880" w:firstLineChars="1200"/>
        <w:contextualSpacing/>
        <w:rPr>
          <w:rFonts w:ascii="宋体" w:hAnsi="宋体" w:cs="仿宋_GB2312"/>
          <w:color w:val="auto"/>
          <w:sz w:val="24"/>
          <w:highlight w:val="none"/>
        </w:rPr>
      </w:pPr>
      <w:r>
        <w:rPr>
          <w:rFonts w:hint="eastAsia" w:ascii="宋体" w:hAnsi="宋体" w:cs="仿宋_GB2312"/>
          <w:color w:val="auto"/>
          <w:sz w:val="24"/>
          <w:highlight w:val="none"/>
        </w:rPr>
        <w:t>日期：   年   月   日</w:t>
      </w:r>
    </w:p>
    <w:p w14:paraId="2F68DA40">
      <w:pPr>
        <w:adjustRightInd w:val="0"/>
        <w:snapToGrid w:val="0"/>
        <w:spacing w:line="520" w:lineRule="exact"/>
        <w:ind w:firstLine="7040" w:firstLineChars="1600"/>
        <w:jc w:val="center"/>
        <w:rPr>
          <w:rFonts w:ascii="微软雅黑" w:hAnsi="微软雅黑" w:eastAsia="微软雅黑" w:cs="微软雅黑"/>
          <w:bCs/>
          <w:color w:val="auto"/>
          <w:sz w:val="44"/>
          <w:szCs w:val="44"/>
          <w:highlight w:val="none"/>
        </w:rPr>
      </w:pPr>
    </w:p>
    <w:p w14:paraId="6489A64F">
      <w:pPr>
        <w:adjustRightInd w:val="0"/>
        <w:snapToGrid w:val="0"/>
        <w:spacing w:line="520" w:lineRule="exact"/>
        <w:jc w:val="center"/>
        <w:rPr>
          <w:rFonts w:ascii="微软雅黑" w:hAnsi="微软雅黑" w:eastAsia="微软雅黑" w:cs="微软雅黑"/>
          <w:bCs/>
          <w:color w:val="auto"/>
          <w:sz w:val="44"/>
          <w:szCs w:val="44"/>
          <w:highlight w:val="none"/>
        </w:rPr>
      </w:pPr>
      <w:r>
        <w:rPr>
          <w:rFonts w:ascii="微软雅黑" w:hAnsi="微软雅黑" w:eastAsia="微软雅黑" w:cs="微软雅黑"/>
          <w:bCs/>
          <w:color w:val="auto"/>
          <w:sz w:val="44"/>
          <w:szCs w:val="44"/>
          <w:highlight w:val="none"/>
        </w:rPr>
        <w:br w:type="page"/>
      </w:r>
      <w:r>
        <w:rPr>
          <w:rFonts w:hint="eastAsia" w:ascii="微软雅黑" w:hAnsi="微软雅黑" w:eastAsia="微软雅黑" w:cs="微软雅黑"/>
          <w:bCs/>
          <w:color w:val="auto"/>
          <w:sz w:val="44"/>
          <w:szCs w:val="44"/>
          <w:highlight w:val="none"/>
        </w:rPr>
        <w:t>技术要求响应表</w:t>
      </w:r>
    </w:p>
    <w:p w14:paraId="0FBE1578">
      <w:pPr>
        <w:spacing w:line="520" w:lineRule="exact"/>
        <w:rPr>
          <w:rFonts w:ascii="仿宋_GB2312" w:hAnsi="仿宋_GB2312" w:eastAsia="仿宋_GB2312" w:cs="仿宋_GB2312"/>
          <w:color w:val="auto"/>
          <w:sz w:val="32"/>
          <w:szCs w:val="32"/>
          <w:highlight w:val="none"/>
        </w:rPr>
      </w:pPr>
    </w:p>
    <w:p w14:paraId="0A4A5E3C">
      <w:pPr>
        <w:spacing w:line="360" w:lineRule="auto"/>
        <w:rPr>
          <w:rFonts w:ascii="宋体" w:hAnsi="宋体" w:cs="仿宋_GB2312"/>
          <w:color w:val="auto"/>
          <w:sz w:val="24"/>
          <w:highlight w:val="none"/>
          <w:u w:val="single"/>
        </w:rPr>
      </w:pPr>
      <w:r>
        <w:rPr>
          <w:rFonts w:hint="eastAsia" w:ascii="宋体" w:hAnsi="宋体" w:cs="仿宋_GB2312"/>
          <w:color w:val="auto"/>
          <w:sz w:val="24"/>
          <w:highlight w:val="none"/>
        </w:rPr>
        <w:t>采购项目编号：</w:t>
      </w:r>
      <w:r>
        <w:rPr>
          <w:rFonts w:hint="eastAsia" w:ascii="宋体" w:hAnsi="宋体" w:cs="仿宋_GB2312"/>
          <w:color w:val="auto"/>
          <w:sz w:val="24"/>
          <w:highlight w:val="none"/>
          <w:u w:val="single"/>
        </w:rPr>
        <w:t xml:space="preserve">                 </w:t>
      </w:r>
    </w:p>
    <w:p w14:paraId="620DDBC4">
      <w:pPr>
        <w:spacing w:line="360" w:lineRule="auto"/>
        <w:rPr>
          <w:rFonts w:ascii="宋体" w:hAnsi="宋体" w:cs="仿宋_GB2312"/>
          <w:color w:val="auto"/>
          <w:sz w:val="24"/>
          <w:highlight w:val="none"/>
        </w:rPr>
      </w:pPr>
      <w:r>
        <w:rPr>
          <w:rFonts w:hint="eastAsia" w:ascii="宋体" w:hAnsi="宋体" w:cs="仿宋_GB2312"/>
          <w:color w:val="auto"/>
          <w:sz w:val="24"/>
          <w:highlight w:val="none"/>
        </w:rPr>
        <w:t>采购项目名称：</w:t>
      </w:r>
      <w:r>
        <w:rPr>
          <w:rFonts w:hint="eastAsia" w:ascii="宋体" w:hAnsi="宋体" w:cs="仿宋_GB2312"/>
          <w:color w:val="auto"/>
          <w:sz w:val="24"/>
          <w:highlight w:val="none"/>
          <w:u w:val="single"/>
        </w:rPr>
        <w:t xml:space="preserve">                 </w:t>
      </w:r>
    </w:p>
    <w:p w14:paraId="48B4E257">
      <w:pPr>
        <w:spacing w:line="360" w:lineRule="auto"/>
        <w:rPr>
          <w:rFonts w:ascii="宋体" w:hAnsi="宋体" w:cs="仿宋_GB2312"/>
          <w:color w:val="auto"/>
          <w:sz w:val="24"/>
          <w:highlight w:val="none"/>
          <w:u w:val="single"/>
        </w:rPr>
      </w:pPr>
      <w:r>
        <w:rPr>
          <w:rFonts w:hint="eastAsia" w:ascii="宋体" w:hAnsi="宋体" w:cs="仿宋_GB2312"/>
          <w:color w:val="auto"/>
          <w:sz w:val="24"/>
          <w:highlight w:val="none"/>
        </w:rPr>
        <w:t>所竞分标（如有）：</w:t>
      </w:r>
      <w:r>
        <w:rPr>
          <w:rFonts w:hint="eastAsia" w:ascii="宋体" w:hAnsi="宋体" w:cs="仿宋_GB2312"/>
          <w:color w:val="auto"/>
          <w:sz w:val="24"/>
          <w:highlight w:val="none"/>
          <w:u w:val="single"/>
        </w:rPr>
        <w:t xml:space="preserve">                       </w:t>
      </w:r>
    </w:p>
    <w:tbl>
      <w:tblPr>
        <w:tblStyle w:val="26"/>
        <w:tblW w:w="4997"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214"/>
        <w:gridCol w:w="1216"/>
        <w:gridCol w:w="2567"/>
        <w:gridCol w:w="2685"/>
        <w:gridCol w:w="1258"/>
      </w:tblGrid>
      <w:tr w14:paraId="1B2DF78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79" w:type="pct"/>
            <w:tcBorders>
              <w:right w:val="single" w:color="auto" w:sz="4" w:space="0"/>
            </w:tcBorders>
            <w:vAlign w:val="center"/>
          </w:tcPr>
          <w:p w14:paraId="5E5C1246">
            <w:pPr>
              <w:pStyle w:val="13"/>
              <w:spacing w:line="360" w:lineRule="auto"/>
              <w:ind w:firstLine="0" w:firstLineChars="0"/>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项号</w:t>
            </w:r>
          </w:p>
        </w:tc>
        <w:tc>
          <w:tcPr>
            <w:tcW w:w="680" w:type="pct"/>
            <w:tcBorders>
              <w:right w:val="single" w:color="auto" w:sz="4" w:space="0"/>
            </w:tcBorders>
            <w:vAlign w:val="center"/>
          </w:tcPr>
          <w:p w14:paraId="0D35EC23">
            <w:pPr>
              <w:pStyle w:val="13"/>
              <w:spacing w:line="360" w:lineRule="auto"/>
              <w:ind w:firstLine="0" w:firstLineChars="0"/>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标的名称</w:t>
            </w:r>
          </w:p>
        </w:tc>
        <w:tc>
          <w:tcPr>
            <w:tcW w:w="1435" w:type="pct"/>
            <w:tcBorders>
              <w:left w:val="single" w:color="auto" w:sz="4" w:space="0"/>
            </w:tcBorders>
            <w:vAlign w:val="center"/>
          </w:tcPr>
          <w:p w14:paraId="68B0B2FC">
            <w:pPr>
              <w:snapToGrid w:val="0"/>
              <w:spacing w:line="360" w:lineRule="atLeast"/>
              <w:jc w:val="center"/>
              <w:rPr>
                <w:rFonts w:ascii="宋体" w:hAnsi="宋体" w:cs="仿宋_GB2312"/>
                <w:color w:val="auto"/>
                <w:sz w:val="24"/>
                <w:highlight w:val="none"/>
              </w:rPr>
            </w:pPr>
            <w:r>
              <w:rPr>
                <w:rFonts w:hint="eastAsia" w:ascii="宋体" w:hAnsi="宋体" w:cs="仿宋_GB2312"/>
                <w:color w:val="auto"/>
                <w:sz w:val="24"/>
                <w:highlight w:val="none"/>
              </w:rPr>
              <w:t>谈判文件“第三章 采购需求”中的技术要求</w:t>
            </w:r>
          </w:p>
        </w:tc>
        <w:tc>
          <w:tcPr>
            <w:tcW w:w="1501" w:type="pct"/>
            <w:vAlign w:val="center"/>
          </w:tcPr>
          <w:p w14:paraId="5DCF5732">
            <w:pPr>
              <w:snapToGrid w:val="0"/>
              <w:spacing w:line="360" w:lineRule="atLeast"/>
              <w:jc w:val="center"/>
              <w:rPr>
                <w:rFonts w:ascii="宋体" w:hAnsi="宋体" w:cs="仿宋_GB2312"/>
                <w:color w:val="auto"/>
                <w:sz w:val="24"/>
                <w:highlight w:val="none"/>
              </w:rPr>
            </w:pPr>
            <w:r>
              <w:rPr>
                <w:rFonts w:hint="eastAsia" w:ascii="宋体" w:hAnsi="宋体" w:cs="仿宋_GB2312"/>
                <w:color w:val="auto"/>
                <w:sz w:val="24"/>
                <w:highlight w:val="none"/>
              </w:rPr>
              <w:t>供应商对照谈判文件“第三章 采购需求”中的技术要求详细的响应承诺</w:t>
            </w:r>
          </w:p>
        </w:tc>
        <w:tc>
          <w:tcPr>
            <w:tcW w:w="703" w:type="pct"/>
            <w:vAlign w:val="center"/>
          </w:tcPr>
          <w:p w14:paraId="7650F759">
            <w:pPr>
              <w:pStyle w:val="13"/>
              <w:spacing w:line="360" w:lineRule="auto"/>
              <w:ind w:firstLine="0" w:firstLineChars="0"/>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偏离说明</w:t>
            </w:r>
          </w:p>
        </w:tc>
      </w:tr>
      <w:tr w14:paraId="22E502E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49" w:hRule="atLeast"/>
          <w:jc w:val="center"/>
        </w:trPr>
        <w:tc>
          <w:tcPr>
            <w:tcW w:w="679" w:type="pct"/>
            <w:tcBorders>
              <w:right w:val="single" w:color="auto" w:sz="4" w:space="0"/>
            </w:tcBorders>
            <w:vAlign w:val="center"/>
          </w:tcPr>
          <w:p w14:paraId="4D7E1351">
            <w:pPr>
              <w:pStyle w:val="13"/>
              <w:spacing w:line="360" w:lineRule="auto"/>
              <w:ind w:firstLine="0" w:firstLineChars="0"/>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1</w:t>
            </w:r>
          </w:p>
        </w:tc>
        <w:tc>
          <w:tcPr>
            <w:tcW w:w="680" w:type="pct"/>
            <w:tcBorders>
              <w:right w:val="single" w:color="auto" w:sz="4" w:space="0"/>
            </w:tcBorders>
            <w:vAlign w:val="center"/>
          </w:tcPr>
          <w:p w14:paraId="78B7EE61">
            <w:pPr>
              <w:pStyle w:val="13"/>
              <w:spacing w:line="360" w:lineRule="auto"/>
              <w:ind w:firstLine="0" w:firstLineChars="0"/>
              <w:jc w:val="center"/>
              <w:rPr>
                <w:rFonts w:ascii="宋体" w:hAnsi="宋体" w:eastAsia="宋体" w:cs="仿宋_GB2312"/>
                <w:color w:val="auto"/>
                <w:kern w:val="2"/>
                <w:sz w:val="24"/>
                <w:szCs w:val="24"/>
                <w:highlight w:val="none"/>
              </w:rPr>
            </w:pPr>
          </w:p>
        </w:tc>
        <w:tc>
          <w:tcPr>
            <w:tcW w:w="1435" w:type="pct"/>
            <w:tcBorders>
              <w:left w:val="single" w:color="auto" w:sz="4" w:space="0"/>
            </w:tcBorders>
            <w:vAlign w:val="center"/>
          </w:tcPr>
          <w:p w14:paraId="4340E4EB">
            <w:pPr>
              <w:pStyle w:val="13"/>
              <w:spacing w:line="360" w:lineRule="auto"/>
              <w:ind w:firstLine="0" w:firstLineChars="0"/>
              <w:jc w:val="center"/>
              <w:rPr>
                <w:rFonts w:ascii="宋体" w:hAnsi="宋体" w:eastAsia="宋体" w:cs="仿宋_GB2312"/>
                <w:color w:val="auto"/>
                <w:kern w:val="2"/>
                <w:sz w:val="24"/>
                <w:szCs w:val="24"/>
                <w:highlight w:val="none"/>
              </w:rPr>
            </w:pPr>
          </w:p>
        </w:tc>
        <w:tc>
          <w:tcPr>
            <w:tcW w:w="1501" w:type="pct"/>
            <w:vAlign w:val="center"/>
          </w:tcPr>
          <w:p w14:paraId="2B9AD195">
            <w:pPr>
              <w:pStyle w:val="13"/>
              <w:spacing w:line="360" w:lineRule="auto"/>
              <w:ind w:firstLine="0" w:firstLineChars="0"/>
              <w:jc w:val="center"/>
              <w:rPr>
                <w:rFonts w:ascii="宋体" w:hAnsi="宋体" w:eastAsia="宋体" w:cs="仿宋_GB2312"/>
                <w:color w:val="auto"/>
                <w:kern w:val="2"/>
                <w:sz w:val="24"/>
                <w:szCs w:val="24"/>
                <w:highlight w:val="none"/>
              </w:rPr>
            </w:pPr>
          </w:p>
        </w:tc>
        <w:tc>
          <w:tcPr>
            <w:tcW w:w="703" w:type="pct"/>
            <w:vAlign w:val="center"/>
          </w:tcPr>
          <w:p w14:paraId="6D66FC2C">
            <w:pPr>
              <w:pStyle w:val="13"/>
              <w:spacing w:line="360" w:lineRule="auto"/>
              <w:ind w:firstLine="0" w:firstLineChars="0"/>
              <w:jc w:val="center"/>
              <w:rPr>
                <w:rFonts w:ascii="宋体" w:hAnsi="宋体" w:eastAsia="宋体" w:cs="仿宋_GB2312"/>
                <w:color w:val="auto"/>
                <w:kern w:val="2"/>
                <w:sz w:val="24"/>
                <w:szCs w:val="24"/>
                <w:highlight w:val="none"/>
              </w:rPr>
            </w:pPr>
          </w:p>
        </w:tc>
      </w:tr>
      <w:tr w14:paraId="1EF38F5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37" w:hRule="atLeast"/>
          <w:jc w:val="center"/>
        </w:trPr>
        <w:tc>
          <w:tcPr>
            <w:tcW w:w="679" w:type="pct"/>
            <w:tcBorders>
              <w:right w:val="single" w:color="auto" w:sz="4" w:space="0"/>
            </w:tcBorders>
            <w:vAlign w:val="center"/>
          </w:tcPr>
          <w:p w14:paraId="46ADD09B">
            <w:pPr>
              <w:pStyle w:val="13"/>
              <w:spacing w:line="360" w:lineRule="auto"/>
              <w:ind w:firstLine="0" w:firstLineChars="0"/>
              <w:jc w:val="center"/>
              <w:rPr>
                <w:rFonts w:ascii="宋体" w:hAnsi="宋体" w:eastAsia="宋体" w:cs="仿宋_GB2312"/>
                <w:color w:val="auto"/>
                <w:kern w:val="2"/>
                <w:sz w:val="24"/>
                <w:szCs w:val="24"/>
                <w:highlight w:val="none"/>
              </w:rPr>
            </w:pPr>
            <w:r>
              <w:rPr>
                <w:rFonts w:hint="eastAsia" w:ascii="宋体" w:hAnsi="宋体" w:eastAsia="宋体" w:cs="仿宋_GB2312"/>
                <w:color w:val="auto"/>
                <w:kern w:val="2"/>
                <w:sz w:val="24"/>
                <w:szCs w:val="24"/>
                <w:highlight w:val="none"/>
              </w:rPr>
              <w:t>2</w:t>
            </w:r>
          </w:p>
        </w:tc>
        <w:tc>
          <w:tcPr>
            <w:tcW w:w="680" w:type="pct"/>
            <w:tcBorders>
              <w:right w:val="single" w:color="auto" w:sz="4" w:space="0"/>
            </w:tcBorders>
            <w:vAlign w:val="center"/>
          </w:tcPr>
          <w:p w14:paraId="15289EFB">
            <w:pPr>
              <w:pStyle w:val="13"/>
              <w:spacing w:line="360" w:lineRule="auto"/>
              <w:ind w:firstLine="0" w:firstLineChars="0"/>
              <w:jc w:val="center"/>
              <w:rPr>
                <w:rFonts w:ascii="宋体" w:hAnsi="宋体" w:eastAsia="宋体" w:cs="仿宋_GB2312"/>
                <w:color w:val="auto"/>
                <w:kern w:val="2"/>
                <w:sz w:val="24"/>
                <w:szCs w:val="24"/>
                <w:highlight w:val="none"/>
              </w:rPr>
            </w:pPr>
          </w:p>
        </w:tc>
        <w:tc>
          <w:tcPr>
            <w:tcW w:w="1435" w:type="pct"/>
            <w:tcBorders>
              <w:left w:val="single" w:color="auto" w:sz="4" w:space="0"/>
            </w:tcBorders>
            <w:vAlign w:val="center"/>
          </w:tcPr>
          <w:p w14:paraId="5267C066">
            <w:pPr>
              <w:pStyle w:val="13"/>
              <w:spacing w:line="360" w:lineRule="auto"/>
              <w:ind w:firstLine="0" w:firstLineChars="0"/>
              <w:jc w:val="center"/>
              <w:rPr>
                <w:rFonts w:ascii="宋体" w:hAnsi="宋体" w:eastAsia="宋体" w:cs="仿宋_GB2312"/>
                <w:color w:val="auto"/>
                <w:kern w:val="2"/>
                <w:sz w:val="24"/>
                <w:szCs w:val="24"/>
                <w:highlight w:val="none"/>
              </w:rPr>
            </w:pPr>
          </w:p>
        </w:tc>
        <w:tc>
          <w:tcPr>
            <w:tcW w:w="1501" w:type="pct"/>
            <w:vAlign w:val="center"/>
          </w:tcPr>
          <w:p w14:paraId="714CF240">
            <w:pPr>
              <w:pStyle w:val="13"/>
              <w:spacing w:line="360" w:lineRule="auto"/>
              <w:ind w:firstLine="0" w:firstLineChars="0"/>
              <w:jc w:val="center"/>
              <w:rPr>
                <w:rFonts w:ascii="宋体" w:hAnsi="宋体" w:eastAsia="宋体" w:cs="仿宋_GB2312"/>
                <w:color w:val="auto"/>
                <w:kern w:val="2"/>
                <w:sz w:val="24"/>
                <w:szCs w:val="24"/>
                <w:highlight w:val="none"/>
              </w:rPr>
            </w:pPr>
          </w:p>
        </w:tc>
        <w:tc>
          <w:tcPr>
            <w:tcW w:w="703" w:type="pct"/>
            <w:vAlign w:val="center"/>
          </w:tcPr>
          <w:p w14:paraId="2FF6825A">
            <w:pPr>
              <w:pStyle w:val="13"/>
              <w:spacing w:line="360" w:lineRule="auto"/>
              <w:ind w:firstLine="0" w:firstLineChars="0"/>
              <w:jc w:val="center"/>
              <w:rPr>
                <w:rFonts w:ascii="宋体" w:hAnsi="宋体" w:eastAsia="宋体" w:cs="仿宋_GB2312"/>
                <w:color w:val="auto"/>
                <w:kern w:val="2"/>
                <w:sz w:val="24"/>
                <w:szCs w:val="24"/>
                <w:highlight w:val="none"/>
              </w:rPr>
            </w:pPr>
          </w:p>
        </w:tc>
      </w:tr>
      <w:tr w14:paraId="4824F15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37" w:hRule="atLeast"/>
          <w:jc w:val="center"/>
        </w:trPr>
        <w:tc>
          <w:tcPr>
            <w:tcW w:w="679" w:type="pct"/>
            <w:tcBorders>
              <w:right w:val="single" w:color="auto" w:sz="4" w:space="0"/>
            </w:tcBorders>
            <w:vAlign w:val="center"/>
          </w:tcPr>
          <w:p w14:paraId="00CEAB84">
            <w:pPr>
              <w:pStyle w:val="13"/>
              <w:spacing w:line="360" w:lineRule="auto"/>
              <w:ind w:firstLine="0" w:firstLineChars="0"/>
              <w:jc w:val="center"/>
              <w:rPr>
                <w:rFonts w:ascii="宋体" w:hAnsi="宋体" w:eastAsia="宋体" w:cs="仿宋_GB2312"/>
                <w:color w:val="auto"/>
                <w:kern w:val="2"/>
                <w:sz w:val="24"/>
                <w:szCs w:val="24"/>
                <w:highlight w:val="none"/>
              </w:rPr>
            </w:pPr>
            <w:r>
              <w:rPr>
                <w:rFonts w:hint="eastAsia" w:ascii="宋体" w:hAnsi="宋体" w:cs="仿宋_GB2312"/>
                <w:color w:val="auto"/>
                <w:sz w:val="24"/>
                <w:highlight w:val="none"/>
              </w:rPr>
              <w:t>...</w:t>
            </w:r>
          </w:p>
        </w:tc>
        <w:tc>
          <w:tcPr>
            <w:tcW w:w="680" w:type="pct"/>
            <w:tcBorders>
              <w:right w:val="single" w:color="auto" w:sz="4" w:space="0"/>
            </w:tcBorders>
            <w:vAlign w:val="center"/>
          </w:tcPr>
          <w:p w14:paraId="13968F31">
            <w:pPr>
              <w:pStyle w:val="13"/>
              <w:spacing w:line="360" w:lineRule="auto"/>
              <w:ind w:firstLine="0" w:firstLineChars="0"/>
              <w:jc w:val="center"/>
              <w:rPr>
                <w:rFonts w:ascii="宋体" w:hAnsi="宋体" w:eastAsia="宋体" w:cs="仿宋_GB2312"/>
                <w:color w:val="auto"/>
                <w:kern w:val="2"/>
                <w:sz w:val="24"/>
                <w:szCs w:val="24"/>
                <w:highlight w:val="none"/>
              </w:rPr>
            </w:pPr>
          </w:p>
        </w:tc>
        <w:tc>
          <w:tcPr>
            <w:tcW w:w="1435" w:type="pct"/>
            <w:tcBorders>
              <w:left w:val="single" w:color="auto" w:sz="4" w:space="0"/>
            </w:tcBorders>
            <w:vAlign w:val="center"/>
          </w:tcPr>
          <w:p w14:paraId="12001309">
            <w:pPr>
              <w:pStyle w:val="13"/>
              <w:spacing w:line="360" w:lineRule="auto"/>
              <w:ind w:firstLine="0" w:firstLineChars="0"/>
              <w:jc w:val="center"/>
              <w:rPr>
                <w:rFonts w:ascii="宋体" w:hAnsi="宋体" w:eastAsia="宋体" w:cs="仿宋_GB2312"/>
                <w:color w:val="auto"/>
                <w:kern w:val="2"/>
                <w:sz w:val="24"/>
                <w:szCs w:val="24"/>
                <w:highlight w:val="none"/>
              </w:rPr>
            </w:pPr>
          </w:p>
        </w:tc>
        <w:tc>
          <w:tcPr>
            <w:tcW w:w="1501" w:type="pct"/>
            <w:vAlign w:val="center"/>
          </w:tcPr>
          <w:p w14:paraId="27E70325">
            <w:pPr>
              <w:pStyle w:val="13"/>
              <w:spacing w:line="360" w:lineRule="auto"/>
              <w:ind w:firstLine="0" w:firstLineChars="0"/>
              <w:jc w:val="center"/>
              <w:rPr>
                <w:rFonts w:ascii="宋体" w:hAnsi="宋体" w:eastAsia="宋体" w:cs="仿宋_GB2312"/>
                <w:color w:val="auto"/>
                <w:kern w:val="2"/>
                <w:sz w:val="24"/>
                <w:szCs w:val="24"/>
                <w:highlight w:val="none"/>
              </w:rPr>
            </w:pPr>
          </w:p>
        </w:tc>
        <w:tc>
          <w:tcPr>
            <w:tcW w:w="703" w:type="pct"/>
            <w:vAlign w:val="center"/>
          </w:tcPr>
          <w:p w14:paraId="64706D7B">
            <w:pPr>
              <w:pStyle w:val="13"/>
              <w:spacing w:line="360" w:lineRule="auto"/>
              <w:ind w:firstLine="0" w:firstLineChars="0"/>
              <w:jc w:val="center"/>
              <w:rPr>
                <w:rFonts w:ascii="宋体" w:hAnsi="宋体" w:eastAsia="宋体" w:cs="仿宋_GB2312"/>
                <w:color w:val="auto"/>
                <w:kern w:val="2"/>
                <w:sz w:val="24"/>
                <w:szCs w:val="24"/>
                <w:highlight w:val="none"/>
              </w:rPr>
            </w:pPr>
          </w:p>
        </w:tc>
      </w:tr>
    </w:tbl>
    <w:p w14:paraId="4C4C9809">
      <w:pPr>
        <w:pStyle w:val="13"/>
        <w:spacing w:line="360" w:lineRule="auto"/>
        <w:ind w:firstLine="0" w:firstLineChars="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注：</w:t>
      </w:r>
    </w:p>
    <w:p w14:paraId="317178E6">
      <w:pPr>
        <w:pStyle w:val="13"/>
        <w:spacing w:line="360" w:lineRule="auto"/>
        <w:ind w:firstLine="0" w:firstLineChars="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1说明：供应商应对照谈判文件“第三章 采购需求”中的技术要求逐条实质性响应，并作出偏离说明。</w:t>
      </w:r>
    </w:p>
    <w:p w14:paraId="6937CB0C">
      <w:pPr>
        <w:pStyle w:val="13"/>
        <w:spacing w:line="360" w:lineRule="auto"/>
        <w:ind w:firstLine="0" w:firstLineChars="0"/>
        <w:contextualSpacing/>
        <w:rPr>
          <w:rFonts w:ascii="宋体" w:hAnsi="宋体" w:eastAsia="宋体" w:cs="仿宋_GB2312"/>
          <w:color w:val="auto"/>
          <w:sz w:val="24"/>
          <w:szCs w:val="24"/>
          <w:highlight w:val="none"/>
        </w:rPr>
      </w:pPr>
      <w:r>
        <w:rPr>
          <w:rFonts w:hint="eastAsia" w:ascii="宋体" w:hAnsi="宋体" w:eastAsia="宋体" w:cs="仿宋_GB2312"/>
          <w:color w:val="auto"/>
          <w:sz w:val="24"/>
          <w:szCs w:val="24"/>
          <w:highlight w:val="none"/>
        </w:rPr>
        <w:t>2.供应商应根据所竞设备的性能指标，对照谈判文件要求，在“偏离说明”中注明“正偏离”、“负偏离”或者“无偏离”。既不属于“正偏离”也不属于“负偏离”即为“无偏离”。</w:t>
      </w:r>
    </w:p>
    <w:p w14:paraId="1C756DBE">
      <w:pPr>
        <w:pStyle w:val="13"/>
        <w:spacing w:line="360" w:lineRule="auto"/>
        <w:ind w:firstLine="0" w:firstLineChars="0"/>
        <w:contextualSpacing/>
        <w:rPr>
          <w:rFonts w:ascii="宋体" w:hAnsi="宋体" w:eastAsia="宋体"/>
          <w:color w:val="auto"/>
          <w:sz w:val="24"/>
          <w:szCs w:val="24"/>
          <w:highlight w:val="none"/>
        </w:rPr>
      </w:pPr>
      <w:r>
        <w:rPr>
          <w:rFonts w:hint="eastAsia" w:ascii="宋体" w:hAnsi="宋体" w:eastAsia="宋体"/>
          <w:color w:val="auto"/>
          <w:sz w:val="24"/>
          <w:szCs w:val="24"/>
          <w:highlight w:val="none"/>
        </w:rPr>
        <w:t>3.供应商认为其竞标响应有正偏离的，请在技术要求响应表中列明，于响应文件中提供竞标产品的彩页或</w:t>
      </w:r>
      <w:r>
        <w:rPr>
          <w:rFonts w:ascii="宋体" w:hAnsi="宋体" w:eastAsia="宋体"/>
          <w:color w:val="auto"/>
          <w:sz w:val="24"/>
          <w:szCs w:val="24"/>
          <w:highlight w:val="none"/>
        </w:rPr>
        <w:t>国家认可有资质的第三方检测机构出具的检测报告复印件</w:t>
      </w:r>
      <w:r>
        <w:rPr>
          <w:rFonts w:hint="eastAsia" w:ascii="宋体" w:hAnsi="宋体" w:eastAsia="宋体"/>
          <w:color w:val="auto"/>
          <w:sz w:val="24"/>
          <w:szCs w:val="24"/>
          <w:highlight w:val="none"/>
        </w:rPr>
        <w:t>或产品生产厂家出具的技术参数说明证明作为佐证。</w:t>
      </w:r>
    </w:p>
    <w:p w14:paraId="5FFFD874">
      <w:pPr>
        <w:pStyle w:val="13"/>
        <w:spacing w:line="360" w:lineRule="auto"/>
        <w:ind w:firstLine="0" w:firstLineChars="0"/>
        <w:contextualSpacing/>
        <w:rPr>
          <w:rFonts w:ascii="宋体" w:hAnsi="宋体" w:eastAsia="宋体"/>
          <w:color w:val="auto"/>
          <w:sz w:val="24"/>
          <w:szCs w:val="24"/>
          <w:highlight w:val="none"/>
        </w:rPr>
      </w:pPr>
      <w:r>
        <w:rPr>
          <w:rFonts w:hint="eastAsia" w:ascii="宋体" w:hAnsi="宋体" w:eastAsia="宋体"/>
          <w:color w:val="auto"/>
          <w:sz w:val="24"/>
          <w:szCs w:val="24"/>
          <w:highlight w:val="none"/>
        </w:rPr>
        <w:t>4</w:t>
      </w:r>
      <w:r>
        <w:rPr>
          <w:rFonts w:ascii="宋体" w:hAnsi="宋体" w:eastAsia="宋体"/>
          <w:color w:val="auto"/>
          <w:sz w:val="24"/>
          <w:szCs w:val="24"/>
          <w:highlight w:val="none"/>
        </w:rPr>
        <w:t>.</w:t>
      </w:r>
      <w:r>
        <w:rPr>
          <w:rFonts w:hint="eastAsia" w:ascii="宋体" w:hAnsi="宋体" w:eastAsia="宋体"/>
          <w:color w:val="auto"/>
          <w:sz w:val="24"/>
          <w:szCs w:val="24"/>
          <w:highlight w:val="none"/>
        </w:rPr>
        <w:t>如技术要求响应表中的竞标响应与佐证材料不一致的，以佐证材料为准。</w:t>
      </w:r>
    </w:p>
    <w:p w14:paraId="751FD073">
      <w:pPr>
        <w:pStyle w:val="13"/>
        <w:spacing w:line="360" w:lineRule="auto"/>
        <w:ind w:firstLine="0" w:firstLineChars="0"/>
        <w:contextualSpacing/>
        <w:rPr>
          <w:rFonts w:ascii="宋体" w:hAnsi="宋体" w:eastAsia="宋体" w:cs="仿宋_GB2312"/>
          <w:color w:val="auto"/>
          <w:sz w:val="24"/>
          <w:szCs w:val="24"/>
          <w:highlight w:val="none"/>
        </w:rPr>
      </w:pPr>
    </w:p>
    <w:p w14:paraId="608CC4B6">
      <w:pPr>
        <w:spacing w:line="360" w:lineRule="auto"/>
        <w:ind w:right="-817" w:rightChars="-389"/>
        <w:contextualSpacing/>
        <w:rPr>
          <w:rFonts w:ascii="宋体" w:hAnsi="宋体" w:cs="仿宋_GB2312"/>
          <w:color w:val="auto"/>
          <w:sz w:val="24"/>
          <w:highlight w:val="none"/>
        </w:rPr>
      </w:pPr>
    </w:p>
    <w:p w14:paraId="13635A8E">
      <w:pPr>
        <w:spacing w:line="360" w:lineRule="auto"/>
        <w:ind w:right="-817" w:rightChars="-389"/>
        <w:contextualSpacing/>
        <w:jc w:val="center"/>
        <w:rPr>
          <w:rFonts w:ascii="宋体" w:hAnsi="宋体" w:cs="仿宋_GB2312"/>
          <w:color w:val="auto"/>
          <w:sz w:val="24"/>
          <w:highlight w:val="none"/>
        </w:rPr>
      </w:pPr>
      <w:r>
        <w:rPr>
          <w:rFonts w:hint="eastAsia" w:ascii="宋体" w:hAnsi="宋体" w:cs="仿宋_GB2312"/>
          <w:color w:val="auto"/>
          <w:sz w:val="24"/>
          <w:highlight w:val="none"/>
        </w:rPr>
        <w:t>法定代表人或者委托代理人（签字或者电子签名）：</w:t>
      </w:r>
    </w:p>
    <w:p w14:paraId="6595A44B">
      <w:pPr>
        <w:spacing w:line="360" w:lineRule="auto"/>
        <w:ind w:right="-817" w:rightChars="-389" w:firstLine="2880" w:firstLineChars="1200"/>
        <w:contextualSpacing/>
        <w:rPr>
          <w:rFonts w:ascii="宋体" w:hAnsi="宋体" w:cs="仿宋_GB2312"/>
          <w:color w:val="auto"/>
          <w:sz w:val="24"/>
          <w:highlight w:val="none"/>
        </w:rPr>
      </w:pPr>
      <w:r>
        <w:rPr>
          <w:rFonts w:hint="eastAsia" w:ascii="宋体" w:hAnsi="宋体" w:cs="仿宋_GB2312"/>
          <w:color w:val="auto"/>
          <w:sz w:val="24"/>
          <w:highlight w:val="none"/>
        </w:rPr>
        <w:t xml:space="preserve">供应商名称（电子签章）：      </w:t>
      </w:r>
    </w:p>
    <w:p w14:paraId="38CCBF9E">
      <w:pPr>
        <w:spacing w:line="360" w:lineRule="auto"/>
        <w:ind w:right="-817" w:rightChars="-389" w:firstLine="2880" w:firstLineChars="1200"/>
        <w:contextualSpacing/>
        <w:rPr>
          <w:rFonts w:ascii="宋体" w:hAnsi="宋体" w:cs="仿宋_GB2312"/>
          <w:color w:val="auto"/>
          <w:sz w:val="24"/>
          <w:highlight w:val="none"/>
        </w:rPr>
      </w:pPr>
      <w:r>
        <w:rPr>
          <w:rFonts w:hint="eastAsia" w:ascii="宋体" w:hAnsi="宋体" w:cs="仿宋_GB2312"/>
          <w:color w:val="auto"/>
          <w:sz w:val="24"/>
          <w:highlight w:val="none"/>
        </w:rPr>
        <w:t>日期：   年   月   日</w:t>
      </w:r>
    </w:p>
    <w:p w14:paraId="21DFD93B">
      <w:pPr>
        <w:adjustRightInd w:val="0"/>
        <w:snapToGrid w:val="0"/>
        <w:spacing w:line="520" w:lineRule="exact"/>
        <w:jc w:val="center"/>
        <w:rPr>
          <w:rFonts w:ascii="微软雅黑" w:hAnsi="微软雅黑" w:eastAsia="微软雅黑" w:cs="微软雅黑"/>
          <w:bCs/>
          <w:color w:val="auto"/>
          <w:sz w:val="44"/>
          <w:szCs w:val="44"/>
          <w:highlight w:val="none"/>
        </w:rPr>
      </w:pPr>
      <w:r>
        <w:rPr>
          <w:rFonts w:ascii="宋体" w:hAnsi="宋体" w:cs="仿宋_GB2312"/>
          <w:color w:val="auto"/>
          <w:sz w:val="24"/>
          <w:highlight w:val="none"/>
        </w:rPr>
        <w:br w:type="page"/>
      </w:r>
      <w:r>
        <w:rPr>
          <w:rFonts w:hint="eastAsia" w:ascii="微软雅黑" w:hAnsi="微软雅黑" w:eastAsia="微软雅黑" w:cs="微软雅黑"/>
          <w:bCs/>
          <w:color w:val="auto"/>
          <w:sz w:val="44"/>
          <w:szCs w:val="44"/>
          <w:highlight w:val="none"/>
        </w:rPr>
        <w:t>响应材料真实性承诺函</w:t>
      </w:r>
    </w:p>
    <w:p w14:paraId="239D7531">
      <w:pPr>
        <w:adjustRightInd w:val="0"/>
        <w:snapToGrid w:val="0"/>
        <w:spacing w:line="520" w:lineRule="exact"/>
        <w:jc w:val="center"/>
        <w:rPr>
          <w:rFonts w:ascii="微软雅黑" w:hAnsi="微软雅黑" w:eastAsia="微软雅黑" w:cs="微软雅黑"/>
          <w:bCs/>
          <w:color w:val="auto"/>
          <w:sz w:val="24"/>
          <w:highlight w:val="none"/>
        </w:rPr>
      </w:pPr>
    </w:p>
    <w:p w14:paraId="6AA59A96">
      <w:pPr>
        <w:snapToGrid w:val="0"/>
        <w:spacing w:before="120" w:beforeLines="50" w:after="50" w:line="500" w:lineRule="exact"/>
        <w:jc w:val="left"/>
        <w:rPr>
          <w:rFonts w:ascii="宋体" w:hAnsi="宋体" w:cs="仿宋_GB2312"/>
          <w:color w:val="auto"/>
          <w:sz w:val="24"/>
          <w:highlight w:val="none"/>
        </w:rPr>
      </w:pPr>
      <w:r>
        <w:rPr>
          <w:rFonts w:hint="eastAsia" w:ascii="宋体" w:hAnsi="宋体" w:cs="仿宋_GB2312"/>
          <w:color w:val="auto"/>
          <w:sz w:val="24"/>
          <w:highlight w:val="none"/>
        </w:rPr>
        <w:t>致：桂林理工大学：</w:t>
      </w:r>
    </w:p>
    <w:p w14:paraId="6E2858C3">
      <w:pPr>
        <w:snapToGrid w:val="0"/>
        <w:spacing w:before="120" w:beforeLines="50" w:after="50" w:line="500" w:lineRule="exact"/>
        <w:ind w:firstLine="480" w:firstLineChars="200"/>
        <w:jc w:val="left"/>
        <w:rPr>
          <w:rFonts w:ascii="宋体" w:hAnsi="宋体" w:cs="仿宋_GB2312"/>
          <w:color w:val="auto"/>
          <w:sz w:val="24"/>
          <w:szCs w:val="21"/>
          <w:highlight w:val="none"/>
        </w:rPr>
      </w:pPr>
      <w:r>
        <w:rPr>
          <w:rFonts w:hint="eastAsia" w:ascii="宋体" w:hAnsi="宋体" w:cs="仿宋_GB2312"/>
          <w:color w:val="auto"/>
          <w:sz w:val="24"/>
          <w:highlight w:val="none"/>
        </w:rPr>
        <w:t>我</w:t>
      </w:r>
      <w:r>
        <w:rPr>
          <w:rFonts w:ascii="宋体" w:hAnsi="宋体" w:cs="仿宋_GB2312"/>
          <w:color w:val="auto"/>
          <w:sz w:val="24"/>
          <w:highlight w:val="none"/>
        </w:rPr>
        <w:t>公司参与</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采购</w:t>
      </w:r>
      <w:r>
        <w:rPr>
          <w:rFonts w:hint="eastAsia" w:ascii="宋体" w:hAnsi="宋体" w:cs="仿宋_GB2312"/>
          <w:color w:val="auto"/>
          <w:sz w:val="24"/>
          <w:szCs w:val="21"/>
          <w:highlight w:val="none"/>
        </w:rPr>
        <w:t>（</w:t>
      </w:r>
      <w:r>
        <w:rPr>
          <w:rFonts w:hint="eastAsia" w:ascii="宋体" w:hAnsi="宋体" w:cs="仿宋_GB2312"/>
          <w:color w:val="auto"/>
          <w:sz w:val="24"/>
          <w:highlight w:val="none"/>
        </w:rPr>
        <w:t>项目编号：</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r>
        <w:rPr>
          <w:rFonts w:hint="eastAsia" w:ascii="宋体" w:hAnsi="宋体" w:cs="仿宋_GB2312"/>
          <w:color w:val="auto"/>
          <w:sz w:val="24"/>
          <w:szCs w:val="21"/>
          <w:highlight w:val="none"/>
        </w:rPr>
        <w:t>项目</w:t>
      </w:r>
      <w:r>
        <w:rPr>
          <w:rFonts w:ascii="宋体" w:hAnsi="宋体" w:cs="仿宋_GB2312"/>
          <w:color w:val="auto"/>
          <w:sz w:val="24"/>
          <w:szCs w:val="21"/>
          <w:highlight w:val="none"/>
        </w:rPr>
        <w:t>的竞标，</w:t>
      </w:r>
      <w:r>
        <w:rPr>
          <w:rFonts w:hint="eastAsia" w:ascii="宋体" w:hAnsi="宋体" w:cs="仿宋_GB2312"/>
          <w:color w:val="auto"/>
          <w:sz w:val="24"/>
          <w:szCs w:val="21"/>
          <w:highlight w:val="none"/>
        </w:rPr>
        <w:t>在此</w:t>
      </w:r>
      <w:r>
        <w:rPr>
          <w:rFonts w:ascii="宋体" w:hAnsi="宋体" w:cs="仿宋_GB2312"/>
          <w:color w:val="auto"/>
          <w:sz w:val="24"/>
          <w:szCs w:val="21"/>
          <w:highlight w:val="none"/>
        </w:rPr>
        <w:t>郑重承诺</w:t>
      </w:r>
      <w:r>
        <w:rPr>
          <w:rFonts w:hint="eastAsia" w:ascii="宋体" w:hAnsi="宋体" w:cs="仿宋_GB2312"/>
          <w:color w:val="auto"/>
          <w:sz w:val="24"/>
          <w:szCs w:val="21"/>
          <w:highlight w:val="none"/>
        </w:rPr>
        <w:t>：我</w:t>
      </w:r>
      <w:r>
        <w:rPr>
          <w:rFonts w:ascii="宋体" w:hAnsi="宋体" w:cs="仿宋_GB2312"/>
          <w:color w:val="auto"/>
          <w:sz w:val="24"/>
          <w:szCs w:val="21"/>
          <w:highlight w:val="none"/>
        </w:rPr>
        <w:t>公司</w:t>
      </w:r>
      <w:r>
        <w:rPr>
          <w:rFonts w:hint="eastAsia" w:ascii="宋体" w:hAnsi="宋体" w:cs="仿宋_GB2312"/>
          <w:color w:val="auto"/>
          <w:sz w:val="24"/>
          <w:szCs w:val="21"/>
          <w:highlight w:val="none"/>
        </w:rPr>
        <w:t>对</w:t>
      </w:r>
      <w:r>
        <w:rPr>
          <w:rFonts w:ascii="宋体" w:hAnsi="宋体" w:cs="仿宋_GB2312"/>
          <w:color w:val="auto"/>
          <w:sz w:val="24"/>
          <w:szCs w:val="21"/>
          <w:highlight w:val="none"/>
        </w:rPr>
        <w:t>响应文件中</w:t>
      </w:r>
      <w:r>
        <w:rPr>
          <w:rFonts w:hint="eastAsia" w:ascii="宋体" w:hAnsi="宋体" w:cs="仿宋_GB2312"/>
          <w:color w:val="auto"/>
          <w:sz w:val="24"/>
          <w:szCs w:val="21"/>
          <w:highlight w:val="none"/>
        </w:rPr>
        <w:t>提供的证明材料真实性承担对应责任，如提供虚假材料，我公司无条件承担其相应的后果。</w:t>
      </w:r>
    </w:p>
    <w:p w14:paraId="1CE21CBD">
      <w:pPr>
        <w:snapToGrid w:val="0"/>
        <w:spacing w:before="120" w:beforeLines="50" w:after="50" w:line="500" w:lineRule="exact"/>
        <w:ind w:firstLine="480" w:firstLineChars="200"/>
        <w:jc w:val="left"/>
        <w:rPr>
          <w:rFonts w:ascii="宋体" w:hAnsi="宋体" w:cs="仿宋_GB2312"/>
          <w:color w:val="auto"/>
          <w:sz w:val="24"/>
          <w:szCs w:val="21"/>
          <w:highlight w:val="none"/>
        </w:rPr>
      </w:pPr>
      <w:r>
        <w:rPr>
          <w:rFonts w:hint="eastAsia" w:ascii="宋体" w:hAnsi="宋体" w:cs="仿宋_GB2312"/>
          <w:color w:val="auto"/>
          <w:sz w:val="24"/>
          <w:szCs w:val="21"/>
          <w:highlight w:val="none"/>
        </w:rPr>
        <w:t>特此承诺</w:t>
      </w:r>
    </w:p>
    <w:p w14:paraId="297547B8">
      <w:pPr>
        <w:snapToGrid w:val="0"/>
        <w:spacing w:before="120" w:beforeLines="50" w:after="50" w:line="500" w:lineRule="exact"/>
        <w:ind w:firstLine="480" w:firstLineChars="200"/>
        <w:jc w:val="left"/>
        <w:rPr>
          <w:rFonts w:ascii="宋体" w:hAnsi="宋体" w:cs="仿宋_GB2312"/>
          <w:color w:val="auto"/>
          <w:sz w:val="24"/>
          <w:szCs w:val="21"/>
          <w:highlight w:val="none"/>
        </w:rPr>
      </w:pPr>
    </w:p>
    <w:p w14:paraId="134D1525">
      <w:pPr>
        <w:spacing w:line="360" w:lineRule="auto"/>
        <w:ind w:right="-817" w:rightChars="-389"/>
        <w:contextualSpacing/>
        <w:jc w:val="center"/>
        <w:rPr>
          <w:rFonts w:ascii="宋体" w:hAnsi="宋体" w:cs="仿宋_GB2312"/>
          <w:color w:val="auto"/>
          <w:sz w:val="24"/>
          <w:highlight w:val="none"/>
        </w:rPr>
      </w:pPr>
      <w:r>
        <w:rPr>
          <w:rFonts w:hint="eastAsia" w:ascii="宋体" w:hAnsi="宋体" w:cs="仿宋_GB2312"/>
          <w:color w:val="auto"/>
          <w:sz w:val="24"/>
          <w:highlight w:val="none"/>
        </w:rPr>
        <w:t xml:space="preserve">             法定代表人或者委托代理人（签字或者电子签名）：</w:t>
      </w:r>
    </w:p>
    <w:p w14:paraId="0F30E1DE">
      <w:pPr>
        <w:spacing w:line="360" w:lineRule="auto"/>
        <w:ind w:right="-817" w:rightChars="-389" w:firstLine="2880" w:firstLineChars="1200"/>
        <w:contextualSpacing/>
        <w:rPr>
          <w:rFonts w:ascii="宋体" w:hAnsi="宋体" w:cs="仿宋_GB2312"/>
          <w:color w:val="auto"/>
          <w:sz w:val="24"/>
          <w:highlight w:val="none"/>
        </w:rPr>
      </w:pPr>
      <w:r>
        <w:rPr>
          <w:rFonts w:hint="eastAsia" w:ascii="宋体" w:hAnsi="宋体" w:cs="仿宋_GB2312"/>
          <w:color w:val="auto"/>
          <w:sz w:val="24"/>
          <w:highlight w:val="none"/>
        </w:rPr>
        <w:t xml:space="preserve">供应商名称（电子签章）：      </w:t>
      </w:r>
    </w:p>
    <w:p w14:paraId="6155C8AE">
      <w:pPr>
        <w:spacing w:line="360" w:lineRule="auto"/>
        <w:ind w:right="-817" w:rightChars="-389" w:firstLine="2880" w:firstLineChars="1200"/>
        <w:contextualSpacing/>
        <w:rPr>
          <w:rFonts w:ascii="宋体" w:hAnsi="宋体" w:cs="仿宋_GB2312"/>
          <w:color w:val="auto"/>
          <w:sz w:val="24"/>
          <w:highlight w:val="none"/>
        </w:rPr>
      </w:pPr>
      <w:r>
        <w:rPr>
          <w:rFonts w:hint="eastAsia" w:ascii="宋体" w:hAnsi="宋体" w:cs="仿宋_GB2312"/>
          <w:color w:val="auto"/>
          <w:sz w:val="24"/>
          <w:highlight w:val="none"/>
        </w:rPr>
        <w:t>日期：   年   月   日</w:t>
      </w:r>
    </w:p>
    <w:p w14:paraId="33009C8B">
      <w:pPr>
        <w:snapToGrid w:val="0"/>
        <w:spacing w:before="120" w:beforeLines="50" w:after="50" w:line="500" w:lineRule="exact"/>
        <w:ind w:firstLine="480" w:firstLineChars="200"/>
        <w:jc w:val="left"/>
        <w:rPr>
          <w:rFonts w:ascii="宋体" w:hAnsi="宋体" w:cs="仿宋_GB2312"/>
          <w:color w:val="auto"/>
          <w:sz w:val="24"/>
          <w:szCs w:val="21"/>
          <w:highlight w:val="none"/>
        </w:rPr>
      </w:pPr>
    </w:p>
    <w:p w14:paraId="39825876">
      <w:pPr>
        <w:widowControl/>
        <w:jc w:val="center"/>
        <w:rPr>
          <w:rFonts w:ascii="Arial Unicode MS" w:hAnsi="Arial Unicode MS" w:eastAsia="Arial Unicode MS" w:cs="Arial Unicode MS"/>
          <w:bCs/>
          <w:color w:val="auto"/>
          <w:sz w:val="44"/>
          <w:szCs w:val="44"/>
          <w:highlight w:val="none"/>
        </w:rPr>
      </w:pPr>
    </w:p>
    <w:p w14:paraId="58888A25">
      <w:pPr>
        <w:widowControl/>
        <w:jc w:val="center"/>
        <w:rPr>
          <w:rFonts w:ascii="Arial Unicode MS" w:hAnsi="Arial Unicode MS" w:eastAsia="Arial Unicode MS" w:cs="Arial Unicode MS"/>
          <w:bCs/>
          <w:color w:val="auto"/>
          <w:sz w:val="44"/>
          <w:szCs w:val="44"/>
          <w:highlight w:val="none"/>
        </w:rPr>
      </w:pPr>
    </w:p>
    <w:p w14:paraId="0928A122">
      <w:pPr>
        <w:widowControl/>
        <w:jc w:val="center"/>
        <w:rPr>
          <w:rFonts w:ascii="Arial Unicode MS" w:hAnsi="Arial Unicode MS" w:eastAsia="Arial Unicode MS" w:cs="Arial Unicode MS"/>
          <w:bCs/>
          <w:color w:val="auto"/>
          <w:sz w:val="44"/>
          <w:szCs w:val="44"/>
          <w:highlight w:val="none"/>
        </w:rPr>
      </w:pPr>
    </w:p>
    <w:p w14:paraId="76BA5A35">
      <w:pPr>
        <w:widowControl/>
        <w:jc w:val="center"/>
        <w:rPr>
          <w:rFonts w:ascii="Arial Unicode MS" w:hAnsi="Arial Unicode MS" w:eastAsia="Arial Unicode MS" w:cs="Arial Unicode MS"/>
          <w:bCs/>
          <w:color w:val="auto"/>
          <w:sz w:val="44"/>
          <w:szCs w:val="44"/>
          <w:highlight w:val="none"/>
        </w:rPr>
      </w:pPr>
    </w:p>
    <w:p w14:paraId="6623A0AF">
      <w:pPr>
        <w:widowControl/>
        <w:jc w:val="center"/>
        <w:rPr>
          <w:rFonts w:ascii="Arial Unicode MS" w:hAnsi="Arial Unicode MS" w:eastAsia="Arial Unicode MS" w:cs="Arial Unicode MS"/>
          <w:bCs/>
          <w:color w:val="auto"/>
          <w:sz w:val="44"/>
          <w:szCs w:val="44"/>
          <w:highlight w:val="none"/>
        </w:rPr>
      </w:pPr>
    </w:p>
    <w:p w14:paraId="7FD8361B">
      <w:pPr>
        <w:widowControl/>
        <w:jc w:val="center"/>
        <w:rPr>
          <w:rFonts w:ascii="Arial Unicode MS" w:hAnsi="Arial Unicode MS" w:eastAsia="Arial Unicode MS" w:cs="Arial Unicode MS"/>
          <w:bCs/>
          <w:color w:val="auto"/>
          <w:sz w:val="44"/>
          <w:szCs w:val="44"/>
          <w:highlight w:val="none"/>
        </w:rPr>
      </w:pPr>
    </w:p>
    <w:p w14:paraId="24A0B687">
      <w:pPr>
        <w:widowControl/>
        <w:jc w:val="center"/>
        <w:rPr>
          <w:rFonts w:ascii="Arial Unicode MS" w:hAnsi="Arial Unicode MS" w:eastAsia="Arial Unicode MS" w:cs="Arial Unicode MS"/>
          <w:bCs/>
          <w:color w:val="auto"/>
          <w:sz w:val="44"/>
          <w:szCs w:val="44"/>
          <w:highlight w:val="none"/>
        </w:rPr>
      </w:pPr>
    </w:p>
    <w:p w14:paraId="44871150">
      <w:pPr>
        <w:widowControl/>
        <w:jc w:val="center"/>
        <w:rPr>
          <w:rFonts w:ascii="Arial Unicode MS" w:hAnsi="Arial Unicode MS" w:eastAsia="Arial Unicode MS" w:cs="Arial Unicode MS"/>
          <w:bCs/>
          <w:color w:val="auto"/>
          <w:sz w:val="44"/>
          <w:szCs w:val="44"/>
          <w:highlight w:val="none"/>
        </w:rPr>
      </w:pPr>
    </w:p>
    <w:p w14:paraId="0CB013B7">
      <w:pPr>
        <w:widowControl/>
        <w:jc w:val="center"/>
        <w:rPr>
          <w:rFonts w:ascii="Arial Unicode MS" w:hAnsi="Arial Unicode MS" w:eastAsia="Arial Unicode MS" w:cs="Arial Unicode MS"/>
          <w:bCs/>
          <w:color w:val="auto"/>
          <w:sz w:val="44"/>
          <w:szCs w:val="44"/>
          <w:highlight w:val="none"/>
        </w:rPr>
      </w:pPr>
    </w:p>
    <w:p w14:paraId="59F10B4D">
      <w:pPr>
        <w:widowControl/>
        <w:jc w:val="center"/>
        <w:rPr>
          <w:rFonts w:ascii="Arial Unicode MS" w:hAnsi="Arial Unicode MS" w:eastAsia="Arial Unicode MS" w:cs="Arial Unicode MS"/>
          <w:bCs/>
          <w:color w:val="auto"/>
          <w:sz w:val="44"/>
          <w:szCs w:val="44"/>
          <w:highlight w:val="none"/>
        </w:rPr>
      </w:pPr>
    </w:p>
    <w:p w14:paraId="0F4B6F2E">
      <w:pPr>
        <w:widowControl/>
        <w:jc w:val="center"/>
        <w:rPr>
          <w:rFonts w:ascii="Arial Unicode MS" w:hAnsi="Arial Unicode MS" w:eastAsia="Arial Unicode MS" w:cs="Arial Unicode MS"/>
          <w:bCs/>
          <w:color w:val="auto"/>
          <w:sz w:val="44"/>
          <w:szCs w:val="44"/>
          <w:highlight w:val="none"/>
        </w:rPr>
      </w:pPr>
    </w:p>
    <w:p w14:paraId="5BF4E1E5">
      <w:pPr>
        <w:widowControl/>
        <w:jc w:val="center"/>
        <w:rPr>
          <w:rFonts w:ascii="宋体" w:hAnsi="宋体"/>
          <w:b/>
          <w:color w:val="auto"/>
          <w:sz w:val="32"/>
          <w:szCs w:val="32"/>
          <w:highlight w:val="none"/>
        </w:rPr>
      </w:pPr>
      <w:r>
        <w:rPr>
          <w:rFonts w:hint="eastAsia" w:ascii="Arial Unicode MS" w:hAnsi="Arial Unicode MS" w:eastAsia="Arial Unicode MS" w:cs="Arial Unicode MS"/>
          <w:bCs/>
          <w:color w:val="auto"/>
          <w:sz w:val="44"/>
          <w:szCs w:val="44"/>
          <w:highlight w:val="none"/>
        </w:rPr>
        <w:t>货物配置清单</w:t>
      </w:r>
    </w:p>
    <w:p w14:paraId="5C8AF225">
      <w:pPr>
        <w:spacing w:line="300" w:lineRule="auto"/>
        <w:rPr>
          <w:rFonts w:ascii="宋体" w:hAnsi="宋体"/>
          <w:color w:val="auto"/>
          <w:szCs w:val="21"/>
          <w:highlight w:val="none"/>
        </w:rPr>
      </w:pPr>
    </w:p>
    <w:p w14:paraId="59785B1E">
      <w:pPr>
        <w:spacing w:line="360" w:lineRule="auto"/>
        <w:rPr>
          <w:rFonts w:ascii="宋体" w:hAnsi="宋体" w:cs="仿宋_GB2312"/>
          <w:color w:val="auto"/>
          <w:sz w:val="24"/>
          <w:highlight w:val="none"/>
        </w:rPr>
      </w:pPr>
      <w:r>
        <w:rPr>
          <w:rFonts w:hint="eastAsia" w:ascii="宋体" w:hAnsi="宋体" w:cs="仿宋_GB2312"/>
          <w:color w:val="auto"/>
          <w:sz w:val="24"/>
          <w:highlight w:val="none"/>
        </w:rPr>
        <w:t>项目编号：</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794C7A64">
      <w:pPr>
        <w:spacing w:line="360" w:lineRule="auto"/>
        <w:rPr>
          <w:rFonts w:ascii="宋体" w:hAnsi="宋体" w:cs="仿宋_GB2312"/>
          <w:color w:val="auto"/>
          <w:sz w:val="24"/>
          <w:highlight w:val="none"/>
        </w:rPr>
      </w:pPr>
      <w:r>
        <w:rPr>
          <w:rFonts w:hint="eastAsia" w:ascii="宋体" w:hAnsi="宋体" w:cs="仿宋_GB2312"/>
          <w:color w:val="auto"/>
          <w:sz w:val="24"/>
          <w:highlight w:val="none"/>
        </w:rPr>
        <w:t>项目名称：</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 xml:space="preserve"> </w:t>
      </w:r>
    </w:p>
    <w:p w14:paraId="06004F22">
      <w:pPr>
        <w:spacing w:line="360" w:lineRule="auto"/>
        <w:rPr>
          <w:rFonts w:ascii="宋体" w:hAnsi="宋体" w:cs="仿宋_GB2312"/>
          <w:color w:val="auto"/>
          <w:sz w:val="24"/>
          <w:highlight w:val="none"/>
          <w:u w:val="single"/>
        </w:rPr>
      </w:pPr>
    </w:p>
    <w:tbl>
      <w:tblPr>
        <w:tblStyle w:val="26"/>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39"/>
        <w:gridCol w:w="1245"/>
        <w:gridCol w:w="803"/>
        <w:gridCol w:w="895"/>
        <w:gridCol w:w="1785"/>
        <w:gridCol w:w="1245"/>
        <w:gridCol w:w="737"/>
        <w:gridCol w:w="1496"/>
      </w:tblGrid>
      <w:tr w14:paraId="4E99ED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413" w:type="pct"/>
            <w:tcBorders>
              <w:top w:val="single" w:color="auto" w:sz="4" w:space="0"/>
              <w:left w:val="single" w:color="auto" w:sz="4" w:space="0"/>
              <w:bottom w:val="single" w:color="auto" w:sz="4" w:space="0"/>
              <w:right w:val="single" w:color="auto" w:sz="4" w:space="0"/>
            </w:tcBorders>
            <w:vAlign w:val="center"/>
          </w:tcPr>
          <w:p w14:paraId="54E8881E">
            <w:pPr>
              <w:snapToGrid w:val="0"/>
              <w:spacing w:before="50" w:after="50"/>
              <w:jc w:val="center"/>
              <w:rPr>
                <w:rFonts w:ascii="宋体" w:hAnsi="宋体"/>
                <w:color w:val="auto"/>
                <w:sz w:val="24"/>
                <w:highlight w:val="none"/>
              </w:rPr>
            </w:pPr>
            <w:r>
              <w:rPr>
                <w:rFonts w:hint="eastAsia" w:ascii="宋体" w:hAnsi="宋体"/>
                <w:color w:val="auto"/>
                <w:sz w:val="24"/>
                <w:highlight w:val="none"/>
              </w:rPr>
              <w:t>序号</w:t>
            </w:r>
          </w:p>
        </w:tc>
        <w:tc>
          <w:tcPr>
            <w:tcW w:w="696" w:type="pct"/>
            <w:tcBorders>
              <w:top w:val="single" w:color="auto" w:sz="4" w:space="0"/>
              <w:left w:val="single" w:color="auto" w:sz="4" w:space="0"/>
              <w:bottom w:val="single" w:color="auto" w:sz="4" w:space="0"/>
              <w:right w:val="single" w:color="auto" w:sz="4" w:space="0"/>
            </w:tcBorders>
            <w:vAlign w:val="center"/>
          </w:tcPr>
          <w:p w14:paraId="77BACCA6">
            <w:pPr>
              <w:snapToGrid w:val="0"/>
              <w:spacing w:before="50" w:after="50"/>
              <w:jc w:val="center"/>
              <w:rPr>
                <w:rFonts w:ascii="宋体" w:hAnsi="宋体"/>
                <w:color w:val="auto"/>
                <w:sz w:val="24"/>
                <w:highlight w:val="none"/>
              </w:rPr>
            </w:pPr>
            <w:r>
              <w:rPr>
                <w:rFonts w:hint="eastAsia" w:ascii="宋体" w:hAnsi="宋体"/>
                <w:color w:val="auto"/>
                <w:sz w:val="24"/>
                <w:highlight w:val="none"/>
              </w:rPr>
              <w:t>货物名称</w:t>
            </w:r>
          </w:p>
        </w:tc>
        <w:tc>
          <w:tcPr>
            <w:tcW w:w="449" w:type="pct"/>
            <w:tcBorders>
              <w:top w:val="single" w:color="auto" w:sz="4" w:space="0"/>
              <w:left w:val="single" w:color="auto" w:sz="4" w:space="0"/>
              <w:bottom w:val="single" w:color="auto" w:sz="4" w:space="0"/>
              <w:right w:val="single" w:color="auto" w:sz="4" w:space="0"/>
            </w:tcBorders>
            <w:vAlign w:val="center"/>
          </w:tcPr>
          <w:p w14:paraId="5449EFC5">
            <w:pPr>
              <w:snapToGrid w:val="0"/>
              <w:spacing w:before="50" w:after="50"/>
              <w:jc w:val="center"/>
              <w:rPr>
                <w:rFonts w:ascii="宋体" w:hAnsi="宋体"/>
                <w:color w:val="auto"/>
                <w:sz w:val="24"/>
                <w:highlight w:val="none"/>
              </w:rPr>
            </w:pPr>
            <w:r>
              <w:rPr>
                <w:rFonts w:hint="eastAsia" w:ascii="宋体" w:hAnsi="宋体"/>
                <w:color w:val="auto"/>
                <w:sz w:val="24"/>
                <w:highlight w:val="none"/>
              </w:rPr>
              <w:t>数量及单位</w:t>
            </w:r>
          </w:p>
        </w:tc>
        <w:tc>
          <w:tcPr>
            <w:tcW w:w="500" w:type="pct"/>
            <w:tcBorders>
              <w:top w:val="single" w:color="auto" w:sz="4" w:space="0"/>
              <w:left w:val="single" w:color="auto" w:sz="4" w:space="0"/>
              <w:bottom w:val="single" w:color="auto" w:sz="4" w:space="0"/>
              <w:right w:val="single" w:color="auto" w:sz="4" w:space="0"/>
            </w:tcBorders>
            <w:vAlign w:val="center"/>
          </w:tcPr>
          <w:p w14:paraId="33802EF6">
            <w:pPr>
              <w:snapToGrid w:val="0"/>
              <w:spacing w:before="50" w:after="50"/>
              <w:jc w:val="center"/>
              <w:rPr>
                <w:rFonts w:ascii="宋体" w:hAnsi="宋体"/>
                <w:color w:val="auto"/>
                <w:sz w:val="24"/>
                <w:highlight w:val="none"/>
              </w:rPr>
            </w:pPr>
            <w:r>
              <w:rPr>
                <w:rFonts w:hint="eastAsia" w:ascii="宋体" w:hAnsi="宋体"/>
                <w:color w:val="auto"/>
                <w:sz w:val="24"/>
                <w:highlight w:val="none"/>
              </w:rPr>
              <w:t>品牌</w:t>
            </w:r>
          </w:p>
        </w:tc>
        <w:tc>
          <w:tcPr>
            <w:tcW w:w="998" w:type="pct"/>
            <w:tcBorders>
              <w:top w:val="single" w:color="auto" w:sz="4" w:space="0"/>
              <w:left w:val="single" w:color="auto" w:sz="4" w:space="0"/>
              <w:bottom w:val="single" w:color="auto" w:sz="4" w:space="0"/>
              <w:right w:val="single" w:color="auto" w:sz="4" w:space="0"/>
            </w:tcBorders>
          </w:tcPr>
          <w:p w14:paraId="57965767">
            <w:pPr>
              <w:snapToGrid w:val="0"/>
              <w:spacing w:before="50" w:after="50"/>
              <w:jc w:val="center"/>
              <w:rPr>
                <w:rFonts w:ascii="宋体" w:hAnsi="宋体"/>
                <w:color w:val="auto"/>
                <w:sz w:val="24"/>
                <w:highlight w:val="none"/>
              </w:rPr>
            </w:pPr>
          </w:p>
          <w:p w14:paraId="3DA3E18F">
            <w:pPr>
              <w:snapToGrid w:val="0"/>
              <w:spacing w:before="50" w:after="50"/>
              <w:jc w:val="center"/>
              <w:rPr>
                <w:rFonts w:ascii="宋体" w:hAnsi="宋体"/>
                <w:color w:val="auto"/>
                <w:sz w:val="24"/>
                <w:highlight w:val="none"/>
              </w:rPr>
            </w:pPr>
            <w:r>
              <w:rPr>
                <w:rFonts w:hint="eastAsia" w:ascii="宋体" w:hAnsi="宋体"/>
                <w:color w:val="auto"/>
                <w:sz w:val="24"/>
                <w:highlight w:val="none"/>
              </w:rPr>
              <w:t>规格型号</w:t>
            </w:r>
          </w:p>
        </w:tc>
        <w:tc>
          <w:tcPr>
            <w:tcW w:w="696" w:type="pct"/>
            <w:tcBorders>
              <w:top w:val="single" w:color="auto" w:sz="4" w:space="0"/>
              <w:left w:val="single" w:color="auto" w:sz="4" w:space="0"/>
              <w:bottom w:val="single" w:color="auto" w:sz="4" w:space="0"/>
              <w:right w:val="single" w:color="auto" w:sz="4" w:space="0"/>
            </w:tcBorders>
            <w:vAlign w:val="center"/>
          </w:tcPr>
          <w:p w14:paraId="53110E4E">
            <w:pPr>
              <w:snapToGrid w:val="0"/>
              <w:spacing w:before="50" w:after="50"/>
              <w:jc w:val="center"/>
              <w:rPr>
                <w:rFonts w:ascii="宋体" w:hAnsi="宋体"/>
                <w:color w:val="auto"/>
                <w:sz w:val="24"/>
                <w:highlight w:val="none"/>
              </w:rPr>
            </w:pPr>
            <w:r>
              <w:rPr>
                <w:rFonts w:hint="eastAsia" w:ascii="宋体" w:hAnsi="宋体"/>
                <w:color w:val="auto"/>
                <w:sz w:val="24"/>
                <w:highlight w:val="none"/>
              </w:rPr>
              <w:t>制造商</w:t>
            </w:r>
          </w:p>
        </w:tc>
        <w:tc>
          <w:tcPr>
            <w:tcW w:w="412" w:type="pct"/>
            <w:tcBorders>
              <w:top w:val="single" w:color="auto" w:sz="4" w:space="0"/>
              <w:left w:val="single" w:color="auto" w:sz="4" w:space="0"/>
              <w:bottom w:val="single" w:color="auto" w:sz="4" w:space="0"/>
              <w:right w:val="single" w:color="auto" w:sz="4" w:space="0"/>
            </w:tcBorders>
            <w:vAlign w:val="center"/>
          </w:tcPr>
          <w:p w14:paraId="505E9AA1">
            <w:pPr>
              <w:snapToGrid w:val="0"/>
              <w:spacing w:before="50" w:after="50"/>
              <w:jc w:val="center"/>
              <w:rPr>
                <w:rFonts w:ascii="宋体" w:hAnsi="宋体"/>
                <w:color w:val="auto"/>
                <w:sz w:val="24"/>
                <w:highlight w:val="none"/>
              </w:rPr>
            </w:pPr>
            <w:r>
              <w:rPr>
                <w:rFonts w:hint="eastAsia" w:ascii="宋体" w:hAnsi="宋体"/>
                <w:color w:val="auto"/>
                <w:sz w:val="24"/>
                <w:highlight w:val="none"/>
              </w:rPr>
              <w:t>原产地</w:t>
            </w:r>
          </w:p>
        </w:tc>
        <w:tc>
          <w:tcPr>
            <w:tcW w:w="836" w:type="pct"/>
            <w:tcBorders>
              <w:top w:val="single" w:color="auto" w:sz="4" w:space="0"/>
              <w:left w:val="single" w:color="auto" w:sz="4" w:space="0"/>
              <w:bottom w:val="single" w:color="auto" w:sz="4" w:space="0"/>
              <w:right w:val="single" w:color="auto" w:sz="4" w:space="0"/>
            </w:tcBorders>
            <w:vAlign w:val="center"/>
          </w:tcPr>
          <w:p w14:paraId="585EF997">
            <w:pPr>
              <w:snapToGrid w:val="0"/>
              <w:spacing w:before="50" w:after="50"/>
              <w:jc w:val="center"/>
              <w:rPr>
                <w:rFonts w:ascii="宋体" w:hAnsi="宋体"/>
                <w:color w:val="auto"/>
                <w:sz w:val="24"/>
                <w:highlight w:val="none"/>
              </w:rPr>
            </w:pPr>
            <w:r>
              <w:rPr>
                <w:rFonts w:hint="eastAsia" w:ascii="宋体" w:hAnsi="宋体"/>
                <w:color w:val="auto"/>
                <w:sz w:val="24"/>
                <w:highlight w:val="none"/>
              </w:rPr>
              <w:t>参数性能、指标及配置</w:t>
            </w:r>
          </w:p>
        </w:tc>
      </w:tr>
      <w:tr w14:paraId="00E8BB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413" w:type="pct"/>
            <w:tcBorders>
              <w:top w:val="single" w:color="auto" w:sz="4" w:space="0"/>
              <w:left w:val="single" w:color="auto" w:sz="4" w:space="0"/>
              <w:bottom w:val="single" w:color="auto" w:sz="4" w:space="0"/>
              <w:right w:val="single" w:color="auto" w:sz="4" w:space="0"/>
            </w:tcBorders>
            <w:vAlign w:val="center"/>
          </w:tcPr>
          <w:p w14:paraId="0231557A">
            <w:pPr>
              <w:snapToGrid w:val="0"/>
              <w:spacing w:before="50" w:after="50"/>
              <w:jc w:val="center"/>
              <w:rPr>
                <w:rFonts w:ascii="宋体" w:hAnsi="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vAlign w:val="center"/>
          </w:tcPr>
          <w:p w14:paraId="39A8ED22">
            <w:pPr>
              <w:snapToGrid w:val="0"/>
              <w:spacing w:before="50" w:after="50"/>
              <w:jc w:val="center"/>
              <w:rPr>
                <w:rFonts w:ascii="宋体" w:hAnsi="宋体"/>
                <w:color w:val="auto"/>
                <w:sz w:val="24"/>
                <w:highlight w:val="none"/>
              </w:rPr>
            </w:pPr>
          </w:p>
        </w:tc>
        <w:tc>
          <w:tcPr>
            <w:tcW w:w="449" w:type="pct"/>
            <w:tcBorders>
              <w:top w:val="single" w:color="auto" w:sz="4" w:space="0"/>
              <w:left w:val="single" w:color="auto" w:sz="4" w:space="0"/>
              <w:bottom w:val="single" w:color="auto" w:sz="4" w:space="0"/>
              <w:right w:val="single" w:color="auto" w:sz="4" w:space="0"/>
            </w:tcBorders>
            <w:vAlign w:val="center"/>
          </w:tcPr>
          <w:p w14:paraId="209DF398">
            <w:pPr>
              <w:snapToGrid w:val="0"/>
              <w:spacing w:before="50" w:after="50"/>
              <w:jc w:val="center"/>
              <w:rPr>
                <w:rFonts w:ascii="宋体" w:hAnsi="宋体"/>
                <w:color w:val="auto"/>
                <w:sz w:val="24"/>
                <w:highlight w:val="none"/>
              </w:rPr>
            </w:pPr>
          </w:p>
        </w:tc>
        <w:tc>
          <w:tcPr>
            <w:tcW w:w="500" w:type="pct"/>
            <w:tcBorders>
              <w:top w:val="single" w:color="auto" w:sz="4" w:space="0"/>
              <w:left w:val="single" w:color="auto" w:sz="4" w:space="0"/>
              <w:bottom w:val="single" w:color="auto" w:sz="4" w:space="0"/>
              <w:right w:val="single" w:color="auto" w:sz="4" w:space="0"/>
            </w:tcBorders>
            <w:vAlign w:val="center"/>
          </w:tcPr>
          <w:p w14:paraId="6696C836">
            <w:pPr>
              <w:snapToGrid w:val="0"/>
              <w:spacing w:before="50" w:after="50"/>
              <w:jc w:val="center"/>
              <w:rPr>
                <w:rFonts w:ascii="宋体" w:hAnsi="宋体"/>
                <w:color w:val="auto"/>
                <w:sz w:val="24"/>
                <w:highlight w:val="none"/>
              </w:rPr>
            </w:pPr>
          </w:p>
        </w:tc>
        <w:tc>
          <w:tcPr>
            <w:tcW w:w="998" w:type="pct"/>
            <w:tcBorders>
              <w:top w:val="single" w:color="auto" w:sz="4" w:space="0"/>
              <w:left w:val="single" w:color="auto" w:sz="4" w:space="0"/>
              <w:bottom w:val="single" w:color="auto" w:sz="4" w:space="0"/>
              <w:right w:val="single" w:color="auto" w:sz="4" w:space="0"/>
            </w:tcBorders>
          </w:tcPr>
          <w:p w14:paraId="418BB016">
            <w:pPr>
              <w:snapToGrid w:val="0"/>
              <w:spacing w:before="50" w:after="50"/>
              <w:jc w:val="center"/>
              <w:rPr>
                <w:rFonts w:ascii="宋体" w:hAnsi="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vAlign w:val="center"/>
          </w:tcPr>
          <w:p w14:paraId="26EF081F">
            <w:pPr>
              <w:snapToGrid w:val="0"/>
              <w:spacing w:before="50" w:after="50"/>
              <w:jc w:val="center"/>
              <w:rPr>
                <w:rFonts w:ascii="宋体" w:hAnsi="宋体"/>
                <w:color w:val="auto"/>
                <w:sz w:val="24"/>
                <w:highlight w:val="none"/>
              </w:rPr>
            </w:pPr>
          </w:p>
        </w:tc>
        <w:tc>
          <w:tcPr>
            <w:tcW w:w="412" w:type="pct"/>
            <w:tcBorders>
              <w:top w:val="single" w:color="auto" w:sz="4" w:space="0"/>
              <w:left w:val="single" w:color="auto" w:sz="4" w:space="0"/>
              <w:bottom w:val="single" w:color="auto" w:sz="4" w:space="0"/>
              <w:right w:val="single" w:color="auto" w:sz="4" w:space="0"/>
            </w:tcBorders>
            <w:vAlign w:val="center"/>
          </w:tcPr>
          <w:p w14:paraId="3B1755B8">
            <w:pPr>
              <w:snapToGrid w:val="0"/>
              <w:spacing w:before="50" w:after="50"/>
              <w:jc w:val="center"/>
              <w:rPr>
                <w:rFonts w:ascii="宋体" w:hAnsi="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vAlign w:val="center"/>
          </w:tcPr>
          <w:p w14:paraId="09404020">
            <w:pPr>
              <w:snapToGrid w:val="0"/>
              <w:spacing w:before="50" w:after="50"/>
              <w:jc w:val="center"/>
              <w:rPr>
                <w:rFonts w:ascii="宋体" w:hAnsi="宋体"/>
                <w:color w:val="auto"/>
                <w:sz w:val="24"/>
                <w:highlight w:val="none"/>
              </w:rPr>
            </w:pPr>
          </w:p>
        </w:tc>
      </w:tr>
      <w:tr w14:paraId="38EAAE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413" w:type="pct"/>
            <w:tcBorders>
              <w:top w:val="single" w:color="auto" w:sz="4" w:space="0"/>
              <w:left w:val="single" w:color="auto" w:sz="4" w:space="0"/>
              <w:bottom w:val="single" w:color="auto" w:sz="4" w:space="0"/>
              <w:right w:val="single" w:color="auto" w:sz="4" w:space="0"/>
            </w:tcBorders>
            <w:vAlign w:val="center"/>
          </w:tcPr>
          <w:p w14:paraId="7B73E010">
            <w:pPr>
              <w:snapToGrid w:val="0"/>
              <w:spacing w:before="50" w:after="50"/>
              <w:jc w:val="center"/>
              <w:rPr>
                <w:rFonts w:ascii="宋体" w:hAnsi="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vAlign w:val="center"/>
          </w:tcPr>
          <w:p w14:paraId="2767C352">
            <w:pPr>
              <w:snapToGrid w:val="0"/>
              <w:spacing w:before="50" w:after="50"/>
              <w:jc w:val="center"/>
              <w:rPr>
                <w:rFonts w:ascii="宋体" w:hAnsi="宋体"/>
                <w:color w:val="auto"/>
                <w:sz w:val="24"/>
                <w:highlight w:val="none"/>
              </w:rPr>
            </w:pPr>
          </w:p>
        </w:tc>
        <w:tc>
          <w:tcPr>
            <w:tcW w:w="449" w:type="pct"/>
            <w:tcBorders>
              <w:top w:val="single" w:color="auto" w:sz="4" w:space="0"/>
              <w:left w:val="single" w:color="auto" w:sz="4" w:space="0"/>
              <w:bottom w:val="single" w:color="auto" w:sz="4" w:space="0"/>
              <w:right w:val="single" w:color="auto" w:sz="4" w:space="0"/>
            </w:tcBorders>
            <w:vAlign w:val="center"/>
          </w:tcPr>
          <w:p w14:paraId="52BCE965">
            <w:pPr>
              <w:snapToGrid w:val="0"/>
              <w:spacing w:before="50" w:after="50"/>
              <w:jc w:val="center"/>
              <w:rPr>
                <w:rFonts w:ascii="宋体" w:hAnsi="宋体"/>
                <w:color w:val="auto"/>
                <w:sz w:val="24"/>
                <w:highlight w:val="none"/>
              </w:rPr>
            </w:pPr>
          </w:p>
        </w:tc>
        <w:tc>
          <w:tcPr>
            <w:tcW w:w="500" w:type="pct"/>
            <w:tcBorders>
              <w:top w:val="single" w:color="auto" w:sz="4" w:space="0"/>
              <w:left w:val="single" w:color="auto" w:sz="4" w:space="0"/>
              <w:bottom w:val="single" w:color="auto" w:sz="4" w:space="0"/>
              <w:right w:val="single" w:color="auto" w:sz="4" w:space="0"/>
            </w:tcBorders>
            <w:vAlign w:val="center"/>
          </w:tcPr>
          <w:p w14:paraId="3452A1E8">
            <w:pPr>
              <w:snapToGrid w:val="0"/>
              <w:spacing w:before="50" w:after="50"/>
              <w:jc w:val="center"/>
              <w:rPr>
                <w:rFonts w:ascii="宋体" w:hAnsi="宋体"/>
                <w:color w:val="auto"/>
                <w:sz w:val="24"/>
                <w:highlight w:val="none"/>
              </w:rPr>
            </w:pPr>
          </w:p>
        </w:tc>
        <w:tc>
          <w:tcPr>
            <w:tcW w:w="998" w:type="pct"/>
            <w:tcBorders>
              <w:top w:val="single" w:color="auto" w:sz="4" w:space="0"/>
              <w:left w:val="single" w:color="auto" w:sz="4" w:space="0"/>
              <w:bottom w:val="single" w:color="auto" w:sz="4" w:space="0"/>
              <w:right w:val="single" w:color="auto" w:sz="4" w:space="0"/>
            </w:tcBorders>
          </w:tcPr>
          <w:p w14:paraId="611A0F6E">
            <w:pPr>
              <w:snapToGrid w:val="0"/>
              <w:spacing w:before="50" w:after="50"/>
              <w:jc w:val="center"/>
              <w:rPr>
                <w:rFonts w:ascii="宋体" w:hAnsi="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vAlign w:val="center"/>
          </w:tcPr>
          <w:p w14:paraId="3FCEDA1C">
            <w:pPr>
              <w:snapToGrid w:val="0"/>
              <w:spacing w:before="50" w:after="50"/>
              <w:jc w:val="center"/>
              <w:rPr>
                <w:rFonts w:ascii="宋体" w:hAnsi="宋体"/>
                <w:color w:val="auto"/>
                <w:sz w:val="24"/>
                <w:highlight w:val="none"/>
              </w:rPr>
            </w:pPr>
          </w:p>
        </w:tc>
        <w:tc>
          <w:tcPr>
            <w:tcW w:w="412" w:type="pct"/>
            <w:tcBorders>
              <w:top w:val="single" w:color="auto" w:sz="4" w:space="0"/>
              <w:left w:val="single" w:color="auto" w:sz="4" w:space="0"/>
              <w:bottom w:val="single" w:color="auto" w:sz="4" w:space="0"/>
              <w:right w:val="single" w:color="auto" w:sz="4" w:space="0"/>
            </w:tcBorders>
            <w:vAlign w:val="center"/>
          </w:tcPr>
          <w:p w14:paraId="7D923444">
            <w:pPr>
              <w:snapToGrid w:val="0"/>
              <w:spacing w:before="50" w:after="50"/>
              <w:jc w:val="center"/>
              <w:rPr>
                <w:rFonts w:ascii="宋体" w:hAnsi="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vAlign w:val="center"/>
          </w:tcPr>
          <w:p w14:paraId="6CEC1B92">
            <w:pPr>
              <w:snapToGrid w:val="0"/>
              <w:spacing w:before="50" w:after="50"/>
              <w:jc w:val="center"/>
              <w:rPr>
                <w:rFonts w:ascii="宋体" w:hAnsi="宋体"/>
                <w:color w:val="auto"/>
                <w:sz w:val="24"/>
                <w:highlight w:val="none"/>
              </w:rPr>
            </w:pPr>
          </w:p>
        </w:tc>
      </w:tr>
      <w:tr w14:paraId="1C46ED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413" w:type="pct"/>
            <w:tcBorders>
              <w:top w:val="single" w:color="auto" w:sz="4" w:space="0"/>
              <w:left w:val="single" w:color="auto" w:sz="4" w:space="0"/>
              <w:bottom w:val="single" w:color="auto" w:sz="4" w:space="0"/>
              <w:right w:val="single" w:color="auto" w:sz="4" w:space="0"/>
            </w:tcBorders>
            <w:vAlign w:val="center"/>
          </w:tcPr>
          <w:p w14:paraId="1E330F60">
            <w:pPr>
              <w:snapToGrid w:val="0"/>
              <w:spacing w:before="50" w:after="50"/>
              <w:jc w:val="center"/>
              <w:rPr>
                <w:rFonts w:ascii="宋体" w:hAnsi="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vAlign w:val="center"/>
          </w:tcPr>
          <w:p w14:paraId="27E1A60D">
            <w:pPr>
              <w:snapToGrid w:val="0"/>
              <w:spacing w:before="50" w:after="50"/>
              <w:jc w:val="center"/>
              <w:rPr>
                <w:rFonts w:ascii="宋体" w:hAnsi="宋体"/>
                <w:color w:val="auto"/>
                <w:sz w:val="24"/>
                <w:highlight w:val="none"/>
              </w:rPr>
            </w:pPr>
          </w:p>
        </w:tc>
        <w:tc>
          <w:tcPr>
            <w:tcW w:w="449" w:type="pct"/>
            <w:tcBorders>
              <w:top w:val="single" w:color="auto" w:sz="4" w:space="0"/>
              <w:left w:val="single" w:color="auto" w:sz="4" w:space="0"/>
              <w:bottom w:val="single" w:color="auto" w:sz="4" w:space="0"/>
              <w:right w:val="single" w:color="auto" w:sz="4" w:space="0"/>
            </w:tcBorders>
            <w:vAlign w:val="center"/>
          </w:tcPr>
          <w:p w14:paraId="16AC01D7">
            <w:pPr>
              <w:snapToGrid w:val="0"/>
              <w:spacing w:before="50" w:after="50"/>
              <w:jc w:val="center"/>
              <w:rPr>
                <w:rFonts w:ascii="宋体" w:hAnsi="宋体"/>
                <w:color w:val="auto"/>
                <w:sz w:val="24"/>
                <w:highlight w:val="none"/>
              </w:rPr>
            </w:pPr>
          </w:p>
        </w:tc>
        <w:tc>
          <w:tcPr>
            <w:tcW w:w="500" w:type="pct"/>
            <w:tcBorders>
              <w:top w:val="single" w:color="auto" w:sz="4" w:space="0"/>
              <w:left w:val="single" w:color="auto" w:sz="4" w:space="0"/>
              <w:bottom w:val="single" w:color="auto" w:sz="4" w:space="0"/>
              <w:right w:val="single" w:color="auto" w:sz="4" w:space="0"/>
            </w:tcBorders>
            <w:vAlign w:val="center"/>
          </w:tcPr>
          <w:p w14:paraId="5FCF42A9">
            <w:pPr>
              <w:snapToGrid w:val="0"/>
              <w:spacing w:before="50" w:after="50"/>
              <w:jc w:val="center"/>
              <w:rPr>
                <w:rFonts w:ascii="宋体" w:hAnsi="宋体"/>
                <w:color w:val="auto"/>
                <w:sz w:val="24"/>
                <w:highlight w:val="none"/>
              </w:rPr>
            </w:pPr>
          </w:p>
        </w:tc>
        <w:tc>
          <w:tcPr>
            <w:tcW w:w="998" w:type="pct"/>
            <w:tcBorders>
              <w:top w:val="single" w:color="auto" w:sz="4" w:space="0"/>
              <w:left w:val="single" w:color="auto" w:sz="4" w:space="0"/>
              <w:bottom w:val="single" w:color="auto" w:sz="4" w:space="0"/>
              <w:right w:val="single" w:color="auto" w:sz="4" w:space="0"/>
            </w:tcBorders>
          </w:tcPr>
          <w:p w14:paraId="2D3D3805">
            <w:pPr>
              <w:snapToGrid w:val="0"/>
              <w:spacing w:before="50" w:after="50"/>
              <w:jc w:val="center"/>
              <w:rPr>
                <w:rFonts w:ascii="宋体" w:hAnsi="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vAlign w:val="center"/>
          </w:tcPr>
          <w:p w14:paraId="209ADD81">
            <w:pPr>
              <w:snapToGrid w:val="0"/>
              <w:spacing w:before="50" w:after="50"/>
              <w:jc w:val="center"/>
              <w:rPr>
                <w:rFonts w:ascii="宋体" w:hAnsi="宋体"/>
                <w:color w:val="auto"/>
                <w:sz w:val="24"/>
                <w:highlight w:val="none"/>
              </w:rPr>
            </w:pPr>
          </w:p>
        </w:tc>
        <w:tc>
          <w:tcPr>
            <w:tcW w:w="412" w:type="pct"/>
            <w:tcBorders>
              <w:top w:val="single" w:color="auto" w:sz="4" w:space="0"/>
              <w:left w:val="single" w:color="auto" w:sz="4" w:space="0"/>
              <w:bottom w:val="single" w:color="auto" w:sz="4" w:space="0"/>
              <w:right w:val="single" w:color="auto" w:sz="4" w:space="0"/>
            </w:tcBorders>
            <w:vAlign w:val="center"/>
          </w:tcPr>
          <w:p w14:paraId="70304E7D">
            <w:pPr>
              <w:snapToGrid w:val="0"/>
              <w:spacing w:before="50" w:after="50"/>
              <w:jc w:val="center"/>
              <w:rPr>
                <w:rFonts w:ascii="宋体" w:hAnsi="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vAlign w:val="center"/>
          </w:tcPr>
          <w:p w14:paraId="08400D32">
            <w:pPr>
              <w:snapToGrid w:val="0"/>
              <w:spacing w:before="50" w:after="50"/>
              <w:jc w:val="center"/>
              <w:rPr>
                <w:rFonts w:ascii="宋体" w:hAnsi="宋体"/>
                <w:color w:val="auto"/>
                <w:sz w:val="24"/>
                <w:highlight w:val="none"/>
              </w:rPr>
            </w:pPr>
          </w:p>
        </w:tc>
      </w:tr>
    </w:tbl>
    <w:p w14:paraId="680BE298">
      <w:pPr>
        <w:spacing w:line="360" w:lineRule="auto"/>
        <w:contextualSpacing/>
        <w:rPr>
          <w:rFonts w:ascii="宋体" w:hAnsi="宋体"/>
          <w:color w:val="auto"/>
          <w:sz w:val="24"/>
          <w:highlight w:val="none"/>
        </w:rPr>
      </w:pPr>
      <w:r>
        <w:rPr>
          <w:rFonts w:hint="eastAsia" w:ascii="宋体" w:hAnsi="宋体"/>
          <w:color w:val="auto"/>
          <w:sz w:val="24"/>
          <w:highlight w:val="none"/>
        </w:rPr>
        <w:t>备注：</w:t>
      </w:r>
    </w:p>
    <w:p w14:paraId="2B00BFB4">
      <w:pPr>
        <w:tabs>
          <w:tab w:val="left" w:pos="1065"/>
        </w:tabs>
        <w:adjustRightInd w:val="0"/>
        <w:spacing w:line="360" w:lineRule="auto"/>
        <w:ind w:firstLine="480" w:firstLineChars="200"/>
        <w:contextualSpacing/>
        <w:rPr>
          <w:rFonts w:ascii="宋体" w:hAnsi="宋体" w:cs="仿宋_GB2312"/>
          <w:color w:val="auto"/>
          <w:sz w:val="24"/>
          <w:highlight w:val="none"/>
        </w:rPr>
      </w:pPr>
      <w:r>
        <w:rPr>
          <w:rFonts w:hint="eastAsia" w:ascii="宋体" w:hAnsi="宋体"/>
          <w:bCs/>
          <w:color w:val="auto"/>
          <w:sz w:val="24"/>
          <w:highlight w:val="none"/>
        </w:rPr>
        <w:t>以上货物配置清单中“货物名称、数量及单位、品牌、规格型号、制造商、原产地、参数性能、指标及配置”如实填写完整，品牌、规格型号没有则填无</w:t>
      </w:r>
      <w:r>
        <w:rPr>
          <w:rFonts w:hint="eastAsia" w:ascii="宋体" w:hAnsi="宋体"/>
          <w:color w:val="auto"/>
          <w:sz w:val="24"/>
          <w:highlight w:val="none"/>
        </w:rPr>
        <w:t>。货物名称、数量及单位、品牌应当与“竞标报价表”一致。</w:t>
      </w:r>
      <w:r>
        <w:rPr>
          <w:rFonts w:hint="eastAsia" w:ascii="宋体" w:hAnsi="宋体" w:cs="仿宋_GB2312"/>
          <w:color w:val="auto"/>
          <w:sz w:val="24"/>
          <w:highlight w:val="none"/>
        </w:rPr>
        <w:tab/>
      </w:r>
    </w:p>
    <w:p w14:paraId="56C7381A">
      <w:pPr>
        <w:adjustRightInd w:val="0"/>
        <w:spacing w:line="360" w:lineRule="auto"/>
        <w:contextualSpacing/>
        <w:jc w:val="left"/>
        <w:rPr>
          <w:rFonts w:ascii="宋体" w:hAnsi="宋体" w:cs="仿宋_GB2312"/>
          <w:color w:val="auto"/>
          <w:sz w:val="24"/>
          <w:highlight w:val="none"/>
        </w:rPr>
      </w:pPr>
    </w:p>
    <w:p w14:paraId="33C023E0">
      <w:pPr>
        <w:adjustRightInd w:val="0"/>
        <w:spacing w:line="360" w:lineRule="auto"/>
        <w:contextualSpacing/>
        <w:jc w:val="left"/>
        <w:rPr>
          <w:rFonts w:ascii="宋体" w:hAnsi="宋体" w:cs="仿宋_GB2312"/>
          <w:color w:val="auto"/>
          <w:sz w:val="24"/>
          <w:highlight w:val="none"/>
        </w:rPr>
      </w:pPr>
    </w:p>
    <w:p w14:paraId="6D2D0776">
      <w:pPr>
        <w:spacing w:line="360" w:lineRule="auto"/>
        <w:ind w:right="-817" w:rightChars="-389"/>
        <w:contextualSpacing/>
        <w:jc w:val="center"/>
        <w:rPr>
          <w:rFonts w:ascii="宋体" w:hAnsi="宋体" w:cs="仿宋_GB2312"/>
          <w:color w:val="auto"/>
          <w:sz w:val="24"/>
          <w:highlight w:val="none"/>
        </w:rPr>
      </w:pPr>
      <w:r>
        <w:rPr>
          <w:rFonts w:hint="eastAsia" w:ascii="宋体" w:hAnsi="宋体" w:cs="仿宋_GB2312"/>
          <w:color w:val="auto"/>
          <w:sz w:val="24"/>
          <w:highlight w:val="none"/>
        </w:rPr>
        <w:t>法定代表人或者委托代理人（签字或者电子签名）：</w:t>
      </w:r>
    </w:p>
    <w:p w14:paraId="738437D2">
      <w:pPr>
        <w:spacing w:line="360" w:lineRule="auto"/>
        <w:ind w:right="-817" w:rightChars="-389" w:firstLine="2880" w:firstLineChars="1200"/>
        <w:contextualSpacing/>
        <w:rPr>
          <w:rFonts w:ascii="宋体" w:hAnsi="宋体" w:cs="仿宋_GB2312"/>
          <w:color w:val="auto"/>
          <w:sz w:val="24"/>
          <w:highlight w:val="none"/>
        </w:rPr>
      </w:pPr>
      <w:r>
        <w:rPr>
          <w:rFonts w:hint="eastAsia" w:ascii="宋体" w:hAnsi="宋体" w:cs="仿宋_GB2312"/>
          <w:color w:val="auto"/>
          <w:sz w:val="24"/>
          <w:highlight w:val="none"/>
        </w:rPr>
        <w:t xml:space="preserve">供应商名称（电子签章）：      </w:t>
      </w:r>
    </w:p>
    <w:p w14:paraId="325E5A2B">
      <w:pPr>
        <w:spacing w:line="360" w:lineRule="auto"/>
        <w:ind w:right="-817" w:rightChars="-389" w:firstLine="2880" w:firstLineChars="1200"/>
        <w:contextualSpacing/>
        <w:rPr>
          <w:rFonts w:ascii="仿宋_GB2312" w:hAnsi="仿宋_GB2312" w:eastAsia="仿宋_GB2312" w:cs="仿宋_GB2312"/>
          <w:b/>
          <w:color w:val="auto"/>
          <w:sz w:val="32"/>
          <w:szCs w:val="32"/>
          <w:highlight w:val="none"/>
        </w:rPr>
      </w:pPr>
      <w:r>
        <w:rPr>
          <w:rFonts w:hint="eastAsia" w:ascii="宋体" w:hAnsi="宋体" w:cs="仿宋_GB2312"/>
          <w:color w:val="auto"/>
          <w:sz w:val="24"/>
          <w:highlight w:val="none"/>
        </w:rPr>
        <w:t>日期：   年   月   日</w:t>
      </w:r>
    </w:p>
    <w:p w14:paraId="68B5E63B">
      <w:pPr>
        <w:spacing w:line="300" w:lineRule="auto"/>
        <w:rPr>
          <w:rFonts w:ascii="宋体" w:hAnsi="宋体"/>
          <w:b/>
          <w:bCs/>
          <w:color w:val="auto"/>
          <w:sz w:val="24"/>
          <w:highlight w:val="none"/>
        </w:rPr>
      </w:pPr>
      <w:r>
        <w:rPr>
          <w:rFonts w:ascii="宋体" w:hAnsi="宋体"/>
          <w:b/>
          <w:bCs/>
          <w:color w:val="auto"/>
          <w:sz w:val="24"/>
          <w:highlight w:val="none"/>
        </w:rPr>
        <w:br w:type="page"/>
      </w:r>
      <w:r>
        <w:rPr>
          <w:rFonts w:hint="eastAsia" w:ascii="宋体" w:hAnsi="宋体"/>
          <w:b/>
          <w:bCs/>
          <w:color w:val="auto"/>
          <w:sz w:val="24"/>
          <w:highlight w:val="none"/>
        </w:rPr>
        <w:t>其他文书、文件格式</w:t>
      </w:r>
    </w:p>
    <w:p w14:paraId="254E51A2">
      <w:pPr>
        <w:adjustRightInd w:val="0"/>
        <w:snapToGrid w:val="0"/>
        <w:spacing w:line="300" w:lineRule="auto"/>
        <w:jc w:val="center"/>
        <w:rPr>
          <w:rFonts w:ascii="宋体" w:hAnsi="宋体" w:cs="Arial Unicode MS"/>
          <w:b/>
          <w:bCs/>
          <w:color w:val="auto"/>
          <w:sz w:val="44"/>
          <w:szCs w:val="44"/>
          <w:highlight w:val="none"/>
        </w:rPr>
      </w:pPr>
      <w:r>
        <w:rPr>
          <w:rFonts w:hint="eastAsia" w:ascii="宋体" w:hAnsi="宋体" w:cs="Arial Unicode MS"/>
          <w:b/>
          <w:bCs/>
          <w:color w:val="auto"/>
          <w:sz w:val="44"/>
          <w:szCs w:val="44"/>
          <w:highlight w:val="none"/>
        </w:rPr>
        <w:t>中小企业声明函（货物）</w:t>
      </w:r>
    </w:p>
    <w:p w14:paraId="489E726B">
      <w:pPr>
        <w:rPr>
          <w:color w:val="auto"/>
          <w:highlight w:val="none"/>
        </w:rPr>
      </w:pPr>
    </w:p>
    <w:p w14:paraId="0198400D">
      <w:pPr>
        <w:pStyle w:val="12"/>
        <w:spacing w:after="0" w:line="360" w:lineRule="auto"/>
        <w:ind w:left="-426" w:right="142" w:firstLine="640"/>
        <w:contextualSpacing/>
        <w:rPr>
          <w:rFonts w:ascii="宋体" w:hAnsi="宋体"/>
          <w:color w:val="auto"/>
          <w:sz w:val="24"/>
          <w:highlight w:val="none"/>
        </w:rPr>
      </w:pPr>
      <w:r>
        <w:rPr>
          <w:rFonts w:hint="eastAsia" w:ascii="宋体" w:hAnsi="宋体"/>
          <w:color w:val="auto"/>
          <w:sz w:val="24"/>
          <w:highlight w:val="none"/>
        </w:rPr>
        <w:t>本公司（联合体）郑重声明，根据《政府采购促进中小企业发展管理办法》（财库﹝2020﹞46号）的规定，本公司（联合体）参加</w:t>
      </w:r>
      <w:r>
        <w:rPr>
          <w:rFonts w:hint="eastAsia" w:ascii="宋体" w:hAnsi="宋体"/>
          <w:color w:val="auto"/>
          <w:sz w:val="24"/>
          <w:highlight w:val="none"/>
          <w:u w:val="single"/>
        </w:rPr>
        <w:t>（单位名称）</w:t>
      </w:r>
      <w:r>
        <w:rPr>
          <w:rFonts w:hint="eastAsia" w:ascii="宋体" w:hAnsi="宋体"/>
          <w:color w:val="auto"/>
          <w:sz w:val="24"/>
          <w:highlight w:val="none"/>
        </w:rPr>
        <w:t>的</w:t>
      </w:r>
      <w:r>
        <w:rPr>
          <w:rFonts w:hint="eastAsia" w:ascii="宋体" w:hAnsi="宋体"/>
          <w:color w:val="auto"/>
          <w:sz w:val="24"/>
          <w:highlight w:val="none"/>
          <w:u w:val="single"/>
        </w:rPr>
        <w:t>（项目名称）</w:t>
      </w:r>
      <w:r>
        <w:rPr>
          <w:rFonts w:hint="eastAsia" w:ascii="宋体" w:hAnsi="宋体"/>
          <w:color w:val="auto"/>
          <w:sz w:val="24"/>
          <w:highlight w:val="none"/>
        </w:rPr>
        <w:t>采购活动，提供的货物全部由符合政策要求的中小企业制造。相关企业（含联合体中的中小企业、签订分包意向协议的中小企业）的具体情况如下：</w:t>
      </w:r>
    </w:p>
    <w:p w14:paraId="48DDE9A5">
      <w:pPr>
        <w:tabs>
          <w:tab w:val="left" w:pos="1384"/>
          <w:tab w:val="left" w:pos="4562"/>
          <w:tab w:val="left" w:pos="6803"/>
        </w:tabs>
        <w:spacing w:line="360" w:lineRule="auto"/>
        <w:ind w:left="-426" w:right="-58" w:firstLine="655"/>
        <w:contextualSpacing/>
        <w:rPr>
          <w:rFonts w:ascii="宋体" w:hAnsi="宋体"/>
          <w:color w:val="auto"/>
          <w:sz w:val="24"/>
          <w:highlight w:val="none"/>
        </w:rPr>
      </w:pPr>
      <w:r>
        <w:rPr>
          <w:rFonts w:hint="eastAsia" w:ascii="宋体" w:hAnsi="宋体"/>
          <w:color w:val="auto"/>
          <w:sz w:val="24"/>
          <w:highlight w:val="none"/>
        </w:rPr>
        <w:t>1.</w:t>
      </w:r>
      <w:r>
        <w:rPr>
          <w:rFonts w:hint="eastAsia" w:ascii="宋体" w:hAnsi="宋体"/>
          <w:color w:val="auto"/>
          <w:sz w:val="24"/>
          <w:highlight w:val="none"/>
          <w:u w:val="single"/>
        </w:rPr>
        <w:t>（标的名称）</w:t>
      </w:r>
      <w:r>
        <w:rPr>
          <w:rFonts w:hint="eastAsia" w:ascii="宋体" w:hAnsi="宋体"/>
          <w:color w:val="auto"/>
          <w:sz w:val="24"/>
          <w:highlight w:val="none"/>
        </w:rPr>
        <w:t>，属于</w:t>
      </w:r>
      <w:r>
        <w:rPr>
          <w:rFonts w:hint="eastAsia" w:ascii="宋体" w:hAnsi="宋体"/>
          <w:color w:val="auto"/>
          <w:sz w:val="24"/>
          <w:highlight w:val="none"/>
          <w:u w:val="single"/>
        </w:rPr>
        <w:t>（采购文件中明确的所属行业）</w:t>
      </w:r>
      <w:r>
        <w:rPr>
          <w:rFonts w:hint="eastAsia" w:ascii="宋体" w:hAnsi="宋体"/>
          <w:color w:val="auto"/>
          <w:sz w:val="24"/>
          <w:highlight w:val="none"/>
        </w:rPr>
        <w:t>行业；制造商为</w:t>
      </w:r>
      <w:r>
        <w:rPr>
          <w:rFonts w:hint="eastAsia" w:ascii="宋体" w:hAnsi="宋体"/>
          <w:color w:val="auto"/>
          <w:sz w:val="24"/>
          <w:highlight w:val="none"/>
          <w:u w:val="single"/>
        </w:rPr>
        <w:t>（企业名称）</w:t>
      </w:r>
      <w:r>
        <w:rPr>
          <w:rFonts w:hint="eastAsia" w:ascii="宋体" w:hAnsi="宋体"/>
          <w:color w:val="auto"/>
          <w:sz w:val="24"/>
          <w:highlight w:val="none"/>
        </w:rPr>
        <w:t>，从业人员人，营业收入为万元，资产总额为万元，属于</w:t>
      </w:r>
      <w:r>
        <w:rPr>
          <w:rFonts w:hint="eastAsia" w:ascii="宋体" w:hAnsi="宋体"/>
          <w:color w:val="auto"/>
          <w:sz w:val="24"/>
          <w:highlight w:val="none"/>
          <w:u w:val="single"/>
        </w:rPr>
        <w:t>（中型企业、小型企业、微型企业）</w:t>
      </w:r>
      <w:r>
        <w:rPr>
          <w:rFonts w:hint="eastAsia" w:ascii="宋体" w:hAnsi="宋体"/>
          <w:color w:val="auto"/>
          <w:sz w:val="24"/>
          <w:highlight w:val="none"/>
        </w:rPr>
        <w:t>；</w:t>
      </w:r>
    </w:p>
    <w:p w14:paraId="04593E41">
      <w:pPr>
        <w:tabs>
          <w:tab w:val="left" w:pos="1065"/>
          <w:tab w:val="left" w:pos="6477"/>
        </w:tabs>
        <w:spacing w:line="360" w:lineRule="auto"/>
        <w:ind w:left="-426" w:right="-58" w:firstLine="655"/>
        <w:contextualSpacing/>
        <w:rPr>
          <w:rFonts w:ascii="宋体" w:hAnsi="宋体"/>
          <w:color w:val="auto"/>
          <w:sz w:val="24"/>
          <w:highlight w:val="none"/>
        </w:rPr>
      </w:pPr>
      <w:r>
        <w:rPr>
          <w:rFonts w:hint="eastAsia" w:ascii="宋体" w:hAnsi="宋体"/>
          <w:color w:val="auto"/>
          <w:sz w:val="24"/>
          <w:highlight w:val="none"/>
        </w:rPr>
        <w:t>2.</w:t>
      </w:r>
      <w:r>
        <w:rPr>
          <w:rFonts w:hint="eastAsia" w:ascii="宋体" w:hAnsi="宋体"/>
          <w:color w:val="auto"/>
          <w:sz w:val="24"/>
          <w:highlight w:val="none"/>
          <w:u w:val="single"/>
        </w:rPr>
        <w:t>（标的名称）</w:t>
      </w:r>
      <w:r>
        <w:rPr>
          <w:rFonts w:hint="eastAsia" w:ascii="宋体" w:hAnsi="宋体"/>
          <w:color w:val="auto"/>
          <w:sz w:val="24"/>
          <w:highlight w:val="none"/>
        </w:rPr>
        <w:t>，属于</w:t>
      </w:r>
      <w:r>
        <w:rPr>
          <w:rFonts w:hint="eastAsia" w:ascii="宋体" w:hAnsi="宋体"/>
          <w:color w:val="auto"/>
          <w:sz w:val="24"/>
          <w:highlight w:val="none"/>
          <w:u w:val="single"/>
        </w:rPr>
        <w:t>（采购文件中明确的所属行业）</w:t>
      </w:r>
      <w:r>
        <w:rPr>
          <w:rFonts w:hint="eastAsia" w:ascii="宋体" w:hAnsi="宋体"/>
          <w:color w:val="auto"/>
          <w:sz w:val="24"/>
          <w:highlight w:val="none"/>
        </w:rPr>
        <w:t>行业；制造商为</w:t>
      </w:r>
      <w:r>
        <w:rPr>
          <w:rFonts w:hint="eastAsia" w:ascii="宋体" w:hAnsi="宋体"/>
          <w:color w:val="auto"/>
          <w:sz w:val="24"/>
          <w:highlight w:val="none"/>
          <w:u w:val="single"/>
        </w:rPr>
        <w:t>（企业名称）</w:t>
      </w:r>
      <w:r>
        <w:rPr>
          <w:rFonts w:hint="eastAsia" w:ascii="宋体" w:hAnsi="宋体"/>
          <w:color w:val="auto"/>
          <w:sz w:val="24"/>
          <w:highlight w:val="none"/>
        </w:rPr>
        <w:t>，从业人员人，营业收入为万元，资产总额为万元，属于</w:t>
      </w:r>
      <w:r>
        <w:rPr>
          <w:rFonts w:hint="eastAsia" w:ascii="宋体" w:hAnsi="宋体"/>
          <w:color w:val="auto"/>
          <w:sz w:val="24"/>
          <w:highlight w:val="none"/>
          <w:u w:val="single"/>
        </w:rPr>
        <w:t>（中型企业、小型企业、微型企业）</w:t>
      </w:r>
      <w:r>
        <w:rPr>
          <w:rFonts w:hint="eastAsia" w:ascii="宋体" w:hAnsi="宋体"/>
          <w:color w:val="auto"/>
          <w:sz w:val="24"/>
          <w:highlight w:val="none"/>
        </w:rPr>
        <w:t>；</w:t>
      </w:r>
    </w:p>
    <w:p w14:paraId="6EB60459">
      <w:pPr>
        <w:pStyle w:val="12"/>
        <w:spacing w:after="0" w:line="360" w:lineRule="auto"/>
        <w:ind w:left="142" w:right="142"/>
        <w:contextualSpacing/>
        <w:rPr>
          <w:rFonts w:ascii="宋体" w:hAnsi="宋体"/>
          <w:color w:val="auto"/>
          <w:sz w:val="24"/>
          <w:highlight w:val="none"/>
        </w:rPr>
      </w:pPr>
      <w:r>
        <w:rPr>
          <w:rFonts w:hint="eastAsia" w:ascii="宋体" w:hAnsi="宋体"/>
          <w:color w:val="auto"/>
          <w:sz w:val="24"/>
          <w:highlight w:val="none"/>
        </w:rPr>
        <w:t xml:space="preserve">…… </w:t>
      </w:r>
    </w:p>
    <w:p w14:paraId="57D1C823">
      <w:pPr>
        <w:pStyle w:val="12"/>
        <w:spacing w:after="0" w:line="360" w:lineRule="auto"/>
        <w:ind w:left="-405" w:leftChars="-193" w:right="142" w:firstLine="453" w:firstLineChars="189"/>
        <w:contextualSpacing/>
        <w:rPr>
          <w:rFonts w:ascii="宋体" w:hAnsi="宋体"/>
          <w:color w:val="auto"/>
          <w:sz w:val="24"/>
          <w:highlight w:val="none"/>
        </w:rPr>
      </w:pPr>
      <w:r>
        <w:rPr>
          <w:rFonts w:hint="eastAsia" w:ascii="宋体" w:hAnsi="宋体"/>
          <w:color w:val="auto"/>
          <w:sz w:val="24"/>
          <w:highlight w:val="none"/>
        </w:rPr>
        <w:t>以上企业，不属于大企业的分支机构，不存在控股股东为大企业的情形，也不存在与大企业的负责人为同一人的情形。</w:t>
      </w:r>
    </w:p>
    <w:p w14:paraId="25F7BFA8">
      <w:pPr>
        <w:pStyle w:val="12"/>
        <w:spacing w:after="0" w:line="360" w:lineRule="auto"/>
        <w:ind w:left="-426" w:right="142" w:firstLine="567"/>
        <w:contextualSpacing/>
        <w:rPr>
          <w:rFonts w:ascii="宋体" w:hAnsi="宋体"/>
          <w:color w:val="auto"/>
          <w:sz w:val="24"/>
          <w:highlight w:val="none"/>
        </w:rPr>
      </w:pPr>
      <w:r>
        <w:rPr>
          <w:rFonts w:hint="eastAsia" w:ascii="宋体" w:hAnsi="宋体"/>
          <w:color w:val="auto"/>
          <w:sz w:val="24"/>
          <w:highlight w:val="none"/>
        </w:rPr>
        <w:t>本企业对上述声明内容的真实性负责。如有虚假，将依法承担相应责任。</w:t>
      </w:r>
    </w:p>
    <w:p w14:paraId="2C805AD0">
      <w:pPr>
        <w:pStyle w:val="12"/>
        <w:spacing w:after="0" w:line="360" w:lineRule="auto"/>
        <w:ind w:left="3960" w:right="1808"/>
        <w:contextualSpacing/>
        <w:rPr>
          <w:rFonts w:ascii="宋体" w:hAnsi="宋体"/>
          <w:color w:val="auto"/>
          <w:sz w:val="24"/>
          <w:highlight w:val="none"/>
        </w:rPr>
      </w:pPr>
    </w:p>
    <w:p w14:paraId="53289BAD">
      <w:pPr>
        <w:pStyle w:val="12"/>
        <w:spacing w:after="0" w:line="360" w:lineRule="auto"/>
        <w:ind w:right="1808" w:firstLine="3360" w:firstLineChars="1400"/>
        <w:contextualSpacing/>
        <w:rPr>
          <w:rFonts w:ascii="宋体" w:hAnsi="宋体"/>
          <w:color w:val="auto"/>
          <w:sz w:val="24"/>
          <w:highlight w:val="none"/>
        </w:rPr>
      </w:pPr>
      <w:r>
        <w:rPr>
          <w:rFonts w:hint="eastAsia" w:ascii="宋体" w:hAnsi="宋体"/>
          <w:color w:val="auto"/>
          <w:sz w:val="24"/>
          <w:highlight w:val="none"/>
        </w:rPr>
        <w:t>企业名称（</w:t>
      </w:r>
      <w:r>
        <w:rPr>
          <w:rFonts w:hint="eastAsia" w:ascii="宋体" w:hAnsi="宋体" w:cs="仿宋_GB2312"/>
          <w:color w:val="auto"/>
          <w:sz w:val="24"/>
          <w:highlight w:val="none"/>
        </w:rPr>
        <w:t>电子签章</w:t>
      </w:r>
      <w:r>
        <w:rPr>
          <w:rFonts w:hint="eastAsia" w:ascii="宋体" w:hAnsi="宋体"/>
          <w:color w:val="auto"/>
          <w:sz w:val="24"/>
          <w:highlight w:val="none"/>
        </w:rPr>
        <w:t>）：</w:t>
      </w:r>
    </w:p>
    <w:p w14:paraId="57E92BF0">
      <w:pPr>
        <w:pStyle w:val="12"/>
        <w:spacing w:after="0" w:line="360" w:lineRule="auto"/>
        <w:ind w:left="3960" w:right="1808"/>
        <w:contextualSpacing/>
        <w:rPr>
          <w:rFonts w:ascii="宋体" w:hAnsi="宋体"/>
          <w:color w:val="auto"/>
          <w:sz w:val="24"/>
          <w:highlight w:val="none"/>
        </w:rPr>
      </w:pPr>
      <w:r>
        <w:rPr>
          <w:rFonts w:hint="eastAsia" w:ascii="宋体" w:hAnsi="宋体"/>
          <w:color w:val="auto"/>
          <w:sz w:val="24"/>
          <w:highlight w:val="none"/>
        </w:rPr>
        <w:t>日期：</w:t>
      </w:r>
    </w:p>
    <w:p w14:paraId="27478C34">
      <w:pPr>
        <w:pStyle w:val="12"/>
        <w:spacing w:after="0" w:line="360" w:lineRule="auto"/>
        <w:ind w:left="3960" w:right="1808"/>
        <w:contextualSpacing/>
        <w:rPr>
          <w:color w:val="auto"/>
          <w:highlight w:val="none"/>
        </w:rPr>
      </w:pPr>
    </w:p>
    <w:p w14:paraId="7EDA5D96">
      <w:pPr>
        <w:spacing w:line="360" w:lineRule="auto"/>
        <w:jc w:val="left"/>
        <w:rPr>
          <w:rFonts w:ascii="宋体" w:hAnsi="宋体" w:cs="仿宋_GB2312"/>
          <w:color w:val="auto"/>
          <w:sz w:val="24"/>
          <w:highlight w:val="none"/>
        </w:rPr>
      </w:pPr>
      <w:r>
        <w:rPr>
          <w:rFonts w:hint="eastAsia" w:ascii="宋体" w:hAnsi="宋体" w:cs="仿宋_GB2312"/>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1A453443">
      <w:pPr>
        <w:spacing w:line="360" w:lineRule="auto"/>
        <w:jc w:val="center"/>
        <w:rPr>
          <w:rFonts w:ascii="宋体" w:hAnsi="宋体" w:cs="仿宋_GB2312"/>
          <w:b/>
          <w:color w:val="auto"/>
          <w:sz w:val="32"/>
          <w:szCs w:val="32"/>
          <w:highlight w:val="none"/>
        </w:rPr>
      </w:pPr>
      <w:r>
        <w:rPr>
          <w:rFonts w:hint="eastAsia" w:ascii="宋体" w:hAnsi="宋体"/>
          <w:color w:val="auto"/>
          <w:sz w:val="24"/>
          <w:highlight w:val="none"/>
        </w:rPr>
        <w:br w:type="page"/>
      </w:r>
      <w:r>
        <w:rPr>
          <w:rFonts w:hint="eastAsia" w:ascii="宋体" w:hAnsi="宋体" w:cs="Arial Unicode MS"/>
          <w:b/>
          <w:color w:val="auto"/>
          <w:sz w:val="44"/>
          <w:szCs w:val="44"/>
          <w:highlight w:val="none"/>
        </w:rPr>
        <w:t>残疾人福利性单位声明函</w:t>
      </w:r>
    </w:p>
    <w:p w14:paraId="6BF2B00D">
      <w:pPr>
        <w:spacing w:line="520" w:lineRule="exact"/>
        <w:rPr>
          <w:rFonts w:ascii="仿宋_GB2312" w:hAnsi="仿宋_GB2312" w:eastAsia="仿宋_GB2312" w:cs="仿宋_GB2312"/>
          <w:color w:val="auto"/>
          <w:sz w:val="32"/>
          <w:szCs w:val="32"/>
          <w:highlight w:val="none"/>
        </w:rPr>
      </w:pPr>
    </w:p>
    <w:p w14:paraId="5858C806">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本单位郑重声明，根据《财政部民政部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60FE7E32">
      <w:pPr>
        <w:spacing w:line="360" w:lineRule="auto"/>
        <w:ind w:firstLine="480" w:firstLineChars="200"/>
        <w:rPr>
          <w:rFonts w:ascii="宋体" w:hAnsi="宋体" w:cs="仿宋_GB2312"/>
          <w:color w:val="auto"/>
          <w:sz w:val="24"/>
          <w:highlight w:val="none"/>
        </w:rPr>
      </w:pPr>
      <w:r>
        <w:rPr>
          <w:rFonts w:hint="eastAsia" w:ascii="宋体" w:hAnsi="宋体" w:cs="仿宋_GB2312"/>
          <w:color w:val="auto"/>
          <w:sz w:val="24"/>
          <w:highlight w:val="none"/>
        </w:rPr>
        <w:t>本单位对上述声明的真实性负责。如有虚假，将依法承担相应责任。</w:t>
      </w:r>
    </w:p>
    <w:p w14:paraId="1E3C3336">
      <w:pPr>
        <w:spacing w:line="360" w:lineRule="auto"/>
        <w:rPr>
          <w:rFonts w:ascii="宋体" w:hAnsi="宋体" w:cs="仿宋_GB2312"/>
          <w:color w:val="auto"/>
          <w:sz w:val="24"/>
          <w:highlight w:val="none"/>
        </w:rPr>
      </w:pPr>
    </w:p>
    <w:p w14:paraId="06855971">
      <w:pPr>
        <w:spacing w:line="360" w:lineRule="auto"/>
        <w:rPr>
          <w:rFonts w:ascii="宋体" w:hAnsi="宋体" w:cs="仿宋_GB2312"/>
          <w:color w:val="auto"/>
          <w:sz w:val="24"/>
          <w:highlight w:val="none"/>
        </w:rPr>
      </w:pPr>
    </w:p>
    <w:p w14:paraId="44C4E7B7">
      <w:pPr>
        <w:spacing w:line="360" w:lineRule="auto"/>
        <w:rPr>
          <w:rFonts w:ascii="宋体" w:hAnsi="宋体" w:cs="仿宋_GB2312"/>
          <w:color w:val="auto"/>
          <w:sz w:val="24"/>
          <w:highlight w:val="none"/>
        </w:rPr>
      </w:pPr>
    </w:p>
    <w:p w14:paraId="50FA4300">
      <w:pPr>
        <w:spacing w:line="360" w:lineRule="auto"/>
        <w:ind w:firstLine="2400" w:firstLineChars="1000"/>
        <w:rPr>
          <w:rFonts w:ascii="宋体" w:hAnsi="宋体" w:cs="仿宋_GB2312"/>
          <w:color w:val="auto"/>
          <w:sz w:val="24"/>
          <w:highlight w:val="none"/>
        </w:rPr>
      </w:pPr>
      <w:r>
        <w:rPr>
          <w:rFonts w:hint="eastAsia" w:ascii="宋体" w:hAnsi="宋体" w:cs="仿宋_GB2312"/>
          <w:color w:val="auto"/>
          <w:sz w:val="24"/>
          <w:highlight w:val="none"/>
        </w:rPr>
        <w:t>单位名称（电子签章）：</w:t>
      </w:r>
    </w:p>
    <w:p w14:paraId="2BE949F1">
      <w:pPr>
        <w:spacing w:line="360" w:lineRule="auto"/>
        <w:ind w:firstLine="3600" w:firstLineChars="1500"/>
        <w:rPr>
          <w:rFonts w:ascii="宋体" w:hAnsi="宋体" w:cs="仿宋_GB2312"/>
          <w:color w:val="auto"/>
          <w:sz w:val="24"/>
          <w:highlight w:val="none"/>
        </w:rPr>
      </w:pPr>
      <w:r>
        <w:rPr>
          <w:rFonts w:hint="eastAsia" w:ascii="宋体" w:hAnsi="宋体" w:cs="仿宋_GB2312"/>
          <w:color w:val="auto"/>
          <w:sz w:val="24"/>
          <w:highlight w:val="none"/>
        </w:rPr>
        <w:t>日期：</w:t>
      </w:r>
    </w:p>
    <w:p w14:paraId="2FC66E74">
      <w:pPr>
        <w:spacing w:line="360" w:lineRule="auto"/>
        <w:rPr>
          <w:rFonts w:ascii="宋体" w:hAnsi="宋体" w:cs="仿宋_GB2312"/>
          <w:color w:val="auto"/>
          <w:sz w:val="24"/>
          <w:highlight w:val="none"/>
        </w:rPr>
      </w:pPr>
    </w:p>
    <w:p w14:paraId="6A88320D">
      <w:pPr>
        <w:spacing w:line="360" w:lineRule="auto"/>
        <w:rPr>
          <w:rFonts w:ascii="宋体" w:hAnsi="宋体" w:cs="仿宋_GB2312"/>
          <w:color w:val="auto"/>
          <w:sz w:val="24"/>
          <w:highlight w:val="none"/>
        </w:rPr>
      </w:pPr>
    </w:p>
    <w:p w14:paraId="05F51BBB">
      <w:pPr>
        <w:spacing w:line="360" w:lineRule="auto"/>
        <w:rPr>
          <w:rFonts w:ascii="宋体" w:hAnsi="宋体" w:cs="仿宋_GB2312"/>
          <w:color w:val="auto"/>
          <w:sz w:val="24"/>
          <w:highlight w:val="none"/>
        </w:rPr>
      </w:pPr>
    </w:p>
    <w:p w14:paraId="273583D7">
      <w:pPr>
        <w:spacing w:line="360" w:lineRule="auto"/>
        <w:rPr>
          <w:rFonts w:ascii="宋体" w:hAnsi="宋体"/>
          <w:b/>
          <w:bCs/>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注：请根据自己的真实情况出具《残疾人福利性单位声明函》。依法享受中小企业扶持政策的，采购人或者采购代理机构在公告成交结果时，同时公告其《残疾人福利性单位声明函》，接受社会监督。</w:t>
      </w:r>
    </w:p>
    <w:p w14:paraId="4B0F9DB4">
      <w:pPr>
        <w:widowControl/>
        <w:shd w:val="clear" w:color="auto" w:fill="FFFFFF"/>
        <w:jc w:val="center"/>
        <w:rPr>
          <w:rFonts w:ascii="宋体" w:hAnsi="宋体" w:cs="宋体"/>
          <w:b/>
          <w:bCs/>
          <w:color w:val="auto"/>
          <w:kern w:val="0"/>
          <w:sz w:val="36"/>
          <w:szCs w:val="36"/>
          <w:highlight w:val="none"/>
        </w:rPr>
      </w:pPr>
    </w:p>
    <w:p w14:paraId="3121F0FC">
      <w:pPr>
        <w:widowControl/>
        <w:shd w:val="clear" w:color="auto" w:fill="FFFFFF"/>
        <w:jc w:val="center"/>
        <w:rPr>
          <w:rFonts w:ascii="宋体" w:hAnsi="宋体" w:cs="宋体"/>
          <w:b/>
          <w:bCs/>
          <w:color w:val="auto"/>
          <w:kern w:val="0"/>
          <w:sz w:val="36"/>
          <w:szCs w:val="36"/>
          <w:highlight w:val="none"/>
        </w:rPr>
      </w:pPr>
    </w:p>
    <w:p w14:paraId="7E26D147">
      <w:pPr>
        <w:widowControl/>
        <w:shd w:val="clear" w:color="auto" w:fill="FFFFFF"/>
        <w:jc w:val="center"/>
        <w:rPr>
          <w:rFonts w:ascii="宋体" w:hAnsi="宋体" w:cs="宋体"/>
          <w:b/>
          <w:bCs/>
          <w:color w:val="auto"/>
          <w:kern w:val="0"/>
          <w:sz w:val="36"/>
          <w:szCs w:val="36"/>
          <w:highlight w:val="none"/>
        </w:rPr>
      </w:pPr>
    </w:p>
    <w:p w14:paraId="323799EA">
      <w:pPr>
        <w:widowControl/>
        <w:shd w:val="clear" w:color="auto" w:fill="FFFFFF"/>
        <w:jc w:val="center"/>
        <w:rPr>
          <w:rFonts w:ascii="宋体" w:hAnsi="宋体" w:cs="宋体"/>
          <w:b/>
          <w:bCs/>
          <w:color w:val="auto"/>
          <w:kern w:val="0"/>
          <w:sz w:val="36"/>
          <w:szCs w:val="36"/>
          <w:highlight w:val="none"/>
        </w:rPr>
      </w:pPr>
    </w:p>
    <w:p w14:paraId="1A186912">
      <w:pPr>
        <w:widowControl/>
        <w:shd w:val="clear" w:color="auto" w:fill="FFFFFF"/>
        <w:jc w:val="center"/>
        <w:rPr>
          <w:rFonts w:ascii="宋体" w:hAnsi="宋体" w:cs="宋体"/>
          <w:b/>
          <w:bCs/>
          <w:color w:val="auto"/>
          <w:kern w:val="0"/>
          <w:sz w:val="36"/>
          <w:szCs w:val="36"/>
          <w:highlight w:val="none"/>
        </w:rPr>
      </w:pPr>
    </w:p>
    <w:p w14:paraId="3583A0D2">
      <w:pPr>
        <w:widowControl/>
        <w:shd w:val="clear" w:color="auto" w:fill="FFFFFF"/>
        <w:jc w:val="center"/>
        <w:rPr>
          <w:rFonts w:ascii="宋体" w:hAnsi="宋体" w:cs="宋体"/>
          <w:b/>
          <w:bCs/>
          <w:color w:val="auto"/>
          <w:kern w:val="0"/>
          <w:sz w:val="36"/>
          <w:szCs w:val="36"/>
          <w:highlight w:val="none"/>
        </w:rPr>
      </w:pPr>
    </w:p>
    <w:p w14:paraId="15BD647E">
      <w:pPr>
        <w:widowControl/>
        <w:shd w:val="clear" w:color="auto" w:fill="FFFFFF"/>
        <w:jc w:val="center"/>
        <w:rPr>
          <w:rFonts w:ascii="宋体" w:hAnsi="宋体" w:cs="宋体"/>
          <w:b/>
          <w:bCs/>
          <w:color w:val="auto"/>
          <w:kern w:val="0"/>
          <w:sz w:val="36"/>
          <w:szCs w:val="36"/>
          <w:highlight w:val="none"/>
        </w:rPr>
      </w:pPr>
    </w:p>
    <w:p w14:paraId="1DC50533">
      <w:pPr>
        <w:widowControl/>
        <w:shd w:val="clear" w:color="auto" w:fill="FFFFFF"/>
        <w:jc w:val="center"/>
        <w:rPr>
          <w:rFonts w:ascii="宋体" w:hAnsi="宋体" w:cs="宋体"/>
          <w:b/>
          <w:bCs/>
          <w:color w:val="auto"/>
          <w:kern w:val="0"/>
          <w:sz w:val="36"/>
          <w:szCs w:val="36"/>
          <w:highlight w:val="none"/>
        </w:rPr>
      </w:pPr>
    </w:p>
    <w:p w14:paraId="2A653DAF">
      <w:pPr>
        <w:widowControl/>
        <w:shd w:val="clear" w:color="auto" w:fill="FFFFFF"/>
        <w:jc w:val="center"/>
        <w:rPr>
          <w:rFonts w:ascii="宋体" w:hAnsi="宋体" w:cs="宋体"/>
          <w:b/>
          <w:bCs/>
          <w:color w:val="auto"/>
          <w:kern w:val="0"/>
          <w:sz w:val="36"/>
          <w:szCs w:val="36"/>
          <w:highlight w:val="none"/>
        </w:rPr>
      </w:pPr>
    </w:p>
    <w:p w14:paraId="08FC3958">
      <w:pPr>
        <w:widowControl/>
        <w:shd w:val="clear" w:color="auto" w:fill="FFFFFF"/>
        <w:jc w:val="center"/>
        <w:rPr>
          <w:rFonts w:ascii="宋体" w:hAnsi="宋体" w:cs="宋体"/>
          <w:b/>
          <w:bCs/>
          <w:color w:val="auto"/>
          <w:kern w:val="0"/>
          <w:sz w:val="36"/>
          <w:szCs w:val="36"/>
          <w:highlight w:val="none"/>
        </w:rPr>
      </w:pPr>
    </w:p>
    <w:p w14:paraId="4F30A57B">
      <w:pPr>
        <w:widowControl/>
        <w:shd w:val="clear" w:color="auto" w:fill="FFFFFF"/>
        <w:jc w:val="center"/>
        <w:rPr>
          <w:rFonts w:ascii="宋体" w:hAnsi="宋体" w:cs="宋体"/>
          <w:color w:val="auto"/>
          <w:kern w:val="0"/>
          <w:sz w:val="36"/>
          <w:szCs w:val="36"/>
          <w:highlight w:val="none"/>
        </w:rPr>
      </w:pPr>
      <w:r>
        <w:rPr>
          <w:rFonts w:hint="eastAsia" w:ascii="宋体" w:hAnsi="宋体" w:cs="宋体"/>
          <w:b/>
          <w:bCs/>
          <w:color w:val="auto"/>
          <w:kern w:val="0"/>
          <w:sz w:val="36"/>
          <w:szCs w:val="36"/>
          <w:highlight w:val="none"/>
        </w:rPr>
        <w:t>关于符合本国产品标准的声明函</w:t>
      </w:r>
    </w:p>
    <w:p w14:paraId="18494896">
      <w:pPr>
        <w:widowControl/>
        <w:shd w:val="clear" w:color="auto" w:fill="FFFFFF"/>
        <w:spacing w:before="30" w:after="30"/>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 </w:t>
      </w:r>
    </w:p>
    <w:p w14:paraId="4E72615B">
      <w:pPr>
        <w:widowControl/>
        <w:shd w:val="clear" w:color="auto" w:fill="FFFFFF"/>
        <w:spacing w:before="30" w:after="30"/>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150DC91C">
      <w:pPr>
        <w:widowControl/>
        <w:shd w:val="clear" w:color="auto" w:fill="FFFFFF"/>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1.</w:t>
      </w:r>
      <w:r>
        <w:rPr>
          <w:rFonts w:hint="eastAsia" w:ascii="宋体" w:hAnsi="宋体" w:cs="宋体"/>
          <w:i/>
          <w:iCs/>
          <w:color w:val="auto"/>
          <w:kern w:val="0"/>
          <w:sz w:val="24"/>
          <w:highlight w:val="none"/>
          <w:u w:val="single"/>
        </w:rPr>
        <w:t>（产品名称1）</w:t>
      </w:r>
      <w:r>
        <w:rPr>
          <w:rFonts w:hint="eastAsia" w:ascii="宋体" w:hAnsi="宋体" w:cs="宋体"/>
          <w:i/>
          <w:iCs/>
          <w:color w:val="auto"/>
          <w:kern w:val="0"/>
          <w:sz w:val="18"/>
          <w:szCs w:val="18"/>
          <w:highlight w:val="none"/>
          <w:vertAlign w:val="superscript"/>
        </w:rPr>
        <w:t>1</w:t>
      </w:r>
      <w:r>
        <w:rPr>
          <w:rFonts w:hint="eastAsia" w:ascii="宋体" w:hAnsi="宋体" w:cs="宋体"/>
          <w:color w:val="auto"/>
          <w:kern w:val="0"/>
          <w:sz w:val="24"/>
          <w:highlight w:val="none"/>
        </w:rPr>
        <w:t>，生产厂为</w:t>
      </w:r>
      <w:r>
        <w:rPr>
          <w:rFonts w:hint="eastAsia" w:ascii="宋体" w:hAnsi="宋体" w:cs="宋体"/>
          <w:i/>
          <w:iCs/>
          <w:color w:val="auto"/>
          <w:kern w:val="0"/>
          <w:sz w:val="24"/>
          <w:highlight w:val="none"/>
          <w:u w:val="single"/>
        </w:rPr>
        <w:t>（厂名）</w:t>
      </w:r>
      <w:r>
        <w:rPr>
          <w:rFonts w:hint="eastAsia" w:ascii="宋体" w:hAnsi="宋体" w:cs="宋体"/>
          <w:i/>
          <w:iCs/>
          <w:color w:val="auto"/>
          <w:kern w:val="0"/>
          <w:sz w:val="18"/>
          <w:szCs w:val="18"/>
          <w:highlight w:val="none"/>
          <w:vertAlign w:val="superscript"/>
        </w:rPr>
        <w:t>2</w:t>
      </w:r>
      <w:r>
        <w:rPr>
          <w:rFonts w:hint="eastAsia" w:ascii="宋体" w:hAnsi="宋体" w:cs="宋体"/>
          <w:color w:val="auto"/>
          <w:kern w:val="0"/>
          <w:sz w:val="24"/>
          <w:highlight w:val="none"/>
        </w:rPr>
        <w:t>，厂址为</w:t>
      </w:r>
      <w:r>
        <w:rPr>
          <w:rFonts w:hint="eastAsia" w:ascii="宋体" w:hAnsi="宋体" w:cs="宋体"/>
          <w:i/>
          <w:iCs/>
          <w:color w:val="auto"/>
          <w:kern w:val="0"/>
          <w:sz w:val="24"/>
          <w:highlight w:val="none"/>
          <w:u w:val="single"/>
        </w:rPr>
        <w:t>（生产厂址）</w:t>
      </w:r>
      <w:r>
        <w:rPr>
          <w:rFonts w:hint="eastAsia" w:ascii="宋体" w:hAnsi="宋体" w:cs="宋体"/>
          <w:color w:val="auto"/>
          <w:kern w:val="0"/>
          <w:sz w:val="24"/>
          <w:highlight w:val="none"/>
        </w:rPr>
        <w:t>。</w:t>
      </w:r>
      <w:r>
        <w:rPr>
          <w:rFonts w:hint="eastAsia" w:ascii="宋体" w:hAnsi="宋体" w:cs="宋体"/>
          <w:i/>
          <w:iCs/>
          <w:color w:val="auto"/>
          <w:kern w:val="0"/>
          <w:sz w:val="24"/>
          <w:highlight w:val="none"/>
          <w:u w:val="single"/>
        </w:rPr>
        <w:t>（产品名称1）</w:t>
      </w:r>
      <w:r>
        <w:rPr>
          <w:rFonts w:hint="eastAsia" w:ascii="宋体" w:hAnsi="宋体" w:cs="宋体"/>
          <w:color w:val="auto"/>
          <w:kern w:val="0"/>
          <w:sz w:val="24"/>
          <w:highlight w:val="none"/>
        </w:rPr>
        <w:t>的中国境内生产的组件成本占比≥</w:t>
      </w:r>
      <w:r>
        <w:rPr>
          <w:rFonts w:hint="eastAsia" w:ascii="宋体" w:hAnsi="宋体" w:cs="宋体"/>
          <w:i/>
          <w:iCs/>
          <w:color w:val="auto"/>
          <w:kern w:val="0"/>
          <w:sz w:val="24"/>
          <w:highlight w:val="none"/>
          <w:u w:val="single"/>
        </w:rPr>
        <w:t>（规定比例）</w:t>
      </w:r>
      <w:r>
        <w:rPr>
          <w:rFonts w:hint="eastAsia" w:ascii="宋体" w:hAnsi="宋体" w:cs="宋体"/>
          <w:i/>
          <w:iCs/>
          <w:color w:val="auto"/>
          <w:kern w:val="0"/>
          <w:sz w:val="18"/>
          <w:szCs w:val="18"/>
          <w:highlight w:val="none"/>
          <w:vertAlign w:val="superscript"/>
        </w:rPr>
        <w:t>3</w:t>
      </w:r>
      <w:r>
        <w:rPr>
          <w:rFonts w:hint="eastAsia" w:ascii="宋体" w:hAnsi="宋体" w:cs="宋体"/>
          <w:color w:val="auto"/>
          <w:kern w:val="0"/>
          <w:sz w:val="24"/>
          <w:highlight w:val="none"/>
        </w:rPr>
        <w:t>。</w:t>
      </w:r>
      <w:r>
        <w:rPr>
          <w:rFonts w:hint="eastAsia" w:ascii="宋体" w:hAnsi="宋体" w:cs="宋体"/>
          <w:i/>
          <w:iCs/>
          <w:color w:val="auto"/>
          <w:kern w:val="0"/>
          <w:sz w:val="24"/>
          <w:highlight w:val="none"/>
          <w:u w:val="single"/>
        </w:rPr>
        <w:t>（产品名称1）</w:t>
      </w:r>
      <w:r>
        <w:rPr>
          <w:rFonts w:hint="eastAsia" w:ascii="宋体" w:hAnsi="宋体" w:cs="宋体"/>
          <w:color w:val="auto"/>
          <w:kern w:val="0"/>
          <w:sz w:val="24"/>
          <w:highlight w:val="none"/>
        </w:rPr>
        <w:t>的</w:t>
      </w:r>
      <w:r>
        <w:rPr>
          <w:rFonts w:hint="eastAsia" w:ascii="宋体" w:hAnsi="宋体" w:cs="宋体"/>
          <w:i/>
          <w:iCs/>
          <w:color w:val="auto"/>
          <w:kern w:val="0"/>
          <w:sz w:val="24"/>
          <w:highlight w:val="none"/>
          <w:u w:val="single"/>
        </w:rPr>
        <w:t>（关键组件）</w:t>
      </w:r>
      <w:r>
        <w:rPr>
          <w:rFonts w:hint="eastAsia" w:ascii="宋体" w:hAnsi="宋体" w:cs="宋体"/>
          <w:i/>
          <w:iCs/>
          <w:color w:val="auto"/>
          <w:kern w:val="0"/>
          <w:sz w:val="18"/>
          <w:szCs w:val="18"/>
          <w:highlight w:val="none"/>
          <w:vertAlign w:val="superscript"/>
        </w:rPr>
        <w:t>4</w:t>
      </w:r>
      <w:r>
        <w:rPr>
          <w:rFonts w:hint="eastAsia" w:ascii="宋体" w:hAnsi="宋体" w:cs="宋体"/>
          <w:color w:val="auto"/>
          <w:kern w:val="0"/>
          <w:sz w:val="24"/>
          <w:highlight w:val="none"/>
        </w:rPr>
        <w:t>在中国境内生产。</w:t>
      </w:r>
      <w:r>
        <w:rPr>
          <w:rFonts w:hint="eastAsia" w:ascii="宋体" w:hAnsi="宋体" w:cs="宋体"/>
          <w:i/>
          <w:iCs/>
          <w:color w:val="auto"/>
          <w:kern w:val="0"/>
          <w:sz w:val="24"/>
          <w:highlight w:val="none"/>
          <w:u w:val="single"/>
        </w:rPr>
        <w:t>（产品名称1）</w:t>
      </w:r>
      <w:r>
        <w:rPr>
          <w:rFonts w:hint="eastAsia" w:ascii="宋体" w:hAnsi="宋体" w:cs="宋体"/>
          <w:color w:val="auto"/>
          <w:kern w:val="0"/>
          <w:sz w:val="24"/>
          <w:highlight w:val="none"/>
        </w:rPr>
        <w:t>的</w:t>
      </w:r>
      <w:r>
        <w:rPr>
          <w:rFonts w:hint="eastAsia" w:ascii="宋体" w:hAnsi="宋体" w:cs="宋体"/>
          <w:i/>
          <w:iCs/>
          <w:color w:val="auto"/>
          <w:kern w:val="0"/>
          <w:sz w:val="24"/>
          <w:highlight w:val="none"/>
          <w:u w:val="single"/>
        </w:rPr>
        <w:t>（关键工序）</w:t>
      </w:r>
      <w:r>
        <w:rPr>
          <w:rFonts w:hint="eastAsia" w:ascii="宋体" w:hAnsi="宋体" w:cs="宋体"/>
          <w:i/>
          <w:iCs/>
          <w:color w:val="auto"/>
          <w:kern w:val="0"/>
          <w:sz w:val="18"/>
          <w:szCs w:val="18"/>
          <w:highlight w:val="none"/>
          <w:vertAlign w:val="superscript"/>
        </w:rPr>
        <w:t>5</w:t>
      </w:r>
      <w:r>
        <w:rPr>
          <w:rFonts w:hint="eastAsia" w:ascii="宋体" w:hAnsi="宋体" w:cs="宋体"/>
          <w:color w:val="auto"/>
          <w:kern w:val="0"/>
          <w:sz w:val="24"/>
          <w:highlight w:val="none"/>
        </w:rPr>
        <w:t>在中国境内完成。</w:t>
      </w:r>
    </w:p>
    <w:p w14:paraId="4CE903F9">
      <w:pPr>
        <w:widowControl/>
        <w:shd w:val="clear" w:color="auto" w:fill="FFFFFF"/>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2.</w:t>
      </w:r>
      <w:r>
        <w:rPr>
          <w:rFonts w:hint="eastAsia" w:ascii="宋体" w:hAnsi="宋体" w:cs="宋体"/>
          <w:i/>
          <w:iCs/>
          <w:color w:val="auto"/>
          <w:kern w:val="0"/>
          <w:sz w:val="24"/>
          <w:highlight w:val="none"/>
          <w:u w:val="single"/>
        </w:rPr>
        <w:t>（产品名称2）</w:t>
      </w:r>
      <w:r>
        <w:rPr>
          <w:rFonts w:hint="eastAsia" w:ascii="宋体" w:hAnsi="宋体" w:cs="宋体"/>
          <w:color w:val="auto"/>
          <w:kern w:val="0"/>
          <w:sz w:val="24"/>
          <w:highlight w:val="none"/>
        </w:rPr>
        <w:t>，生产厂为</w:t>
      </w:r>
      <w:r>
        <w:rPr>
          <w:rFonts w:hint="eastAsia" w:ascii="宋体" w:hAnsi="宋体" w:cs="宋体"/>
          <w:i/>
          <w:iCs/>
          <w:color w:val="auto"/>
          <w:kern w:val="0"/>
          <w:sz w:val="24"/>
          <w:highlight w:val="none"/>
          <w:u w:val="single"/>
        </w:rPr>
        <w:t>（厂名）</w:t>
      </w:r>
      <w:r>
        <w:rPr>
          <w:rFonts w:hint="eastAsia" w:ascii="宋体" w:hAnsi="宋体" w:cs="宋体"/>
          <w:color w:val="auto"/>
          <w:kern w:val="0"/>
          <w:sz w:val="24"/>
          <w:highlight w:val="none"/>
        </w:rPr>
        <w:t>，厂址为</w:t>
      </w:r>
      <w:r>
        <w:rPr>
          <w:rFonts w:hint="eastAsia" w:ascii="宋体" w:hAnsi="宋体" w:cs="宋体"/>
          <w:i/>
          <w:iCs/>
          <w:color w:val="auto"/>
          <w:kern w:val="0"/>
          <w:sz w:val="24"/>
          <w:highlight w:val="none"/>
          <w:u w:val="single"/>
        </w:rPr>
        <w:t>（生产厂址）</w:t>
      </w:r>
      <w:r>
        <w:rPr>
          <w:rFonts w:hint="eastAsia" w:ascii="宋体" w:hAnsi="宋体" w:cs="宋体"/>
          <w:color w:val="auto"/>
          <w:kern w:val="0"/>
          <w:sz w:val="24"/>
          <w:highlight w:val="none"/>
        </w:rPr>
        <w:t>。</w:t>
      </w:r>
      <w:r>
        <w:rPr>
          <w:rFonts w:hint="eastAsia" w:ascii="宋体" w:hAnsi="宋体" w:cs="宋体"/>
          <w:i/>
          <w:iCs/>
          <w:color w:val="auto"/>
          <w:kern w:val="0"/>
          <w:sz w:val="24"/>
          <w:highlight w:val="none"/>
          <w:u w:val="single"/>
        </w:rPr>
        <w:t>（产品名称2）</w:t>
      </w:r>
      <w:r>
        <w:rPr>
          <w:rFonts w:hint="eastAsia" w:ascii="宋体" w:hAnsi="宋体" w:cs="宋体"/>
          <w:color w:val="auto"/>
          <w:kern w:val="0"/>
          <w:sz w:val="24"/>
          <w:highlight w:val="none"/>
        </w:rPr>
        <w:t>的中国境内生产的组件成本占比≥</w:t>
      </w:r>
      <w:r>
        <w:rPr>
          <w:rFonts w:hint="eastAsia" w:ascii="宋体" w:hAnsi="宋体" w:cs="宋体"/>
          <w:i/>
          <w:iCs/>
          <w:color w:val="auto"/>
          <w:kern w:val="0"/>
          <w:sz w:val="24"/>
          <w:highlight w:val="none"/>
          <w:u w:val="single"/>
        </w:rPr>
        <w:t>（规定比例）</w:t>
      </w:r>
      <w:r>
        <w:rPr>
          <w:rFonts w:hint="eastAsia" w:ascii="宋体" w:hAnsi="宋体" w:cs="宋体"/>
          <w:color w:val="auto"/>
          <w:kern w:val="0"/>
          <w:sz w:val="24"/>
          <w:highlight w:val="none"/>
        </w:rPr>
        <w:t>。</w:t>
      </w:r>
      <w:r>
        <w:rPr>
          <w:rFonts w:hint="eastAsia" w:ascii="宋体" w:hAnsi="宋体" w:cs="宋体"/>
          <w:i/>
          <w:iCs/>
          <w:color w:val="auto"/>
          <w:kern w:val="0"/>
          <w:sz w:val="24"/>
          <w:highlight w:val="none"/>
          <w:u w:val="single"/>
        </w:rPr>
        <w:t>（产品名称2）</w:t>
      </w:r>
      <w:r>
        <w:rPr>
          <w:rFonts w:hint="eastAsia" w:ascii="宋体" w:hAnsi="宋体" w:cs="宋体"/>
          <w:color w:val="auto"/>
          <w:kern w:val="0"/>
          <w:sz w:val="24"/>
          <w:highlight w:val="none"/>
        </w:rPr>
        <w:t>的</w:t>
      </w:r>
      <w:r>
        <w:rPr>
          <w:rFonts w:hint="eastAsia" w:ascii="宋体" w:hAnsi="宋体" w:cs="宋体"/>
          <w:i/>
          <w:iCs/>
          <w:color w:val="auto"/>
          <w:kern w:val="0"/>
          <w:sz w:val="24"/>
          <w:highlight w:val="none"/>
          <w:u w:val="single"/>
        </w:rPr>
        <w:t>（关键组件）</w:t>
      </w:r>
      <w:r>
        <w:rPr>
          <w:rFonts w:hint="eastAsia" w:ascii="宋体" w:hAnsi="宋体" w:cs="宋体"/>
          <w:color w:val="auto"/>
          <w:kern w:val="0"/>
          <w:sz w:val="24"/>
          <w:highlight w:val="none"/>
        </w:rPr>
        <w:t>在中国境内生产。</w:t>
      </w:r>
      <w:r>
        <w:rPr>
          <w:rFonts w:hint="eastAsia" w:ascii="宋体" w:hAnsi="宋体" w:cs="宋体"/>
          <w:i/>
          <w:iCs/>
          <w:color w:val="auto"/>
          <w:kern w:val="0"/>
          <w:sz w:val="24"/>
          <w:highlight w:val="none"/>
          <w:u w:val="single"/>
        </w:rPr>
        <w:t>（产品名称2）</w:t>
      </w:r>
      <w:r>
        <w:rPr>
          <w:rFonts w:hint="eastAsia" w:ascii="宋体" w:hAnsi="宋体" w:cs="宋体"/>
          <w:color w:val="auto"/>
          <w:kern w:val="0"/>
          <w:sz w:val="24"/>
          <w:highlight w:val="none"/>
        </w:rPr>
        <w:t>的</w:t>
      </w:r>
      <w:r>
        <w:rPr>
          <w:rFonts w:hint="eastAsia" w:ascii="宋体" w:hAnsi="宋体" w:cs="宋体"/>
          <w:i/>
          <w:iCs/>
          <w:color w:val="auto"/>
          <w:kern w:val="0"/>
          <w:sz w:val="24"/>
          <w:highlight w:val="none"/>
          <w:u w:val="single"/>
        </w:rPr>
        <w:t>（关键工序）</w:t>
      </w:r>
      <w:r>
        <w:rPr>
          <w:rFonts w:hint="eastAsia" w:ascii="宋体" w:hAnsi="宋体" w:cs="宋体"/>
          <w:color w:val="auto"/>
          <w:kern w:val="0"/>
          <w:sz w:val="24"/>
          <w:highlight w:val="none"/>
        </w:rPr>
        <w:t>在中国境内完成。</w:t>
      </w:r>
    </w:p>
    <w:p w14:paraId="224A4844">
      <w:pPr>
        <w:widowControl/>
        <w:shd w:val="clear" w:color="auto" w:fill="FFFFFF"/>
        <w:spacing w:before="30" w:after="30"/>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w:t>
      </w:r>
    </w:p>
    <w:p w14:paraId="16C32642">
      <w:pPr>
        <w:widowControl/>
        <w:shd w:val="clear" w:color="auto" w:fill="FFFFFF"/>
        <w:spacing w:before="30" w:after="30"/>
        <w:ind w:firstLine="480"/>
        <w:jc w:val="left"/>
        <w:rPr>
          <w:rFonts w:ascii="宋体" w:hAnsi="宋体" w:cs="宋体"/>
          <w:color w:val="auto"/>
          <w:kern w:val="0"/>
          <w:sz w:val="24"/>
          <w:highlight w:val="none"/>
        </w:rPr>
      </w:pPr>
      <w:r>
        <w:rPr>
          <w:rFonts w:hint="eastAsia" w:ascii="宋体" w:hAnsi="宋体" w:cs="宋体"/>
          <w:color w:val="auto"/>
          <w:kern w:val="0"/>
          <w:sz w:val="24"/>
          <w:highlight w:val="none"/>
        </w:rPr>
        <w:t>本公司（单位）对上述声明内容的真实性负责。如有虚假，愿承担相应法律责任。</w:t>
      </w:r>
    </w:p>
    <w:p w14:paraId="579F6560">
      <w:pPr>
        <w:widowControl/>
        <w:shd w:val="clear" w:color="auto" w:fill="FFFFFF"/>
        <w:spacing w:before="30" w:after="30"/>
        <w:jc w:val="left"/>
        <w:rPr>
          <w:rFonts w:ascii="宋体" w:hAnsi="宋体" w:cs="宋体"/>
          <w:color w:val="auto"/>
          <w:kern w:val="0"/>
          <w:sz w:val="24"/>
          <w:highlight w:val="none"/>
        </w:rPr>
      </w:pPr>
      <w:r>
        <w:rPr>
          <w:rFonts w:hint="eastAsia" w:ascii="宋体" w:hAnsi="宋体" w:cs="宋体"/>
          <w:color w:val="auto"/>
          <w:kern w:val="0"/>
          <w:sz w:val="24"/>
          <w:highlight w:val="none"/>
        </w:rPr>
        <w:t> </w:t>
      </w:r>
    </w:p>
    <w:p w14:paraId="190104F2">
      <w:pPr>
        <w:widowControl/>
        <w:shd w:val="clear" w:color="auto" w:fill="FFFFFF"/>
        <w:spacing w:before="30" w:after="30"/>
        <w:jc w:val="right"/>
        <w:rPr>
          <w:rFonts w:ascii="宋体" w:hAnsi="宋体" w:cs="宋体"/>
          <w:color w:val="auto"/>
          <w:kern w:val="0"/>
          <w:sz w:val="24"/>
          <w:highlight w:val="none"/>
        </w:rPr>
      </w:pPr>
      <w:r>
        <w:rPr>
          <w:rFonts w:hint="eastAsia" w:ascii="宋体" w:hAnsi="宋体" w:cs="宋体"/>
          <w:color w:val="auto"/>
          <w:kern w:val="0"/>
          <w:sz w:val="24"/>
          <w:highlight w:val="none"/>
        </w:rPr>
        <w:t>公司（单位）名称（盖章）：　        </w:t>
      </w:r>
    </w:p>
    <w:p w14:paraId="57276F0F">
      <w:pPr>
        <w:widowControl/>
        <w:shd w:val="clear" w:color="auto" w:fill="FFFFFF"/>
        <w:jc w:val="right"/>
        <w:rPr>
          <w:rFonts w:ascii="宋体" w:hAnsi="宋体" w:cs="宋体"/>
          <w:color w:val="auto"/>
          <w:kern w:val="0"/>
          <w:sz w:val="24"/>
          <w:highlight w:val="none"/>
        </w:rPr>
      </w:pPr>
      <w:r>
        <w:rPr>
          <w:rFonts w:hint="eastAsia" w:ascii="宋体" w:hAnsi="宋体" w:cs="宋体"/>
          <w:color w:val="auto"/>
          <w:kern w:val="0"/>
          <w:sz w:val="24"/>
          <w:highlight w:val="none"/>
        </w:rPr>
        <w:t>日期：　     年　  月　  日         </w:t>
      </w:r>
    </w:p>
    <w:p w14:paraId="1EDC86AA">
      <w:pPr>
        <w:widowControl/>
        <w:shd w:val="clear" w:color="auto" w:fill="FFFFFF"/>
        <w:spacing w:before="30" w:after="30"/>
        <w:jc w:val="left"/>
        <w:rPr>
          <w:rFonts w:ascii="宋体" w:hAnsi="宋体" w:cs="宋体"/>
          <w:color w:val="auto"/>
          <w:kern w:val="0"/>
          <w:sz w:val="24"/>
          <w:highlight w:val="none"/>
        </w:rPr>
      </w:pPr>
      <w:r>
        <w:rPr>
          <w:rFonts w:hint="eastAsia" w:ascii="宋体" w:hAnsi="宋体" w:cs="宋体"/>
          <w:color w:val="auto"/>
          <w:kern w:val="0"/>
          <w:sz w:val="24"/>
          <w:highlight w:val="none"/>
        </w:rPr>
        <w:t>__________________</w:t>
      </w:r>
    </w:p>
    <w:p w14:paraId="0D26F709">
      <w:pPr>
        <w:widowControl/>
        <w:shd w:val="clear" w:color="auto" w:fill="FFFFFF"/>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1.产品如有型号，请在“产品名称”栏一并填写。</w:t>
      </w:r>
    </w:p>
    <w:p w14:paraId="2ADFCE7E">
      <w:pPr>
        <w:widowControl/>
        <w:shd w:val="clear" w:color="auto" w:fill="FFFFFF"/>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2.生产厂名与厂址应与生产厂营业执照载明的相关信息保持一致。</w:t>
      </w:r>
    </w:p>
    <w:p w14:paraId="6701706B">
      <w:pPr>
        <w:widowControl/>
        <w:shd w:val="clear" w:color="auto" w:fill="FFFFFF"/>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3.该产品的中国境内生产的组件成本占比相关要求实施前，“规定比例”栏可不填，下同。</w:t>
      </w:r>
    </w:p>
    <w:p w14:paraId="3D429F00">
      <w:pPr>
        <w:widowControl/>
        <w:shd w:val="clear" w:color="auto" w:fill="FFFFFF"/>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4.该产品的关键组件要求实施前，“关键组件”栏可不填，下同。</w:t>
      </w:r>
    </w:p>
    <w:p w14:paraId="3FDA8C94">
      <w:pPr>
        <w:widowControl/>
        <w:shd w:val="clear" w:color="auto" w:fill="FFFFFF"/>
        <w:ind w:firstLine="480"/>
        <w:jc w:val="left"/>
        <w:rPr>
          <w:rFonts w:ascii="宋体" w:hAnsi="宋体" w:cs="宋体"/>
          <w:color w:val="auto"/>
          <w:kern w:val="0"/>
          <w:szCs w:val="21"/>
          <w:highlight w:val="none"/>
        </w:rPr>
      </w:pPr>
      <w:r>
        <w:rPr>
          <w:rFonts w:hint="eastAsia" w:ascii="宋体" w:hAnsi="宋体" w:cs="宋体"/>
          <w:color w:val="auto"/>
          <w:kern w:val="0"/>
          <w:szCs w:val="21"/>
          <w:highlight w:val="none"/>
        </w:rPr>
        <w:t>5.该产品的关键工序要求实施前，“关键工序”栏可不填，下同。</w:t>
      </w:r>
    </w:p>
    <w:p w14:paraId="3E4FF1D7">
      <w:pPr>
        <w:spacing w:line="360" w:lineRule="auto"/>
        <w:contextualSpacing/>
        <w:rPr>
          <w:rFonts w:ascii="宋体" w:hAnsi="宋体" w:cs="仿宋_GB2312"/>
          <w:color w:val="auto"/>
          <w:sz w:val="24"/>
          <w:highlight w:val="none"/>
        </w:rPr>
      </w:pPr>
    </w:p>
    <w:p w14:paraId="1BFDAA69">
      <w:pPr>
        <w:spacing w:line="360" w:lineRule="auto"/>
        <w:contextualSpacing/>
        <w:rPr>
          <w:rFonts w:ascii="宋体" w:hAnsi="宋体" w:cs="仿宋_GB2312"/>
          <w:color w:val="auto"/>
          <w:sz w:val="24"/>
          <w:highlight w:val="none"/>
        </w:rPr>
      </w:pPr>
    </w:p>
    <w:p w14:paraId="6D7F47CC">
      <w:pPr>
        <w:spacing w:line="360" w:lineRule="auto"/>
        <w:jc w:val="center"/>
        <w:rPr>
          <w:rFonts w:ascii="宋体" w:hAnsi="宋体" w:cs="仿宋_GB2312"/>
          <w:color w:val="auto"/>
          <w:sz w:val="24"/>
          <w:highlight w:val="none"/>
        </w:rPr>
      </w:pPr>
    </w:p>
    <w:p w14:paraId="46F24C27">
      <w:pPr>
        <w:adjustRightInd w:val="0"/>
        <w:snapToGrid w:val="0"/>
        <w:spacing w:line="300" w:lineRule="auto"/>
        <w:jc w:val="center"/>
        <w:rPr>
          <w:rFonts w:ascii="宋体" w:hAnsi="宋体" w:cs="Arial Unicode MS"/>
          <w:b/>
          <w:bCs/>
          <w:color w:val="auto"/>
          <w:sz w:val="44"/>
          <w:szCs w:val="44"/>
          <w:highlight w:val="none"/>
        </w:rPr>
      </w:pPr>
      <w:r>
        <w:rPr>
          <w:rFonts w:ascii="宋体" w:hAnsi="宋体"/>
          <w:b/>
          <w:bCs/>
          <w:color w:val="auto"/>
          <w:sz w:val="24"/>
          <w:highlight w:val="none"/>
        </w:rPr>
        <w:br w:type="page"/>
      </w:r>
      <w:bookmarkStart w:id="109" w:name="_Toc71366061"/>
      <w:bookmarkStart w:id="110" w:name="_Toc71365383"/>
      <w:r>
        <w:rPr>
          <w:rFonts w:hint="eastAsia" w:ascii="宋体" w:hAnsi="宋体" w:cs="Arial Unicode MS"/>
          <w:b/>
          <w:bCs/>
          <w:color w:val="auto"/>
          <w:sz w:val="44"/>
          <w:szCs w:val="44"/>
          <w:highlight w:val="none"/>
        </w:rPr>
        <w:t>验收报告</w:t>
      </w:r>
    </w:p>
    <w:tbl>
      <w:tblPr>
        <w:tblStyle w:val="26"/>
        <w:tblW w:w="10490" w:type="dxa"/>
        <w:tblInd w:w="-459" w:type="dxa"/>
        <w:tblLayout w:type="autofit"/>
        <w:tblCellMar>
          <w:top w:w="0" w:type="dxa"/>
          <w:left w:w="108" w:type="dxa"/>
          <w:bottom w:w="0" w:type="dxa"/>
          <w:right w:w="108" w:type="dxa"/>
        </w:tblCellMar>
      </w:tblPr>
      <w:tblGrid>
        <w:gridCol w:w="1158"/>
        <w:gridCol w:w="517"/>
        <w:gridCol w:w="2104"/>
        <w:gridCol w:w="2168"/>
        <w:gridCol w:w="1593"/>
        <w:gridCol w:w="327"/>
        <w:gridCol w:w="653"/>
        <w:gridCol w:w="1205"/>
        <w:gridCol w:w="765"/>
      </w:tblGrid>
      <w:tr w14:paraId="1EE42E3B">
        <w:tblPrEx>
          <w:tblCellMar>
            <w:top w:w="0" w:type="dxa"/>
            <w:left w:w="108" w:type="dxa"/>
            <w:bottom w:w="0" w:type="dxa"/>
            <w:right w:w="108" w:type="dxa"/>
          </w:tblCellMar>
        </w:tblPrEx>
        <w:trPr>
          <w:trHeight w:val="285" w:hRule="atLeast"/>
        </w:trPr>
        <w:tc>
          <w:tcPr>
            <w:tcW w:w="1675" w:type="dxa"/>
            <w:gridSpan w:val="2"/>
            <w:noWrap/>
            <w:vAlign w:val="center"/>
          </w:tcPr>
          <w:p w14:paraId="58605580">
            <w:pPr>
              <w:widowControl/>
              <w:jc w:val="left"/>
              <w:rPr>
                <w:rFonts w:eastAsia="等线"/>
                <w:color w:val="auto"/>
                <w:kern w:val="0"/>
                <w:sz w:val="22"/>
                <w:szCs w:val="22"/>
                <w:highlight w:val="none"/>
              </w:rPr>
            </w:pPr>
            <w:r>
              <w:rPr>
                <w:rFonts w:hint="eastAsia" w:eastAsia="仿宋"/>
                <w:b/>
                <w:bCs/>
                <w:color w:val="auto"/>
                <w:kern w:val="0"/>
                <w:sz w:val="28"/>
                <w:szCs w:val="28"/>
                <w:highlight w:val="none"/>
              </w:rPr>
              <w:t>附件</w:t>
            </w:r>
            <w:r>
              <w:rPr>
                <w:rFonts w:eastAsia="仿宋"/>
                <w:b/>
                <w:bCs/>
                <w:color w:val="auto"/>
                <w:kern w:val="0"/>
                <w:sz w:val="28"/>
                <w:szCs w:val="28"/>
                <w:highlight w:val="none"/>
              </w:rPr>
              <w:t>1</w:t>
            </w:r>
          </w:p>
        </w:tc>
        <w:tc>
          <w:tcPr>
            <w:tcW w:w="2104" w:type="dxa"/>
            <w:noWrap/>
            <w:vAlign w:val="center"/>
          </w:tcPr>
          <w:p w14:paraId="02BCE778">
            <w:pPr>
              <w:widowControl/>
              <w:jc w:val="left"/>
              <w:rPr>
                <w:rFonts w:eastAsia="等线"/>
                <w:color w:val="auto"/>
                <w:kern w:val="0"/>
                <w:sz w:val="22"/>
                <w:szCs w:val="22"/>
                <w:highlight w:val="none"/>
              </w:rPr>
            </w:pPr>
          </w:p>
        </w:tc>
        <w:tc>
          <w:tcPr>
            <w:tcW w:w="2168" w:type="dxa"/>
            <w:noWrap/>
            <w:vAlign w:val="center"/>
          </w:tcPr>
          <w:p w14:paraId="2408A383">
            <w:pPr>
              <w:widowControl/>
              <w:jc w:val="left"/>
              <w:rPr>
                <w:rFonts w:eastAsia="Times New Roman"/>
                <w:color w:val="auto"/>
                <w:kern w:val="0"/>
                <w:sz w:val="20"/>
                <w:szCs w:val="20"/>
                <w:highlight w:val="none"/>
              </w:rPr>
            </w:pPr>
          </w:p>
        </w:tc>
        <w:tc>
          <w:tcPr>
            <w:tcW w:w="1593" w:type="dxa"/>
            <w:noWrap/>
            <w:vAlign w:val="center"/>
          </w:tcPr>
          <w:p w14:paraId="7A75A5EA">
            <w:pPr>
              <w:widowControl/>
              <w:jc w:val="left"/>
              <w:rPr>
                <w:rFonts w:eastAsia="Times New Roman"/>
                <w:color w:val="auto"/>
                <w:kern w:val="0"/>
                <w:sz w:val="20"/>
                <w:szCs w:val="20"/>
                <w:highlight w:val="none"/>
              </w:rPr>
            </w:pPr>
          </w:p>
        </w:tc>
        <w:tc>
          <w:tcPr>
            <w:tcW w:w="327" w:type="dxa"/>
            <w:noWrap/>
            <w:vAlign w:val="center"/>
          </w:tcPr>
          <w:p w14:paraId="0E6B043D">
            <w:pPr>
              <w:widowControl/>
              <w:jc w:val="left"/>
              <w:rPr>
                <w:rFonts w:eastAsia="Times New Roman"/>
                <w:color w:val="auto"/>
                <w:kern w:val="0"/>
                <w:sz w:val="20"/>
                <w:szCs w:val="20"/>
                <w:highlight w:val="none"/>
              </w:rPr>
            </w:pPr>
          </w:p>
        </w:tc>
        <w:tc>
          <w:tcPr>
            <w:tcW w:w="653" w:type="dxa"/>
            <w:noWrap/>
            <w:vAlign w:val="center"/>
          </w:tcPr>
          <w:p w14:paraId="3A8E3FF3">
            <w:pPr>
              <w:widowControl/>
              <w:jc w:val="left"/>
              <w:rPr>
                <w:rFonts w:eastAsia="Times New Roman"/>
                <w:color w:val="auto"/>
                <w:kern w:val="0"/>
                <w:sz w:val="20"/>
                <w:szCs w:val="20"/>
                <w:highlight w:val="none"/>
              </w:rPr>
            </w:pPr>
          </w:p>
        </w:tc>
        <w:tc>
          <w:tcPr>
            <w:tcW w:w="1205" w:type="dxa"/>
            <w:noWrap/>
            <w:vAlign w:val="center"/>
          </w:tcPr>
          <w:p w14:paraId="7E38120F">
            <w:pPr>
              <w:widowControl/>
              <w:jc w:val="left"/>
              <w:rPr>
                <w:rFonts w:eastAsia="Times New Roman"/>
                <w:color w:val="auto"/>
                <w:kern w:val="0"/>
                <w:sz w:val="20"/>
                <w:szCs w:val="20"/>
                <w:highlight w:val="none"/>
              </w:rPr>
            </w:pPr>
          </w:p>
        </w:tc>
        <w:tc>
          <w:tcPr>
            <w:tcW w:w="765" w:type="dxa"/>
            <w:noWrap/>
            <w:vAlign w:val="center"/>
          </w:tcPr>
          <w:p w14:paraId="4819BFE9">
            <w:pPr>
              <w:widowControl/>
              <w:jc w:val="left"/>
              <w:rPr>
                <w:rFonts w:eastAsia="Times New Roman"/>
                <w:color w:val="auto"/>
                <w:kern w:val="0"/>
                <w:sz w:val="20"/>
                <w:szCs w:val="20"/>
                <w:highlight w:val="none"/>
              </w:rPr>
            </w:pPr>
          </w:p>
        </w:tc>
      </w:tr>
      <w:tr w14:paraId="2E635365">
        <w:tblPrEx>
          <w:tblCellMar>
            <w:top w:w="0" w:type="dxa"/>
            <w:left w:w="108" w:type="dxa"/>
            <w:bottom w:w="0" w:type="dxa"/>
            <w:right w:w="108" w:type="dxa"/>
          </w:tblCellMar>
        </w:tblPrEx>
        <w:trPr>
          <w:trHeight w:val="660" w:hRule="atLeast"/>
        </w:trPr>
        <w:tc>
          <w:tcPr>
            <w:tcW w:w="10490" w:type="dxa"/>
            <w:gridSpan w:val="9"/>
            <w:noWrap/>
            <w:vAlign w:val="center"/>
          </w:tcPr>
          <w:p w14:paraId="32CE4615">
            <w:pPr>
              <w:widowControl/>
              <w:jc w:val="center"/>
              <w:rPr>
                <w:rFonts w:eastAsia="黑体"/>
                <w:b/>
                <w:bCs/>
                <w:color w:val="auto"/>
                <w:kern w:val="0"/>
                <w:sz w:val="32"/>
                <w:szCs w:val="32"/>
                <w:highlight w:val="none"/>
              </w:rPr>
            </w:pPr>
            <w:r>
              <w:rPr>
                <w:rFonts w:hint="eastAsia" w:eastAsia="黑体"/>
                <w:b/>
                <w:bCs/>
                <w:color w:val="auto"/>
                <w:kern w:val="0"/>
                <w:sz w:val="32"/>
                <w:szCs w:val="32"/>
                <w:highlight w:val="none"/>
              </w:rPr>
              <w:t>桂林理工大学货物和服务院级验收报告单</w:t>
            </w:r>
          </w:p>
        </w:tc>
      </w:tr>
      <w:tr w14:paraId="46872624">
        <w:tblPrEx>
          <w:tblCellMar>
            <w:top w:w="0" w:type="dxa"/>
            <w:left w:w="108" w:type="dxa"/>
            <w:bottom w:w="0" w:type="dxa"/>
            <w:right w:w="108" w:type="dxa"/>
          </w:tblCellMar>
        </w:tblPrEx>
        <w:trPr>
          <w:trHeight w:val="1275" w:hRule="atLeast"/>
        </w:trPr>
        <w:tc>
          <w:tcPr>
            <w:tcW w:w="10490" w:type="dxa"/>
            <w:gridSpan w:val="9"/>
            <w:tcBorders>
              <w:top w:val="nil"/>
              <w:left w:val="nil"/>
              <w:bottom w:val="single" w:color="auto" w:sz="8" w:space="0"/>
              <w:right w:val="nil"/>
            </w:tcBorders>
            <w:vAlign w:val="center"/>
          </w:tcPr>
          <w:p w14:paraId="33831346">
            <w:pPr>
              <w:widowControl/>
              <w:jc w:val="left"/>
              <w:rPr>
                <w:rFonts w:eastAsia="仿宋_GB2312"/>
                <w:color w:val="auto"/>
                <w:kern w:val="0"/>
                <w:sz w:val="22"/>
                <w:szCs w:val="22"/>
                <w:highlight w:val="none"/>
              </w:rPr>
            </w:pPr>
            <w:r>
              <w:rPr>
                <w:rFonts w:eastAsia="仿宋_GB2312"/>
                <w:color w:val="auto"/>
                <w:kern w:val="0"/>
                <w:sz w:val="22"/>
                <w:szCs w:val="22"/>
                <w:highlight w:val="none"/>
              </w:rPr>
              <w:t xml:space="preserve">    </w:t>
            </w:r>
            <w:r>
              <w:rPr>
                <w:rFonts w:hint="eastAsia" w:eastAsia="仿宋_GB2312"/>
                <w:color w:val="auto"/>
                <w:kern w:val="0"/>
                <w:sz w:val="22"/>
                <w:szCs w:val="22"/>
                <w:highlight w:val="none"/>
              </w:rPr>
              <w:t>根据政府采购项目（</w:t>
            </w:r>
            <w:r>
              <w:rPr>
                <w:rFonts w:hint="eastAsia" w:eastAsia="仿宋_GB2312"/>
                <w:color w:val="auto"/>
                <w:kern w:val="0"/>
                <w:sz w:val="22"/>
                <w:szCs w:val="22"/>
                <w:highlight w:val="none"/>
                <w:u w:val="single"/>
              </w:rPr>
              <w:t>采购合同编号：</w:t>
            </w:r>
            <w:r>
              <w:rPr>
                <w:rFonts w:eastAsia="仿宋_GB2312"/>
                <w:color w:val="auto"/>
                <w:kern w:val="0"/>
                <w:sz w:val="22"/>
                <w:szCs w:val="22"/>
                <w:highlight w:val="none"/>
                <w:u w:val="single"/>
              </w:rPr>
              <w:t xml:space="preserve">HT        </w:t>
            </w:r>
            <w:r>
              <w:rPr>
                <w:rFonts w:hint="eastAsia" w:eastAsia="仿宋_GB2312"/>
                <w:color w:val="auto"/>
                <w:kern w:val="0"/>
                <w:sz w:val="22"/>
                <w:szCs w:val="22"/>
                <w:highlight w:val="none"/>
              </w:rPr>
              <w:t>）的约定，我单位对（</w:t>
            </w:r>
            <w:r>
              <w:rPr>
                <w:rFonts w:eastAsia="仿宋_GB2312"/>
                <w:color w:val="auto"/>
                <w:kern w:val="0"/>
                <w:sz w:val="22"/>
                <w:szCs w:val="22"/>
                <w:highlight w:val="none"/>
                <w:u w:val="single"/>
              </w:rPr>
              <w:t xml:space="preserve">                 </w:t>
            </w:r>
            <w:r>
              <w:rPr>
                <w:rFonts w:hint="eastAsia" w:eastAsia="仿宋_GB2312"/>
                <w:color w:val="auto"/>
                <w:kern w:val="0"/>
                <w:sz w:val="22"/>
                <w:szCs w:val="22"/>
                <w:highlight w:val="none"/>
              </w:rPr>
              <w:t>）采购项目中标（或成交）供应商（</w:t>
            </w:r>
            <w:r>
              <w:rPr>
                <w:rFonts w:eastAsia="仿宋_GB2312"/>
                <w:color w:val="auto"/>
                <w:kern w:val="0"/>
                <w:sz w:val="22"/>
                <w:szCs w:val="22"/>
                <w:highlight w:val="none"/>
              </w:rPr>
              <w:t xml:space="preserve">                 </w:t>
            </w:r>
            <w:r>
              <w:rPr>
                <w:rFonts w:hint="eastAsia" w:eastAsia="仿宋_GB2312"/>
                <w:color w:val="auto"/>
                <w:kern w:val="0"/>
                <w:sz w:val="22"/>
                <w:szCs w:val="22"/>
                <w:highlight w:val="none"/>
              </w:rPr>
              <w:t>）提供的货物（或服务）进行了验收，验收情况如下：</w:t>
            </w:r>
          </w:p>
        </w:tc>
      </w:tr>
      <w:tr w14:paraId="41911F03">
        <w:tblPrEx>
          <w:tblCellMar>
            <w:top w:w="0" w:type="dxa"/>
            <w:left w:w="108" w:type="dxa"/>
            <w:bottom w:w="0" w:type="dxa"/>
            <w:right w:w="108" w:type="dxa"/>
          </w:tblCellMar>
        </w:tblPrEx>
        <w:trPr>
          <w:trHeight w:val="823" w:hRule="atLeast"/>
        </w:trPr>
        <w:tc>
          <w:tcPr>
            <w:tcW w:w="1675" w:type="dxa"/>
            <w:gridSpan w:val="2"/>
            <w:tcBorders>
              <w:top w:val="nil"/>
              <w:left w:val="single" w:color="auto" w:sz="8" w:space="0"/>
              <w:bottom w:val="single" w:color="auto" w:sz="8" w:space="0"/>
              <w:right w:val="single" w:color="auto" w:sz="8" w:space="0"/>
            </w:tcBorders>
            <w:vAlign w:val="center"/>
          </w:tcPr>
          <w:p w14:paraId="49CF1862">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申购单位</w:t>
            </w:r>
          </w:p>
        </w:tc>
        <w:tc>
          <w:tcPr>
            <w:tcW w:w="4272" w:type="dxa"/>
            <w:gridSpan w:val="2"/>
            <w:tcBorders>
              <w:top w:val="single" w:color="auto" w:sz="8" w:space="0"/>
              <w:left w:val="nil"/>
              <w:bottom w:val="single" w:color="auto" w:sz="8" w:space="0"/>
              <w:right w:val="single" w:color="000000" w:sz="8" w:space="0"/>
            </w:tcBorders>
            <w:vAlign w:val="center"/>
          </w:tcPr>
          <w:p w14:paraId="28E73142">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1593" w:type="dxa"/>
            <w:tcBorders>
              <w:top w:val="nil"/>
              <w:left w:val="nil"/>
              <w:bottom w:val="single" w:color="auto" w:sz="8" w:space="0"/>
              <w:right w:val="single" w:color="auto" w:sz="8" w:space="0"/>
            </w:tcBorders>
            <w:vAlign w:val="center"/>
          </w:tcPr>
          <w:p w14:paraId="485979A8">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行政实验室</w:t>
            </w:r>
            <w:r>
              <w:rPr>
                <w:rFonts w:eastAsia="仿宋_GB2312"/>
                <w:color w:val="auto"/>
                <w:kern w:val="0"/>
                <w:sz w:val="22"/>
                <w:szCs w:val="22"/>
                <w:highlight w:val="none"/>
              </w:rPr>
              <w:br w:type="textWrapping"/>
            </w:r>
            <w:r>
              <w:rPr>
                <w:rFonts w:hint="eastAsia" w:eastAsia="仿宋_GB2312"/>
                <w:color w:val="auto"/>
                <w:kern w:val="0"/>
                <w:sz w:val="22"/>
                <w:szCs w:val="22"/>
                <w:highlight w:val="none"/>
              </w:rPr>
              <w:t>（科室）</w:t>
            </w:r>
          </w:p>
        </w:tc>
        <w:tc>
          <w:tcPr>
            <w:tcW w:w="2950" w:type="dxa"/>
            <w:gridSpan w:val="4"/>
            <w:tcBorders>
              <w:top w:val="single" w:color="auto" w:sz="8" w:space="0"/>
              <w:left w:val="nil"/>
              <w:bottom w:val="single" w:color="auto" w:sz="8" w:space="0"/>
              <w:right w:val="single" w:color="000000" w:sz="8" w:space="0"/>
            </w:tcBorders>
            <w:vAlign w:val="center"/>
          </w:tcPr>
          <w:p w14:paraId="2B9D0337">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r>
      <w:tr w14:paraId="41C71B11">
        <w:tblPrEx>
          <w:tblCellMar>
            <w:top w:w="0" w:type="dxa"/>
            <w:left w:w="108" w:type="dxa"/>
            <w:bottom w:w="0" w:type="dxa"/>
            <w:right w:w="108" w:type="dxa"/>
          </w:tblCellMar>
        </w:tblPrEx>
        <w:trPr>
          <w:trHeight w:val="600" w:hRule="atLeast"/>
        </w:trPr>
        <w:tc>
          <w:tcPr>
            <w:tcW w:w="5947" w:type="dxa"/>
            <w:gridSpan w:val="4"/>
            <w:tcBorders>
              <w:top w:val="single" w:color="auto" w:sz="8" w:space="0"/>
              <w:left w:val="single" w:color="auto" w:sz="8" w:space="0"/>
              <w:bottom w:val="nil"/>
              <w:right w:val="nil"/>
            </w:tcBorders>
            <w:vAlign w:val="center"/>
          </w:tcPr>
          <w:p w14:paraId="775F7B3F">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项目负责人（签名）</w:t>
            </w:r>
            <w:r>
              <w:rPr>
                <w:rFonts w:eastAsia="仿宋_GB2312"/>
                <w:color w:val="auto"/>
                <w:kern w:val="0"/>
                <w:sz w:val="22"/>
                <w:szCs w:val="22"/>
                <w:highlight w:val="none"/>
              </w:rPr>
              <w:t>:</w:t>
            </w:r>
          </w:p>
        </w:tc>
        <w:tc>
          <w:tcPr>
            <w:tcW w:w="4543" w:type="dxa"/>
            <w:gridSpan w:val="5"/>
            <w:tcBorders>
              <w:top w:val="single" w:color="auto" w:sz="8" w:space="0"/>
              <w:left w:val="single" w:color="auto" w:sz="8" w:space="0"/>
              <w:bottom w:val="nil"/>
              <w:right w:val="single" w:color="000000" w:sz="8" w:space="0"/>
            </w:tcBorders>
            <w:vAlign w:val="center"/>
          </w:tcPr>
          <w:p w14:paraId="250812D4">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设备管理人（签名）</w:t>
            </w:r>
            <w:r>
              <w:rPr>
                <w:rFonts w:eastAsia="仿宋_GB2312"/>
                <w:color w:val="auto"/>
                <w:kern w:val="0"/>
                <w:sz w:val="22"/>
                <w:szCs w:val="22"/>
                <w:highlight w:val="none"/>
              </w:rPr>
              <w:t>:</w:t>
            </w:r>
          </w:p>
        </w:tc>
      </w:tr>
      <w:tr w14:paraId="48A37A91">
        <w:tblPrEx>
          <w:tblCellMar>
            <w:top w:w="0" w:type="dxa"/>
            <w:left w:w="108" w:type="dxa"/>
            <w:bottom w:w="0" w:type="dxa"/>
            <w:right w:w="108" w:type="dxa"/>
          </w:tblCellMar>
        </w:tblPrEx>
        <w:trPr>
          <w:trHeight w:val="600" w:hRule="atLeast"/>
        </w:trPr>
        <w:tc>
          <w:tcPr>
            <w:tcW w:w="5947" w:type="dxa"/>
            <w:gridSpan w:val="4"/>
            <w:tcBorders>
              <w:top w:val="nil"/>
              <w:left w:val="single" w:color="auto" w:sz="8" w:space="0"/>
              <w:bottom w:val="single" w:color="auto" w:sz="8" w:space="0"/>
              <w:right w:val="nil"/>
            </w:tcBorders>
            <w:vAlign w:val="center"/>
          </w:tcPr>
          <w:p w14:paraId="0E664308">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联系电话：</w:t>
            </w:r>
            <w:r>
              <w:rPr>
                <w:rFonts w:eastAsia="仿宋_GB2312"/>
                <w:color w:val="auto"/>
                <w:kern w:val="0"/>
                <w:sz w:val="22"/>
                <w:szCs w:val="22"/>
                <w:highlight w:val="none"/>
              </w:rPr>
              <w:t xml:space="preserve">                       </w:t>
            </w:r>
          </w:p>
        </w:tc>
        <w:tc>
          <w:tcPr>
            <w:tcW w:w="4543" w:type="dxa"/>
            <w:gridSpan w:val="5"/>
            <w:tcBorders>
              <w:top w:val="nil"/>
              <w:left w:val="single" w:color="auto" w:sz="8" w:space="0"/>
              <w:bottom w:val="single" w:color="auto" w:sz="8" w:space="0"/>
              <w:right w:val="single" w:color="000000" w:sz="8" w:space="0"/>
            </w:tcBorders>
            <w:vAlign w:val="center"/>
          </w:tcPr>
          <w:p w14:paraId="042633F2">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联系电话：</w:t>
            </w:r>
            <w:r>
              <w:rPr>
                <w:rFonts w:eastAsia="仿宋_GB2312"/>
                <w:color w:val="auto"/>
                <w:kern w:val="0"/>
                <w:sz w:val="22"/>
                <w:szCs w:val="22"/>
                <w:highlight w:val="none"/>
              </w:rPr>
              <w:t xml:space="preserve">                      </w:t>
            </w:r>
          </w:p>
        </w:tc>
      </w:tr>
      <w:tr w14:paraId="3054D937">
        <w:tblPrEx>
          <w:tblCellMar>
            <w:top w:w="0" w:type="dxa"/>
            <w:left w:w="108" w:type="dxa"/>
            <w:bottom w:w="0" w:type="dxa"/>
            <w:right w:w="108" w:type="dxa"/>
          </w:tblCellMar>
        </w:tblPrEx>
        <w:trPr>
          <w:trHeight w:val="600" w:hRule="atLeast"/>
        </w:trPr>
        <w:tc>
          <w:tcPr>
            <w:tcW w:w="3779" w:type="dxa"/>
            <w:gridSpan w:val="3"/>
            <w:tcBorders>
              <w:top w:val="nil"/>
              <w:left w:val="single" w:color="auto" w:sz="8" w:space="0"/>
              <w:bottom w:val="single" w:color="auto" w:sz="8" w:space="0"/>
              <w:right w:val="single" w:color="000000" w:sz="8" w:space="0"/>
            </w:tcBorders>
            <w:vAlign w:val="center"/>
          </w:tcPr>
          <w:p w14:paraId="42A1FA99">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验收方式：</w:t>
            </w:r>
          </w:p>
        </w:tc>
        <w:tc>
          <w:tcPr>
            <w:tcW w:w="6711" w:type="dxa"/>
            <w:gridSpan w:val="6"/>
            <w:tcBorders>
              <w:top w:val="nil"/>
              <w:left w:val="nil"/>
              <w:bottom w:val="single" w:color="auto" w:sz="8" w:space="0"/>
              <w:right w:val="single" w:color="000000" w:sz="8" w:space="0"/>
            </w:tcBorders>
            <w:vAlign w:val="center"/>
          </w:tcPr>
          <w:p w14:paraId="5B1784F7">
            <w:pPr>
              <w:widowControl/>
              <w:jc w:val="center"/>
              <w:rPr>
                <w:rFonts w:eastAsia="仿宋_GB2312"/>
                <w:color w:val="auto"/>
                <w:kern w:val="0"/>
                <w:sz w:val="22"/>
                <w:szCs w:val="22"/>
                <w:highlight w:val="none"/>
              </w:rPr>
            </w:pPr>
            <w:r>
              <w:rPr>
                <w:rFonts w:ascii="Segoe UI Symbol" w:hAnsi="Segoe UI Symbol" w:eastAsia="仿宋_GB2312" w:cs="Segoe UI Symbol"/>
                <w:color w:val="auto"/>
                <w:kern w:val="0"/>
                <w:sz w:val="22"/>
                <w:szCs w:val="22"/>
                <w:highlight w:val="none"/>
              </w:rPr>
              <w:t>☑</w:t>
            </w:r>
            <w:r>
              <w:rPr>
                <w:rFonts w:hint="eastAsia" w:eastAsia="仿宋_GB2312"/>
                <w:color w:val="auto"/>
                <w:kern w:val="0"/>
                <w:sz w:val="22"/>
                <w:szCs w:val="22"/>
                <w:highlight w:val="none"/>
              </w:rPr>
              <w:t>自行验收</w:t>
            </w:r>
            <w:r>
              <w:rPr>
                <w:rFonts w:eastAsia="仿宋_GB2312"/>
                <w:color w:val="auto"/>
                <w:kern w:val="0"/>
                <w:sz w:val="22"/>
                <w:szCs w:val="22"/>
                <w:highlight w:val="none"/>
              </w:rPr>
              <w:t>         □</w:t>
            </w:r>
            <w:r>
              <w:rPr>
                <w:rFonts w:hint="eastAsia" w:eastAsia="仿宋_GB2312"/>
                <w:color w:val="auto"/>
                <w:kern w:val="0"/>
                <w:sz w:val="22"/>
                <w:szCs w:val="22"/>
                <w:highlight w:val="none"/>
              </w:rPr>
              <w:t>委托验收</w:t>
            </w:r>
          </w:p>
        </w:tc>
      </w:tr>
      <w:tr w14:paraId="11838F22">
        <w:tblPrEx>
          <w:tblCellMar>
            <w:top w:w="0" w:type="dxa"/>
            <w:left w:w="108" w:type="dxa"/>
            <w:bottom w:w="0" w:type="dxa"/>
            <w:right w:w="108" w:type="dxa"/>
          </w:tblCellMar>
        </w:tblPrEx>
        <w:trPr>
          <w:trHeight w:val="600" w:hRule="atLeast"/>
        </w:trPr>
        <w:tc>
          <w:tcPr>
            <w:tcW w:w="1158" w:type="dxa"/>
            <w:tcBorders>
              <w:top w:val="nil"/>
              <w:left w:val="single" w:color="auto" w:sz="8" w:space="0"/>
              <w:bottom w:val="single" w:color="auto" w:sz="8" w:space="0"/>
              <w:right w:val="single" w:color="auto" w:sz="8" w:space="0"/>
            </w:tcBorders>
            <w:vAlign w:val="center"/>
          </w:tcPr>
          <w:p w14:paraId="421DD285">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序号</w:t>
            </w:r>
          </w:p>
        </w:tc>
        <w:tc>
          <w:tcPr>
            <w:tcW w:w="2621" w:type="dxa"/>
            <w:gridSpan w:val="2"/>
            <w:tcBorders>
              <w:top w:val="nil"/>
              <w:left w:val="nil"/>
              <w:bottom w:val="single" w:color="auto" w:sz="8" w:space="0"/>
              <w:right w:val="single" w:color="auto" w:sz="8" w:space="0"/>
            </w:tcBorders>
            <w:vAlign w:val="center"/>
          </w:tcPr>
          <w:p w14:paraId="0D22135C">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名</w:t>
            </w:r>
            <w:r>
              <w:rPr>
                <w:rFonts w:eastAsia="仿宋_GB2312"/>
                <w:color w:val="auto"/>
                <w:kern w:val="0"/>
                <w:sz w:val="22"/>
                <w:szCs w:val="22"/>
                <w:highlight w:val="none"/>
              </w:rPr>
              <w:t xml:space="preserve">  </w:t>
            </w:r>
            <w:r>
              <w:rPr>
                <w:rFonts w:hint="eastAsia" w:eastAsia="仿宋_GB2312"/>
                <w:color w:val="auto"/>
                <w:kern w:val="0"/>
                <w:sz w:val="22"/>
                <w:szCs w:val="22"/>
                <w:highlight w:val="none"/>
              </w:rPr>
              <w:t>称</w:t>
            </w:r>
          </w:p>
        </w:tc>
        <w:tc>
          <w:tcPr>
            <w:tcW w:w="3761" w:type="dxa"/>
            <w:gridSpan w:val="2"/>
            <w:tcBorders>
              <w:top w:val="single" w:color="auto" w:sz="8" w:space="0"/>
              <w:left w:val="nil"/>
              <w:bottom w:val="single" w:color="auto" w:sz="8" w:space="0"/>
              <w:right w:val="single" w:color="000000" w:sz="8" w:space="0"/>
            </w:tcBorders>
            <w:vAlign w:val="center"/>
          </w:tcPr>
          <w:p w14:paraId="6F4D5822">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货物型号规格、标准及配置等</w:t>
            </w:r>
            <w:r>
              <w:rPr>
                <w:rFonts w:eastAsia="仿宋_GB2312"/>
                <w:color w:val="auto"/>
                <w:kern w:val="0"/>
                <w:sz w:val="22"/>
                <w:szCs w:val="22"/>
                <w:highlight w:val="none"/>
              </w:rPr>
              <w:br w:type="textWrapping"/>
            </w:r>
            <w:r>
              <w:rPr>
                <w:rFonts w:hint="eastAsia" w:eastAsia="仿宋_GB2312"/>
                <w:color w:val="auto"/>
                <w:kern w:val="0"/>
                <w:sz w:val="22"/>
                <w:szCs w:val="22"/>
                <w:highlight w:val="none"/>
              </w:rPr>
              <w:t>（或服务内容、标准）</w:t>
            </w:r>
          </w:p>
        </w:tc>
        <w:tc>
          <w:tcPr>
            <w:tcW w:w="980" w:type="dxa"/>
            <w:gridSpan w:val="2"/>
            <w:tcBorders>
              <w:top w:val="single" w:color="auto" w:sz="8" w:space="0"/>
              <w:left w:val="nil"/>
              <w:bottom w:val="single" w:color="auto" w:sz="8" w:space="0"/>
              <w:right w:val="single" w:color="000000" w:sz="8" w:space="0"/>
            </w:tcBorders>
            <w:vAlign w:val="center"/>
          </w:tcPr>
          <w:p w14:paraId="053AF489">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数量</w:t>
            </w:r>
          </w:p>
        </w:tc>
        <w:tc>
          <w:tcPr>
            <w:tcW w:w="1970" w:type="dxa"/>
            <w:gridSpan w:val="2"/>
            <w:tcBorders>
              <w:top w:val="single" w:color="auto" w:sz="8" w:space="0"/>
              <w:left w:val="nil"/>
              <w:bottom w:val="single" w:color="auto" w:sz="8" w:space="0"/>
              <w:right w:val="single" w:color="000000" w:sz="8" w:space="0"/>
            </w:tcBorders>
            <w:vAlign w:val="center"/>
          </w:tcPr>
          <w:p w14:paraId="41C3D9B3">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金</w:t>
            </w:r>
            <w:r>
              <w:rPr>
                <w:rFonts w:eastAsia="仿宋_GB2312"/>
                <w:color w:val="auto"/>
                <w:kern w:val="0"/>
                <w:sz w:val="22"/>
                <w:szCs w:val="22"/>
                <w:highlight w:val="none"/>
              </w:rPr>
              <w:t xml:space="preserve">  </w:t>
            </w:r>
            <w:r>
              <w:rPr>
                <w:rFonts w:hint="eastAsia" w:eastAsia="仿宋_GB2312"/>
                <w:color w:val="auto"/>
                <w:kern w:val="0"/>
                <w:sz w:val="22"/>
                <w:szCs w:val="22"/>
                <w:highlight w:val="none"/>
              </w:rPr>
              <w:t>额</w:t>
            </w:r>
            <w:r>
              <w:rPr>
                <w:rFonts w:eastAsia="仿宋_GB2312"/>
                <w:color w:val="auto"/>
                <w:kern w:val="0"/>
                <w:sz w:val="22"/>
                <w:szCs w:val="22"/>
                <w:highlight w:val="none"/>
              </w:rPr>
              <w:br w:type="textWrapping"/>
            </w:r>
            <w:r>
              <w:rPr>
                <w:rFonts w:hint="eastAsia" w:eastAsia="仿宋_GB2312"/>
                <w:color w:val="auto"/>
                <w:kern w:val="0"/>
                <w:sz w:val="22"/>
                <w:szCs w:val="22"/>
                <w:highlight w:val="none"/>
              </w:rPr>
              <w:t>（万元）</w:t>
            </w:r>
          </w:p>
        </w:tc>
      </w:tr>
      <w:tr w14:paraId="3B7692AC">
        <w:tblPrEx>
          <w:tblCellMar>
            <w:top w:w="0" w:type="dxa"/>
            <w:left w:w="108" w:type="dxa"/>
            <w:bottom w:w="0" w:type="dxa"/>
            <w:right w:w="108" w:type="dxa"/>
          </w:tblCellMar>
        </w:tblPrEx>
        <w:trPr>
          <w:trHeight w:val="600" w:hRule="atLeast"/>
        </w:trPr>
        <w:tc>
          <w:tcPr>
            <w:tcW w:w="1158" w:type="dxa"/>
            <w:tcBorders>
              <w:top w:val="nil"/>
              <w:left w:val="single" w:color="auto" w:sz="8" w:space="0"/>
              <w:bottom w:val="single" w:color="auto" w:sz="8" w:space="0"/>
              <w:right w:val="single" w:color="auto" w:sz="8" w:space="0"/>
            </w:tcBorders>
            <w:vAlign w:val="center"/>
          </w:tcPr>
          <w:p w14:paraId="7F16BC6D">
            <w:pPr>
              <w:widowControl/>
              <w:rPr>
                <w:rFonts w:eastAsia="仿宋_GB2312"/>
                <w:color w:val="auto"/>
                <w:kern w:val="0"/>
                <w:sz w:val="22"/>
                <w:szCs w:val="22"/>
                <w:highlight w:val="none"/>
              </w:rPr>
            </w:pPr>
            <w:r>
              <w:rPr>
                <w:rFonts w:hint="eastAsia" w:eastAsia="仿宋_GB2312"/>
                <w:color w:val="auto"/>
                <w:kern w:val="0"/>
                <w:sz w:val="22"/>
                <w:szCs w:val="22"/>
                <w:highlight w:val="none"/>
              </w:rPr>
              <w:t>　</w:t>
            </w:r>
            <w:r>
              <w:rPr>
                <w:rFonts w:eastAsia="仿宋_GB2312"/>
                <w:color w:val="auto"/>
                <w:kern w:val="0"/>
                <w:sz w:val="22"/>
                <w:szCs w:val="22"/>
                <w:highlight w:val="none"/>
              </w:rPr>
              <w:t>1</w:t>
            </w:r>
          </w:p>
        </w:tc>
        <w:tc>
          <w:tcPr>
            <w:tcW w:w="2621" w:type="dxa"/>
            <w:gridSpan w:val="2"/>
            <w:tcBorders>
              <w:top w:val="nil"/>
              <w:left w:val="nil"/>
              <w:bottom w:val="single" w:color="auto" w:sz="8" w:space="0"/>
              <w:right w:val="single" w:color="auto" w:sz="8" w:space="0"/>
            </w:tcBorders>
            <w:vAlign w:val="center"/>
          </w:tcPr>
          <w:p w14:paraId="2647A0D4">
            <w:pPr>
              <w:widowControl/>
              <w:jc w:val="left"/>
              <w:rPr>
                <w:rFonts w:eastAsia="仿宋_GB2312"/>
                <w:color w:val="auto"/>
                <w:kern w:val="0"/>
                <w:sz w:val="22"/>
                <w:szCs w:val="22"/>
                <w:highlight w:val="none"/>
              </w:rPr>
            </w:pPr>
          </w:p>
        </w:tc>
        <w:tc>
          <w:tcPr>
            <w:tcW w:w="3761" w:type="dxa"/>
            <w:gridSpan w:val="2"/>
            <w:tcBorders>
              <w:top w:val="single" w:color="auto" w:sz="8" w:space="0"/>
              <w:left w:val="nil"/>
              <w:bottom w:val="single" w:color="auto" w:sz="8" w:space="0"/>
              <w:right w:val="single" w:color="000000" w:sz="8" w:space="0"/>
            </w:tcBorders>
            <w:vAlign w:val="center"/>
          </w:tcPr>
          <w:p w14:paraId="24F1A8FA">
            <w:pPr>
              <w:widowControl/>
              <w:jc w:val="left"/>
              <w:rPr>
                <w:rFonts w:eastAsia="仿宋_GB2312"/>
                <w:color w:val="auto"/>
                <w:kern w:val="0"/>
                <w:sz w:val="22"/>
                <w:szCs w:val="22"/>
                <w:highlight w:val="none"/>
              </w:rPr>
            </w:pPr>
          </w:p>
        </w:tc>
        <w:tc>
          <w:tcPr>
            <w:tcW w:w="980" w:type="dxa"/>
            <w:gridSpan w:val="2"/>
            <w:tcBorders>
              <w:top w:val="single" w:color="auto" w:sz="8" w:space="0"/>
              <w:left w:val="nil"/>
              <w:bottom w:val="single" w:color="auto" w:sz="8" w:space="0"/>
              <w:right w:val="single" w:color="000000" w:sz="8" w:space="0"/>
            </w:tcBorders>
            <w:vAlign w:val="center"/>
          </w:tcPr>
          <w:p w14:paraId="65EC4EFE">
            <w:pPr>
              <w:widowControl/>
              <w:ind w:firstLine="440" w:firstLineChars="200"/>
              <w:jc w:val="left"/>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1970" w:type="dxa"/>
            <w:gridSpan w:val="2"/>
            <w:tcBorders>
              <w:top w:val="single" w:color="auto" w:sz="8" w:space="0"/>
              <w:left w:val="nil"/>
              <w:bottom w:val="single" w:color="auto" w:sz="8" w:space="0"/>
              <w:right w:val="single" w:color="000000" w:sz="8" w:space="0"/>
            </w:tcBorders>
            <w:vAlign w:val="center"/>
          </w:tcPr>
          <w:p w14:paraId="359F4DC0">
            <w:pPr>
              <w:widowControl/>
              <w:jc w:val="center"/>
              <w:rPr>
                <w:rFonts w:eastAsia="仿宋_GB2312"/>
                <w:color w:val="auto"/>
                <w:kern w:val="0"/>
                <w:sz w:val="22"/>
                <w:szCs w:val="22"/>
                <w:highlight w:val="none"/>
              </w:rPr>
            </w:pPr>
          </w:p>
        </w:tc>
      </w:tr>
      <w:tr w14:paraId="7A9C6E87">
        <w:tblPrEx>
          <w:tblCellMar>
            <w:top w:w="0" w:type="dxa"/>
            <w:left w:w="108" w:type="dxa"/>
            <w:bottom w:w="0" w:type="dxa"/>
            <w:right w:w="108" w:type="dxa"/>
          </w:tblCellMar>
        </w:tblPrEx>
        <w:trPr>
          <w:trHeight w:val="600" w:hRule="atLeast"/>
        </w:trPr>
        <w:tc>
          <w:tcPr>
            <w:tcW w:w="8520" w:type="dxa"/>
            <w:gridSpan w:val="7"/>
            <w:tcBorders>
              <w:top w:val="single" w:color="auto" w:sz="8" w:space="0"/>
              <w:left w:val="single" w:color="auto" w:sz="8" w:space="0"/>
              <w:bottom w:val="single" w:color="auto" w:sz="8" w:space="0"/>
              <w:right w:val="single" w:color="000000" w:sz="8" w:space="0"/>
            </w:tcBorders>
            <w:vAlign w:val="center"/>
          </w:tcPr>
          <w:p w14:paraId="4EE594BE">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合计</w:t>
            </w:r>
          </w:p>
        </w:tc>
        <w:tc>
          <w:tcPr>
            <w:tcW w:w="1970" w:type="dxa"/>
            <w:gridSpan w:val="2"/>
            <w:tcBorders>
              <w:top w:val="single" w:color="auto" w:sz="8" w:space="0"/>
              <w:left w:val="nil"/>
              <w:bottom w:val="single" w:color="auto" w:sz="8" w:space="0"/>
              <w:right w:val="single" w:color="000000" w:sz="8" w:space="0"/>
            </w:tcBorders>
            <w:vAlign w:val="center"/>
          </w:tcPr>
          <w:p w14:paraId="58882912">
            <w:pPr>
              <w:widowControl/>
              <w:jc w:val="center"/>
              <w:rPr>
                <w:rFonts w:eastAsia="仿宋_GB2312"/>
                <w:color w:val="auto"/>
                <w:kern w:val="0"/>
                <w:sz w:val="22"/>
                <w:szCs w:val="22"/>
                <w:highlight w:val="none"/>
              </w:rPr>
            </w:pPr>
          </w:p>
        </w:tc>
      </w:tr>
      <w:tr w14:paraId="38497731">
        <w:tblPrEx>
          <w:tblCellMar>
            <w:top w:w="0" w:type="dxa"/>
            <w:left w:w="108" w:type="dxa"/>
            <w:bottom w:w="0" w:type="dxa"/>
            <w:right w:w="108" w:type="dxa"/>
          </w:tblCellMar>
        </w:tblPrEx>
        <w:trPr>
          <w:trHeight w:val="600" w:hRule="atLeast"/>
        </w:trPr>
        <w:tc>
          <w:tcPr>
            <w:tcW w:w="10490" w:type="dxa"/>
            <w:gridSpan w:val="9"/>
            <w:tcBorders>
              <w:top w:val="single" w:color="auto" w:sz="8" w:space="0"/>
              <w:left w:val="single" w:color="auto" w:sz="8" w:space="0"/>
              <w:bottom w:val="single" w:color="auto" w:sz="8" w:space="0"/>
              <w:right w:val="single" w:color="000000" w:sz="8" w:space="0"/>
            </w:tcBorders>
            <w:vAlign w:val="center"/>
          </w:tcPr>
          <w:p w14:paraId="5E492CD3">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合计大写：</w:t>
            </w:r>
          </w:p>
        </w:tc>
      </w:tr>
      <w:tr w14:paraId="3335282D">
        <w:tblPrEx>
          <w:tblCellMar>
            <w:top w:w="0" w:type="dxa"/>
            <w:left w:w="108" w:type="dxa"/>
            <w:bottom w:w="0" w:type="dxa"/>
            <w:right w:w="108" w:type="dxa"/>
          </w:tblCellMar>
        </w:tblPrEx>
        <w:trPr>
          <w:trHeight w:val="600" w:hRule="atLeast"/>
        </w:trPr>
        <w:tc>
          <w:tcPr>
            <w:tcW w:w="1675" w:type="dxa"/>
            <w:gridSpan w:val="2"/>
            <w:tcBorders>
              <w:top w:val="nil"/>
              <w:left w:val="single" w:color="auto" w:sz="8" w:space="0"/>
              <w:bottom w:val="single" w:color="auto" w:sz="8" w:space="0"/>
              <w:right w:val="single" w:color="auto" w:sz="8" w:space="0"/>
            </w:tcBorders>
            <w:vAlign w:val="center"/>
          </w:tcPr>
          <w:p w14:paraId="756E52C9">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实际供货日期</w:t>
            </w:r>
          </w:p>
        </w:tc>
        <w:tc>
          <w:tcPr>
            <w:tcW w:w="4272" w:type="dxa"/>
            <w:gridSpan w:val="2"/>
            <w:tcBorders>
              <w:top w:val="single" w:color="auto" w:sz="8" w:space="0"/>
              <w:left w:val="nil"/>
              <w:bottom w:val="single" w:color="auto" w:sz="8" w:space="0"/>
              <w:right w:val="single" w:color="000000" w:sz="8" w:space="0"/>
            </w:tcBorders>
            <w:vAlign w:val="center"/>
          </w:tcPr>
          <w:p w14:paraId="246AEDDF">
            <w:pPr>
              <w:widowControl/>
              <w:ind w:firstLine="440" w:firstLineChars="200"/>
              <w:jc w:val="left"/>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1920" w:type="dxa"/>
            <w:gridSpan w:val="2"/>
            <w:tcBorders>
              <w:top w:val="single" w:color="auto" w:sz="8" w:space="0"/>
              <w:left w:val="nil"/>
              <w:bottom w:val="single" w:color="auto" w:sz="8" w:space="0"/>
              <w:right w:val="single" w:color="000000" w:sz="8" w:space="0"/>
            </w:tcBorders>
            <w:vAlign w:val="center"/>
          </w:tcPr>
          <w:p w14:paraId="35343970">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验收日期</w:t>
            </w:r>
          </w:p>
        </w:tc>
        <w:tc>
          <w:tcPr>
            <w:tcW w:w="2623" w:type="dxa"/>
            <w:gridSpan w:val="3"/>
            <w:tcBorders>
              <w:top w:val="single" w:color="auto" w:sz="8" w:space="0"/>
              <w:left w:val="nil"/>
              <w:bottom w:val="single" w:color="auto" w:sz="8" w:space="0"/>
              <w:right w:val="single" w:color="000000" w:sz="8" w:space="0"/>
            </w:tcBorders>
            <w:vAlign w:val="center"/>
          </w:tcPr>
          <w:p w14:paraId="2F8C44B9">
            <w:pPr>
              <w:widowControl/>
              <w:ind w:firstLine="440" w:firstLineChars="200"/>
              <w:jc w:val="left"/>
              <w:rPr>
                <w:rFonts w:eastAsia="仿宋_GB2312"/>
                <w:color w:val="auto"/>
                <w:kern w:val="0"/>
                <w:sz w:val="22"/>
                <w:szCs w:val="22"/>
                <w:highlight w:val="none"/>
              </w:rPr>
            </w:pPr>
            <w:r>
              <w:rPr>
                <w:rFonts w:hint="eastAsia" w:eastAsia="仿宋_GB2312"/>
                <w:color w:val="auto"/>
                <w:kern w:val="0"/>
                <w:sz w:val="22"/>
                <w:szCs w:val="22"/>
                <w:highlight w:val="none"/>
              </w:rPr>
              <w:t>　</w:t>
            </w:r>
          </w:p>
        </w:tc>
      </w:tr>
      <w:tr w14:paraId="3B0E8778">
        <w:tblPrEx>
          <w:tblCellMar>
            <w:top w:w="0" w:type="dxa"/>
            <w:left w:w="108" w:type="dxa"/>
            <w:bottom w:w="0" w:type="dxa"/>
            <w:right w:w="108" w:type="dxa"/>
          </w:tblCellMar>
        </w:tblPrEx>
        <w:trPr>
          <w:trHeight w:val="1030" w:hRule="atLeast"/>
        </w:trPr>
        <w:tc>
          <w:tcPr>
            <w:tcW w:w="1675" w:type="dxa"/>
            <w:gridSpan w:val="2"/>
            <w:vMerge w:val="restart"/>
            <w:tcBorders>
              <w:top w:val="nil"/>
              <w:left w:val="single" w:color="auto" w:sz="8" w:space="0"/>
              <w:bottom w:val="single" w:color="auto" w:sz="4" w:space="0"/>
              <w:right w:val="single" w:color="auto" w:sz="8" w:space="0"/>
            </w:tcBorders>
            <w:vAlign w:val="center"/>
          </w:tcPr>
          <w:p w14:paraId="19531E51">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验收具体内容（按采购合同、采购文件、投标响应文件及验收方案等进行验收）</w:t>
            </w:r>
          </w:p>
        </w:tc>
        <w:tc>
          <w:tcPr>
            <w:tcW w:w="6192" w:type="dxa"/>
            <w:gridSpan w:val="4"/>
            <w:tcBorders>
              <w:top w:val="single" w:color="auto" w:sz="8" w:space="0"/>
              <w:left w:val="nil"/>
              <w:bottom w:val="single" w:color="auto" w:sz="8" w:space="0"/>
              <w:right w:val="single" w:color="000000" w:sz="8" w:space="0"/>
            </w:tcBorders>
            <w:vAlign w:val="center"/>
          </w:tcPr>
          <w:p w14:paraId="24BEC658">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在安装调试等方面是否符合合同约定和服务规范要求</w:t>
            </w:r>
          </w:p>
        </w:tc>
        <w:tc>
          <w:tcPr>
            <w:tcW w:w="2623" w:type="dxa"/>
            <w:gridSpan w:val="3"/>
            <w:tcBorders>
              <w:top w:val="single" w:color="auto" w:sz="8" w:space="0"/>
              <w:left w:val="nil"/>
              <w:bottom w:val="single" w:color="auto" w:sz="8" w:space="0"/>
              <w:right w:val="single" w:color="000000" w:sz="8" w:space="0"/>
            </w:tcBorders>
            <w:vAlign w:val="center"/>
          </w:tcPr>
          <w:p w14:paraId="45CBEB4B">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r>
      <w:tr w14:paraId="0828BE45">
        <w:tblPrEx>
          <w:tblCellMar>
            <w:top w:w="0" w:type="dxa"/>
            <w:left w:w="108" w:type="dxa"/>
            <w:bottom w:w="0" w:type="dxa"/>
            <w:right w:w="108" w:type="dxa"/>
          </w:tblCellMar>
        </w:tblPrEx>
        <w:trPr>
          <w:trHeight w:val="982" w:hRule="atLeast"/>
        </w:trPr>
        <w:tc>
          <w:tcPr>
            <w:tcW w:w="0" w:type="auto"/>
            <w:gridSpan w:val="2"/>
            <w:vMerge w:val="continue"/>
            <w:tcBorders>
              <w:top w:val="nil"/>
              <w:left w:val="single" w:color="auto" w:sz="8" w:space="0"/>
              <w:bottom w:val="single" w:color="auto" w:sz="4" w:space="0"/>
              <w:right w:val="single" w:color="auto" w:sz="8" w:space="0"/>
            </w:tcBorders>
            <w:vAlign w:val="center"/>
          </w:tcPr>
          <w:p w14:paraId="376FDDA9">
            <w:pPr>
              <w:widowControl/>
              <w:jc w:val="left"/>
              <w:rPr>
                <w:rFonts w:eastAsia="仿宋_GB2312"/>
                <w:color w:val="auto"/>
                <w:kern w:val="0"/>
                <w:sz w:val="22"/>
                <w:szCs w:val="22"/>
                <w:highlight w:val="none"/>
              </w:rPr>
            </w:pPr>
          </w:p>
        </w:tc>
        <w:tc>
          <w:tcPr>
            <w:tcW w:w="6192" w:type="dxa"/>
            <w:gridSpan w:val="4"/>
            <w:tcBorders>
              <w:top w:val="single" w:color="auto" w:sz="8" w:space="0"/>
              <w:left w:val="nil"/>
              <w:bottom w:val="single" w:color="auto" w:sz="8" w:space="0"/>
              <w:right w:val="single" w:color="000000" w:sz="8" w:space="0"/>
            </w:tcBorders>
            <w:vAlign w:val="center"/>
          </w:tcPr>
          <w:p w14:paraId="599778C8">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提供的质量保证证明材料是否齐全</w:t>
            </w:r>
          </w:p>
        </w:tc>
        <w:tc>
          <w:tcPr>
            <w:tcW w:w="2623" w:type="dxa"/>
            <w:gridSpan w:val="3"/>
            <w:tcBorders>
              <w:top w:val="single" w:color="auto" w:sz="8" w:space="0"/>
              <w:left w:val="nil"/>
              <w:bottom w:val="single" w:color="auto" w:sz="8" w:space="0"/>
              <w:right w:val="single" w:color="000000" w:sz="8" w:space="0"/>
            </w:tcBorders>
            <w:vAlign w:val="center"/>
          </w:tcPr>
          <w:p w14:paraId="23016913">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r>
      <w:tr w14:paraId="119BD95C">
        <w:tblPrEx>
          <w:tblCellMar>
            <w:top w:w="0" w:type="dxa"/>
            <w:left w:w="108" w:type="dxa"/>
            <w:bottom w:w="0" w:type="dxa"/>
            <w:right w:w="108" w:type="dxa"/>
          </w:tblCellMar>
        </w:tblPrEx>
        <w:trPr>
          <w:trHeight w:val="968" w:hRule="atLeast"/>
        </w:trPr>
        <w:tc>
          <w:tcPr>
            <w:tcW w:w="0" w:type="auto"/>
            <w:gridSpan w:val="2"/>
            <w:vMerge w:val="continue"/>
            <w:tcBorders>
              <w:top w:val="nil"/>
              <w:left w:val="single" w:color="auto" w:sz="8" w:space="0"/>
              <w:bottom w:val="single" w:color="auto" w:sz="4" w:space="0"/>
              <w:right w:val="single" w:color="auto" w:sz="8" w:space="0"/>
            </w:tcBorders>
            <w:vAlign w:val="center"/>
          </w:tcPr>
          <w:p w14:paraId="1E1811AB">
            <w:pPr>
              <w:widowControl/>
              <w:jc w:val="left"/>
              <w:rPr>
                <w:rFonts w:eastAsia="仿宋_GB2312"/>
                <w:color w:val="auto"/>
                <w:kern w:val="0"/>
                <w:sz w:val="22"/>
                <w:szCs w:val="22"/>
                <w:highlight w:val="none"/>
              </w:rPr>
            </w:pPr>
          </w:p>
        </w:tc>
        <w:tc>
          <w:tcPr>
            <w:tcW w:w="6192" w:type="dxa"/>
            <w:gridSpan w:val="4"/>
            <w:tcBorders>
              <w:top w:val="single" w:color="auto" w:sz="8" w:space="0"/>
              <w:left w:val="nil"/>
              <w:bottom w:val="single" w:color="auto" w:sz="8" w:space="0"/>
              <w:right w:val="single" w:color="000000" w:sz="8" w:space="0"/>
            </w:tcBorders>
            <w:vAlign w:val="center"/>
          </w:tcPr>
          <w:p w14:paraId="1C6A943B">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应有的配件及附件是否达到合同约定</w:t>
            </w:r>
          </w:p>
        </w:tc>
        <w:tc>
          <w:tcPr>
            <w:tcW w:w="2623" w:type="dxa"/>
            <w:gridSpan w:val="3"/>
            <w:tcBorders>
              <w:top w:val="single" w:color="auto" w:sz="8" w:space="0"/>
              <w:left w:val="nil"/>
              <w:bottom w:val="single" w:color="auto" w:sz="8" w:space="0"/>
              <w:right w:val="single" w:color="000000" w:sz="8" w:space="0"/>
            </w:tcBorders>
            <w:vAlign w:val="center"/>
          </w:tcPr>
          <w:p w14:paraId="3FC55D5F">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r>
      <w:tr w14:paraId="2D6F8FA8">
        <w:tblPrEx>
          <w:tblCellMar>
            <w:top w:w="0" w:type="dxa"/>
            <w:left w:w="108" w:type="dxa"/>
            <w:bottom w:w="0" w:type="dxa"/>
            <w:right w:w="108" w:type="dxa"/>
          </w:tblCellMar>
        </w:tblPrEx>
        <w:trPr>
          <w:trHeight w:val="1251" w:hRule="atLeast"/>
        </w:trPr>
        <w:tc>
          <w:tcPr>
            <w:tcW w:w="0" w:type="auto"/>
            <w:gridSpan w:val="2"/>
            <w:vMerge w:val="continue"/>
            <w:tcBorders>
              <w:top w:val="nil"/>
              <w:left w:val="single" w:color="auto" w:sz="8" w:space="0"/>
              <w:bottom w:val="single" w:color="auto" w:sz="4" w:space="0"/>
              <w:right w:val="single" w:color="auto" w:sz="8" w:space="0"/>
            </w:tcBorders>
            <w:vAlign w:val="center"/>
          </w:tcPr>
          <w:p w14:paraId="22EE5BB7">
            <w:pPr>
              <w:widowControl/>
              <w:jc w:val="left"/>
              <w:rPr>
                <w:rFonts w:eastAsia="仿宋_GB2312"/>
                <w:color w:val="auto"/>
                <w:kern w:val="0"/>
                <w:sz w:val="22"/>
                <w:szCs w:val="22"/>
                <w:highlight w:val="none"/>
              </w:rPr>
            </w:pPr>
          </w:p>
        </w:tc>
        <w:tc>
          <w:tcPr>
            <w:tcW w:w="6192" w:type="dxa"/>
            <w:gridSpan w:val="4"/>
            <w:tcBorders>
              <w:top w:val="single" w:color="auto" w:sz="8" w:space="0"/>
              <w:left w:val="nil"/>
              <w:bottom w:val="single" w:color="auto" w:sz="4" w:space="0"/>
              <w:right w:val="single" w:color="000000" w:sz="8" w:space="0"/>
            </w:tcBorders>
            <w:vAlign w:val="center"/>
          </w:tcPr>
          <w:p w14:paraId="2D414549">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其他内容</w:t>
            </w:r>
          </w:p>
        </w:tc>
        <w:tc>
          <w:tcPr>
            <w:tcW w:w="2623" w:type="dxa"/>
            <w:gridSpan w:val="3"/>
            <w:tcBorders>
              <w:top w:val="single" w:color="auto" w:sz="8" w:space="0"/>
              <w:left w:val="nil"/>
              <w:bottom w:val="single" w:color="auto" w:sz="4" w:space="0"/>
              <w:right w:val="single" w:color="000000" w:sz="8" w:space="0"/>
            </w:tcBorders>
            <w:vAlign w:val="center"/>
          </w:tcPr>
          <w:p w14:paraId="3C0BD823">
            <w:pPr>
              <w:widowControl/>
              <w:jc w:val="center"/>
              <w:rPr>
                <w:rFonts w:eastAsia="仿宋_GB2312"/>
                <w:color w:val="auto"/>
                <w:kern w:val="0"/>
                <w:sz w:val="16"/>
                <w:szCs w:val="16"/>
                <w:highlight w:val="none"/>
              </w:rPr>
            </w:pPr>
            <w:r>
              <w:rPr>
                <w:rFonts w:eastAsia="仿宋_GB2312"/>
                <w:color w:val="auto"/>
                <w:kern w:val="0"/>
                <w:sz w:val="16"/>
                <w:szCs w:val="16"/>
                <w:highlight w:val="none"/>
              </w:rPr>
              <w:t>(</w:t>
            </w:r>
            <w:r>
              <w:rPr>
                <w:rFonts w:hint="eastAsia" w:eastAsia="仿宋_GB2312"/>
                <w:color w:val="auto"/>
                <w:kern w:val="0"/>
                <w:sz w:val="16"/>
                <w:szCs w:val="16"/>
                <w:highlight w:val="none"/>
              </w:rPr>
              <w:t>可增附页）</w:t>
            </w:r>
          </w:p>
        </w:tc>
      </w:tr>
      <w:tr w14:paraId="4EBC8BF0">
        <w:tblPrEx>
          <w:tblCellMar>
            <w:top w:w="0" w:type="dxa"/>
            <w:left w:w="108" w:type="dxa"/>
            <w:bottom w:w="0" w:type="dxa"/>
            <w:right w:w="108" w:type="dxa"/>
          </w:tblCellMar>
        </w:tblPrEx>
        <w:trPr>
          <w:trHeight w:val="735" w:hRule="atLeast"/>
        </w:trPr>
        <w:tc>
          <w:tcPr>
            <w:tcW w:w="1675" w:type="dxa"/>
            <w:gridSpan w:val="2"/>
            <w:vMerge w:val="restart"/>
            <w:tcBorders>
              <w:top w:val="single" w:color="auto" w:sz="4" w:space="0"/>
              <w:left w:val="single" w:color="auto" w:sz="4" w:space="0"/>
              <w:bottom w:val="nil"/>
              <w:right w:val="single" w:color="auto" w:sz="4" w:space="0"/>
            </w:tcBorders>
            <w:vAlign w:val="center"/>
          </w:tcPr>
          <w:p w14:paraId="2BE6EAD0">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验收小组</w:t>
            </w:r>
            <w:r>
              <w:rPr>
                <w:rFonts w:eastAsia="仿宋_GB2312"/>
                <w:color w:val="auto"/>
                <w:kern w:val="0"/>
                <w:sz w:val="22"/>
                <w:szCs w:val="22"/>
                <w:highlight w:val="none"/>
              </w:rPr>
              <w:br w:type="textWrapping"/>
            </w:r>
            <w:r>
              <w:rPr>
                <w:rFonts w:hint="eastAsia" w:eastAsia="仿宋_GB2312"/>
                <w:color w:val="auto"/>
                <w:kern w:val="0"/>
                <w:sz w:val="22"/>
                <w:szCs w:val="22"/>
                <w:highlight w:val="none"/>
              </w:rPr>
              <w:t>意见</w:t>
            </w:r>
          </w:p>
        </w:tc>
        <w:tc>
          <w:tcPr>
            <w:tcW w:w="8815" w:type="dxa"/>
            <w:gridSpan w:val="7"/>
            <w:vMerge w:val="restart"/>
            <w:tcBorders>
              <w:top w:val="single" w:color="auto" w:sz="4" w:space="0"/>
              <w:left w:val="single" w:color="auto" w:sz="4" w:space="0"/>
              <w:bottom w:val="single" w:color="000000" w:sz="8" w:space="0"/>
              <w:right w:val="single" w:color="auto" w:sz="4" w:space="0"/>
            </w:tcBorders>
          </w:tcPr>
          <w:p w14:paraId="54CAEBAD">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验收结论性意见：</w:t>
            </w:r>
          </w:p>
          <w:p w14:paraId="07C03BF2">
            <w:pPr>
              <w:widowControl/>
              <w:jc w:val="left"/>
              <w:rPr>
                <w:rFonts w:eastAsia="仿宋_GB2312"/>
                <w:color w:val="auto"/>
                <w:kern w:val="0"/>
                <w:sz w:val="22"/>
                <w:szCs w:val="22"/>
                <w:highlight w:val="none"/>
              </w:rPr>
            </w:pPr>
          </w:p>
          <w:p w14:paraId="74C85C32">
            <w:pPr>
              <w:widowControl/>
              <w:jc w:val="left"/>
              <w:rPr>
                <w:rFonts w:eastAsia="仿宋_GB2312"/>
                <w:color w:val="auto"/>
                <w:kern w:val="0"/>
                <w:sz w:val="22"/>
                <w:szCs w:val="22"/>
                <w:highlight w:val="none"/>
              </w:rPr>
            </w:pPr>
          </w:p>
          <w:p w14:paraId="4585ED97">
            <w:pPr>
              <w:widowControl/>
              <w:jc w:val="left"/>
              <w:rPr>
                <w:rFonts w:eastAsia="仿宋_GB2312"/>
                <w:color w:val="auto"/>
                <w:kern w:val="0"/>
                <w:sz w:val="22"/>
                <w:szCs w:val="22"/>
                <w:highlight w:val="none"/>
              </w:rPr>
            </w:pPr>
          </w:p>
          <w:p w14:paraId="3DF88469">
            <w:pPr>
              <w:widowControl/>
              <w:jc w:val="left"/>
              <w:rPr>
                <w:rFonts w:eastAsia="仿宋_GB2312"/>
                <w:color w:val="auto"/>
                <w:kern w:val="0"/>
                <w:sz w:val="22"/>
                <w:szCs w:val="22"/>
                <w:highlight w:val="none"/>
              </w:rPr>
            </w:pPr>
          </w:p>
          <w:p w14:paraId="01FC7FB9">
            <w:pPr>
              <w:widowControl/>
              <w:jc w:val="left"/>
              <w:rPr>
                <w:rFonts w:eastAsia="仿宋_GB2312"/>
                <w:color w:val="auto"/>
                <w:kern w:val="0"/>
                <w:sz w:val="22"/>
                <w:szCs w:val="22"/>
                <w:highlight w:val="none"/>
              </w:rPr>
            </w:pPr>
          </w:p>
        </w:tc>
      </w:tr>
      <w:tr w14:paraId="2FE4902E">
        <w:tblPrEx>
          <w:tblCellMar>
            <w:top w:w="0" w:type="dxa"/>
            <w:left w:w="108" w:type="dxa"/>
            <w:bottom w:w="0" w:type="dxa"/>
            <w:right w:w="108" w:type="dxa"/>
          </w:tblCellMar>
        </w:tblPrEx>
        <w:trPr>
          <w:trHeight w:val="600" w:hRule="atLeast"/>
        </w:trPr>
        <w:tc>
          <w:tcPr>
            <w:tcW w:w="0" w:type="auto"/>
            <w:gridSpan w:val="2"/>
            <w:vMerge w:val="continue"/>
            <w:tcBorders>
              <w:top w:val="single" w:color="auto" w:sz="4" w:space="0"/>
              <w:left w:val="single" w:color="auto" w:sz="4" w:space="0"/>
              <w:bottom w:val="nil"/>
              <w:right w:val="single" w:color="auto" w:sz="4" w:space="0"/>
            </w:tcBorders>
            <w:vAlign w:val="center"/>
          </w:tcPr>
          <w:p w14:paraId="325144B7">
            <w:pPr>
              <w:widowControl/>
              <w:jc w:val="left"/>
              <w:rPr>
                <w:rFonts w:eastAsia="仿宋_GB2312"/>
                <w:color w:val="auto"/>
                <w:kern w:val="0"/>
                <w:sz w:val="22"/>
                <w:szCs w:val="22"/>
                <w:highlight w:val="none"/>
              </w:rPr>
            </w:pPr>
          </w:p>
        </w:tc>
        <w:tc>
          <w:tcPr>
            <w:tcW w:w="8815" w:type="dxa"/>
            <w:gridSpan w:val="7"/>
            <w:vMerge w:val="continue"/>
            <w:tcBorders>
              <w:top w:val="single" w:color="auto" w:sz="4" w:space="0"/>
              <w:left w:val="single" w:color="auto" w:sz="4" w:space="0"/>
              <w:bottom w:val="single" w:color="000000" w:sz="8" w:space="0"/>
              <w:right w:val="single" w:color="auto" w:sz="4" w:space="0"/>
            </w:tcBorders>
            <w:vAlign w:val="center"/>
          </w:tcPr>
          <w:p w14:paraId="72C5F8BE">
            <w:pPr>
              <w:widowControl/>
              <w:jc w:val="left"/>
              <w:rPr>
                <w:rFonts w:eastAsia="仿宋_GB2312"/>
                <w:color w:val="auto"/>
                <w:kern w:val="0"/>
                <w:sz w:val="22"/>
                <w:szCs w:val="22"/>
                <w:highlight w:val="none"/>
              </w:rPr>
            </w:pPr>
          </w:p>
        </w:tc>
      </w:tr>
      <w:tr w14:paraId="020168CA">
        <w:tblPrEx>
          <w:tblCellMar>
            <w:top w:w="0" w:type="dxa"/>
            <w:left w:w="108" w:type="dxa"/>
            <w:bottom w:w="0" w:type="dxa"/>
            <w:right w:w="108" w:type="dxa"/>
          </w:tblCellMar>
        </w:tblPrEx>
        <w:trPr>
          <w:trHeight w:val="60" w:hRule="atLeast"/>
        </w:trPr>
        <w:tc>
          <w:tcPr>
            <w:tcW w:w="0" w:type="auto"/>
            <w:gridSpan w:val="2"/>
            <w:vMerge w:val="continue"/>
            <w:tcBorders>
              <w:top w:val="single" w:color="auto" w:sz="4" w:space="0"/>
              <w:left w:val="single" w:color="auto" w:sz="4" w:space="0"/>
              <w:bottom w:val="nil"/>
              <w:right w:val="single" w:color="auto" w:sz="4" w:space="0"/>
            </w:tcBorders>
            <w:vAlign w:val="center"/>
          </w:tcPr>
          <w:p w14:paraId="6E7BF1A0">
            <w:pPr>
              <w:widowControl/>
              <w:jc w:val="left"/>
              <w:rPr>
                <w:rFonts w:eastAsia="仿宋_GB2312"/>
                <w:color w:val="auto"/>
                <w:kern w:val="0"/>
                <w:sz w:val="22"/>
                <w:szCs w:val="22"/>
                <w:highlight w:val="none"/>
              </w:rPr>
            </w:pPr>
          </w:p>
        </w:tc>
        <w:tc>
          <w:tcPr>
            <w:tcW w:w="8815" w:type="dxa"/>
            <w:gridSpan w:val="7"/>
            <w:tcBorders>
              <w:top w:val="single" w:color="auto" w:sz="8" w:space="0"/>
              <w:left w:val="nil"/>
              <w:bottom w:val="nil"/>
              <w:right w:val="single" w:color="000000" w:sz="8" w:space="0"/>
            </w:tcBorders>
          </w:tcPr>
          <w:p w14:paraId="23F17AD1">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有异议的意见和说明理由：</w:t>
            </w:r>
          </w:p>
        </w:tc>
      </w:tr>
      <w:tr w14:paraId="478A2EA6">
        <w:tblPrEx>
          <w:tblCellMar>
            <w:top w:w="0" w:type="dxa"/>
            <w:left w:w="108" w:type="dxa"/>
            <w:bottom w:w="0" w:type="dxa"/>
            <w:right w:w="108" w:type="dxa"/>
          </w:tblCellMar>
        </w:tblPrEx>
        <w:trPr>
          <w:trHeight w:val="600" w:hRule="atLeast"/>
        </w:trPr>
        <w:tc>
          <w:tcPr>
            <w:tcW w:w="0" w:type="auto"/>
            <w:gridSpan w:val="2"/>
            <w:vMerge w:val="continue"/>
            <w:tcBorders>
              <w:top w:val="single" w:color="auto" w:sz="4" w:space="0"/>
              <w:left w:val="single" w:color="auto" w:sz="4" w:space="0"/>
              <w:bottom w:val="nil"/>
              <w:right w:val="single" w:color="auto" w:sz="4" w:space="0"/>
            </w:tcBorders>
            <w:vAlign w:val="center"/>
          </w:tcPr>
          <w:p w14:paraId="0B1DBE17">
            <w:pPr>
              <w:widowControl/>
              <w:jc w:val="left"/>
              <w:rPr>
                <w:rFonts w:eastAsia="仿宋_GB2312"/>
                <w:color w:val="auto"/>
                <w:kern w:val="0"/>
                <w:sz w:val="22"/>
                <w:szCs w:val="22"/>
                <w:highlight w:val="none"/>
              </w:rPr>
            </w:pPr>
          </w:p>
        </w:tc>
        <w:tc>
          <w:tcPr>
            <w:tcW w:w="8815" w:type="dxa"/>
            <w:gridSpan w:val="7"/>
            <w:tcBorders>
              <w:top w:val="nil"/>
              <w:left w:val="nil"/>
              <w:bottom w:val="nil"/>
              <w:right w:val="single" w:color="000000" w:sz="8" w:space="0"/>
            </w:tcBorders>
            <w:vAlign w:val="center"/>
          </w:tcPr>
          <w:p w14:paraId="0F122E62">
            <w:pPr>
              <w:widowControl/>
              <w:jc w:val="left"/>
              <w:rPr>
                <w:rFonts w:eastAsia="仿宋_GB2312"/>
                <w:color w:val="auto"/>
                <w:kern w:val="0"/>
                <w:sz w:val="22"/>
                <w:szCs w:val="22"/>
                <w:highlight w:val="none"/>
              </w:rPr>
            </w:pPr>
            <w:r>
              <w:rPr>
                <w:rFonts w:eastAsia="仿宋_GB2312"/>
                <w:color w:val="auto"/>
                <w:kern w:val="0"/>
                <w:sz w:val="22"/>
                <w:szCs w:val="22"/>
                <w:highlight w:val="none"/>
              </w:rPr>
              <w:t xml:space="preserve">                                           </w:t>
            </w:r>
            <w:r>
              <w:rPr>
                <w:rFonts w:hint="eastAsia" w:eastAsia="仿宋_GB2312"/>
                <w:color w:val="auto"/>
                <w:kern w:val="0"/>
                <w:sz w:val="22"/>
                <w:szCs w:val="22"/>
                <w:highlight w:val="none"/>
              </w:rPr>
              <w:t>签字：</w:t>
            </w:r>
          </w:p>
        </w:tc>
      </w:tr>
      <w:tr w14:paraId="1120B0E0">
        <w:tblPrEx>
          <w:tblCellMar>
            <w:top w:w="0" w:type="dxa"/>
            <w:left w:w="108" w:type="dxa"/>
            <w:bottom w:w="0" w:type="dxa"/>
            <w:right w:w="108" w:type="dxa"/>
          </w:tblCellMar>
        </w:tblPrEx>
        <w:trPr>
          <w:trHeight w:val="600" w:hRule="atLeast"/>
        </w:trPr>
        <w:tc>
          <w:tcPr>
            <w:tcW w:w="10490" w:type="dxa"/>
            <w:gridSpan w:val="9"/>
            <w:tcBorders>
              <w:top w:val="single" w:color="auto" w:sz="8" w:space="0"/>
              <w:left w:val="single" w:color="auto" w:sz="8" w:space="0"/>
              <w:bottom w:val="single" w:color="auto" w:sz="8" w:space="0"/>
              <w:right w:val="single" w:color="000000" w:sz="8" w:space="0"/>
            </w:tcBorders>
            <w:vAlign w:val="center"/>
          </w:tcPr>
          <w:p w14:paraId="1B2C64B8">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验收小组</w:t>
            </w:r>
            <w:r>
              <w:rPr>
                <w:rFonts w:eastAsia="仿宋_GB2312"/>
                <w:color w:val="auto"/>
                <w:kern w:val="0"/>
                <w:sz w:val="20"/>
                <w:szCs w:val="20"/>
                <w:highlight w:val="none"/>
              </w:rPr>
              <w:t>(3</w:t>
            </w:r>
            <w:r>
              <w:rPr>
                <w:rFonts w:hint="eastAsia" w:eastAsia="仿宋_GB2312"/>
                <w:color w:val="auto"/>
                <w:kern w:val="0"/>
                <w:sz w:val="20"/>
                <w:szCs w:val="20"/>
                <w:highlight w:val="none"/>
              </w:rPr>
              <w:t>人或以上单数均可）</w:t>
            </w:r>
          </w:p>
        </w:tc>
      </w:tr>
      <w:tr w14:paraId="1164A8C0">
        <w:tblPrEx>
          <w:tblCellMar>
            <w:top w:w="0" w:type="dxa"/>
            <w:left w:w="108" w:type="dxa"/>
            <w:bottom w:w="0" w:type="dxa"/>
            <w:right w:w="108" w:type="dxa"/>
          </w:tblCellMar>
        </w:tblPrEx>
        <w:trPr>
          <w:trHeight w:val="600" w:hRule="atLeast"/>
        </w:trPr>
        <w:tc>
          <w:tcPr>
            <w:tcW w:w="3779" w:type="dxa"/>
            <w:gridSpan w:val="3"/>
            <w:tcBorders>
              <w:top w:val="nil"/>
              <w:left w:val="single" w:color="auto" w:sz="8" w:space="0"/>
              <w:bottom w:val="single" w:color="auto" w:sz="8" w:space="0"/>
              <w:right w:val="single" w:color="auto" w:sz="8" w:space="0"/>
            </w:tcBorders>
            <w:vAlign w:val="center"/>
          </w:tcPr>
          <w:p w14:paraId="2E2E4689">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姓</w:t>
            </w:r>
            <w:r>
              <w:rPr>
                <w:rFonts w:eastAsia="仿宋_GB2312"/>
                <w:color w:val="auto"/>
                <w:kern w:val="0"/>
                <w:sz w:val="22"/>
                <w:szCs w:val="22"/>
                <w:highlight w:val="none"/>
              </w:rPr>
              <w:t xml:space="preserve"> </w:t>
            </w:r>
            <w:r>
              <w:rPr>
                <w:rFonts w:hint="eastAsia" w:eastAsia="仿宋_GB2312"/>
                <w:color w:val="auto"/>
                <w:kern w:val="0"/>
                <w:sz w:val="22"/>
                <w:szCs w:val="22"/>
                <w:highlight w:val="none"/>
              </w:rPr>
              <w:t>名</w:t>
            </w:r>
          </w:p>
        </w:tc>
        <w:tc>
          <w:tcPr>
            <w:tcW w:w="2168" w:type="dxa"/>
            <w:tcBorders>
              <w:top w:val="nil"/>
              <w:left w:val="nil"/>
              <w:bottom w:val="single" w:color="auto" w:sz="8" w:space="0"/>
              <w:right w:val="single" w:color="auto" w:sz="8" w:space="0"/>
            </w:tcBorders>
            <w:vAlign w:val="center"/>
          </w:tcPr>
          <w:p w14:paraId="4054C259">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工作单位</w:t>
            </w:r>
          </w:p>
        </w:tc>
        <w:tc>
          <w:tcPr>
            <w:tcW w:w="1593" w:type="dxa"/>
            <w:tcBorders>
              <w:top w:val="nil"/>
              <w:left w:val="nil"/>
              <w:bottom w:val="single" w:color="auto" w:sz="8" w:space="0"/>
              <w:right w:val="single" w:color="auto" w:sz="8" w:space="0"/>
            </w:tcBorders>
            <w:vAlign w:val="center"/>
          </w:tcPr>
          <w:p w14:paraId="0EB09C3D">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职</w:t>
            </w:r>
            <w:r>
              <w:rPr>
                <w:rFonts w:eastAsia="仿宋_GB2312"/>
                <w:color w:val="auto"/>
                <w:kern w:val="0"/>
                <w:sz w:val="22"/>
                <w:szCs w:val="22"/>
                <w:highlight w:val="none"/>
              </w:rPr>
              <w:t xml:space="preserve">  </w:t>
            </w:r>
            <w:r>
              <w:rPr>
                <w:rFonts w:hint="eastAsia" w:eastAsia="仿宋_GB2312"/>
                <w:color w:val="auto"/>
                <w:kern w:val="0"/>
                <w:sz w:val="22"/>
                <w:szCs w:val="22"/>
                <w:highlight w:val="none"/>
              </w:rPr>
              <w:t>称</w:t>
            </w:r>
          </w:p>
        </w:tc>
        <w:tc>
          <w:tcPr>
            <w:tcW w:w="2185" w:type="dxa"/>
            <w:gridSpan w:val="3"/>
            <w:tcBorders>
              <w:top w:val="single" w:color="auto" w:sz="8" w:space="0"/>
              <w:left w:val="nil"/>
              <w:bottom w:val="single" w:color="auto" w:sz="8" w:space="0"/>
              <w:right w:val="single" w:color="000000" w:sz="8" w:space="0"/>
            </w:tcBorders>
            <w:vAlign w:val="center"/>
          </w:tcPr>
          <w:p w14:paraId="286683B6">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专业方向</w:t>
            </w:r>
          </w:p>
        </w:tc>
        <w:tc>
          <w:tcPr>
            <w:tcW w:w="765" w:type="dxa"/>
            <w:tcBorders>
              <w:top w:val="nil"/>
              <w:left w:val="nil"/>
              <w:bottom w:val="single" w:color="auto" w:sz="8" w:space="0"/>
              <w:right w:val="single" w:color="auto" w:sz="8" w:space="0"/>
            </w:tcBorders>
            <w:vAlign w:val="center"/>
          </w:tcPr>
          <w:p w14:paraId="7FD7B5C1">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本人签名</w:t>
            </w:r>
          </w:p>
        </w:tc>
      </w:tr>
      <w:tr w14:paraId="10E80042">
        <w:tblPrEx>
          <w:tblCellMar>
            <w:top w:w="0" w:type="dxa"/>
            <w:left w:w="108" w:type="dxa"/>
            <w:bottom w:w="0" w:type="dxa"/>
            <w:right w:w="108" w:type="dxa"/>
          </w:tblCellMar>
        </w:tblPrEx>
        <w:trPr>
          <w:trHeight w:val="600" w:hRule="atLeast"/>
        </w:trPr>
        <w:tc>
          <w:tcPr>
            <w:tcW w:w="1675" w:type="dxa"/>
            <w:gridSpan w:val="2"/>
            <w:tcBorders>
              <w:top w:val="nil"/>
              <w:left w:val="single" w:color="auto" w:sz="8" w:space="0"/>
              <w:bottom w:val="single" w:color="auto" w:sz="8" w:space="0"/>
              <w:right w:val="single" w:color="auto" w:sz="8" w:space="0"/>
            </w:tcBorders>
            <w:vAlign w:val="center"/>
          </w:tcPr>
          <w:p w14:paraId="5DAA7623">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小组负责人</w:t>
            </w:r>
          </w:p>
        </w:tc>
        <w:tc>
          <w:tcPr>
            <w:tcW w:w="2104" w:type="dxa"/>
            <w:tcBorders>
              <w:top w:val="nil"/>
              <w:left w:val="nil"/>
              <w:bottom w:val="single" w:color="auto" w:sz="8" w:space="0"/>
              <w:right w:val="single" w:color="auto" w:sz="8" w:space="0"/>
            </w:tcBorders>
            <w:vAlign w:val="center"/>
          </w:tcPr>
          <w:p w14:paraId="6F82F2E1">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2168" w:type="dxa"/>
            <w:tcBorders>
              <w:top w:val="nil"/>
              <w:left w:val="nil"/>
              <w:bottom w:val="single" w:color="auto" w:sz="8" w:space="0"/>
              <w:right w:val="single" w:color="auto" w:sz="8" w:space="0"/>
            </w:tcBorders>
            <w:vAlign w:val="center"/>
          </w:tcPr>
          <w:p w14:paraId="0DAC9D99">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1593" w:type="dxa"/>
            <w:tcBorders>
              <w:top w:val="nil"/>
              <w:left w:val="nil"/>
              <w:bottom w:val="single" w:color="auto" w:sz="8" w:space="0"/>
              <w:right w:val="single" w:color="auto" w:sz="8" w:space="0"/>
            </w:tcBorders>
            <w:vAlign w:val="center"/>
          </w:tcPr>
          <w:p w14:paraId="3226B3CD">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2185" w:type="dxa"/>
            <w:gridSpan w:val="3"/>
            <w:tcBorders>
              <w:top w:val="single" w:color="auto" w:sz="8" w:space="0"/>
              <w:left w:val="nil"/>
              <w:bottom w:val="single" w:color="auto" w:sz="8" w:space="0"/>
              <w:right w:val="single" w:color="000000" w:sz="8" w:space="0"/>
            </w:tcBorders>
            <w:vAlign w:val="center"/>
          </w:tcPr>
          <w:p w14:paraId="11CC8250">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765" w:type="dxa"/>
            <w:tcBorders>
              <w:top w:val="nil"/>
              <w:left w:val="nil"/>
              <w:bottom w:val="single" w:color="auto" w:sz="8" w:space="0"/>
              <w:right w:val="single" w:color="auto" w:sz="8" w:space="0"/>
            </w:tcBorders>
            <w:vAlign w:val="center"/>
          </w:tcPr>
          <w:p w14:paraId="6DAFEB6F">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　</w:t>
            </w:r>
          </w:p>
        </w:tc>
      </w:tr>
      <w:tr w14:paraId="3212DB0B">
        <w:tblPrEx>
          <w:tblCellMar>
            <w:top w:w="0" w:type="dxa"/>
            <w:left w:w="108" w:type="dxa"/>
            <w:bottom w:w="0" w:type="dxa"/>
            <w:right w:w="108" w:type="dxa"/>
          </w:tblCellMar>
        </w:tblPrEx>
        <w:trPr>
          <w:trHeight w:val="600" w:hRule="atLeast"/>
        </w:trPr>
        <w:tc>
          <w:tcPr>
            <w:tcW w:w="1675" w:type="dxa"/>
            <w:gridSpan w:val="2"/>
            <w:tcBorders>
              <w:top w:val="nil"/>
              <w:left w:val="single" w:color="auto" w:sz="8" w:space="0"/>
              <w:bottom w:val="single" w:color="auto" w:sz="8" w:space="0"/>
              <w:right w:val="single" w:color="auto" w:sz="8" w:space="0"/>
            </w:tcBorders>
            <w:vAlign w:val="center"/>
          </w:tcPr>
          <w:p w14:paraId="2F5E8C11">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小组成员</w:t>
            </w:r>
          </w:p>
        </w:tc>
        <w:tc>
          <w:tcPr>
            <w:tcW w:w="2104" w:type="dxa"/>
            <w:tcBorders>
              <w:top w:val="nil"/>
              <w:left w:val="nil"/>
              <w:bottom w:val="single" w:color="auto" w:sz="8" w:space="0"/>
              <w:right w:val="single" w:color="auto" w:sz="8" w:space="0"/>
            </w:tcBorders>
            <w:vAlign w:val="center"/>
          </w:tcPr>
          <w:p w14:paraId="59302278">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2168" w:type="dxa"/>
            <w:tcBorders>
              <w:top w:val="nil"/>
              <w:left w:val="nil"/>
              <w:bottom w:val="single" w:color="auto" w:sz="8" w:space="0"/>
              <w:right w:val="single" w:color="auto" w:sz="8" w:space="0"/>
            </w:tcBorders>
            <w:vAlign w:val="center"/>
          </w:tcPr>
          <w:p w14:paraId="26A73B93">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1593" w:type="dxa"/>
            <w:tcBorders>
              <w:top w:val="nil"/>
              <w:left w:val="nil"/>
              <w:bottom w:val="single" w:color="auto" w:sz="8" w:space="0"/>
              <w:right w:val="single" w:color="auto" w:sz="8" w:space="0"/>
            </w:tcBorders>
            <w:vAlign w:val="center"/>
          </w:tcPr>
          <w:p w14:paraId="78A5320B">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2185" w:type="dxa"/>
            <w:gridSpan w:val="3"/>
            <w:tcBorders>
              <w:top w:val="single" w:color="auto" w:sz="8" w:space="0"/>
              <w:left w:val="nil"/>
              <w:bottom w:val="single" w:color="auto" w:sz="8" w:space="0"/>
              <w:right w:val="single" w:color="000000" w:sz="8" w:space="0"/>
            </w:tcBorders>
            <w:vAlign w:val="center"/>
          </w:tcPr>
          <w:p w14:paraId="747DC050">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765" w:type="dxa"/>
            <w:tcBorders>
              <w:top w:val="nil"/>
              <w:left w:val="nil"/>
              <w:bottom w:val="single" w:color="auto" w:sz="8" w:space="0"/>
              <w:right w:val="single" w:color="auto" w:sz="8" w:space="0"/>
            </w:tcBorders>
            <w:vAlign w:val="center"/>
          </w:tcPr>
          <w:p w14:paraId="1747A1B2">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　</w:t>
            </w:r>
          </w:p>
        </w:tc>
      </w:tr>
      <w:tr w14:paraId="68094340">
        <w:tblPrEx>
          <w:tblCellMar>
            <w:top w:w="0" w:type="dxa"/>
            <w:left w:w="108" w:type="dxa"/>
            <w:bottom w:w="0" w:type="dxa"/>
            <w:right w:w="108" w:type="dxa"/>
          </w:tblCellMar>
        </w:tblPrEx>
        <w:trPr>
          <w:trHeight w:val="600" w:hRule="atLeast"/>
        </w:trPr>
        <w:tc>
          <w:tcPr>
            <w:tcW w:w="1675" w:type="dxa"/>
            <w:gridSpan w:val="2"/>
            <w:tcBorders>
              <w:top w:val="nil"/>
              <w:left w:val="single" w:color="auto" w:sz="8" w:space="0"/>
              <w:bottom w:val="single" w:color="auto" w:sz="8" w:space="0"/>
              <w:right w:val="single" w:color="auto" w:sz="8" w:space="0"/>
            </w:tcBorders>
            <w:vAlign w:val="center"/>
          </w:tcPr>
          <w:p w14:paraId="186A0360">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小组成员</w:t>
            </w:r>
          </w:p>
        </w:tc>
        <w:tc>
          <w:tcPr>
            <w:tcW w:w="2104" w:type="dxa"/>
            <w:tcBorders>
              <w:top w:val="nil"/>
              <w:left w:val="nil"/>
              <w:bottom w:val="single" w:color="auto" w:sz="8" w:space="0"/>
              <w:right w:val="single" w:color="auto" w:sz="8" w:space="0"/>
            </w:tcBorders>
            <w:vAlign w:val="center"/>
          </w:tcPr>
          <w:p w14:paraId="36102D34">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2168" w:type="dxa"/>
            <w:tcBorders>
              <w:top w:val="nil"/>
              <w:left w:val="nil"/>
              <w:bottom w:val="single" w:color="auto" w:sz="8" w:space="0"/>
              <w:right w:val="single" w:color="auto" w:sz="8" w:space="0"/>
            </w:tcBorders>
            <w:vAlign w:val="center"/>
          </w:tcPr>
          <w:p w14:paraId="25A2E7A1">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1593" w:type="dxa"/>
            <w:tcBorders>
              <w:top w:val="nil"/>
              <w:left w:val="nil"/>
              <w:bottom w:val="single" w:color="auto" w:sz="8" w:space="0"/>
              <w:right w:val="single" w:color="auto" w:sz="8" w:space="0"/>
            </w:tcBorders>
            <w:vAlign w:val="center"/>
          </w:tcPr>
          <w:p w14:paraId="759CC6C1">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2185" w:type="dxa"/>
            <w:gridSpan w:val="3"/>
            <w:tcBorders>
              <w:top w:val="single" w:color="auto" w:sz="8" w:space="0"/>
              <w:left w:val="nil"/>
              <w:bottom w:val="single" w:color="auto" w:sz="8" w:space="0"/>
              <w:right w:val="single" w:color="000000" w:sz="8" w:space="0"/>
            </w:tcBorders>
            <w:vAlign w:val="center"/>
          </w:tcPr>
          <w:p w14:paraId="1A81CDF4">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765" w:type="dxa"/>
            <w:tcBorders>
              <w:top w:val="nil"/>
              <w:left w:val="nil"/>
              <w:bottom w:val="single" w:color="auto" w:sz="8" w:space="0"/>
              <w:right w:val="single" w:color="auto" w:sz="8" w:space="0"/>
            </w:tcBorders>
            <w:vAlign w:val="center"/>
          </w:tcPr>
          <w:p w14:paraId="00C6DC97">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　</w:t>
            </w:r>
          </w:p>
        </w:tc>
      </w:tr>
      <w:tr w14:paraId="398E0411">
        <w:tblPrEx>
          <w:tblCellMar>
            <w:top w:w="0" w:type="dxa"/>
            <w:left w:w="108" w:type="dxa"/>
            <w:bottom w:w="0" w:type="dxa"/>
            <w:right w:w="108" w:type="dxa"/>
          </w:tblCellMar>
        </w:tblPrEx>
        <w:trPr>
          <w:trHeight w:val="600" w:hRule="atLeast"/>
        </w:trPr>
        <w:tc>
          <w:tcPr>
            <w:tcW w:w="1675" w:type="dxa"/>
            <w:gridSpan w:val="2"/>
            <w:tcBorders>
              <w:top w:val="nil"/>
              <w:left w:val="single" w:color="auto" w:sz="8" w:space="0"/>
              <w:bottom w:val="single" w:color="auto" w:sz="8" w:space="0"/>
              <w:right w:val="single" w:color="auto" w:sz="8" w:space="0"/>
            </w:tcBorders>
            <w:vAlign w:val="center"/>
          </w:tcPr>
          <w:p w14:paraId="4665E982">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小组成员</w:t>
            </w:r>
          </w:p>
        </w:tc>
        <w:tc>
          <w:tcPr>
            <w:tcW w:w="2104" w:type="dxa"/>
            <w:tcBorders>
              <w:top w:val="nil"/>
              <w:left w:val="nil"/>
              <w:bottom w:val="single" w:color="auto" w:sz="8" w:space="0"/>
              <w:right w:val="single" w:color="auto" w:sz="8" w:space="0"/>
            </w:tcBorders>
            <w:vAlign w:val="center"/>
          </w:tcPr>
          <w:p w14:paraId="4EBBFDD0">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2168" w:type="dxa"/>
            <w:tcBorders>
              <w:top w:val="nil"/>
              <w:left w:val="nil"/>
              <w:bottom w:val="single" w:color="auto" w:sz="8" w:space="0"/>
              <w:right w:val="single" w:color="auto" w:sz="8" w:space="0"/>
            </w:tcBorders>
            <w:vAlign w:val="center"/>
          </w:tcPr>
          <w:p w14:paraId="1D04E962">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1593" w:type="dxa"/>
            <w:tcBorders>
              <w:top w:val="nil"/>
              <w:left w:val="nil"/>
              <w:bottom w:val="single" w:color="auto" w:sz="8" w:space="0"/>
              <w:right w:val="single" w:color="auto" w:sz="8" w:space="0"/>
            </w:tcBorders>
            <w:vAlign w:val="center"/>
          </w:tcPr>
          <w:p w14:paraId="607A1FC1">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2185" w:type="dxa"/>
            <w:gridSpan w:val="3"/>
            <w:tcBorders>
              <w:top w:val="single" w:color="auto" w:sz="8" w:space="0"/>
              <w:left w:val="nil"/>
              <w:bottom w:val="single" w:color="auto" w:sz="8" w:space="0"/>
              <w:right w:val="single" w:color="000000" w:sz="8" w:space="0"/>
            </w:tcBorders>
            <w:vAlign w:val="center"/>
          </w:tcPr>
          <w:p w14:paraId="48211012">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765" w:type="dxa"/>
            <w:tcBorders>
              <w:top w:val="nil"/>
              <w:left w:val="nil"/>
              <w:bottom w:val="single" w:color="auto" w:sz="8" w:space="0"/>
              <w:right w:val="single" w:color="auto" w:sz="8" w:space="0"/>
            </w:tcBorders>
            <w:vAlign w:val="center"/>
          </w:tcPr>
          <w:p w14:paraId="37725E07">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　</w:t>
            </w:r>
          </w:p>
        </w:tc>
      </w:tr>
      <w:tr w14:paraId="3F9D74FB">
        <w:tblPrEx>
          <w:tblCellMar>
            <w:top w:w="0" w:type="dxa"/>
            <w:left w:w="108" w:type="dxa"/>
            <w:bottom w:w="0" w:type="dxa"/>
            <w:right w:w="108" w:type="dxa"/>
          </w:tblCellMar>
        </w:tblPrEx>
        <w:trPr>
          <w:trHeight w:val="600" w:hRule="atLeast"/>
        </w:trPr>
        <w:tc>
          <w:tcPr>
            <w:tcW w:w="1675" w:type="dxa"/>
            <w:gridSpan w:val="2"/>
            <w:tcBorders>
              <w:top w:val="nil"/>
              <w:left w:val="single" w:color="auto" w:sz="8" w:space="0"/>
              <w:bottom w:val="single" w:color="auto" w:sz="8" w:space="0"/>
              <w:right w:val="single" w:color="auto" w:sz="8" w:space="0"/>
            </w:tcBorders>
            <w:vAlign w:val="center"/>
          </w:tcPr>
          <w:p w14:paraId="183ECBA2">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小组成员</w:t>
            </w:r>
          </w:p>
        </w:tc>
        <w:tc>
          <w:tcPr>
            <w:tcW w:w="2104" w:type="dxa"/>
            <w:tcBorders>
              <w:top w:val="nil"/>
              <w:left w:val="nil"/>
              <w:bottom w:val="single" w:color="auto" w:sz="8" w:space="0"/>
              <w:right w:val="single" w:color="auto" w:sz="8" w:space="0"/>
            </w:tcBorders>
            <w:vAlign w:val="center"/>
          </w:tcPr>
          <w:p w14:paraId="3C16B5F5">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2168" w:type="dxa"/>
            <w:tcBorders>
              <w:top w:val="nil"/>
              <w:left w:val="nil"/>
              <w:bottom w:val="single" w:color="auto" w:sz="8" w:space="0"/>
              <w:right w:val="single" w:color="auto" w:sz="8" w:space="0"/>
            </w:tcBorders>
            <w:vAlign w:val="center"/>
          </w:tcPr>
          <w:p w14:paraId="4E4F4302">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1593" w:type="dxa"/>
            <w:tcBorders>
              <w:top w:val="nil"/>
              <w:left w:val="nil"/>
              <w:bottom w:val="single" w:color="auto" w:sz="8" w:space="0"/>
              <w:right w:val="single" w:color="auto" w:sz="8" w:space="0"/>
            </w:tcBorders>
            <w:vAlign w:val="center"/>
          </w:tcPr>
          <w:p w14:paraId="51CA76BF">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2185" w:type="dxa"/>
            <w:gridSpan w:val="3"/>
            <w:tcBorders>
              <w:top w:val="single" w:color="auto" w:sz="8" w:space="0"/>
              <w:left w:val="nil"/>
              <w:bottom w:val="single" w:color="auto" w:sz="8" w:space="0"/>
              <w:right w:val="single" w:color="000000" w:sz="8" w:space="0"/>
            </w:tcBorders>
            <w:vAlign w:val="center"/>
          </w:tcPr>
          <w:p w14:paraId="5F3A611D">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765" w:type="dxa"/>
            <w:tcBorders>
              <w:top w:val="nil"/>
              <w:left w:val="nil"/>
              <w:bottom w:val="single" w:color="auto" w:sz="8" w:space="0"/>
              <w:right w:val="single" w:color="auto" w:sz="8" w:space="0"/>
            </w:tcBorders>
            <w:vAlign w:val="center"/>
          </w:tcPr>
          <w:p w14:paraId="5DAC8CAB">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　</w:t>
            </w:r>
          </w:p>
        </w:tc>
      </w:tr>
      <w:tr w14:paraId="373CE7C2">
        <w:tblPrEx>
          <w:tblCellMar>
            <w:top w:w="0" w:type="dxa"/>
            <w:left w:w="108" w:type="dxa"/>
            <w:bottom w:w="0" w:type="dxa"/>
            <w:right w:w="108" w:type="dxa"/>
          </w:tblCellMar>
        </w:tblPrEx>
        <w:trPr>
          <w:trHeight w:val="915" w:hRule="atLeast"/>
        </w:trPr>
        <w:tc>
          <w:tcPr>
            <w:tcW w:w="10490" w:type="dxa"/>
            <w:gridSpan w:val="9"/>
            <w:tcBorders>
              <w:top w:val="single" w:color="auto" w:sz="8" w:space="0"/>
              <w:left w:val="single" w:color="auto" w:sz="8" w:space="0"/>
              <w:bottom w:val="nil"/>
              <w:right w:val="single" w:color="auto" w:sz="8" w:space="0"/>
            </w:tcBorders>
          </w:tcPr>
          <w:p w14:paraId="169D9A80">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其他相关人员签字：</w:t>
            </w:r>
            <w:r>
              <w:rPr>
                <w:rFonts w:eastAsia="仿宋_GB2312"/>
                <w:color w:val="auto"/>
                <w:kern w:val="0"/>
                <w:sz w:val="22"/>
                <w:szCs w:val="22"/>
                <w:highlight w:val="none"/>
              </w:rPr>
              <w:br w:type="textWrapping"/>
            </w:r>
            <w:r>
              <w:rPr>
                <w:rFonts w:eastAsia="仿宋_GB2312"/>
                <w:color w:val="auto"/>
                <w:kern w:val="0"/>
                <w:sz w:val="22"/>
                <w:szCs w:val="22"/>
                <w:highlight w:val="none"/>
              </w:rPr>
              <w:br w:type="textWrapping"/>
            </w:r>
            <w:r>
              <w:rPr>
                <w:rFonts w:hint="eastAsia" w:eastAsia="仿宋_GB2312"/>
                <w:color w:val="auto"/>
                <w:kern w:val="0"/>
                <w:sz w:val="22"/>
                <w:szCs w:val="22"/>
                <w:highlight w:val="none"/>
              </w:rPr>
              <w:t>或受邀机构的意见（盖章）：</w:t>
            </w:r>
          </w:p>
        </w:tc>
      </w:tr>
      <w:tr w14:paraId="45B96503">
        <w:tblPrEx>
          <w:tblCellMar>
            <w:top w:w="0" w:type="dxa"/>
            <w:left w:w="108" w:type="dxa"/>
            <w:bottom w:w="0" w:type="dxa"/>
            <w:right w:w="108" w:type="dxa"/>
          </w:tblCellMar>
        </w:tblPrEx>
        <w:trPr>
          <w:trHeight w:val="799" w:hRule="atLeast"/>
        </w:trPr>
        <w:tc>
          <w:tcPr>
            <w:tcW w:w="5947" w:type="dxa"/>
            <w:gridSpan w:val="4"/>
            <w:tcBorders>
              <w:top w:val="single" w:color="auto" w:sz="8" w:space="0"/>
              <w:left w:val="single" w:color="auto" w:sz="8" w:space="0"/>
              <w:bottom w:val="nil"/>
              <w:right w:val="nil"/>
            </w:tcBorders>
            <w:vAlign w:val="center"/>
          </w:tcPr>
          <w:p w14:paraId="3693CD5A">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中标或者成交供应商负责人签字或盖章：</w:t>
            </w:r>
          </w:p>
        </w:tc>
        <w:tc>
          <w:tcPr>
            <w:tcW w:w="4543" w:type="dxa"/>
            <w:gridSpan w:val="5"/>
            <w:tcBorders>
              <w:top w:val="single" w:color="auto" w:sz="8" w:space="0"/>
              <w:left w:val="single" w:color="auto" w:sz="8" w:space="0"/>
              <w:bottom w:val="nil"/>
              <w:right w:val="single" w:color="000000" w:sz="8" w:space="0"/>
            </w:tcBorders>
            <w:vAlign w:val="center"/>
          </w:tcPr>
          <w:p w14:paraId="5F39C14C">
            <w:pPr>
              <w:widowControl/>
              <w:jc w:val="left"/>
              <w:rPr>
                <w:rFonts w:eastAsia="仿宋_GB2312"/>
                <w:color w:val="auto"/>
                <w:kern w:val="0"/>
                <w:sz w:val="22"/>
                <w:szCs w:val="22"/>
                <w:highlight w:val="none"/>
              </w:rPr>
            </w:pPr>
            <w:r>
              <w:rPr>
                <w:rFonts w:eastAsia="仿宋_GB2312"/>
                <w:color w:val="auto"/>
                <w:kern w:val="0"/>
                <w:sz w:val="22"/>
                <w:szCs w:val="22"/>
                <w:highlight w:val="none"/>
              </w:rPr>
              <w:t> </w:t>
            </w:r>
            <w:r>
              <w:rPr>
                <w:rFonts w:hint="eastAsia" w:eastAsia="仿宋_GB2312"/>
                <w:color w:val="auto"/>
                <w:kern w:val="0"/>
                <w:sz w:val="22"/>
                <w:szCs w:val="22"/>
                <w:highlight w:val="none"/>
              </w:rPr>
              <w:t>学院（部门）领导签字：</w:t>
            </w:r>
          </w:p>
        </w:tc>
      </w:tr>
      <w:tr w14:paraId="43470496">
        <w:tblPrEx>
          <w:tblCellMar>
            <w:top w:w="0" w:type="dxa"/>
            <w:left w:w="108" w:type="dxa"/>
            <w:bottom w:w="0" w:type="dxa"/>
            <w:right w:w="108" w:type="dxa"/>
          </w:tblCellMar>
        </w:tblPrEx>
        <w:trPr>
          <w:trHeight w:val="799" w:hRule="atLeast"/>
        </w:trPr>
        <w:tc>
          <w:tcPr>
            <w:tcW w:w="5947" w:type="dxa"/>
            <w:gridSpan w:val="4"/>
            <w:tcBorders>
              <w:top w:val="nil"/>
              <w:left w:val="single" w:color="auto" w:sz="8" w:space="0"/>
              <w:bottom w:val="single" w:color="auto" w:sz="8" w:space="0"/>
              <w:right w:val="nil"/>
            </w:tcBorders>
            <w:vAlign w:val="center"/>
          </w:tcPr>
          <w:p w14:paraId="74650D36">
            <w:pPr>
              <w:widowControl/>
              <w:jc w:val="right"/>
              <w:rPr>
                <w:rFonts w:eastAsia="仿宋_GB2312"/>
                <w:color w:val="auto"/>
                <w:kern w:val="0"/>
                <w:sz w:val="22"/>
                <w:szCs w:val="22"/>
                <w:highlight w:val="none"/>
              </w:rPr>
            </w:pPr>
            <w:r>
              <w:rPr>
                <w:rFonts w:hint="eastAsia" w:eastAsia="仿宋_GB2312"/>
                <w:color w:val="auto"/>
                <w:kern w:val="0"/>
                <w:sz w:val="22"/>
                <w:szCs w:val="22"/>
                <w:highlight w:val="none"/>
              </w:rPr>
              <w:t>联系电话：</w:t>
            </w:r>
            <w:r>
              <w:rPr>
                <w:rFonts w:eastAsia="仿宋_GB2312"/>
                <w:color w:val="auto"/>
                <w:kern w:val="0"/>
                <w:sz w:val="22"/>
                <w:szCs w:val="22"/>
                <w:highlight w:val="none"/>
              </w:rPr>
              <w:t xml:space="preserve">                           </w:t>
            </w:r>
            <w:r>
              <w:rPr>
                <w:rFonts w:hint="eastAsia" w:eastAsia="仿宋_GB2312"/>
                <w:color w:val="auto"/>
                <w:kern w:val="0"/>
                <w:sz w:val="22"/>
                <w:szCs w:val="22"/>
                <w:highlight w:val="none"/>
              </w:rPr>
              <w:t>年</w:t>
            </w:r>
            <w:r>
              <w:rPr>
                <w:rFonts w:eastAsia="仿宋_GB2312"/>
                <w:color w:val="auto"/>
                <w:kern w:val="0"/>
                <w:sz w:val="22"/>
                <w:szCs w:val="22"/>
                <w:highlight w:val="none"/>
              </w:rPr>
              <w:t xml:space="preserve">   </w:t>
            </w:r>
            <w:r>
              <w:rPr>
                <w:rFonts w:hint="eastAsia" w:eastAsia="仿宋_GB2312"/>
                <w:color w:val="auto"/>
                <w:kern w:val="0"/>
                <w:sz w:val="22"/>
                <w:szCs w:val="22"/>
                <w:highlight w:val="none"/>
              </w:rPr>
              <w:t>月</w:t>
            </w:r>
            <w:r>
              <w:rPr>
                <w:rFonts w:eastAsia="仿宋_GB2312"/>
                <w:color w:val="auto"/>
                <w:kern w:val="0"/>
                <w:sz w:val="22"/>
                <w:szCs w:val="22"/>
                <w:highlight w:val="none"/>
              </w:rPr>
              <w:t xml:space="preserve">   </w:t>
            </w:r>
            <w:r>
              <w:rPr>
                <w:rFonts w:hint="eastAsia" w:eastAsia="仿宋_GB2312"/>
                <w:color w:val="auto"/>
                <w:kern w:val="0"/>
                <w:sz w:val="22"/>
                <w:szCs w:val="22"/>
                <w:highlight w:val="none"/>
              </w:rPr>
              <w:t>日</w:t>
            </w:r>
          </w:p>
        </w:tc>
        <w:tc>
          <w:tcPr>
            <w:tcW w:w="4543" w:type="dxa"/>
            <w:gridSpan w:val="5"/>
            <w:tcBorders>
              <w:top w:val="nil"/>
              <w:left w:val="single" w:color="auto" w:sz="8" w:space="0"/>
              <w:bottom w:val="single" w:color="auto" w:sz="8" w:space="0"/>
              <w:right w:val="single" w:color="000000" w:sz="8" w:space="0"/>
            </w:tcBorders>
            <w:vAlign w:val="center"/>
          </w:tcPr>
          <w:p w14:paraId="63B8CAC0">
            <w:pPr>
              <w:widowControl/>
              <w:jc w:val="right"/>
              <w:rPr>
                <w:rFonts w:eastAsia="仿宋_GB2312"/>
                <w:color w:val="auto"/>
                <w:kern w:val="0"/>
                <w:sz w:val="22"/>
                <w:szCs w:val="22"/>
                <w:highlight w:val="none"/>
              </w:rPr>
            </w:pPr>
            <w:r>
              <w:rPr>
                <w:rFonts w:hint="eastAsia" w:eastAsia="仿宋_GB2312"/>
                <w:color w:val="auto"/>
                <w:kern w:val="0"/>
                <w:sz w:val="22"/>
                <w:szCs w:val="22"/>
                <w:highlight w:val="none"/>
              </w:rPr>
              <w:t>年</w:t>
            </w:r>
            <w:r>
              <w:rPr>
                <w:rFonts w:eastAsia="仿宋_GB2312"/>
                <w:color w:val="auto"/>
                <w:kern w:val="0"/>
                <w:sz w:val="22"/>
                <w:szCs w:val="22"/>
                <w:highlight w:val="none"/>
              </w:rPr>
              <w:t xml:space="preserve">   </w:t>
            </w:r>
            <w:r>
              <w:rPr>
                <w:rFonts w:hint="eastAsia" w:eastAsia="仿宋_GB2312"/>
                <w:color w:val="auto"/>
                <w:kern w:val="0"/>
                <w:sz w:val="22"/>
                <w:szCs w:val="22"/>
                <w:highlight w:val="none"/>
              </w:rPr>
              <w:t>月</w:t>
            </w:r>
            <w:r>
              <w:rPr>
                <w:rFonts w:eastAsia="仿宋_GB2312"/>
                <w:color w:val="auto"/>
                <w:kern w:val="0"/>
                <w:sz w:val="22"/>
                <w:szCs w:val="22"/>
                <w:highlight w:val="none"/>
              </w:rPr>
              <w:t xml:space="preserve">   </w:t>
            </w:r>
            <w:r>
              <w:rPr>
                <w:rFonts w:hint="eastAsia" w:eastAsia="仿宋_GB2312"/>
                <w:color w:val="auto"/>
                <w:kern w:val="0"/>
                <w:sz w:val="22"/>
                <w:szCs w:val="22"/>
                <w:highlight w:val="none"/>
              </w:rPr>
              <w:t>日</w:t>
            </w:r>
          </w:p>
        </w:tc>
      </w:tr>
    </w:tbl>
    <w:p w14:paraId="1687CA5B">
      <w:pPr>
        <w:spacing w:line="300" w:lineRule="auto"/>
        <w:rPr>
          <w:rFonts w:ascii="宋体" w:hAnsi="宋体" w:cs="Arial Unicode MS"/>
          <w:b/>
          <w:bCs/>
          <w:color w:val="auto"/>
          <w:sz w:val="44"/>
          <w:szCs w:val="44"/>
          <w:highlight w:val="none"/>
        </w:rPr>
      </w:pPr>
    </w:p>
    <w:p w14:paraId="726AD30E">
      <w:pPr>
        <w:spacing w:line="300" w:lineRule="auto"/>
        <w:rPr>
          <w:rFonts w:ascii="宋体" w:hAnsi="宋体" w:cs="Arial Unicode MS"/>
          <w:b/>
          <w:bCs/>
          <w:color w:val="auto"/>
          <w:sz w:val="44"/>
          <w:szCs w:val="44"/>
          <w:highlight w:val="none"/>
        </w:rPr>
      </w:pPr>
      <w:r>
        <w:rPr>
          <w:rFonts w:ascii="宋体" w:hAnsi="宋体" w:cs="Arial Unicode MS"/>
          <w:b/>
          <w:bCs/>
          <w:color w:val="auto"/>
          <w:sz w:val="44"/>
          <w:szCs w:val="44"/>
          <w:highlight w:val="none"/>
        </w:rPr>
        <w:br w:type="page"/>
      </w:r>
    </w:p>
    <w:tbl>
      <w:tblPr>
        <w:tblStyle w:val="26"/>
        <w:tblW w:w="9947" w:type="dxa"/>
        <w:tblInd w:w="0" w:type="dxa"/>
        <w:tblLayout w:type="autofit"/>
        <w:tblCellMar>
          <w:top w:w="0" w:type="dxa"/>
          <w:left w:w="108" w:type="dxa"/>
          <w:bottom w:w="0" w:type="dxa"/>
          <w:right w:w="108" w:type="dxa"/>
        </w:tblCellMar>
      </w:tblPr>
      <w:tblGrid>
        <w:gridCol w:w="1452"/>
        <w:gridCol w:w="83"/>
        <w:gridCol w:w="511"/>
        <w:gridCol w:w="511"/>
        <w:gridCol w:w="511"/>
        <w:gridCol w:w="511"/>
        <w:gridCol w:w="511"/>
        <w:gridCol w:w="511"/>
        <w:gridCol w:w="511"/>
        <w:gridCol w:w="511"/>
        <w:gridCol w:w="511"/>
        <w:gridCol w:w="511"/>
        <w:gridCol w:w="511"/>
        <w:gridCol w:w="511"/>
        <w:gridCol w:w="511"/>
        <w:gridCol w:w="511"/>
        <w:gridCol w:w="511"/>
        <w:gridCol w:w="511"/>
        <w:gridCol w:w="236"/>
      </w:tblGrid>
      <w:tr w14:paraId="3E18B69F">
        <w:tblPrEx>
          <w:tblCellMar>
            <w:top w:w="0" w:type="dxa"/>
            <w:left w:w="108" w:type="dxa"/>
            <w:bottom w:w="0" w:type="dxa"/>
            <w:right w:w="108" w:type="dxa"/>
          </w:tblCellMar>
        </w:tblPrEx>
        <w:trPr>
          <w:trHeight w:val="285" w:hRule="atLeast"/>
        </w:trPr>
        <w:tc>
          <w:tcPr>
            <w:tcW w:w="1535" w:type="dxa"/>
            <w:gridSpan w:val="2"/>
            <w:noWrap/>
            <w:vAlign w:val="center"/>
          </w:tcPr>
          <w:p w14:paraId="072FC3AA">
            <w:pPr>
              <w:widowControl/>
              <w:jc w:val="left"/>
              <w:rPr>
                <w:rFonts w:eastAsia="仿宋_GB2312"/>
                <w:color w:val="auto"/>
                <w:kern w:val="0"/>
                <w:sz w:val="22"/>
                <w:szCs w:val="22"/>
                <w:highlight w:val="none"/>
              </w:rPr>
            </w:pPr>
            <w:r>
              <w:rPr>
                <w:rFonts w:hint="eastAsia" w:eastAsia="仿宋"/>
                <w:b/>
                <w:bCs/>
                <w:color w:val="auto"/>
                <w:kern w:val="0"/>
                <w:sz w:val="28"/>
                <w:szCs w:val="28"/>
                <w:highlight w:val="none"/>
              </w:rPr>
              <w:t>附件</w:t>
            </w:r>
            <w:r>
              <w:rPr>
                <w:rFonts w:eastAsia="仿宋"/>
                <w:b/>
                <w:bCs/>
                <w:color w:val="auto"/>
                <w:kern w:val="0"/>
                <w:sz w:val="28"/>
                <w:szCs w:val="28"/>
                <w:highlight w:val="none"/>
              </w:rPr>
              <w:t>2</w:t>
            </w:r>
          </w:p>
        </w:tc>
        <w:tc>
          <w:tcPr>
            <w:tcW w:w="511" w:type="dxa"/>
            <w:noWrap/>
            <w:vAlign w:val="center"/>
          </w:tcPr>
          <w:p w14:paraId="4E7202BC">
            <w:pPr>
              <w:widowControl/>
              <w:jc w:val="left"/>
              <w:rPr>
                <w:rFonts w:eastAsia="仿宋_GB2312"/>
                <w:color w:val="auto"/>
                <w:kern w:val="0"/>
                <w:sz w:val="22"/>
                <w:szCs w:val="22"/>
                <w:highlight w:val="none"/>
              </w:rPr>
            </w:pPr>
          </w:p>
        </w:tc>
        <w:tc>
          <w:tcPr>
            <w:tcW w:w="511" w:type="dxa"/>
            <w:noWrap/>
            <w:vAlign w:val="center"/>
          </w:tcPr>
          <w:p w14:paraId="06DFC60F">
            <w:pPr>
              <w:widowControl/>
              <w:jc w:val="left"/>
              <w:rPr>
                <w:rFonts w:eastAsia="Times New Roman"/>
                <w:color w:val="auto"/>
                <w:kern w:val="0"/>
                <w:sz w:val="20"/>
                <w:szCs w:val="20"/>
                <w:highlight w:val="none"/>
              </w:rPr>
            </w:pPr>
          </w:p>
        </w:tc>
        <w:tc>
          <w:tcPr>
            <w:tcW w:w="511" w:type="dxa"/>
            <w:noWrap/>
            <w:vAlign w:val="center"/>
          </w:tcPr>
          <w:p w14:paraId="51BDE62B">
            <w:pPr>
              <w:widowControl/>
              <w:jc w:val="left"/>
              <w:rPr>
                <w:rFonts w:eastAsia="Times New Roman"/>
                <w:color w:val="auto"/>
                <w:kern w:val="0"/>
                <w:sz w:val="20"/>
                <w:szCs w:val="20"/>
                <w:highlight w:val="none"/>
              </w:rPr>
            </w:pPr>
          </w:p>
        </w:tc>
        <w:tc>
          <w:tcPr>
            <w:tcW w:w="511" w:type="dxa"/>
            <w:noWrap/>
            <w:vAlign w:val="center"/>
          </w:tcPr>
          <w:p w14:paraId="7D33ECB7">
            <w:pPr>
              <w:widowControl/>
              <w:jc w:val="left"/>
              <w:rPr>
                <w:rFonts w:eastAsia="Times New Roman"/>
                <w:color w:val="auto"/>
                <w:kern w:val="0"/>
                <w:sz w:val="20"/>
                <w:szCs w:val="20"/>
                <w:highlight w:val="none"/>
              </w:rPr>
            </w:pPr>
          </w:p>
        </w:tc>
        <w:tc>
          <w:tcPr>
            <w:tcW w:w="511" w:type="dxa"/>
            <w:noWrap/>
            <w:vAlign w:val="center"/>
          </w:tcPr>
          <w:p w14:paraId="4C0D144D">
            <w:pPr>
              <w:widowControl/>
              <w:jc w:val="left"/>
              <w:rPr>
                <w:rFonts w:eastAsia="Times New Roman"/>
                <w:color w:val="auto"/>
                <w:kern w:val="0"/>
                <w:sz w:val="20"/>
                <w:szCs w:val="20"/>
                <w:highlight w:val="none"/>
              </w:rPr>
            </w:pPr>
          </w:p>
        </w:tc>
        <w:tc>
          <w:tcPr>
            <w:tcW w:w="511" w:type="dxa"/>
            <w:noWrap/>
            <w:vAlign w:val="center"/>
          </w:tcPr>
          <w:p w14:paraId="2CD0B680">
            <w:pPr>
              <w:widowControl/>
              <w:jc w:val="left"/>
              <w:rPr>
                <w:rFonts w:eastAsia="Times New Roman"/>
                <w:color w:val="auto"/>
                <w:kern w:val="0"/>
                <w:sz w:val="20"/>
                <w:szCs w:val="20"/>
                <w:highlight w:val="none"/>
              </w:rPr>
            </w:pPr>
          </w:p>
        </w:tc>
        <w:tc>
          <w:tcPr>
            <w:tcW w:w="511" w:type="dxa"/>
            <w:noWrap/>
            <w:vAlign w:val="center"/>
          </w:tcPr>
          <w:p w14:paraId="5DF60EE3">
            <w:pPr>
              <w:widowControl/>
              <w:jc w:val="left"/>
              <w:rPr>
                <w:rFonts w:eastAsia="Times New Roman"/>
                <w:color w:val="auto"/>
                <w:kern w:val="0"/>
                <w:sz w:val="20"/>
                <w:szCs w:val="20"/>
                <w:highlight w:val="none"/>
              </w:rPr>
            </w:pPr>
          </w:p>
        </w:tc>
        <w:tc>
          <w:tcPr>
            <w:tcW w:w="511" w:type="dxa"/>
            <w:noWrap/>
            <w:vAlign w:val="center"/>
          </w:tcPr>
          <w:p w14:paraId="43A5F1C2">
            <w:pPr>
              <w:widowControl/>
              <w:jc w:val="left"/>
              <w:rPr>
                <w:rFonts w:eastAsia="Times New Roman"/>
                <w:color w:val="auto"/>
                <w:kern w:val="0"/>
                <w:sz w:val="20"/>
                <w:szCs w:val="20"/>
                <w:highlight w:val="none"/>
              </w:rPr>
            </w:pPr>
          </w:p>
        </w:tc>
        <w:tc>
          <w:tcPr>
            <w:tcW w:w="511" w:type="dxa"/>
            <w:noWrap/>
            <w:vAlign w:val="center"/>
          </w:tcPr>
          <w:p w14:paraId="50386A67">
            <w:pPr>
              <w:widowControl/>
              <w:jc w:val="left"/>
              <w:rPr>
                <w:rFonts w:eastAsia="Times New Roman"/>
                <w:color w:val="auto"/>
                <w:kern w:val="0"/>
                <w:sz w:val="20"/>
                <w:szCs w:val="20"/>
                <w:highlight w:val="none"/>
              </w:rPr>
            </w:pPr>
          </w:p>
        </w:tc>
        <w:tc>
          <w:tcPr>
            <w:tcW w:w="511" w:type="dxa"/>
            <w:noWrap/>
            <w:vAlign w:val="center"/>
          </w:tcPr>
          <w:p w14:paraId="1F56E3D6">
            <w:pPr>
              <w:widowControl/>
              <w:jc w:val="left"/>
              <w:rPr>
                <w:rFonts w:eastAsia="Times New Roman"/>
                <w:color w:val="auto"/>
                <w:kern w:val="0"/>
                <w:sz w:val="20"/>
                <w:szCs w:val="20"/>
                <w:highlight w:val="none"/>
              </w:rPr>
            </w:pPr>
          </w:p>
        </w:tc>
        <w:tc>
          <w:tcPr>
            <w:tcW w:w="511" w:type="dxa"/>
            <w:noWrap/>
            <w:vAlign w:val="center"/>
          </w:tcPr>
          <w:p w14:paraId="636F4A3A">
            <w:pPr>
              <w:widowControl/>
              <w:jc w:val="left"/>
              <w:rPr>
                <w:rFonts w:eastAsia="Times New Roman"/>
                <w:color w:val="auto"/>
                <w:kern w:val="0"/>
                <w:sz w:val="20"/>
                <w:szCs w:val="20"/>
                <w:highlight w:val="none"/>
              </w:rPr>
            </w:pPr>
          </w:p>
        </w:tc>
        <w:tc>
          <w:tcPr>
            <w:tcW w:w="511" w:type="dxa"/>
            <w:noWrap/>
            <w:vAlign w:val="center"/>
          </w:tcPr>
          <w:p w14:paraId="3F7F89D5">
            <w:pPr>
              <w:widowControl/>
              <w:jc w:val="left"/>
              <w:rPr>
                <w:rFonts w:eastAsia="Times New Roman"/>
                <w:color w:val="auto"/>
                <w:kern w:val="0"/>
                <w:sz w:val="20"/>
                <w:szCs w:val="20"/>
                <w:highlight w:val="none"/>
              </w:rPr>
            </w:pPr>
          </w:p>
        </w:tc>
        <w:tc>
          <w:tcPr>
            <w:tcW w:w="511" w:type="dxa"/>
            <w:noWrap/>
            <w:vAlign w:val="center"/>
          </w:tcPr>
          <w:p w14:paraId="1AD78666">
            <w:pPr>
              <w:widowControl/>
              <w:jc w:val="left"/>
              <w:rPr>
                <w:rFonts w:eastAsia="Times New Roman"/>
                <w:color w:val="auto"/>
                <w:kern w:val="0"/>
                <w:sz w:val="20"/>
                <w:szCs w:val="20"/>
                <w:highlight w:val="none"/>
              </w:rPr>
            </w:pPr>
          </w:p>
        </w:tc>
        <w:tc>
          <w:tcPr>
            <w:tcW w:w="511" w:type="dxa"/>
            <w:noWrap/>
            <w:vAlign w:val="center"/>
          </w:tcPr>
          <w:p w14:paraId="594BBE9C">
            <w:pPr>
              <w:widowControl/>
              <w:jc w:val="left"/>
              <w:rPr>
                <w:rFonts w:eastAsia="Times New Roman"/>
                <w:color w:val="auto"/>
                <w:kern w:val="0"/>
                <w:sz w:val="20"/>
                <w:szCs w:val="20"/>
                <w:highlight w:val="none"/>
              </w:rPr>
            </w:pPr>
          </w:p>
        </w:tc>
        <w:tc>
          <w:tcPr>
            <w:tcW w:w="511" w:type="dxa"/>
            <w:noWrap/>
            <w:vAlign w:val="center"/>
          </w:tcPr>
          <w:p w14:paraId="49DC526B">
            <w:pPr>
              <w:widowControl/>
              <w:jc w:val="left"/>
              <w:rPr>
                <w:rFonts w:eastAsia="Times New Roman"/>
                <w:color w:val="auto"/>
                <w:kern w:val="0"/>
                <w:sz w:val="20"/>
                <w:szCs w:val="20"/>
                <w:highlight w:val="none"/>
              </w:rPr>
            </w:pPr>
          </w:p>
        </w:tc>
        <w:tc>
          <w:tcPr>
            <w:tcW w:w="511" w:type="dxa"/>
            <w:noWrap/>
            <w:vAlign w:val="center"/>
          </w:tcPr>
          <w:p w14:paraId="2452B45B">
            <w:pPr>
              <w:widowControl/>
              <w:jc w:val="left"/>
              <w:rPr>
                <w:rFonts w:eastAsia="Times New Roman"/>
                <w:color w:val="auto"/>
                <w:kern w:val="0"/>
                <w:sz w:val="20"/>
                <w:szCs w:val="20"/>
                <w:highlight w:val="none"/>
              </w:rPr>
            </w:pPr>
          </w:p>
        </w:tc>
        <w:tc>
          <w:tcPr>
            <w:tcW w:w="236" w:type="dxa"/>
            <w:noWrap/>
            <w:vAlign w:val="center"/>
          </w:tcPr>
          <w:p w14:paraId="13DDC69A">
            <w:pPr>
              <w:widowControl/>
              <w:jc w:val="left"/>
              <w:rPr>
                <w:rFonts w:eastAsia="Times New Roman"/>
                <w:color w:val="auto"/>
                <w:kern w:val="0"/>
                <w:sz w:val="20"/>
                <w:szCs w:val="20"/>
                <w:highlight w:val="none"/>
              </w:rPr>
            </w:pPr>
          </w:p>
        </w:tc>
      </w:tr>
      <w:tr w14:paraId="312658EC">
        <w:tblPrEx>
          <w:tblCellMar>
            <w:top w:w="0" w:type="dxa"/>
            <w:left w:w="108" w:type="dxa"/>
            <w:bottom w:w="0" w:type="dxa"/>
            <w:right w:w="108" w:type="dxa"/>
          </w:tblCellMar>
        </w:tblPrEx>
        <w:trPr>
          <w:gridAfter w:val="1"/>
          <w:wAfter w:w="236" w:type="dxa"/>
          <w:trHeight w:val="500" w:hRule="atLeast"/>
        </w:trPr>
        <w:tc>
          <w:tcPr>
            <w:tcW w:w="9711" w:type="dxa"/>
            <w:gridSpan w:val="18"/>
            <w:noWrap/>
            <w:vAlign w:val="center"/>
          </w:tcPr>
          <w:p w14:paraId="5522BFD6">
            <w:pPr>
              <w:widowControl/>
              <w:jc w:val="center"/>
              <w:rPr>
                <w:rFonts w:eastAsia="黑体"/>
                <w:b/>
                <w:bCs/>
                <w:color w:val="auto"/>
                <w:kern w:val="0"/>
                <w:sz w:val="32"/>
                <w:szCs w:val="32"/>
                <w:highlight w:val="none"/>
              </w:rPr>
            </w:pPr>
            <w:r>
              <w:rPr>
                <w:rFonts w:hint="eastAsia" w:eastAsia="黑体"/>
                <w:b/>
                <w:bCs/>
                <w:color w:val="auto"/>
                <w:kern w:val="0"/>
                <w:sz w:val="32"/>
                <w:szCs w:val="32"/>
                <w:highlight w:val="none"/>
              </w:rPr>
              <w:t>桂林理工大学货物校级验收报告单</w:t>
            </w:r>
          </w:p>
        </w:tc>
      </w:tr>
      <w:tr w14:paraId="310C55C6">
        <w:tblPrEx>
          <w:tblCellMar>
            <w:top w:w="0" w:type="dxa"/>
            <w:left w:w="108" w:type="dxa"/>
            <w:bottom w:w="0" w:type="dxa"/>
            <w:right w:w="108" w:type="dxa"/>
          </w:tblCellMar>
        </w:tblPrEx>
        <w:trPr>
          <w:gridAfter w:val="1"/>
          <w:wAfter w:w="236" w:type="dxa"/>
          <w:trHeight w:val="333" w:hRule="atLeast"/>
        </w:trPr>
        <w:tc>
          <w:tcPr>
            <w:tcW w:w="9711" w:type="dxa"/>
            <w:gridSpan w:val="18"/>
            <w:noWrap/>
            <w:vAlign w:val="center"/>
          </w:tcPr>
          <w:p w14:paraId="272E29F5">
            <w:pPr>
              <w:widowControl/>
              <w:jc w:val="center"/>
              <w:rPr>
                <w:rFonts w:eastAsia="黑体"/>
                <w:b/>
                <w:bCs/>
                <w:color w:val="auto"/>
                <w:kern w:val="0"/>
                <w:sz w:val="32"/>
                <w:szCs w:val="32"/>
                <w:highlight w:val="none"/>
              </w:rPr>
            </w:pPr>
          </w:p>
        </w:tc>
      </w:tr>
      <w:tr w14:paraId="5247D204">
        <w:tblPrEx>
          <w:tblCellMar>
            <w:top w:w="0" w:type="dxa"/>
            <w:left w:w="108" w:type="dxa"/>
            <w:bottom w:w="0" w:type="dxa"/>
            <w:right w:w="108" w:type="dxa"/>
          </w:tblCellMar>
        </w:tblPrEx>
        <w:trPr>
          <w:gridAfter w:val="1"/>
          <w:wAfter w:w="236" w:type="dxa"/>
          <w:trHeight w:val="600" w:hRule="atLeast"/>
        </w:trPr>
        <w:tc>
          <w:tcPr>
            <w:tcW w:w="1535" w:type="dxa"/>
            <w:gridSpan w:val="2"/>
            <w:tcBorders>
              <w:top w:val="single" w:color="auto" w:sz="8" w:space="0"/>
              <w:left w:val="single" w:color="auto" w:sz="8" w:space="0"/>
              <w:bottom w:val="single" w:color="auto" w:sz="8" w:space="0"/>
              <w:right w:val="single" w:color="auto" w:sz="8" w:space="0"/>
            </w:tcBorders>
            <w:noWrap/>
            <w:vAlign w:val="center"/>
          </w:tcPr>
          <w:p w14:paraId="4143687E">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申购单位</w:t>
            </w:r>
          </w:p>
        </w:tc>
        <w:tc>
          <w:tcPr>
            <w:tcW w:w="3577" w:type="dxa"/>
            <w:gridSpan w:val="7"/>
            <w:tcBorders>
              <w:top w:val="single" w:color="auto" w:sz="8" w:space="0"/>
              <w:left w:val="nil"/>
              <w:bottom w:val="single" w:color="auto" w:sz="8" w:space="0"/>
              <w:right w:val="single" w:color="000000" w:sz="8" w:space="0"/>
            </w:tcBorders>
            <w:noWrap/>
            <w:vAlign w:val="center"/>
          </w:tcPr>
          <w:p w14:paraId="520C8243">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1533" w:type="dxa"/>
            <w:gridSpan w:val="3"/>
            <w:tcBorders>
              <w:top w:val="single" w:color="auto" w:sz="8" w:space="0"/>
              <w:left w:val="nil"/>
              <w:bottom w:val="single" w:color="auto" w:sz="8" w:space="0"/>
              <w:right w:val="single" w:color="000000" w:sz="8" w:space="0"/>
            </w:tcBorders>
            <w:vAlign w:val="center"/>
          </w:tcPr>
          <w:p w14:paraId="44EE3209">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合同编号</w:t>
            </w:r>
          </w:p>
        </w:tc>
        <w:tc>
          <w:tcPr>
            <w:tcW w:w="3066" w:type="dxa"/>
            <w:gridSpan w:val="6"/>
            <w:tcBorders>
              <w:top w:val="single" w:color="auto" w:sz="8" w:space="0"/>
              <w:left w:val="nil"/>
              <w:bottom w:val="single" w:color="auto" w:sz="8" w:space="0"/>
              <w:right w:val="single" w:color="000000" w:sz="8" w:space="0"/>
            </w:tcBorders>
            <w:vAlign w:val="center"/>
          </w:tcPr>
          <w:p w14:paraId="01025A1E">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r>
      <w:tr w14:paraId="30CEBC03">
        <w:tblPrEx>
          <w:tblCellMar>
            <w:top w:w="0" w:type="dxa"/>
            <w:left w:w="108" w:type="dxa"/>
            <w:bottom w:w="0" w:type="dxa"/>
            <w:right w:w="108" w:type="dxa"/>
          </w:tblCellMar>
        </w:tblPrEx>
        <w:trPr>
          <w:gridAfter w:val="1"/>
          <w:wAfter w:w="236" w:type="dxa"/>
          <w:trHeight w:val="439" w:hRule="atLeast"/>
        </w:trPr>
        <w:tc>
          <w:tcPr>
            <w:tcW w:w="1535" w:type="dxa"/>
            <w:gridSpan w:val="2"/>
            <w:tcBorders>
              <w:top w:val="single" w:color="auto" w:sz="8" w:space="0"/>
              <w:left w:val="single" w:color="auto" w:sz="8" w:space="0"/>
              <w:bottom w:val="single" w:color="auto" w:sz="8" w:space="0"/>
              <w:right w:val="single" w:color="000000" w:sz="8" w:space="0"/>
            </w:tcBorders>
            <w:noWrap/>
            <w:vAlign w:val="center"/>
          </w:tcPr>
          <w:p w14:paraId="2850C83C">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项目名称</w:t>
            </w:r>
          </w:p>
        </w:tc>
        <w:tc>
          <w:tcPr>
            <w:tcW w:w="8176" w:type="dxa"/>
            <w:gridSpan w:val="16"/>
            <w:tcBorders>
              <w:top w:val="single" w:color="auto" w:sz="8" w:space="0"/>
              <w:left w:val="nil"/>
              <w:bottom w:val="single" w:color="auto" w:sz="8" w:space="0"/>
              <w:right w:val="single" w:color="000000" w:sz="8" w:space="0"/>
            </w:tcBorders>
            <w:noWrap/>
            <w:vAlign w:val="center"/>
          </w:tcPr>
          <w:p w14:paraId="3E1E7080">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r>
      <w:tr w14:paraId="19D14FF7">
        <w:tblPrEx>
          <w:tblCellMar>
            <w:top w:w="0" w:type="dxa"/>
            <w:left w:w="108" w:type="dxa"/>
            <w:bottom w:w="0" w:type="dxa"/>
            <w:right w:w="108" w:type="dxa"/>
          </w:tblCellMar>
        </w:tblPrEx>
        <w:trPr>
          <w:gridAfter w:val="1"/>
          <w:wAfter w:w="236" w:type="dxa"/>
          <w:trHeight w:val="501" w:hRule="atLeast"/>
        </w:trPr>
        <w:tc>
          <w:tcPr>
            <w:tcW w:w="2557" w:type="dxa"/>
            <w:gridSpan w:val="4"/>
            <w:tcBorders>
              <w:top w:val="single" w:color="auto" w:sz="8" w:space="0"/>
              <w:left w:val="single" w:color="auto" w:sz="8" w:space="0"/>
              <w:bottom w:val="single" w:color="auto" w:sz="8" w:space="0"/>
              <w:right w:val="single" w:color="auto" w:sz="8" w:space="0"/>
            </w:tcBorders>
            <w:vAlign w:val="center"/>
          </w:tcPr>
          <w:p w14:paraId="060F8CF2">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合同金额（万元）</w:t>
            </w:r>
          </w:p>
        </w:tc>
        <w:tc>
          <w:tcPr>
            <w:tcW w:w="2555" w:type="dxa"/>
            <w:gridSpan w:val="5"/>
            <w:tcBorders>
              <w:top w:val="single" w:color="auto" w:sz="8" w:space="0"/>
              <w:left w:val="nil"/>
              <w:bottom w:val="single" w:color="auto" w:sz="8" w:space="0"/>
              <w:right w:val="single" w:color="auto" w:sz="8" w:space="0"/>
            </w:tcBorders>
            <w:noWrap/>
            <w:vAlign w:val="center"/>
          </w:tcPr>
          <w:p w14:paraId="1D9EC8D4">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2555" w:type="dxa"/>
            <w:gridSpan w:val="5"/>
            <w:tcBorders>
              <w:top w:val="single" w:color="auto" w:sz="8" w:space="0"/>
              <w:left w:val="nil"/>
              <w:bottom w:val="single" w:color="auto" w:sz="8" w:space="0"/>
              <w:right w:val="single" w:color="000000" w:sz="8" w:space="0"/>
            </w:tcBorders>
            <w:noWrap/>
            <w:vAlign w:val="center"/>
          </w:tcPr>
          <w:p w14:paraId="6F8B273B">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校级验收日期</w:t>
            </w:r>
          </w:p>
        </w:tc>
        <w:tc>
          <w:tcPr>
            <w:tcW w:w="2044" w:type="dxa"/>
            <w:gridSpan w:val="4"/>
            <w:tcBorders>
              <w:top w:val="single" w:color="auto" w:sz="8" w:space="0"/>
              <w:left w:val="nil"/>
              <w:bottom w:val="single" w:color="auto" w:sz="8" w:space="0"/>
              <w:right w:val="single" w:color="auto" w:sz="8" w:space="0"/>
            </w:tcBorders>
            <w:noWrap/>
            <w:vAlign w:val="center"/>
          </w:tcPr>
          <w:p w14:paraId="486D07CE">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r>
      <w:tr w14:paraId="549D173B">
        <w:tblPrEx>
          <w:tblCellMar>
            <w:top w:w="0" w:type="dxa"/>
            <w:left w:w="108" w:type="dxa"/>
            <w:bottom w:w="0" w:type="dxa"/>
            <w:right w:w="108" w:type="dxa"/>
          </w:tblCellMar>
        </w:tblPrEx>
        <w:trPr>
          <w:gridAfter w:val="1"/>
          <w:wAfter w:w="236" w:type="dxa"/>
          <w:trHeight w:val="474" w:hRule="atLeast"/>
        </w:trPr>
        <w:tc>
          <w:tcPr>
            <w:tcW w:w="2557" w:type="dxa"/>
            <w:gridSpan w:val="4"/>
            <w:tcBorders>
              <w:top w:val="single" w:color="auto" w:sz="8" w:space="0"/>
              <w:left w:val="single" w:color="auto" w:sz="8" w:space="0"/>
              <w:bottom w:val="single" w:color="auto" w:sz="8" w:space="0"/>
              <w:right w:val="single" w:color="auto" w:sz="8" w:space="0"/>
            </w:tcBorders>
            <w:noWrap/>
            <w:vAlign w:val="center"/>
          </w:tcPr>
          <w:p w14:paraId="0DF58050">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验收方式</w:t>
            </w:r>
          </w:p>
        </w:tc>
        <w:tc>
          <w:tcPr>
            <w:tcW w:w="7154" w:type="dxa"/>
            <w:gridSpan w:val="14"/>
            <w:tcBorders>
              <w:top w:val="single" w:color="auto" w:sz="8" w:space="0"/>
              <w:left w:val="nil"/>
              <w:bottom w:val="single" w:color="auto" w:sz="8" w:space="0"/>
              <w:right w:val="single" w:color="auto" w:sz="8" w:space="0"/>
            </w:tcBorders>
            <w:noWrap/>
            <w:vAlign w:val="center"/>
          </w:tcPr>
          <w:p w14:paraId="1E483EC7">
            <w:pPr>
              <w:widowControl/>
              <w:jc w:val="center"/>
              <w:rPr>
                <w:rFonts w:eastAsia="仿宋_GB2312"/>
                <w:color w:val="auto"/>
                <w:kern w:val="0"/>
                <w:sz w:val="22"/>
                <w:szCs w:val="22"/>
                <w:highlight w:val="none"/>
              </w:rPr>
            </w:pPr>
            <w:r>
              <w:rPr>
                <w:rFonts w:ascii="Segoe UI Symbol" w:hAnsi="Segoe UI Symbol" w:eastAsia="仿宋_GB2312" w:cs="Segoe UI Symbol"/>
                <w:color w:val="auto"/>
                <w:kern w:val="0"/>
                <w:sz w:val="22"/>
                <w:szCs w:val="22"/>
                <w:highlight w:val="none"/>
              </w:rPr>
              <w:t>☑</w:t>
            </w:r>
            <w:r>
              <w:rPr>
                <w:rFonts w:hint="eastAsia" w:eastAsia="仿宋_GB2312"/>
                <w:color w:val="auto"/>
                <w:kern w:val="0"/>
                <w:sz w:val="22"/>
                <w:szCs w:val="22"/>
                <w:highlight w:val="none"/>
              </w:rPr>
              <w:t>自行验收</w:t>
            </w:r>
            <w:r>
              <w:rPr>
                <w:rFonts w:eastAsia="仿宋_GB2312"/>
                <w:color w:val="auto"/>
                <w:kern w:val="0"/>
                <w:sz w:val="22"/>
                <w:szCs w:val="22"/>
                <w:highlight w:val="none"/>
              </w:rPr>
              <w:t>         □</w:t>
            </w:r>
            <w:r>
              <w:rPr>
                <w:rFonts w:hint="eastAsia" w:eastAsia="仿宋_GB2312"/>
                <w:color w:val="auto"/>
                <w:kern w:val="0"/>
                <w:sz w:val="22"/>
                <w:szCs w:val="22"/>
                <w:highlight w:val="none"/>
              </w:rPr>
              <w:t>委托验收</w:t>
            </w:r>
          </w:p>
        </w:tc>
      </w:tr>
      <w:tr w14:paraId="166B4D79">
        <w:tblPrEx>
          <w:tblCellMar>
            <w:top w:w="0" w:type="dxa"/>
            <w:left w:w="108" w:type="dxa"/>
            <w:bottom w:w="0" w:type="dxa"/>
            <w:right w:w="108" w:type="dxa"/>
          </w:tblCellMar>
        </w:tblPrEx>
        <w:trPr>
          <w:gridAfter w:val="1"/>
          <w:wAfter w:w="236" w:type="dxa"/>
          <w:trHeight w:val="465" w:hRule="atLeast"/>
        </w:trPr>
        <w:tc>
          <w:tcPr>
            <w:tcW w:w="2557" w:type="dxa"/>
            <w:gridSpan w:val="4"/>
            <w:vMerge w:val="restart"/>
            <w:tcBorders>
              <w:top w:val="single" w:color="auto" w:sz="8" w:space="0"/>
              <w:left w:val="single" w:color="auto" w:sz="8" w:space="0"/>
              <w:bottom w:val="single" w:color="auto" w:sz="8" w:space="0"/>
              <w:right w:val="single" w:color="auto" w:sz="8" w:space="0"/>
            </w:tcBorders>
            <w:vAlign w:val="center"/>
          </w:tcPr>
          <w:p w14:paraId="29912274">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学院（部门）级</w:t>
            </w:r>
            <w:r>
              <w:rPr>
                <w:rFonts w:eastAsia="仿宋_GB2312"/>
                <w:color w:val="auto"/>
                <w:kern w:val="0"/>
                <w:sz w:val="22"/>
                <w:szCs w:val="22"/>
                <w:highlight w:val="none"/>
              </w:rPr>
              <w:br w:type="textWrapping"/>
            </w:r>
            <w:r>
              <w:rPr>
                <w:rFonts w:hint="eastAsia" w:eastAsia="仿宋_GB2312"/>
                <w:color w:val="auto"/>
                <w:kern w:val="0"/>
                <w:sz w:val="22"/>
                <w:szCs w:val="22"/>
                <w:highlight w:val="none"/>
              </w:rPr>
              <w:t>验收审核情况</w:t>
            </w:r>
          </w:p>
        </w:tc>
        <w:tc>
          <w:tcPr>
            <w:tcW w:w="7154" w:type="dxa"/>
            <w:gridSpan w:val="14"/>
            <w:vMerge w:val="restart"/>
            <w:tcBorders>
              <w:top w:val="single" w:color="auto" w:sz="8" w:space="0"/>
              <w:left w:val="single" w:color="auto" w:sz="8" w:space="0"/>
              <w:bottom w:val="single" w:color="auto" w:sz="8" w:space="0"/>
              <w:right w:val="single" w:color="auto" w:sz="8" w:space="0"/>
            </w:tcBorders>
            <w:noWrap/>
            <w:vAlign w:val="center"/>
          </w:tcPr>
          <w:p w14:paraId="3FE384D2">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r>
      <w:tr w14:paraId="3179161E">
        <w:tblPrEx>
          <w:tblCellMar>
            <w:top w:w="0" w:type="dxa"/>
            <w:left w:w="108" w:type="dxa"/>
            <w:bottom w:w="0" w:type="dxa"/>
            <w:right w:w="108" w:type="dxa"/>
          </w:tblCellMar>
        </w:tblPrEx>
        <w:trPr>
          <w:gridAfter w:val="1"/>
          <w:wAfter w:w="236" w:type="dxa"/>
          <w:trHeight w:val="253" w:hRule="atLeast"/>
        </w:trPr>
        <w:tc>
          <w:tcPr>
            <w:tcW w:w="0" w:type="auto"/>
            <w:gridSpan w:val="4"/>
            <w:vMerge w:val="continue"/>
            <w:tcBorders>
              <w:top w:val="single" w:color="auto" w:sz="8" w:space="0"/>
              <w:left w:val="single" w:color="auto" w:sz="8" w:space="0"/>
              <w:bottom w:val="single" w:color="auto" w:sz="8" w:space="0"/>
              <w:right w:val="single" w:color="auto" w:sz="8" w:space="0"/>
            </w:tcBorders>
            <w:vAlign w:val="center"/>
          </w:tcPr>
          <w:p w14:paraId="2D87E4FD">
            <w:pPr>
              <w:widowControl/>
              <w:jc w:val="left"/>
              <w:rPr>
                <w:rFonts w:eastAsia="仿宋_GB2312"/>
                <w:color w:val="auto"/>
                <w:kern w:val="0"/>
                <w:sz w:val="22"/>
                <w:szCs w:val="22"/>
                <w:highlight w:val="none"/>
              </w:rPr>
            </w:pPr>
          </w:p>
        </w:tc>
        <w:tc>
          <w:tcPr>
            <w:tcW w:w="7154" w:type="dxa"/>
            <w:gridSpan w:val="14"/>
            <w:vMerge w:val="continue"/>
            <w:tcBorders>
              <w:top w:val="single" w:color="auto" w:sz="8" w:space="0"/>
              <w:left w:val="single" w:color="auto" w:sz="8" w:space="0"/>
              <w:bottom w:val="single" w:color="auto" w:sz="8" w:space="0"/>
              <w:right w:val="single" w:color="auto" w:sz="8" w:space="0"/>
            </w:tcBorders>
            <w:vAlign w:val="center"/>
          </w:tcPr>
          <w:p w14:paraId="51688311">
            <w:pPr>
              <w:widowControl/>
              <w:jc w:val="left"/>
              <w:rPr>
                <w:rFonts w:eastAsia="仿宋_GB2312"/>
                <w:color w:val="auto"/>
                <w:kern w:val="0"/>
                <w:sz w:val="22"/>
                <w:szCs w:val="22"/>
                <w:highlight w:val="none"/>
              </w:rPr>
            </w:pPr>
          </w:p>
        </w:tc>
      </w:tr>
      <w:tr w14:paraId="5E5E409A">
        <w:tblPrEx>
          <w:tblCellMar>
            <w:top w:w="0" w:type="dxa"/>
            <w:left w:w="108" w:type="dxa"/>
            <w:bottom w:w="0" w:type="dxa"/>
            <w:right w:w="108" w:type="dxa"/>
          </w:tblCellMar>
        </w:tblPrEx>
        <w:trPr>
          <w:gridAfter w:val="1"/>
          <w:wAfter w:w="236" w:type="dxa"/>
          <w:trHeight w:val="270" w:hRule="atLeast"/>
        </w:trPr>
        <w:tc>
          <w:tcPr>
            <w:tcW w:w="2557" w:type="dxa"/>
            <w:gridSpan w:val="4"/>
            <w:vMerge w:val="restart"/>
            <w:tcBorders>
              <w:top w:val="single" w:color="auto" w:sz="8" w:space="0"/>
              <w:left w:val="single" w:color="auto" w:sz="8" w:space="0"/>
              <w:bottom w:val="single" w:color="auto" w:sz="8" w:space="0"/>
              <w:right w:val="single" w:color="auto" w:sz="8" w:space="0"/>
            </w:tcBorders>
            <w:vAlign w:val="center"/>
          </w:tcPr>
          <w:p w14:paraId="0D5248CE">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抽测情况</w:t>
            </w:r>
          </w:p>
        </w:tc>
        <w:tc>
          <w:tcPr>
            <w:tcW w:w="7154" w:type="dxa"/>
            <w:gridSpan w:val="14"/>
            <w:vMerge w:val="restart"/>
            <w:tcBorders>
              <w:top w:val="single" w:color="auto" w:sz="8" w:space="0"/>
              <w:left w:val="single" w:color="auto" w:sz="8" w:space="0"/>
              <w:bottom w:val="single" w:color="auto" w:sz="8" w:space="0"/>
              <w:right w:val="single" w:color="auto" w:sz="8" w:space="0"/>
            </w:tcBorders>
            <w:noWrap/>
            <w:vAlign w:val="center"/>
          </w:tcPr>
          <w:p w14:paraId="28BFBA63">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r>
      <w:tr w14:paraId="01727162">
        <w:tblPrEx>
          <w:tblCellMar>
            <w:top w:w="0" w:type="dxa"/>
            <w:left w:w="108" w:type="dxa"/>
            <w:bottom w:w="0" w:type="dxa"/>
            <w:right w:w="108" w:type="dxa"/>
          </w:tblCellMar>
        </w:tblPrEx>
        <w:trPr>
          <w:gridAfter w:val="1"/>
          <w:wAfter w:w="236" w:type="dxa"/>
          <w:trHeight w:val="270" w:hRule="atLeast"/>
        </w:trPr>
        <w:tc>
          <w:tcPr>
            <w:tcW w:w="0" w:type="auto"/>
            <w:gridSpan w:val="4"/>
            <w:vMerge w:val="continue"/>
            <w:tcBorders>
              <w:top w:val="single" w:color="auto" w:sz="8" w:space="0"/>
              <w:left w:val="single" w:color="auto" w:sz="8" w:space="0"/>
              <w:bottom w:val="single" w:color="auto" w:sz="8" w:space="0"/>
              <w:right w:val="single" w:color="auto" w:sz="8" w:space="0"/>
            </w:tcBorders>
            <w:vAlign w:val="center"/>
          </w:tcPr>
          <w:p w14:paraId="60E14F93">
            <w:pPr>
              <w:widowControl/>
              <w:jc w:val="left"/>
              <w:rPr>
                <w:rFonts w:eastAsia="仿宋_GB2312"/>
                <w:color w:val="auto"/>
                <w:kern w:val="0"/>
                <w:sz w:val="22"/>
                <w:szCs w:val="22"/>
                <w:highlight w:val="none"/>
              </w:rPr>
            </w:pPr>
          </w:p>
        </w:tc>
        <w:tc>
          <w:tcPr>
            <w:tcW w:w="7154" w:type="dxa"/>
            <w:gridSpan w:val="14"/>
            <w:vMerge w:val="continue"/>
            <w:tcBorders>
              <w:top w:val="single" w:color="auto" w:sz="8" w:space="0"/>
              <w:left w:val="single" w:color="auto" w:sz="8" w:space="0"/>
              <w:bottom w:val="single" w:color="auto" w:sz="8" w:space="0"/>
              <w:right w:val="single" w:color="auto" w:sz="8" w:space="0"/>
            </w:tcBorders>
            <w:vAlign w:val="center"/>
          </w:tcPr>
          <w:p w14:paraId="3EB6AF5E">
            <w:pPr>
              <w:widowControl/>
              <w:jc w:val="left"/>
              <w:rPr>
                <w:rFonts w:eastAsia="仿宋_GB2312"/>
                <w:color w:val="auto"/>
                <w:kern w:val="0"/>
                <w:sz w:val="22"/>
                <w:szCs w:val="22"/>
                <w:highlight w:val="none"/>
              </w:rPr>
            </w:pPr>
          </w:p>
        </w:tc>
      </w:tr>
      <w:tr w14:paraId="1F38DE65">
        <w:tblPrEx>
          <w:tblCellMar>
            <w:top w:w="0" w:type="dxa"/>
            <w:left w:w="108" w:type="dxa"/>
            <w:bottom w:w="0" w:type="dxa"/>
            <w:right w:w="108" w:type="dxa"/>
          </w:tblCellMar>
        </w:tblPrEx>
        <w:trPr>
          <w:gridAfter w:val="1"/>
          <w:wAfter w:w="236" w:type="dxa"/>
          <w:trHeight w:val="270" w:hRule="atLeast"/>
        </w:trPr>
        <w:tc>
          <w:tcPr>
            <w:tcW w:w="0" w:type="auto"/>
            <w:gridSpan w:val="4"/>
            <w:vMerge w:val="continue"/>
            <w:tcBorders>
              <w:top w:val="single" w:color="auto" w:sz="8" w:space="0"/>
              <w:left w:val="single" w:color="auto" w:sz="8" w:space="0"/>
              <w:bottom w:val="single" w:color="auto" w:sz="8" w:space="0"/>
              <w:right w:val="single" w:color="auto" w:sz="8" w:space="0"/>
            </w:tcBorders>
            <w:vAlign w:val="center"/>
          </w:tcPr>
          <w:p w14:paraId="1E7473FA">
            <w:pPr>
              <w:widowControl/>
              <w:jc w:val="left"/>
              <w:rPr>
                <w:rFonts w:eastAsia="仿宋_GB2312"/>
                <w:color w:val="auto"/>
                <w:kern w:val="0"/>
                <w:sz w:val="22"/>
                <w:szCs w:val="22"/>
                <w:highlight w:val="none"/>
              </w:rPr>
            </w:pPr>
          </w:p>
        </w:tc>
        <w:tc>
          <w:tcPr>
            <w:tcW w:w="7154" w:type="dxa"/>
            <w:gridSpan w:val="14"/>
            <w:vMerge w:val="continue"/>
            <w:tcBorders>
              <w:top w:val="single" w:color="auto" w:sz="8" w:space="0"/>
              <w:left w:val="single" w:color="auto" w:sz="8" w:space="0"/>
              <w:bottom w:val="single" w:color="auto" w:sz="8" w:space="0"/>
              <w:right w:val="single" w:color="auto" w:sz="8" w:space="0"/>
            </w:tcBorders>
            <w:vAlign w:val="center"/>
          </w:tcPr>
          <w:p w14:paraId="7491FA36">
            <w:pPr>
              <w:widowControl/>
              <w:jc w:val="left"/>
              <w:rPr>
                <w:rFonts w:eastAsia="仿宋_GB2312"/>
                <w:color w:val="auto"/>
                <w:kern w:val="0"/>
                <w:sz w:val="22"/>
                <w:szCs w:val="22"/>
                <w:highlight w:val="none"/>
              </w:rPr>
            </w:pPr>
          </w:p>
        </w:tc>
      </w:tr>
      <w:tr w14:paraId="677FB49D">
        <w:tblPrEx>
          <w:tblCellMar>
            <w:top w:w="0" w:type="dxa"/>
            <w:left w:w="108" w:type="dxa"/>
            <w:bottom w:w="0" w:type="dxa"/>
            <w:right w:w="108" w:type="dxa"/>
          </w:tblCellMar>
        </w:tblPrEx>
        <w:trPr>
          <w:gridAfter w:val="1"/>
          <w:wAfter w:w="236" w:type="dxa"/>
          <w:trHeight w:val="253" w:hRule="atLeast"/>
        </w:trPr>
        <w:tc>
          <w:tcPr>
            <w:tcW w:w="0" w:type="auto"/>
            <w:gridSpan w:val="4"/>
            <w:vMerge w:val="continue"/>
            <w:tcBorders>
              <w:top w:val="single" w:color="auto" w:sz="8" w:space="0"/>
              <w:left w:val="single" w:color="auto" w:sz="8" w:space="0"/>
              <w:bottom w:val="single" w:color="auto" w:sz="8" w:space="0"/>
              <w:right w:val="single" w:color="auto" w:sz="8" w:space="0"/>
            </w:tcBorders>
            <w:vAlign w:val="center"/>
          </w:tcPr>
          <w:p w14:paraId="63B892CB">
            <w:pPr>
              <w:widowControl/>
              <w:jc w:val="left"/>
              <w:rPr>
                <w:rFonts w:eastAsia="仿宋_GB2312"/>
                <w:color w:val="auto"/>
                <w:kern w:val="0"/>
                <w:sz w:val="22"/>
                <w:szCs w:val="22"/>
                <w:highlight w:val="none"/>
              </w:rPr>
            </w:pPr>
          </w:p>
        </w:tc>
        <w:tc>
          <w:tcPr>
            <w:tcW w:w="7154" w:type="dxa"/>
            <w:gridSpan w:val="14"/>
            <w:vMerge w:val="continue"/>
            <w:tcBorders>
              <w:top w:val="single" w:color="auto" w:sz="8" w:space="0"/>
              <w:left w:val="single" w:color="auto" w:sz="8" w:space="0"/>
              <w:bottom w:val="single" w:color="auto" w:sz="8" w:space="0"/>
              <w:right w:val="single" w:color="auto" w:sz="8" w:space="0"/>
            </w:tcBorders>
            <w:vAlign w:val="center"/>
          </w:tcPr>
          <w:p w14:paraId="3AE4683D">
            <w:pPr>
              <w:widowControl/>
              <w:jc w:val="left"/>
              <w:rPr>
                <w:rFonts w:eastAsia="仿宋_GB2312"/>
                <w:color w:val="auto"/>
                <w:kern w:val="0"/>
                <w:sz w:val="22"/>
                <w:szCs w:val="22"/>
                <w:highlight w:val="none"/>
              </w:rPr>
            </w:pPr>
          </w:p>
        </w:tc>
      </w:tr>
      <w:tr w14:paraId="63336A8E">
        <w:tblPrEx>
          <w:tblCellMar>
            <w:top w:w="0" w:type="dxa"/>
            <w:left w:w="108" w:type="dxa"/>
            <w:bottom w:w="0" w:type="dxa"/>
            <w:right w:w="108" w:type="dxa"/>
          </w:tblCellMar>
        </w:tblPrEx>
        <w:trPr>
          <w:gridAfter w:val="1"/>
          <w:wAfter w:w="236" w:type="dxa"/>
          <w:trHeight w:val="420" w:hRule="atLeast"/>
        </w:trPr>
        <w:tc>
          <w:tcPr>
            <w:tcW w:w="2557" w:type="dxa"/>
            <w:gridSpan w:val="4"/>
            <w:vMerge w:val="restart"/>
            <w:tcBorders>
              <w:top w:val="single" w:color="auto" w:sz="8" w:space="0"/>
              <w:left w:val="single" w:color="auto" w:sz="8" w:space="0"/>
              <w:bottom w:val="single" w:color="auto" w:sz="8" w:space="0"/>
              <w:right w:val="single" w:color="auto" w:sz="8" w:space="0"/>
            </w:tcBorders>
            <w:vAlign w:val="center"/>
          </w:tcPr>
          <w:p w14:paraId="2940DDAD">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验收结论</w:t>
            </w:r>
          </w:p>
        </w:tc>
        <w:tc>
          <w:tcPr>
            <w:tcW w:w="7154" w:type="dxa"/>
            <w:gridSpan w:val="14"/>
            <w:vMerge w:val="restart"/>
            <w:tcBorders>
              <w:top w:val="single" w:color="auto" w:sz="8" w:space="0"/>
              <w:left w:val="single" w:color="auto" w:sz="8" w:space="0"/>
              <w:bottom w:val="single" w:color="auto" w:sz="8" w:space="0"/>
              <w:right w:val="single" w:color="auto" w:sz="8" w:space="0"/>
            </w:tcBorders>
            <w:noWrap/>
            <w:vAlign w:val="center"/>
          </w:tcPr>
          <w:p w14:paraId="38850C3E">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r>
      <w:tr w14:paraId="6B5F3A69">
        <w:tblPrEx>
          <w:tblCellMar>
            <w:top w:w="0" w:type="dxa"/>
            <w:left w:w="108" w:type="dxa"/>
            <w:bottom w:w="0" w:type="dxa"/>
            <w:right w:w="108" w:type="dxa"/>
          </w:tblCellMar>
        </w:tblPrEx>
        <w:trPr>
          <w:gridAfter w:val="1"/>
          <w:wAfter w:w="236" w:type="dxa"/>
          <w:trHeight w:val="309" w:hRule="atLeast"/>
        </w:trPr>
        <w:tc>
          <w:tcPr>
            <w:tcW w:w="0" w:type="auto"/>
            <w:gridSpan w:val="4"/>
            <w:vMerge w:val="continue"/>
            <w:tcBorders>
              <w:top w:val="single" w:color="auto" w:sz="8" w:space="0"/>
              <w:left w:val="single" w:color="auto" w:sz="8" w:space="0"/>
              <w:bottom w:val="single" w:color="auto" w:sz="8" w:space="0"/>
              <w:right w:val="single" w:color="auto" w:sz="8" w:space="0"/>
            </w:tcBorders>
            <w:vAlign w:val="center"/>
          </w:tcPr>
          <w:p w14:paraId="468BC717">
            <w:pPr>
              <w:widowControl/>
              <w:jc w:val="left"/>
              <w:rPr>
                <w:rFonts w:eastAsia="仿宋_GB2312"/>
                <w:color w:val="auto"/>
                <w:kern w:val="0"/>
                <w:sz w:val="22"/>
                <w:szCs w:val="22"/>
                <w:highlight w:val="none"/>
              </w:rPr>
            </w:pPr>
          </w:p>
        </w:tc>
        <w:tc>
          <w:tcPr>
            <w:tcW w:w="7154" w:type="dxa"/>
            <w:gridSpan w:val="14"/>
            <w:vMerge w:val="continue"/>
            <w:tcBorders>
              <w:top w:val="single" w:color="auto" w:sz="8" w:space="0"/>
              <w:left w:val="single" w:color="auto" w:sz="8" w:space="0"/>
              <w:bottom w:val="single" w:color="auto" w:sz="8" w:space="0"/>
              <w:right w:val="single" w:color="auto" w:sz="8" w:space="0"/>
            </w:tcBorders>
            <w:vAlign w:val="center"/>
          </w:tcPr>
          <w:p w14:paraId="7B61A0B5">
            <w:pPr>
              <w:widowControl/>
              <w:jc w:val="left"/>
              <w:rPr>
                <w:rFonts w:eastAsia="仿宋_GB2312"/>
                <w:color w:val="auto"/>
                <w:kern w:val="0"/>
                <w:sz w:val="22"/>
                <w:szCs w:val="22"/>
                <w:highlight w:val="none"/>
              </w:rPr>
            </w:pPr>
          </w:p>
        </w:tc>
      </w:tr>
      <w:tr w14:paraId="1648E947">
        <w:tblPrEx>
          <w:tblCellMar>
            <w:top w:w="0" w:type="dxa"/>
            <w:left w:w="108" w:type="dxa"/>
            <w:bottom w:w="0" w:type="dxa"/>
            <w:right w:w="108" w:type="dxa"/>
          </w:tblCellMar>
        </w:tblPrEx>
        <w:trPr>
          <w:gridAfter w:val="1"/>
          <w:wAfter w:w="236" w:type="dxa"/>
          <w:trHeight w:val="382" w:hRule="atLeast"/>
        </w:trPr>
        <w:tc>
          <w:tcPr>
            <w:tcW w:w="9711" w:type="dxa"/>
            <w:gridSpan w:val="18"/>
            <w:tcBorders>
              <w:top w:val="single" w:color="auto" w:sz="8" w:space="0"/>
              <w:left w:val="single" w:color="auto" w:sz="8" w:space="0"/>
              <w:bottom w:val="single" w:color="auto" w:sz="8" w:space="0"/>
              <w:right w:val="single" w:color="auto" w:sz="8" w:space="0"/>
            </w:tcBorders>
            <w:noWrap/>
            <w:vAlign w:val="center"/>
          </w:tcPr>
          <w:p w14:paraId="3F50B552">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参加验收人员</w:t>
            </w:r>
          </w:p>
        </w:tc>
      </w:tr>
      <w:tr w14:paraId="755FC101">
        <w:tblPrEx>
          <w:tblCellMar>
            <w:top w:w="0" w:type="dxa"/>
            <w:left w:w="108" w:type="dxa"/>
            <w:bottom w:w="0" w:type="dxa"/>
            <w:right w:w="108" w:type="dxa"/>
          </w:tblCellMar>
        </w:tblPrEx>
        <w:trPr>
          <w:gridAfter w:val="1"/>
          <w:wAfter w:w="236" w:type="dxa"/>
          <w:trHeight w:val="600" w:hRule="atLeast"/>
        </w:trPr>
        <w:tc>
          <w:tcPr>
            <w:tcW w:w="1535" w:type="dxa"/>
            <w:gridSpan w:val="2"/>
            <w:tcBorders>
              <w:top w:val="single" w:color="auto" w:sz="8" w:space="0"/>
              <w:left w:val="single" w:color="auto" w:sz="8" w:space="0"/>
              <w:bottom w:val="single" w:color="auto" w:sz="8" w:space="0"/>
              <w:right w:val="single" w:color="auto" w:sz="8" w:space="0"/>
            </w:tcBorders>
            <w:noWrap/>
            <w:vAlign w:val="center"/>
          </w:tcPr>
          <w:p w14:paraId="0629FE25">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姓名</w:t>
            </w:r>
          </w:p>
        </w:tc>
        <w:tc>
          <w:tcPr>
            <w:tcW w:w="2555" w:type="dxa"/>
            <w:gridSpan w:val="5"/>
            <w:tcBorders>
              <w:top w:val="single" w:color="auto" w:sz="8" w:space="0"/>
              <w:left w:val="nil"/>
              <w:bottom w:val="single" w:color="auto" w:sz="8" w:space="0"/>
              <w:right w:val="single" w:color="auto" w:sz="8" w:space="0"/>
            </w:tcBorders>
            <w:noWrap/>
            <w:vAlign w:val="center"/>
          </w:tcPr>
          <w:p w14:paraId="14079182">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工作单位</w:t>
            </w:r>
          </w:p>
        </w:tc>
        <w:tc>
          <w:tcPr>
            <w:tcW w:w="2555" w:type="dxa"/>
            <w:gridSpan w:val="5"/>
            <w:tcBorders>
              <w:top w:val="single" w:color="auto" w:sz="8" w:space="0"/>
              <w:left w:val="nil"/>
              <w:bottom w:val="single" w:color="auto" w:sz="8" w:space="0"/>
              <w:right w:val="single" w:color="auto" w:sz="8" w:space="0"/>
            </w:tcBorders>
            <w:noWrap/>
            <w:vAlign w:val="center"/>
          </w:tcPr>
          <w:p w14:paraId="0165E752">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职称</w:t>
            </w:r>
          </w:p>
        </w:tc>
        <w:tc>
          <w:tcPr>
            <w:tcW w:w="2044" w:type="dxa"/>
            <w:gridSpan w:val="4"/>
            <w:tcBorders>
              <w:top w:val="single" w:color="auto" w:sz="8" w:space="0"/>
              <w:left w:val="nil"/>
              <w:bottom w:val="single" w:color="auto" w:sz="8" w:space="0"/>
              <w:right w:val="single" w:color="auto" w:sz="8" w:space="0"/>
            </w:tcBorders>
            <w:noWrap/>
            <w:vAlign w:val="center"/>
          </w:tcPr>
          <w:p w14:paraId="3D67E604">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专业方向</w:t>
            </w:r>
          </w:p>
        </w:tc>
        <w:tc>
          <w:tcPr>
            <w:tcW w:w="1022" w:type="dxa"/>
            <w:gridSpan w:val="2"/>
            <w:tcBorders>
              <w:top w:val="single" w:color="auto" w:sz="8" w:space="0"/>
              <w:left w:val="nil"/>
              <w:bottom w:val="single" w:color="auto" w:sz="8" w:space="0"/>
              <w:right w:val="single" w:color="auto" w:sz="8" w:space="0"/>
            </w:tcBorders>
            <w:noWrap/>
            <w:vAlign w:val="center"/>
          </w:tcPr>
          <w:p w14:paraId="55F00E41">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本人签名</w:t>
            </w:r>
          </w:p>
        </w:tc>
      </w:tr>
      <w:tr w14:paraId="72724888">
        <w:tblPrEx>
          <w:tblCellMar>
            <w:top w:w="0" w:type="dxa"/>
            <w:left w:w="108" w:type="dxa"/>
            <w:bottom w:w="0" w:type="dxa"/>
            <w:right w:w="108" w:type="dxa"/>
          </w:tblCellMar>
        </w:tblPrEx>
        <w:trPr>
          <w:gridAfter w:val="1"/>
          <w:wAfter w:w="236" w:type="dxa"/>
          <w:trHeight w:val="600" w:hRule="atLeast"/>
        </w:trPr>
        <w:tc>
          <w:tcPr>
            <w:tcW w:w="1535" w:type="dxa"/>
            <w:gridSpan w:val="2"/>
            <w:tcBorders>
              <w:top w:val="single" w:color="auto" w:sz="8" w:space="0"/>
              <w:left w:val="single" w:color="auto" w:sz="8" w:space="0"/>
              <w:bottom w:val="single" w:color="auto" w:sz="8" w:space="0"/>
              <w:right w:val="single" w:color="auto" w:sz="8" w:space="0"/>
            </w:tcBorders>
            <w:noWrap/>
            <w:vAlign w:val="center"/>
          </w:tcPr>
          <w:p w14:paraId="757C4B0E">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2555" w:type="dxa"/>
            <w:gridSpan w:val="5"/>
            <w:tcBorders>
              <w:top w:val="single" w:color="auto" w:sz="8" w:space="0"/>
              <w:left w:val="nil"/>
              <w:bottom w:val="single" w:color="auto" w:sz="8" w:space="0"/>
              <w:right w:val="single" w:color="auto" w:sz="8" w:space="0"/>
            </w:tcBorders>
            <w:noWrap/>
            <w:vAlign w:val="center"/>
          </w:tcPr>
          <w:p w14:paraId="3C58567E">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2555" w:type="dxa"/>
            <w:gridSpan w:val="5"/>
            <w:tcBorders>
              <w:top w:val="single" w:color="auto" w:sz="8" w:space="0"/>
              <w:left w:val="nil"/>
              <w:bottom w:val="single" w:color="auto" w:sz="8" w:space="0"/>
              <w:right w:val="single" w:color="auto" w:sz="8" w:space="0"/>
            </w:tcBorders>
            <w:noWrap/>
            <w:vAlign w:val="center"/>
          </w:tcPr>
          <w:p w14:paraId="23FAE3BC">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2044" w:type="dxa"/>
            <w:gridSpan w:val="4"/>
            <w:tcBorders>
              <w:top w:val="single" w:color="auto" w:sz="8" w:space="0"/>
              <w:left w:val="nil"/>
              <w:bottom w:val="single" w:color="auto" w:sz="8" w:space="0"/>
              <w:right w:val="single" w:color="auto" w:sz="8" w:space="0"/>
            </w:tcBorders>
            <w:noWrap/>
            <w:vAlign w:val="center"/>
          </w:tcPr>
          <w:p w14:paraId="6AFF7378">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1022" w:type="dxa"/>
            <w:gridSpan w:val="2"/>
            <w:tcBorders>
              <w:top w:val="single" w:color="auto" w:sz="8" w:space="0"/>
              <w:left w:val="nil"/>
              <w:bottom w:val="single" w:color="auto" w:sz="8" w:space="0"/>
              <w:right w:val="single" w:color="auto" w:sz="8" w:space="0"/>
            </w:tcBorders>
            <w:noWrap/>
            <w:vAlign w:val="center"/>
          </w:tcPr>
          <w:p w14:paraId="64FDAA11">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r>
      <w:tr w14:paraId="3CBDF3AC">
        <w:tblPrEx>
          <w:tblCellMar>
            <w:top w:w="0" w:type="dxa"/>
            <w:left w:w="108" w:type="dxa"/>
            <w:bottom w:w="0" w:type="dxa"/>
            <w:right w:w="108" w:type="dxa"/>
          </w:tblCellMar>
        </w:tblPrEx>
        <w:trPr>
          <w:gridAfter w:val="1"/>
          <w:wAfter w:w="236" w:type="dxa"/>
          <w:trHeight w:val="600" w:hRule="atLeast"/>
        </w:trPr>
        <w:tc>
          <w:tcPr>
            <w:tcW w:w="1535" w:type="dxa"/>
            <w:gridSpan w:val="2"/>
            <w:tcBorders>
              <w:top w:val="single" w:color="auto" w:sz="8" w:space="0"/>
              <w:left w:val="single" w:color="auto" w:sz="8" w:space="0"/>
              <w:bottom w:val="single" w:color="auto" w:sz="8" w:space="0"/>
              <w:right w:val="single" w:color="auto" w:sz="8" w:space="0"/>
            </w:tcBorders>
            <w:noWrap/>
            <w:vAlign w:val="center"/>
          </w:tcPr>
          <w:p w14:paraId="25557B00">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2555" w:type="dxa"/>
            <w:gridSpan w:val="5"/>
            <w:tcBorders>
              <w:top w:val="single" w:color="auto" w:sz="8" w:space="0"/>
              <w:left w:val="nil"/>
              <w:bottom w:val="single" w:color="auto" w:sz="8" w:space="0"/>
              <w:right w:val="single" w:color="auto" w:sz="8" w:space="0"/>
            </w:tcBorders>
            <w:noWrap/>
            <w:vAlign w:val="center"/>
          </w:tcPr>
          <w:p w14:paraId="5B5C7090">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2555" w:type="dxa"/>
            <w:gridSpan w:val="5"/>
            <w:tcBorders>
              <w:top w:val="single" w:color="auto" w:sz="8" w:space="0"/>
              <w:left w:val="nil"/>
              <w:bottom w:val="single" w:color="auto" w:sz="8" w:space="0"/>
              <w:right w:val="single" w:color="auto" w:sz="8" w:space="0"/>
            </w:tcBorders>
            <w:noWrap/>
            <w:vAlign w:val="center"/>
          </w:tcPr>
          <w:p w14:paraId="04571BAF">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2044" w:type="dxa"/>
            <w:gridSpan w:val="4"/>
            <w:tcBorders>
              <w:top w:val="single" w:color="auto" w:sz="8" w:space="0"/>
              <w:left w:val="nil"/>
              <w:bottom w:val="single" w:color="auto" w:sz="8" w:space="0"/>
              <w:right w:val="single" w:color="auto" w:sz="8" w:space="0"/>
            </w:tcBorders>
            <w:noWrap/>
            <w:vAlign w:val="center"/>
          </w:tcPr>
          <w:p w14:paraId="1CCDB41C">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1022" w:type="dxa"/>
            <w:gridSpan w:val="2"/>
            <w:tcBorders>
              <w:top w:val="single" w:color="auto" w:sz="8" w:space="0"/>
              <w:left w:val="nil"/>
              <w:bottom w:val="single" w:color="auto" w:sz="8" w:space="0"/>
              <w:right w:val="single" w:color="auto" w:sz="8" w:space="0"/>
            </w:tcBorders>
            <w:noWrap/>
            <w:vAlign w:val="center"/>
          </w:tcPr>
          <w:p w14:paraId="1A835E1B">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r>
      <w:tr w14:paraId="7F26DA07">
        <w:tblPrEx>
          <w:tblCellMar>
            <w:top w:w="0" w:type="dxa"/>
            <w:left w:w="108" w:type="dxa"/>
            <w:bottom w:w="0" w:type="dxa"/>
            <w:right w:w="108" w:type="dxa"/>
          </w:tblCellMar>
        </w:tblPrEx>
        <w:trPr>
          <w:gridAfter w:val="1"/>
          <w:wAfter w:w="236" w:type="dxa"/>
          <w:trHeight w:val="600" w:hRule="atLeast"/>
        </w:trPr>
        <w:tc>
          <w:tcPr>
            <w:tcW w:w="1535" w:type="dxa"/>
            <w:gridSpan w:val="2"/>
            <w:tcBorders>
              <w:top w:val="single" w:color="auto" w:sz="8" w:space="0"/>
              <w:left w:val="single" w:color="auto" w:sz="8" w:space="0"/>
              <w:bottom w:val="single" w:color="auto" w:sz="8" w:space="0"/>
              <w:right w:val="single" w:color="auto" w:sz="8" w:space="0"/>
            </w:tcBorders>
            <w:noWrap/>
            <w:vAlign w:val="center"/>
          </w:tcPr>
          <w:p w14:paraId="5E39DA5C">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2555" w:type="dxa"/>
            <w:gridSpan w:val="5"/>
            <w:tcBorders>
              <w:top w:val="single" w:color="auto" w:sz="8" w:space="0"/>
              <w:left w:val="nil"/>
              <w:bottom w:val="single" w:color="auto" w:sz="8" w:space="0"/>
              <w:right w:val="single" w:color="auto" w:sz="8" w:space="0"/>
            </w:tcBorders>
            <w:noWrap/>
            <w:vAlign w:val="center"/>
          </w:tcPr>
          <w:p w14:paraId="6C7AE332">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2555" w:type="dxa"/>
            <w:gridSpan w:val="5"/>
            <w:tcBorders>
              <w:top w:val="single" w:color="auto" w:sz="8" w:space="0"/>
              <w:left w:val="nil"/>
              <w:bottom w:val="single" w:color="auto" w:sz="8" w:space="0"/>
              <w:right w:val="single" w:color="auto" w:sz="8" w:space="0"/>
            </w:tcBorders>
            <w:noWrap/>
            <w:vAlign w:val="center"/>
          </w:tcPr>
          <w:p w14:paraId="416AE4F5">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2044" w:type="dxa"/>
            <w:gridSpan w:val="4"/>
            <w:tcBorders>
              <w:top w:val="single" w:color="auto" w:sz="8" w:space="0"/>
              <w:left w:val="nil"/>
              <w:bottom w:val="single" w:color="auto" w:sz="8" w:space="0"/>
              <w:right w:val="single" w:color="auto" w:sz="8" w:space="0"/>
            </w:tcBorders>
            <w:noWrap/>
            <w:vAlign w:val="center"/>
          </w:tcPr>
          <w:p w14:paraId="3CDE6525">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c>
          <w:tcPr>
            <w:tcW w:w="1022" w:type="dxa"/>
            <w:gridSpan w:val="2"/>
            <w:tcBorders>
              <w:top w:val="single" w:color="auto" w:sz="8" w:space="0"/>
              <w:left w:val="nil"/>
              <w:bottom w:val="single" w:color="auto" w:sz="8" w:space="0"/>
              <w:right w:val="single" w:color="auto" w:sz="8" w:space="0"/>
            </w:tcBorders>
            <w:noWrap/>
            <w:vAlign w:val="center"/>
          </w:tcPr>
          <w:p w14:paraId="3ADB03A0">
            <w:pPr>
              <w:widowControl/>
              <w:jc w:val="center"/>
              <w:rPr>
                <w:rFonts w:eastAsia="仿宋_GB2312"/>
                <w:color w:val="auto"/>
                <w:kern w:val="0"/>
                <w:sz w:val="22"/>
                <w:szCs w:val="22"/>
                <w:highlight w:val="none"/>
              </w:rPr>
            </w:pPr>
            <w:r>
              <w:rPr>
                <w:rFonts w:hint="eastAsia" w:eastAsia="仿宋_GB2312"/>
                <w:color w:val="auto"/>
                <w:kern w:val="0"/>
                <w:sz w:val="22"/>
                <w:szCs w:val="22"/>
                <w:highlight w:val="none"/>
              </w:rPr>
              <w:t>　</w:t>
            </w:r>
          </w:p>
        </w:tc>
      </w:tr>
      <w:tr w14:paraId="2DFAE885">
        <w:tblPrEx>
          <w:tblCellMar>
            <w:top w:w="0" w:type="dxa"/>
            <w:left w:w="108" w:type="dxa"/>
            <w:bottom w:w="0" w:type="dxa"/>
            <w:right w:w="108" w:type="dxa"/>
          </w:tblCellMar>
        </w:tblPrEx>
        <w:trPr>
          <w:gridAfter w:val="1"/>
          <w:wAfter w:w="236" w:type="dxa"/>
          <w:trHeight w:val="600" w:hRule="atLeast"/>
        </w:trPr>
        <w:tc>
          <w:tcPr>
            <w:tcW w:w="9711" w:type="dxa"/>
            <w:gridSpan w:val="18"/>
            <w:tcBorders>
              <w:top w:val="single" w:color="auto" w:sz="8" w:space="0"/>
              <w:left w:val="single" w:color="auto" w:sz="8" w:space="0"/>
              <w:bottom w:val="nil"/>
              <w:right w:val="single" w:color="000000" w:sz="8" w:space="0"/>
            </w:tcBorders>
            <w:noWrap/>
            <w:vAlign w:val="center"/>
          </w:tcPr>
          <w:p w14:paraId="108734A2">
            <w:pPr>
              <w:widowControl/>
              <w:jc w:val="left"/>
              <w:rPr>
                <w:rFonts w:eastAsia="仿宋_GB2312"/>
                <w:color w:val="auto"/>
                <w:kern w:val="0"/>
                <w:szCs w:val="21"/>
                <w:highlight w:val="none"/>
              </w:rPr>
            </w:pPr>
            <w:r>
              <w:rPr>
                <w:rFonts w:hint="eastAsia" w:eastAsia="仿宋_GB2312"/>
                <w:color w:val="auto"/>
                <w:kern w:val="0"/>
                <w:szCs w:val="21"/>
                <w:highlight w:val="none"/>
              </w:rPr>
              <w:t>监督人员或其他相关人员签字：</w:t>
            </w:r>
          </w:p>
        </w:tc>
      </w:tr>
      <w:tr w14:paraId="400561F5">
        <w:tblPrEx>
          <w:tblCellMar>
            <w:top w:w="0" w:type="dxa"/>
            <w:left w:w="108" w:type="dxa"/>
            <w:bottom w:w="0" w:type="dxa"/>
            <w:right w:w="108" w:type="dxa"/>
          </w:tblCellMar>
        </w:tblPrEx>
        <w:trPr>
          <w:gridAfter w:val="1"/>
          <w:wAfter w:w="236" w:type="dxa"/>
          <w:trHeight w:val="387" w:hRule="atLeast"/>
        </w:trPr>
        <w:tc>
          <w:tcPr>
            <w:tcW w:w="9711" w:type="dxa"/>
            <w:gridSpan w:val="18"/>
            <w:tcBorders>
              <w:top w:val="nil"/>
              <w:left w:val="single" w:color="auto" w:sz="8" w:space="0"/>
              <w:bottom w:val="single" w:color="auto" w:sz="4" w:space="0"/>
              <w:right w:val="single" w:color="000000" w:sz="8" w:space="0"/>
            </w:tcBorders>
            <w:noWrap/>
            <w:vAlign w:val="center"/>
          </w:tcPr>
          <w:p w14:paraId="0DB6FC9A">
            <w:pPr>
              <w:widowControl/>
              <w:jc w:val="left"/>
              <w:rPr>
                <w:rFonts w:eastAsia="仿宋_GB2312"/>
                <w:color w:val="auto"/>
                <w:kern w:val="0"/>
                <w:szCs w:val="21"/>
                <w:highlight w:val="none"/>
              </w:rPr>
            </w:pPr>
            <w:r>
              <w:rPr>
                <w:rFonts w:hint="eastAsia" w:eastAsia="仿宋_GB2312"/>
                <w:color w:val="auto"/>
                <w:kern w:val="0"/>
                <w:szCs w:val="21"/>
                <w:highlight w:val="none"/>
              </w:rPr>
              <w:t>或受邀机构的意见（盖章）：</w:t>
            </w:r>
          </w:p>
        </w:tc>
      </w:tr>
      <w:tr w14:paraId="49825F8A">
        <w:tblPrEx>
          <w:tblCellMar>
            <w:top w:w="0" w:type="dxa"/>
            <w:left w:w="108" w:type="dxa"/>
            <w:bottom w:w="0" w:type="dxa"/>
            <w:right w:w="108" w:type="dxa"/>
          </w:tblCellMar>
        </w:tblPrEx>
        <w:trPr>
          <w:gridAfter w:val="1"/>
          <w:wAfter w:w="236" w:type="dxa"/>
          <w:trHeight w:val="1325" w:hRule="atLeast"/>
        </w:trPr>
        <w:tc>
          <w:tcPr>
            <w:tcW w:w="1452" w:type="dxa"/>
            <w:vMerge w:val="restart"/>
            <w:tcBorders>
              <w:top w:val="single" w:color="auto" w:sz="4" w:space="0"/>
              <w:left w:val="single" w:color="auto" w:sz="4" w:space="0"/>
              <w:bottom w:val="single" w:color="auto" w:sz="4" w:space="0"/>
              <w:right w:val="single" w:color="auto" w:sz="4" w:space="0"/>
            </w:tcBorders>
            <w:noWrap/>
            <w:vAlign w:val="center"/>
          </w:tcPr>
          <w:p w14:paraId="298BCED2">
            <w:pPr>
              <w:ind w:left="220" w:hanging="220" w:hangingChars="100"/>
              <w:jc w:val="left"/>
              <w:rPr>
                <w:rFonts w:eastAsia="仿宋_GB2312"/>
                <w:color w:val="auto"/>
                <w:kern w:val="0"/>
                <w:sz w:val="22"/>
                <w:szCs w:val="22"/>
                <w:highlight w:val="none"/>
              </w:rPr>
            </w:pPr>
            <w:r>
              <w:rPr>
                <w:rFonts w:hint="eastAsia" w:eastAsia="仿宋_GB2312"/>
                <w:color w:val="auto"/>
                <w:kern w:val="0"/>
                <w:sz w:val="22"/>
                <w:szCs w:val="22"/>
                <w:highlight w:val="none"/>
              </w:rPr>
              <w:t>资产管理处意见</w:t>
            </w:r>
          </w:p>
        </w:tc>
        <w:tc>
          <w:tcPr>
            <w:tcW w:w="8259" w:type="dxa"/>
            <w:gridSpan w:val="17"/>
            <w:tcBorders>
              <w:top w:val="single" w:color="auto" w:sz="4" w:space="0"/>
              <w:left w:val="single" w:color="auto" w:sz="4" w:space="0"/>
              <w:bottom w:val="single" w:color="auto" w:sz="4" w:space="0"/>
              <w:right w:val="single" w:color="auto" w:sz="4" w:space="0"/>
            </w:tcBorders>
            <w:vAlign w:val="center"/>
          </w:tcPr>
          <w:p w14:paraId="738A0775">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分管副处长意见：</w:t>
            </w:r>
          </w:p>
          <w:p w14:paraId="114D040D">
            <w:pPr>
              <w:widowControl/>
              <w:jc w:val="left"/>
              <w:rPr>
                <w:rFonts w:eastAsia="仿宋_GB2312"/>
                <w:color w:val="auto"/>
                <w:kern w:val="0"/>
                <w:sz w:val="22"/>
                <w:szCs w:val="22"/>
                <w:highlight w:val="none"/>
              </w:rPr>
            </w:pPr>
          </w:p>
          <w:p w14:paraId="52A1139B">
            <w:pPr>
              <w:widowControl/>
              <w:jc w:val="left"/>
              <w:rPr>
                <w:rFonts w:eastAsia="仿宋_GB2312"/>
                <w:color w:val="auto"/>
                <w:kern w:val="0"/>
                <w:sz w:val="22"/>
                <w:szCs w:val="22"/>
                <w:highlight w:val="none"/>
              </w:rPr>
            </w:pPr>
            <w:r>
              <w:rPr>
                <w:rFonts w:eastAsia="仿宋_GB2312"/>
                <w:color w:val="auto"/>
                <w:kern w:val="0"/>
                <w:sz w:val="22"/>
                <w:szCs w:val="22"/>
                <w:highlight w:val="none"/>
              </w:rPr>
              <w:t xml:space="preserve">        </w:t>
            </w:r>
          </w:p>
          <w:p w14:paraId="0879F395">
            <w:pPr>
              <w:widowControl/>
              <w:jc w:val="left"/>
              <w:rPr>
                <w:rFonts w:eastAsia="仿宋_GB2312"/>
                <w:color w:val="auto"/>
                <w:kern w:val="0"/>
                <w:sz w:val="22"/>
                <w:szCs w:val="22"/>
                <w:highlight w:val="none"/>
              </w:rPr>
            </w:pPr>
            <w:r>
              <w:rPr>
                <w:rFonts w:eastAsia="仿宋_GB2312"/>
                <w:color w:val="auto"/>
                <w:kern w:val="0"/>
                <w:sz w:val="22"/>
                <w:szCs w:val="22"/>
                <w:highlight w:val="none"/>
              </w:rPr>
              <w:t xml:space="preserve">                                                   </w:t>
            </w:r>
            <w:r>
              <w:rPr>
                <w:rFonts w:hint="eastAsia" w:eastAsia="仿宋_GB2312"/>
                <w:color w:val="auto"/>
                <w:kern w:val="0"/>
                <w:sz w:val="22"/>
                <w:szCs w:val="22"/>
                <w:highlight w:val="none"/>
              </w:rPr>
              <w:t>年</w:t>
            </w:r>
            <w:r>
              <w:rPr>
                <w:rFonts w:eastAsia="仿宋_GB2312"/>
                <w:color w:val="auto"/>
                <w:kern w:val="0"/>
                <w:sz w:val="22"/>
                <w:szCs w:val="22"/>
                <w:highlight w:val="none"/>
              </w:rPr>
              <w:t xml:space="preserve">      </w:t>
            </w:r>
            <w:r>
              <w:rPr>
                <w:rFonts w:hint="eastAsia" w:eastAsia="仿宋_GB2312"/>
                <w:color w:val="auto"/>
                <w:kern w:val="0"/>
                <w:sz w:val="22"/>
                <w:szCs w:val="22"/>
                <w:highlight w:val="none"/>
              </w:rPr>
              <w:t>月</w:t>
            </w:r>
            <w:r>
              <w:rPr>
                <w:rFonts w:eastAsia="仿宋_GB2312"/>
                <w:color w:val="auto"/>
                <w:kern w:val="0"/>
                <w:sz w:val="22"/>
                <w:szCs w:val="22"/>
                <w:highlight w:val="none"/>
              </w:rPr>
              <w:t xml:space="preserve">    </w:t>
            </w:r>
            <w:r>
              <w:rPr>
                <w:rFonts w:hint="eastAsia" w:eastAsia="仿宋_GB2312"/>
                <w:color w:val="auto"/>
                <w:kern w:val="0"/>
                <w:sz w:val="22"/>
                <w:szCs w:val="22"/>
                <w:highlight w:val="none"/>
              </w:rPr>
              <w:t>日</w:t>
            </w:r>
          </w:p>
        </w:tc>
      </w:tr>
      <w:tr w14:paraId="3C43484A">
        <w:tblPrEx>
          <w:tblCellMar>
            <w:top w:w="0" w:type="dxa"/>
            <w:left w:w="108" w:type="dxa"/>
            <w:bottom w:w="0" w:type="dxa"/>
            <w:right w:w="108" w:type="dxa"/>
          </w:tblCellMar>
        </w:tblPrEx>
        <w:trPr>
          <w:gridAfter w:val="1"/>
          <w:wAfter w:w="236" w:type="dxa"/>
          <w:trHeight w:val="42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99804C1">
            <w:pPr>
              <w:widowControl/>
              <w:jc w:val="left"/>
              <w:rPr>
                <w:rFonts w:eastAsia="仿宋_GB2312"/>
                <w:color w:val="auto"/>
                <w:kern w:val="0"/>
                <w:sz w:val="22"/>
                <w:szCs w:val="22"/>
                <w:highlight w:val="none"/>
              </w:rPr>
            </w:pPr>
          </w:p>
        </w:tc>
        <w:tc>
          <w:tcPr>
            <w:tcW w:w="8259" w:type="dxa"/>
            <w:gridSpan w:val="17"/>
            <w:tcBorders>
              <w:top w:val="single" w:color="auto" w:sz="4" w:space="0"/>
              <w:left w:val="single" w:color="auto" w:sz="4" w:space="0"/>
              <w:bottom w:val="single" w:color="auto" w:sz="4" w:space="0"/>
              <w:right w:val="single" w:color="auto" w:sz="4" w:space="0"/>
            </w:tcBorders>
            <w:vAlign w:val="center"/>
          </w:tcPr>
          <w:p w14:paraId="47FB2EDD">
            <w:pPr>
              <w:widowControl/>
              <w:jc w:val="left"/>
              <w:rPr>
                <w:rFonts w:eastAsia="仿宋_GB2312"/>
                <w:color w:val="auto"/>
                <w:kern w:val="0"/>
                <w:sz w:val="22"/>
                <w:szCs w:val="22"/>
                <w:highlight w:val="none"/>
              </w:rPr>
            </w:pPr>
            <w:r>
              <w:rPr>
                <w:rFonts w:hint="eastAsia" w:eastAsia="仿宋_GB2312"/>
                <w:color w:val="auto"/>
                <w:kern w:val="0"/>
                <w:sz w:val="22"/>
                <w:szCs w:val="22"/>
                <w:highlight w:val="none"/>
              </w:rPr>
              <w:t>处长意见：</w:t>
            </w:r>
          </w:p>
          <w:p w14:paraId="0A41AA75">
            <w:pPr>
              <w:widowControl/>
              <w:jc w:val="left"/>
              <w:rPr>
                <w:rFonts w:eastAsia="仿宋_GB2312"/>
                <w:color w:val="auto"/>
                <w:kern w:val="0"/>
                <w:sz w:val="22"/>
                <w:szCs w:val="22"/>
                <w:highlight w:val="none"/>
              </w:rPr>
            </w:pPr>
          </w:p>
          <w:p w14:paraId="1434F9A3">
            <w:pPr>
              <w:widowControl/>
              <w:jc w:val="left"/>
              <w:rPr>
                <w:rFonts w:eastAsia="仿宋_GB2312"/>
                <w:color w:val="auto"/>
                <w:kern w:val="0"/>
                <w:sz w:val="22"/>
                <w:szCs w:val="22"/>
                <w:highlight w:val="none"/>
              </w:rPr>
            </w:pPr>
            <w:r>
              <w:rPr>
                <w:rFonts w:eastAsia="仿宋_GB2312"/>
                <w:color w:val="auto"/>
                <w:kern w:val="0"/>
                <w:sz w:val="22"/>
                <w:szCs w:val="22"/>
                <w:highlight w:val="none"/>
              </w:rPr>
              <w:t xml:space="preserve">                </w:t>
            </w:r>
          </w:p>
          <w:p w14:paraId="4F599F5B">
            <w:pPr>
              <w:widowControl/>
              <w:jc w:val="left"/>
              <w:rPr>
                <w:rFonts w:eastAsia="仿宋_GB2312"/>
                <w:color w:val="auto"/>
                <w:kern w:val="0"/>
                <w:sz w:val="22"/>
                <w:szCs w:val="22"/>
                <w:highlight w:val="none"/>
              </w:rPr>
            </w:pPr>
            <w:r>
              <w:rPr>
                <w:rFonts w:eastAsia="仿宋_GB2312"/>
                <w:color w:val="auto"/>
                <w:kern w:val="0"/>
                <w:sz w:val="22"/>
                <w:szCs w:val="22"/>
                <w:highlight w:val="none"/>
              </w:rPr>
              <w:t xml:space="preserve">                                                   </w:t>
            </w:r>
            <w:r>
              <w:rPr>
                <w:rFonts w:hint="eastAsia" w:eastAsia="仿宋_GB2312"/>
                <w:color w:val="auto"/>
                <w:kern w:val="0"/>
                <w:sz w:val="22"/>
                <w:szCs w:val="22"/>
                <w:highlight w:val="none"/>
              </w:rPr>
              <w:t>年</w:t>
            </w:r>
            <w:r>
              <w:rPr>
                <w:rFonts w:eastAsia="仿宋_GB2312"/>
                <w:color w:val="auto"/>
                <w:kern w:val="0"/>
                <w:sz w:val="22"/>
                <w:szCs w:val="22"/>
                <w:highlight w:val="none"/>
              </w:rPr>
              <w:t xml:space="preserve">      </w:t>
            </w:r>
            <w:r>
              <w:rPr>
                <w:rFonts w:hint="eastAsia" w:eastAsia="仿宋_GB2312"/>
                <w:color w:val="auto"/>
                <w:kern w:val="0"/>
                <w:sz w:val="22"/>
                <w:szCs w:val="22"/>
                <w:highlight w:val="none"/>
              </w:rPr>
              <w:t>月</w:t>
            </w:r>
            <w:r>
              <w:rPr>
                <w:rFonts w:eastAsia="仿宋_GB2312"/>
                <w:color w:val="auto"/>
                <w:kern w:val="0"/>
                <w:sz w:val="22"/>
                <w:szCs w:val="22"/>
                <w:highlight w:val="none"/>
              </w:rPr>
              <w:t xml:space="preserve">    </w:t>
            </w:r>
            <w:r>
              <w:rPr>
                <w:rFonts w:hint="eastAsia" w:eastAsia="仿宋_GB2312"/>
                <w:color w:val="auto"/>
                <w:kern w:val="0"/>
                <w:sz w:val="22"/>
                <w:szCs w:val="22"/>
                <w:highlight w:val="none"/>
              </w:rPr>
              <w:t>日</w:t>
            </w:r>
          </w:p>
        </w:tc>
      </w:tr>
    </w:tbl>
    <w:p w14:paraId="7C391DBD">
      <w:pPr>
        <w:spacing w:line="300" w:lineRule="auto"/>
        <w:rPr>
          <w:rFonts w:ascii="宋体" w:hAnsi="宋体" w:cs="Arial Unicode MS"/>
          <w:b/>
          <w:bCs/>
          <w:color w:val="auto"/>
          <w:sz w:val="44"/>
          <w:szCs w:val="44"/>
          <w:highlight w:val="none"/>
        </w:rPr>
      </w:pPr>
    </w:p>
    <w:bookmarkEnd w:id="109"/>
    <w:bookmarkEnd w:id="110"/>
    <w:p w14:paraId="3636DA37">
      <w:pPr>
        <w:spacing w:line="360" w:lineRule="auto"/>
        <w:jc w:val="center"/>
        <w:rPr>
          <w:rFonts w:ascii="宋体"/>
          <w:b/>
          <w:bCs/>
          <w:color w:val="auto"/>
          <w:sz w:val="32"/>
          <w:szCs w:val="32"/>
          <w:highlight w:val="none"/>
        </w:rPr>
      </w:pPr>
      <w:r>
        <w:rPr>
          <w:rFonts w:ascii="宋体" w:hAnsi="宋体" w:cs="仿宋_GB2312"/>
          <w:color w:val="auto"/>
          <w:sz w:val="24"/>
          <w:highlight w:val="none"/>
        </w:rPr>
        <w:br w:type="page"/>
      </w:r>
      <w:r>
        <w:rPr>
          <w:rFonts w:hint="eastAsia" w:ascii="Arial Unicode MS" w:hAnsi="Arial Unicode MS" w:eastAsia="Arial Unicode MS" w:cs="Arial Unicode MS"/>
          <w:color w:val="auto"/>
          <w:sz w:val="44"/>
          <w:szCs w:val="44"/>
          <w:highlight w:val="none"/>
        </w:rPr>
        <w:t>质疑函（格式）</w:t>
      </w:r>
    </w:p>
    <w:p w14:paraId="715E41E0">
      <w:pPr>
        <w:spacing w:line="360" w:lineRule="auto"/>
        <w:jc w:val="center"/>
        <w:rPr>
          <w:rFonts w:ascii="宋体"/>
          <w:b/>
          <w:bCs/>
          <w:color w:val="auto"/>
          <w:sz w:val="32"/>
          <w:szCs w:val="32"/>
          <w:highlight w:val="none"/>
        </w:rPr>
      </w:pPr>
    </w:p>
    <w:p w14:paraId="48121CAB">
      <w:pPr>
        <w:spacing w:line="360" w:lineRule="auto"/>
        <w:ind w:firstLine="482" w:firstLineChars="200"/>
        <w:contextualSpacing/>
        <w:rPr>
          <w:rFonts w:ascii="宋体" w:hAnsi="宋体"/>
          <w:b/>
          <w:bCs/>
          <w:color w:val="auto"/>
          <w:kern w:val="0"/>
          <w:sz w:val="24"/>
          <w:highlight w:val="none"/>
        </w:rPr>
      </w:pPr>
      <w:r>
        <w:rPr>
          <w:rFonts w:hint="eastAsia" w:ascii="宋体" w:hAnsi="宋体"/>
          <w:b/>
          <w:bCs/>
          <w:color w:val="auto"/>
          <w:kern w:val="0"/>
          <w:sz w:val="24"/>
          <w:highlight w:val="none"/>
        </w:rPr>
        <w:t>一、质疑供应商基本信息：</w:t>
      </w:r>
    </w:p>
    <w:p w14:paraId="79E2B458">
      <w:pPr>
        <w:spacing w:line="360" w:lineRule="auto"/>
        <w:ind w:firstLine="480" w:firstLineChars="200"/>
        <w:contextualSpacing/>
        <w:rPr>
          <w:rFonts w:ascii="宋体" w:hAnsi="宋体"/>
          <w:bCs/>
          <w:color w:val="auto"/>
          <w:kern w:val="0"/>
          <w:sz w:val="24"/>
          <w:highlight w:val="none"/>
          <w:u w:val="single"/>
        </w:rPr>
      </w:pPr>
      <w:r>
        <w:rPr>
          <w:rFonts w:hint="eastAsia" w:ascii="宋体" w:hAnsi="宋体"/>
          <w:bCs/>
          <w:color w:val="auto"/>
          <w:kern w:val="0"/>
          <w:sz w:val="24"/>
          <w:highlight w:val="none"/>
        </w:rPr>
        <w:t>质疑供应商：</w:t>
      </w:r>
      <w:r>
        <w:rPr>
          <w:rFonts w:ascii="宋体" w:hAnsi="宋体"/>
          <w:bCs/>
          <w:color w:val="auto"/>
          <w:kern w:val="0"/>
          <w:sz w:val="24"/>
          <w:highlight w:val="none"/>
          <w:u w:val="single"/>
        </w:rPr>
        <w:t xml:space="preserve">                                       </w:t>
      </w:r>
      <w:r>
        <w:rPr>
          <w:rFonts w:ascii="宋体" w:hAnsi="宋体"/>
          <w:bCs/>
          <w:color w:val="auto"/>
          <w:kern w:val="0"/>
          <w:sz w:val="24"/>
          <w:highlight w:val="none"/>
        </w:rPr>
        <w:t xml:space="preserve">                 </w:t>
      </w:r>
    </w:p>
    <w:p w14:paraId="092D8736">
      <w:pPr>
        <w:spacing w:line="360" w:lineRule="auto"/>
        <w:ind w:firstLine="480" w:firstLineChars="200"/>
        <w:contextualSpacing/>
        <w:rPr>
          <w:rFonts w:ascii="宋体" w:hAnsi="宋体"/>
          <w:bCs/>
          <w:color w:val="auto"/>
          <w:kern w:val="0"/>
          <w:sz w:val="24"/>
          <w:highlight w:val="none"/>
        </w:rPr>
      </w:pPr>
      <w:r>
        <w:rPr>
          <w:rFonts w:hint="eastAsia" w:ascii="宋体" w:hAnsi="宋体"/>
          <w:bCs/>
          <w:color w:val="auto"/>
          <w:kern w:val="0"/>
          <w:sz w:val="24"/>
          <w:highlight w:val="none"/>
        </w:rPr>
        <w:t>地址：</w:t>
      </w:r>
      <w:r>
        <w:rPr>
          <w:rFonts w:ascii="宋体" w:hAnsi="宋体"/>
          <w:bCs/>
          <w:color w:val="auto"/>
          <w:kern w:val="0"/>
          <w:sz w:val="24"/>
          <w:highlight w:val="none"/>
          <w:u w:val="single"/>
        </w:rPr>
        <w:t xml:space="preserve">                                          </w:t>
      </w:r>
      <w:r>
        <w:rPr>
          <w:rFonts w:hint="eastAsia" w:ascii="宋体" w:hAnsi="宋体"/>
          <w:bCs/>
          <w:color w:val="auto"/>
          <w:kern w:val="0"/>
          <w:sz w:val="24"/>
          <w:highlight w:val="none"/>
        </w:rPr>
        <w:t>邮编：</w:t>
      </w:r>
      <w:r>
        <w:rPr>
          <w:rFonts w:ascii="宋体" w:hAnsi="宋体"/>
          <w:bCs/>
          <w:color w:val="auto"/>
          <w:kern w:val="0"/>
          <w:sz w:val="24"/>
          <w:highlight w:val="none"/>
          <w:u w:val="single"/>
        </w:rPr>
        <w:t xml:space="preserve">                  </w:t>
      </w:r>
      <w:r>
        <w:rPr>
          <w:rFonts w:ascii="宋体" w:hAnsi="宋体"/>
          <w:bCs/>
          <w:color w:val="auto"/>
          <w:kern w:val="0"/>
          <w:sz w:val="24"/>
          <w:highlight w:val="none"/>
        </w:rPr>
        <w:t xml:space="preserve">                 </w:t>
      </w:r>
    </w:p>
    <w:p w14:paraId="32A8E42E">
      <w:pPr>
        <w:spacing w:line="360" w:lineRule="auto"/>
        <w:ind w:firstLine="480" w:firstLineChars="200"/>
        <w:contextualSpacing/>
        <w:rPr>
          <w:rFonts w:ascii="宋体" w:hAnsi="宋体"/>
          <w:bCs/>
          <w:color w:val="auto"/>
          <w:kern w:val="0"/>
          <w:sz w:val="24"/>
          <w:highlight w:val="none"/>
        </w:rPr>
      </w:pPr>
      <w:r>
        <w:rPr>
          <w:rFonts w:hint="eastAsia" w:ascii="宋体" w:hAnsi="宋体"/>
          <w:bCs/>
          <w:color w:val="auto"/>
          <w:kern w:val="0"/>
          <w:sz w:val="24"/>
          <w:highlight w:val="none"/>
        </w:rPr>
        <w:t>联系人：</w:t>
      </w:r>
      <w:r>
        <w:rPr>
          <w:rFonts w:ascii="宋体" w:hAnsi="宋体"/>
          <w:bCs/>
          <w:color w:val="auto"/>
          <w:kern w:val="0"/>
          <w:sz w:val="24"/>
          <w:highlight w:val="none"/>
          <w:u w:val="single"/>
        </w:rPr>
        <w:t xml:space="preserve">                     </w:t>
      </w:r>
      <w:r>
        <w:rPr>
          <w:rFonts w:hint="eastAsia" w:ascii="宋体" w:hAnsi="宋体"/>
          <w:bCs/>
          <w:color w:val="auto"/>
          <w:kern w:val="0"/>
          <w:sz w:val="24"/>
          <w:highlight w:val="none"/>
        </w:rPr>
        <w:t>联系电话：</w:t>
      </w:r>
      <w:r>
        <w:rPr>
          <w:rFonts w:ascii="宋体" w:hAnsi="宋体"/>
          <w:bCs/>
          <w:color w:val="auto"/>
          <w:kern w:val="0"/>
          <w:sz w:val="24"/>
          <w:highlight w:val="none"/>
          <w:u w:val="single"/>
        </w:rPr>
        <w:t xml:space="preserve">                 </w:t>
      </w:r>
    </w:p>
    <w:p w14:paraId="14469015">
      <w:pPr>
        <w:spacing w:line="360" w:lineRule="auto"/>
        <w:ind w:firstLine="480" w:firstLineChars="200"/>
        <w:contextualSpacing/>
        <w:rPr>
          <w:rFonts w:ascii="宋体" w:hAnsi="宋体"/>
          <w:bCs/>
          <w:color w:val="auto"/>
          <w:kern w:val="0"/>
          <w:sz w:val="24"/>
          <w:highlight w:val="none"/>
        </w:rPr>
      </w:pPr>
      <w:r>
        <w:rPr>
          <w:rFonts w:hint="eastAsia" w:ascii="宋体" w:hAnsi="宋体"/>
          <w:bCs/>
          <w:color w:val="auto"/>
          <w:kern w:val="0"/>
          <w:sz w:val="24"/>
          <w:highlight w:val="none"/>
        </w:rPr>
        <w:t>授权代表：</w:t>
      </w:r>
      <w:r>
        <w:rPr>
          <w:rFonts w:ascii="宋体" w:hAnsi="宋体"/>
          <w:bCs/>
          <w:color w:val="auto"/>
          <w:kern w:val="0"/>
          <w:sz w:val="24"/>
          <w:highlight w:val="none"/>
          <w:u w:val="single"/>
        </w:rPr>
        <w:t xml:space="preserve">                      </w:t>
      </w:r>
    </w:p>
    <w:p w14:paraId="72122129">
      <w:pPr>
        <w:spacing w:line="360" w:lineRule="auto"/>
        <w:ind w:firstLine="480" w:firstLineChars="200"/>
        <w:contextualSpacing/>
        <w:rPr>
          <w:rFonts w:ascii="宋体" w:hAnsi="宋体"/>
          <w:bCs/>
          <w:color w:val="auto"/>
          <w:kern w:val="0"/>
          <w:sz w:val="24"/>
          <w:highlight w:val="none"/>
          <w:u w:val="single"/>
        </w:rPr>
      </w:pPr>
      <w:r>
        <w:rPr>
          <w:rFonts w:hint="eastAsia" w:ascii="宋体" w:hAnsi="宋体"/>
          <w:bCs/>
          <w:color w:val="auto"/>
          <w:kern w:val="0"/>
          <w:sz w:val="24"/>
          <w:highlight w:val="none"/>
        </w:rPr>
        <w:t>联系电话：</w:t>
      </w:r>
      <w:r>
        <w:rPr>
          <w:rFonts w:ascii="宋体" w:hAnsi="宋体"/>
          <w:bCs/>
          <w:color w:val="auto"/>
          <w:kern w:val="0"/>
          <w:sz w:val="24"/>
          <w:highlight w:val="none"/>
          <w:u w:val="single"/>
        </w:rPr>
        <w:t xml:space="preserve">                      </w:t>
      </w:r>
    </w:p>
    <w:p w14:paraId="3C8F1031">
      <w:pPr>
        <w:spacing w:line="360" w:lineRule="auto"/>
        <w:ind w:firstLine="480" w:firstLineChars="200"/>
        <w:contextualSpacing/>
        <w:rPr>
          <w:rFonts w:ascii="宋体" w:hAnsi="宋体"/>
          <w:bCs/>
          <w:color w:val="auto"/>
          <w:kern w:val="0"/>
          <w:sz w:val="24"/>
          <w:highlight w:val="none"/>
        </w:rPr>
      </w:pPr>
      <w:r>
        <w:rPr>
          <w:rFonts w:hint="eastAsia" w:ascii="宋体" w:hAnsi="宋体"/>
          <w:bCs/>
          <w:color w:val="auto"/>
          <w:kern w:val="0"/>
          <w:sz w:val="24"/>
          <w:highlight w:val="none"/>
        </w:rPr>
        <w:t>地址：</w:t>
      </w:r>
      <w:r>
        <w:rPr>
          <w:rFonts w:ascii="宋体" w:hAnsi="宋体"/>
          <w:bCs/>
          <w:color w:val="auto"/>
          <w:kern w:val="0"/>
          <w:sz w:val="24"/>
          <w:highlight w:val="none"/>
          <w:u w:val="single"/>
        </w:rPr>
        <w:t xml:space="preserve">                 </w:t>
      </w:r>
      <w:r>
        <w:rPr>
          <w:rFonts w:hint="eastAsia" w:ascii="宋体" w:hAnsi="宋体"/>
          <w:bCs/>
          <w:color w:val="auto"/>
          <w:kern w:val="0"/>
          <w:sz w:val="24"/>
          <w:highlight w:val="none"/>
        </w:rPr>
        <w:t>邮编：</w:t>
      </w:r>
      <w:r>
        <w:rPr>
          <w:rFonts w:ascii="宋体" w:hAnsi="宋体"/>
          <w:bCs/>
          <w:color w:val="auto"/>
          <w:kern w:val="0"/>
          <w:sz w:val="24"/>
          <w:highlight w:val="none"/>
          <w:u w:val="single"/>
        </w:rPr>
        <w:t xml:space="preserve">                  </w:t>
      </w:r>
      <w:r>
        <w:rPr>
          <w:rFonts w:ascii="宋体" w:hAnsi="宋体"/>
          <w:bCs/>
          <w:color w:val="auto"/>
          <w:kern w:val="0"/>
          <w:sz w:val="24"/>
          <w:highlight w:val="none"/>
        </w:rPr>
        <w:t xml:space="preserve">     </w:t>
      </w:r>
    </w:p>
    <w:p w14:paraId="576CE9A9">
      <w:pPr>
        <w:spacing w:line="360" w:lineRule="auto"/>
        <w:ind w:firstLine="482" w:firstLineChars="200"/>
        <w:contextualSpacing/>
        <w:rPr>
          <w:rFonts w:ascii="宋体" w:hAnsi="宋体"/>
          <w:b/>
          <w:bCs/>
          <w:color w:val="auto"/>
          <w:kern w:val="0"/>
          <w:sz w:val="24"/>
          <w:highlight w:val="none"/>
        </w:rPr>
      </w:pPr>
      <w:r>
        <w:rPr>
          <w:rFonts w:hint="eastAsia" w:ascii="宋体" w:hAnsi="宋体"/>
          <w:b/>
          <w:bCs/>
          <w:color w:val="auto"/>
          <w:kern w:val="0"/>
          <w:sz w:val="24"/>
          <w:highlight w:val="none"/>
        </w:rPr>
        <w:t>二、质疑项目基本情况：</w:t>
      </w:r>
    </w:p>
    <w:p w14:paraId="084CEBA3">
      <w:pPr>
        <w:spacing w:line="360" w:lineRule="auto"/>
        <w:ind w:left="25" w:leftChars="12" w:firstLine="472" w:firstLineChars="197"/>
        <w:contextualSpacing/>
        <w:rPr>
          <w:rFonts w:ascii="宋体" w:hAnsi="宋体"/>
          <w:color w:val="auto"/>
          <w:kern w:val="0"/>
          <w:sz w:val="24"/>
          <w:highlight w:val="none"/>
        </w:rPr>
      </w:pPr>
      <w:r>
        <w:rPr>
          <w:rFonts w:hint="eastAsia" w:ascii="宋体" w:hAnsi="宋体"/>
          <w:bCs/>
          <w:color w:val="auto"/>
          <w:kern w:val="0"/>
          <w:sz w:val="24"/>
          <w:highlight w:val="none"/>
        </w:rPr>
        <w:t>质疑</w:t>
      </w:r>
      <w:r>
        <w:rPr>
          <w:rFonts w:hint="eastAsia" w:ascii="宋体" w:hAnsi="宋体"/>
          <w:color w:val="auto"/>
          <w:kern w:val="0"/>
          <w:sz w:val="24"/>
          <w:highlight w:val="none"/>
        </w:rPr>
        <w:t>项目的名称：</w:t>
      </w:r>
      <w:r>
        <w:rPr>
          <w:rFonts w:ascii="宋体" w:hAnsi="宋体"/>
          <w:bCs/>
          <w:color w:val="auto"/>
          <w:kern w:val="0"/>
          <w:sz w:val="24"/>
          <w:highlight w:val="none"/>
          <w:u w:val="single"/>
        </w:rPr>
        <w:t xml:space="preserve">                                     </w:t>
      </w:r>
    </w:p>
    <w:p w14:paraId="09F88DA2">
      <w:pPr>
        <w:pStyle w:val="16"/>
        <w:spacing w:line="400" w:lineRule="exact"/>
        <w:ind w:left="25" w:leftChars="12" w:firstLine="472" w:firstLineChars="197"/>
        <w:rPr>
          <w:rFonts w:hAnsi="宋体"/>
          <w:color w:val="auto"/>
          <w:sz w:val="24"/>
          <w:highlight w:val="none"/>
          <w:u w:val="single"/>
        </w:rPr>
      </w:pPr>
      <w:r>
        <w:rPr>
          <w:rFonts w:hint="eastAsia" w:hAnsi="宋体"/>
          <w:bCs/>
          <w:color w:val="auto"/>
          <w:sz w:val="24"/>
          <w:highlight w:val="none"/>
        </w:rPr>
        <w:t>质疑</w:t>
      </w:r>
      <w:r>
        <w:rPr>
          <w:rFonts w:hint="eastAsia" w:hAnsi="宋体"/>
          <w:color w:val="auto"/>
          <w:sz w:val="24"/>
          <w:highlight w:val="none"/>
        </w:rPr>
        <w:t>项目的编号：</w:t>
      </w:r>
      <w:r>
        <w:rPr>
          <w:rFonts w:hAnsi="宋体"/>
          <w:bCs/>
          <w:color w:val="auto"/>
          <w:sz w:val="24"/>
          <w:highlight w:val="none"/>
          <w:u w:val="single"/>
        </w:rPr>
        <w:t xml:space="preserve">                      </w:t>
      </w:r>
      <w:r>
        <w:rPr>
          <w:rFonts w:hint="eastAsia" w:hAnsi="宋体"/>
          <w:bCs/>
          <w:color w:val="auto"/>
          <w:highlight w:val="none"/>
        </w:rPr>
        <w:t>分标号（如有）：</w:t>
      </w:r>
      <w:r>
        <w:rPr>
          <w:rFonts w:hAnsi="宋体"/>
          <w:bCs/>
          <w:color w:val="auto"/>
          <w:highlight w:val="none"/>
          <w:u w:val="single"/>
        </w:rPr>
        <w:t xml:space="preserve">                  </w:t>
      </w:r>
    </w:p>
    <w:p w14:paraId="1F5E22EC">
      <w:pPr>
        <w:spacing w:line="360" w:lineRule="auto"/>
        <w:ind w:left="25" w:leftChars="12" w:firstLine="472" w:firstLineChars="197"/>
        <w:contextualSpacing/>
        <w:rPr>
          <w:rFonts w:ascii="宋体" w:hAnsi="宋体"/>
          <w:color w:val="auto"/>
          <w:kern w:val="0"/>
          <w:sz w:val="24"/>
          <w:highlight w:val="none"/>
        </w:rPr>
      </w:pPr>
      <w:r>
        <w:rPr>
          <w:rFonts w:hint="eastAsia" w:ascii="宋体" w:hAnsi="宋体"/>
          <w:color w:val="auto"/>
          <w:kern w:val="0"/>
          <w:sz w:val="24"/>
          <w:highlight w:val="none"/>
        </w:rPr>
        <w:t>采购人名称：</w:t>
      </w:r>
      <w:r>
        <w:rPr>
          <w:rFonts w:ascii="宋体" w:hAnsi="宋体"/>
          <w:bCs/>
          <w:color w:val="auto"/>
          <w:kern w:val="0"/>
          <w:sz w:val="24"/>
          <w:highlight w:val="none"/>
          <w:u w:val="single"/>
        </w:rPr>
        <w:t xml:space="preserve">                                         </w:t>
      </w:r>
    </w:p>
    <w:p w14:paraId="796E6B82">
      <w:pPr>
        <w:spacing w:line="360" w:lineRule="auto"/>
        <w:ind w:left="25" w:leftChars="12" w:firstLine="472" w:firstLineChars="197"/>
        <w:contextualSpacing/>
        <w:rPr>
          <w:rFonts w:ascii="宋体" w:hAnsi="宋体"/>
          <w:color w:val="auto"/>
          <w:kern w:val="0"/>
          <w:sz w:val="24"/>
          <w:highlight w:val="none"/>
        </w:rPr>
      </w:pPr>
      <w:r>
        <w:rPr>
          <w:rFonts w:hint="eastAsia" w:ascii="宋体" w:hAnsi="宋体"/>
          <w:color w:val="auto"/>
          <w:kern w:val="0"/>
          <w:sz w:val="24"/>
          <w:highlight w:val="none"/>
        </w:rPr>
        <w:t>质疑事项：</w:t>
      </w:r>
    </w:p>
    <w:p w14:paraId="1C1F47C6">
      <w:pPr>
        <w:spacing w:line="360" w:lineRule="auto"/>
        <w:ind w:left="25" w:leftChars="12" w:firstLine="352" w:firstLineChars="147"/>
        <w:contextualSpacing/>
        <w:rPr>
          <w:rFonts w:ascii="宋体" w:hAnsi="宋体"/>
          <w:color w:val="auto"/>
          <w:kern w:val="0"/>
          <w:sz w:val="24"/>
          <w:highlight w:val="none"/>
        </w:rPr>
      </w:pPr>
      <w:r>
        <w:rPr>
          <w:rFonts w:hint="eastAsia" w:ascii="宋体" w:hAnsi="宋体"/>
          <w:color w:val="auto"/>
          <w:kern w:val="0"/>
          <w:sz w:val="24"/>
          <w:highlight w:val="none"/>
        </w:rPr>
        <w:t>□谈判文件</w:t>
      </w:r>
      <w:r>
        <w:rPr>
          <w:rFonts w:ascii="宋体" w:hAnsi="宋体"/>
          <w:color w:val="auto"/>
          <w:kern w:val="0"/>
          <w:sz w:val="24"/>
          <w:highlight w:val="none"/>
        </w:rPr>
        <w:t xml:space="preserve">   </w:t>
      </w:r>
      <w:r>
        <w:rPr>
          <w:rFonts w:hint="eastAsia" w:ascii="宋体" w:hAnsi="宋体"/>
          <w:color w:val="auto"/>
          <w:kern w:val="0"/>
          <w:sz w:val="24"/>
          <w:highlight w:val="none"/>
        </w:rPr>
        <w:t>谈判文件获取日期：</w:t>
      </w:r>
      <w:r>
        <w:rPr>
          <w:rFonts w:ascii="宋体" w:hAnsi="宋体"/>
          <w:bCs/>
          <w:color w:val="auto"/>
          <w:kern w:val="0"/>
          <w:sz w:val="24"/>
          <w:highlight w:val="none"/>
          <w:u w:val="single"/>
        </w:rPr>
        <w:t xml:space="preserve">                                   </w:t>
      </w:r>
    </w:p>
    <w:p w14:paraId="77113FFB">
      <w:pPr>
        <w:spacing w:line="360" w:lineRule="auto"/>
        <w:ind w:left="25" w:leftChars="12" w:firstLine="352" w:firstLineChars="147"/>
        <w:contextualSpacing/>
        <w:rPr>
          <w:rFonts w:ascii="宋体" w:hAnsi="宋体"/>
          <w:color w:val="auto"/>
          <w:kern w:val="0"/>
          <w:sz w:val="24"/>
          <w:highlight w:val="none"/>
        </w:rPr>
      </w:pPr>
      <w:r>
        <w:rPr>
          <w:rFonts w:hint="eastAsia" w:ascii="宋体" w:hAnsi="宋体"/>
          <w:color w:val="auto"/>
          <w:kern w:val="0"/>
          <w:sz w:val="24"/>
          <w:highlight w:val="none"/>
        </w:rPr>
        <w:t>□采购过程</w:t>
      </w:r>
      <w:r>
        <w:rPr>
          <w:rFonts w:ascii="宋体" w:hAnsi="宋体"/>
          <w:color w:val="auto"/>
          <w:kern w:val="0"/>
          <w:sz w:val="24"/>
          <w:highlight w:val="none"/>
        </w:rPr>
        <w:t xml:space="preserve">   </w:t>
      </w:r>
    </w:p>
    <w:p w14:paraId="6BD08434">
      <w:pPr>
        <w:spacing w:line="360" w:lineRule="auto"/>
        <w:ind w:left="25" w:leftChars="12" w:firstLine="352" w:firstLineChars="147"/>
        <w:contextualSpacing/>
        <w:rPr>
          <w:rFonts w:ascii="宋体" w:hAnsi="宋体"/>
          <w:bCs/>
          <w:color w:val="auto"/>
          <w:kern w:val="0"/>
          <w:sz w:val="24"/>
          <w:highlight w:val="none"/>
          <w:u w:val="single"/>
        </w:rPr>
      </w:pPr>
      <w:r>
        <w:rPr>
          <w:rFonts w:hint="eastAsia" w:ascii="宋体" w:hAnsi="宋体"/>
          <w:color w:val="auto"/>
          <w:kern w:val="0"/>
          <w:sz w:val="24"/>
          <w:highlight w:val="none"/>
        </w:rPr>
        <w:t>□成交结果</w:t>
      </w:r>
      <w:r>
        <w:rPr>
          <w:rFonts w:ascii="宋体" w:hAnsi="宋体"/>
          <w:color w:val="auto"/>
          <w:kern w:val="0"/>
          <w:sz w:val="24"/>
          <w:highlight w:val="none"/>
        </w:rPr>
        <w:t xml:space="preserve">   </w:t>
      </w:r>
    </w:p>
    <w:p w14:paraId="396CC131">
      <w:pPr>
        <w:spacing w:line="360" w:lineRule="auto"/>
        <w:ind w:left="25" w:leftChars="12" w:firstLine="472" w:firstLineChars="196"/>
        <w:contextualSpacing/>
        <w:rPr>
          <w:rFonts w:ascii="宋体" w:hAnsi="宋体"/>
          <w:b/>
          <w:color w:val="auto"/>
          <w:kern w:val="0"/>
          <w:sz w:val="24"/>
          <w:highlight w:val="none"/>
        </w:rPr>
      </w:pPr>
      <w:r>
        <w:rPr>
          <w:rFonts w:hint="eastAsia" w:ascii="宋体" w:hAnsi="宋体"/>
          <w:b/>
          <w:color w:val="auto"/>
          <w:kern w:val="0"/>
          <w:sz w:val="24"/>
          <w:highlight w:val="none"/>
        </w:rPr>
        <w:t>三、质疑事项具体内容</w:t>
      </w:r>
    </w:p>
    <w:p w14:paraId="1C3C49D9">
      <w:pPr>
        <w:spacing w:line="360" w:lineRule="auto"/>
        <w:ind w:left="25" w:leftChars="12" w:firstLine="472" w:firstLineChars="197"/>
        <w:contextualSpacing/>
        <w:rPr>
          <w:rFonts w:ascii="宋体" w:hAnsi="宋体"/>
          <w:color w:val="auto"/>
          <w:kern w:val="0"/>
          <w:sz w:val="24"/>
          <w:highlight w:val="none"/>
        </w:rPr>
      </w:pPr>
      <w:r>
        <w:rPr>
          <w:rFonts w:hint="eastAsia" w:ascii="宋体" w:hAnsi="宋体"/>
          <w:color w:val="auto"/>
          <w:kern w:val="0"/>
          <w:sz w:val="24"/>
          <w:highlight w:val="none"/>
        </w:rPr>
        <w:t>质疑事项</w:t>
      </w:r>
      <w:r>
        <w:rPr>
          <w:rFonts w:ascii="宋体" w:hAnsi="宋体"/>
          <w:color w:val="auto"/>
          <w:kern w:val="0"/>
          <w:sz w:val="24"/>
          <w:highlight w:val="none"/>
        </w:rPr>
        <w:t>1</w:t>
      </w:r>
      <w:r>
        <w:rPr>
          <w:rFonts w:hint="eastAsia" w:ascii="宋体" w:hAnsi="宋体"/>
          <w:color w:val="auto"/>
          <w:kern w:val="0"/>
          <w:sz w:val="24"/>
          <w:highlight w:val="none"/>
        </w:rPr>
        <w:t>：</w:t>
      </w:r>
      <w:r>
        <w:rPr>
          <w:rFonts w:ascii="宋体" w:hAnsi="宋体"/>
          <w:bCs/>
          <w:color w:val="auto"/>
          <w:kern w:val="0"/>
          <w:sz w:val="24"/>
          <w:highlight w:val="none"/>
          <w:u w:val="single"/>
        </w:rPr>
        <w:t xml:space="preserve">                                                                    </w:t>
      </w:r>
    </w:p>
    <w:p w14:paraId="4FE9C387">
      <w:pPr>
        <w:spacing w:line="360" w:lineRule="auto"/>
        <w:ind w:left="25" w:leftChars="12" w:firstLine="472" w:firstLineChars="197"/>
        <w:contextualSpacing/>
        <w:rPr>
          <w:rFonts w:ascii="宋体" w:hAnsi="宋体"/>
          <w:color w:val="auto"/>
          <w:kern w:val="0"/>
          <w:sz w:val="24"/>
          <w:highlight w:val="none"/>
        </w:rPr>
      </w:pPr>
      <w:r>
        <w:rPr>
          <w:rFonts w:hint="eastAsia" w:ascii="宋体" w:hAnsi="宋体"/>
          <w:color w:val="auto"/>
          <w:kern w:val="0"/>
          <w:sz w:val="24"/>
          <w:highlight w:val="none"/>
        </w:rPr>
        <w:t>事实依据：</w:t>
      </w:r>
      <w:r>
        <w:rPr>
          <w:rFonts w:ascii="宋体" w:hAnsi="宋体"/>
          <w:bCs/>
          <w:color w:val="auto"/>
          <w:kern w:val="0"/>
          <w:sz w:val="24"/>
          <w:highlight w:val="none"/>
          <w:u w:val="single"/>
        </w:rPr>
        <w:t xml:space="preserve">                                                                      </w:t>
      </w:r>
    </w:p>
    <w:p w14:paraId="55FEE6A3">
      <w:pPr>
        <w:spacing w:line="360" w:lineRule="auto"/>
        <w:ind w:left="25" w:leftChars="12" w:firstLine="472" w:firstLineChars="197"/>
        <w:contextualSpacing/>
        <w:rPr>
          <w:rFonts w:ascii="宋体" w:hAnsi="宋体"/>
          <w:color w:val="auto"/>
          <w:kern w:val="0"/>
          <w:sz w:val="24"/>
          <w:highlight w:val="none"/>
        </w:rPr>
      </w:pPr>
      <w:r>
        <w:rPr>
          <w:rFonts w:hint="eastAsia" w:ascii="宋体" w:hAnsi="宋体"/>
          <w:color w:val="auto"/>
          <w:kern w:val="0"/>
          <w:sz w:val="24"/>
          <w:highlight w:val="none"/>
        </w:rPr>
        <w:t>法律依据：</w:t>
      </w:r>
      <w:r>
        <w:rPr>
          <w:rFonts w:ascii="宋体" w:hAnsi="宋体"/>
          <w:color w:val="auto"/>
          <w:kern w:val="0"/>
          <w:sz w:val="24"/>
          <w:highlight w:val="none"/>
          <w:u w:val="single"/>
        </w:rPr>
        <w:t xml:space="preserve">                                                        </w:t>
      </w:r>
      <w:r>
        <w:rPr>
          <w:rFonts w:ascii="宋体" w:hAnsi="宋体"/>
          <w:bCs/>
          <w:color w:val="auto"/>
          <w:kern w:val="0"/>
          <w:sz w:val="24"/>
          <w:highlight w:val="none"/>
          <w:u w:val="single"/>
        </w:rPr>
        <w:t xml:space="preserve">               </w:t>
      </w:r>
    </w:p>
    <w:p w14:paraId="2EE2D7D4">
      <w:pPr>
        <w:spacing w:line="360" w:lineRule="auto"/>
        <w:ind w:left="25" w:leftChars="12" w:firstLine="472" w:firstLineChars="197"/>
        <w:contextualSpacing/>
        <w:rPr>
          <w:rFonts w:ascii="宋体" w:hAnsi="宋体"/>
          <w:color w:val="auto"/>
          <w:kern w:val="0"/>
          <w:sz w:val="24"/>
          <w:highlight w:val="none"/>
        </w:rPr>
      </w:pPr>
      <w:r>
        <w:rPr>
          <w:rFonts w:hint="eastAsia" w:ascii="宋体" w:hAnsi="宋体"/>
          <w:color w:val="auto"/>
          <w:kern w:val="0"/>
          <w:sz w:val="24"/>
          <w:highlight w:val="none"/>
        </w:rPr>
        <w:t>质疑事项</w:t>
      </w:r>
      <w:r>
        <w:rPr>
          <w:rFonts w:ascii="宋体" w:hAnsi="宋体"/>
          <w:color w:val="auto"/>
          <w:kern w:val="0"/>
          <w:sz w:val="24"/>
          <w:highlight w:val="none"/>
        </w:rPr>
        <w:t>2</w:t>
      </w:r>
    </w:p>
    <w:p w14:paraId="4F7EA6F9">
      <w:pPr>
        <w:spacing w:line="360" w:lineRule="auto"/>
        <w:ind w:left="25" w:leftChars="12" w:firstLine="472" w:firstLineChars="197"/>
        <w:contextualSpacing/>
        <w:rPr>
          <w:rFonts w:ascii="宋体" w:hAnsi="宋体"/>
          <w:color w:val="auto"/>
          <w:kern w:val="0"/>
          <w:sz w:val="24"/>
          <w:highlight w:val="none"/>
        </w:rPr>
      </w:pPr>
      <w:r>
        <w:rPr>
          <w:rFonts w:hint="eastAsia" w:ascii="宋体" w:hAnsi="宋体"/>
          <w:color w:val="auto"/>
          <w:kern w:val="0"/>
          <w:sz w:val="24"/>
          <w:highlight w:val="none"/>
        </w:rPr>
        <w:t>……</w:t>
      </w:r>
    </w:p>
    <w:p w14:paraId="48D878D2">
      <w:pPr>
        <w:spacing w:line="360" w:lineRule="auto"/>
        <w:ind w:left="25" w:leftChars="12" w:firstLine="472" w:firstLineChars="197"/>
        <w:contextualSpacing/>
        <w:rPr>
          <w:rFonts w:ascii="宋体" w:hAnsi="宋体"/>
          <w:color w:val="auto"/>
          <w:kern w:val="0"/>
          <w:sz w:val="24"/>
          <w:highlight w:val="none"/>
        </w:rPr>
      </w:pPr>
      <w:r>
        <w:rPr>
          <w:rFonts w:hint="eastAsia" w:ascii="宋体" w:hAnsi="宋体"/>
          <w:color w:val="auto"/>
          <w:kern w:val="0"/>
          <w:sz w:val="24"/>
          <w:highlight w:val="none"/>
        </w:rPr>
        <w:t>四、与质疑事项相关的质疑请求：</w:t>
      </w:r>
    </w:p>
    <w:p w14:paraId="339FEC61">
      <w:pPr>
        <w:spacing w:line="360" w:lineRule="auto"/>
        <w:ind w:left="25" w:leftChars="12" w:firstLine="472" w:firstLineChars="197"/>
        <w:contextualSpacing/>
        <w:rPr>
          <w:rFonts w:ascii="宋体" w:hAnsi="宋体"/>
          <w:color w:val="auto"/>
          <w:kern w:val="0"/>
          <w:sz w:val="24"/>
          <w:highlight w:val="none"/>
        </w:rPr>
      </w:pPr>
      <w:r>
        <w:rPr>
          <w:rFonts w:hint="eastAsia" w:ascii="宋体" w:hAnsi="宋体"/>
          <w:color w:val="auto"/>
          <w:kern w:val="0"/>
          <w:sz w:val="24"/>
          <w:highlight w:val="none"/>
        </w:rPr>
        <w:t>请求：</w:t>
      </w:r>
      <w:r>
        <w:rPr>
          <w:rFonts w:ascii="宋体" w:hAnsi="宋体"/>
          <w:bCs/>
          <w:color w:val="auto"/>
          <w:kern w:val="0"/>
          <w:sz w:val="24"/>
          <w:highlight w:val="none"/>
          <w:u w:val="single"/>
        </w:rPr>
        <w:t xml:space="preserve">                                                                </w:t>
      </w:r>
    </w:p>
    <w:p w14:paraId="193C01C8">
      <w:pPr>
        <w:spacing w:line="360" w:lineRule="auto"/>
        <w:ind w:left="25" w:leftChars="12" w:firstLine="352" w:firstLineChars="147"/>
        <w:contextualSpacing/>
        <w:rPr>
          <w:rFonts w:ascii="宋体" w:hAnsi="宋体"/>
          <w:color w:val="auto"/>
          <w:kern w:val="0"/>
          <w:sz w:val="24"/>
          <w:highlight w:val="none"/>
        </w:rPr>
      </w:pPr>
    </w:p>
    <w:p w14:paraId="2E1D2681">
      <w:pPr>
        <w:spacing w:line="360" w:lineRule="auto"/>
        <w:ind w:left="25" w:leftChars="12" w:firstLine="472" w:firstLineChars="197"/>
        <w:contextualSpacing/>
        <w:rPr>
          <w:rFonts w:ascii="宋体" w:hAnsi="宋体"/>
          <w:color w:val="auto"/>
          <w:kern w:val="0"/>
          <w:sz w:val="24"/>
          <w:highlight w:val="none"/>
        </w:rPr>
      </w:pPr>
      <w:r>
        <w:rPr>
          <w:rFonts w:hint="eastAsia" w:ascii="宋体" w:hAnsi="宋体"/>
          <w:color w:val="auto"/>
          <w:kern w:val="0"/>
          <w:sz w:val="24"/>
          <w:highlight w:val="none"/>
        </w:rPr>
        <w:t>签字（签章）：</w:t>
      </w:r>
      <w:r>
        <w:rPr>
          <w:rFonts w:ascii="宋体" w:hAnsi="宋体"/>
          <w:color w:val="auto"/>
          <w:kern w:val="0"/>
          <w:sz w:val="24"/>
          <w:highlight w:val="none"/>
        </w:rPr>
        <w:t xml:space="preserve">                                       </w:t>
      </w:r>
      <w:r>
        <w:rPr>
          <w:rFonts w:hint="eastAsia" w:ascii="宋体" w:hAnsi="宋体"/>
          <w:color w:val="auto"/>
          <w:kern w:val="0"/>
          <w:sz w:val="24"/>
          <w:highlight w:val="none"/>
        </w:rPr>
        <w:t>公章：</w:t>
      </w:r>
    </w:p>
    <w:p w14:paraId="2F5AFC54">
      <w:pPr>
        <w:spacing w:line="360" w:lineRule="auto"/>
        <w:ind w:left="25" w:leftChars="12" w:firstLine="352" w:firstLineChars="147"/>
        <w:contextualSpacing/>
        <w:rPr>
          <w:rFonts w:ascii="宋体" w:hAnsi="宋体"/>
          <w:color w:val="auto"/>
          <w:kern w:val="0"/>
          <w:sz w:val="24"/>
          <w:highlight w:val="none"/>
        </w:rPr>
      </w:pPr>
    </w:p>
    <w:p w14:paraId="508EF7B5">
      <w:pPr>
        <w:spacing w:line="360" w:lineRule="auto"/>
        <w:ind w:left="25" w:leftChars="12" w:firstLine="472" w:firstLineChars="197"/>
        <w:contextualSpacing/>
        <w:rPr>
          <w:rFonts w:ascii="宋体" w:hAnsi="宋体"/>
          <w:color w:val="auto"/>
          <w:kern w:val="0"/>
          <w:sz w:val="24"/>
          <w:highlight w:val="none"/>
        </w:rPr>
      </w:pPr>
      <w:r>
        <w:rPr>
          <w:rFonts w:hint="eastAsia" w:ascii="宋体" w:hAnsi="宋体"/>
          <w:color w:val="auto"/>
          <w:kern w:val="0"/>
          <w:sz w:val="24"/>
          <w:highlight w:val="none"/>
        </w:rPr>
        <w:t>日期：</w:t>
      </w:r>
    </w:p>
    <w:p w14:paraId="17C1C8C0">
      <w:pPr>
        <w:spacing w:line="360" w:lineRule="auto"/>
        <w:contextualSpacing/>
        <w:rPr>
          <w:rFonts w:ascii="宋体" w:hAnsi="宋体"/>
          <w:b/>
          <w:color w:val="auto"/>
          <w:kern w:val="0"/>
          <w:sz w:val="24"/>
          <w:highlight w:val="none"/>
        </w:rPr>
      </w:pPr>
    </w:p>
    <w:p w14:paraId="003F3A1B">
      <w:pPr>
        <w:spacing w:line="360" w:lineRule="auto"/>
        <w:contextualSpacing/>
        <w:rPr>
          <w:rFonts w:ascii="宋体" w:hAnsi="宋体"/>
          <w:b/>
          <w:color w:val="auto"/>
          <w:kern w:val="0"/>
          <w:sz w:val="24"/>
          <w:highlight w:val="none"/>
        </w:rPr>
      </w:pPr>
      <w:r>
        <w:rPr>
          <w:rFonts w:hint="eastAsia" w:ascii="宋体" w:hAnsi="宋体"/>
          <w:b/>
          <w:color w:val="auto"/>
          <w:kern w:val="0"/>
          <w:sz w:val="24"/>
          <w:highlight w:val="none"/>
        </w:rPr>
        <w:t>说明：</w:t>
      </w:r>
    </w:p>
    <w:p w14:paraId="14A4D4CF">
      <w:pPr>
        <w:spacing w:line="360" w:lineRule="auto"/>
        <w:ind w:left="25" w:leftChars="12" w:firstLine="354" w:firstLineChars="147"/>
        <w:contextualSpacing/>
        <w:rPr>
          <w:rFonts w:ascii="宋体" w:hAnsi="宋体"/>
          <w:b/>
          <w:bCs/>
          <w:color w:val="auto"/>
          <w:kern w:val="0"/>
          <w:sz w:val="24"/>
          <w:highlight w:val="none"/>
        </w:rPr>
      </w:pPr>
      <w:r>
        <w:rPr>
          <w:rFonts w:ascii="宋体" w:hAnsi="宋体"/>
          <w:b/>
          <w:color w:val="auto"/>
          <w:kern w:val="0"/>
          <w:sz w:val="24"/>
          <w:highlight w:val="none"/>
        </w:rPr>
        <w:t>1.</w:t>
      </w:r>
      <w:r>
        <w:rPr>
          <w:rFonts w:hint="eastAsia" w:ascii="宋体" w:hAnsi="宋体"/>
          <w:b/>
          <w:color w:val="auto"/>
          <w:kern w:val="0"/>
          <w:sz w:val="24"/>
          <w:highlight w:val="none"/>
        </w:rPr>
        <w:t>供应商提出质疑时，应提交质疑函和必要的证明材料</w:t>
      </w:r>
      <w:r>
        <w:rPr>
          <w:rFonts w:hint="eastAsia" w:ascii="宋体" w:hAnsi="宋体"/>
          <w:b/>
          <w:bCs/>
          <w:color w:val="auto"/>
          <w:kern w:val="0"/>
          <w:sz w:val="24"/>
          <w:highlight w:val="none"/>
        </w:rPr>
        <w:t>。</w:t>
      </w:r>
    </w:p>
    <w:p w14:paraId="1284C91E">
      <w:pPr>
        <w:spacing w:line="360" w:lineRule="auto"/>
        <w:ind w:left="25" w:leftChars="12" w:firstLine="354" w:firstLineChars="147"/>
        <w:contextualSpacing/>
        <w:rPr>
          <w:rFonts w:ascii="宋体" w:hAnsi="宋体"/>
          <w:b/>
          <w:color w:val="auto"/>
          <w:kern w:val="0"/>
          <w:sz w:val="24"/>
          <w:highlight w:val="none"/>
        </w:rPr>
      </w:pPr>
      <w:r>
        <w:rPr>
          <w:rFonts w:ascii="宋体" w:hAnsi="宋体"/>
          <w:b/>
          <w:color w:val="auto"/>
          <w:kern w:val="0"/>
          <w:sz w:val="24"/>
          <w:highlight w:val="none"/>
        </w:rPr>
        <w:t>2.</w:t>
      </w:r>
      <w:r>
        <w:rPr>
          <w:rFonts w:hint="eastAsia" w:ascii="宋体" w:hAnsi="宋体"/>
          <w:b/>
          <w:color w:val="auto"/>
          <w:kern w:val="0"/>
          <w:sz w:val="24"/>
          <w:highlight w:val="none"/>
        </w:rPr>
        <w:t>质疑供应商若委托代理人进行质疑的，质疑函应按要求列明“授权代表”的有关内容，并在附件中提交由质疑供应商签署的授权委托书（否则，不予受理）。授权委托书应载明代理人的姓名或者名称、代理事项、具体权限、期限和相关事项。</w:t>
      </w:r>
    </w:p>
    <w:p w14:paraId="0B24436C">
      <w:pPr>
        <w:spacing w:line="360" w:lineRule="auto"/>
        <w:ind w:left="25" w:leftChars="12" w:firstLine="354" w:firstLineChars="147"/>
        <w:contextualSpacing/>
        <w:rPr>
          <w:rFonts w:ascii="宋体" w:hAnsi="宋体"/>
          <w:b/>
          <w:color w:val="auto"/>
          <w:kern w:val="0"/>
          <w:sz w:val="24"/>
          <w:highlight w:val="none"/>
        </w:rPr>
      </w:pPr>
      <w:r>
        <w:rPr>
          <w:rFonts w:hint="eastAsia" w:ascii="宋体" w:hAnsi="宋体"/>
          <w:b/>
          <w:color w:val="auto"/>
          <w:kern w:val="0"/>
          <w:sz w:val="24"/>
          <w:highlight w:val="none"/>
        </w:rPr>
        <w:t>3.质疑供应商若对项目的某一分标（如有）进行质疑，质疑函中应列明具体分标号（如有）。</w:t>
      </w:r>
    </w:p>
    <w:p w14:paraId="093B42C3">
      <w:pPr>
        <w:spacing w:line="360" w:lineRule="auto"/>
        <w:ind w:left="25" w:leftChars="12" w:firstLine="354" w:firstLineChars="147"/>
        <w:contextualSpacing/>
        <w:rPr>
          <w:rFonts w:ascii="宋体" w:hAnsi="宋体"/>
          <w:b/>
          <w:color w:val="auto"/>
          <w:kern w:val="0"/>
          <w:sz w:val="24"/>
          <w:highlight w:val="none"/>
        </w:rPr>
      </w:pPr>
      <w:r>
        <w:rPr>
          <w:rFonts w:hint="eastAsia" w:ascii="宋体" w:hAnsi="宋体"/>
          <w:b/>
          <w:color w:val="auto"/>
          <w:kern w:val="0"/>
          <w:sz w:val="24"/>
          <w:highlight w:val="none"/>
        </w:rPr>
        <w:t>4.质疑函的质疑事项应具体、明确，并有必要的事实依据和法律依据。</w:t>
      </w:r>
    </w:p>
    <w:p w14:paraId="417CE52C">
      <w:pPr>
        <w:spacing w:line="360" w:lineRule="auto"/>
        <w:ind w:left="25" w:leftChars="12" w:firstLine="354" w:firstLineChars="147"/>
        <w:contextualSpacing/>
        <w:rPr>
          <w:rFonts w:ascii="宋体" w:hAnsi="宋体"/>
          <w:b/>
          <w:color w:val="auto"/>
          <w:kern w:val="0"/>
          <w:sz w:val="24"/>
          <w:highlight w:val="none"/>
        </w:rPr>
      </w:pPr>
      <w:r>
        <w:rPr>
          <w:rFonts w:hint="eastAsia" w:ascii="宋体" w:hAnsi="宋体"/>
          <w:b/>
          <w:color w:val="auto"/>
          <w:kern w:val="0"/>
          <w:sz w:val="24"/>
          <w:highlight w:val="none"/>
        </w:rPr>
        <w:t>5.质疑函的质疑请求应与质疑事项相关。</w:t>
      </w:r>
    </w:p>
    <w:p w14:paraId="6F70AD11">
      <w:pPr>
        <w:spacing w:line="360" w:lineRule="auto"/>
        <w:ind w:left="25" w:leftChars="12" w:firstLine="354" w:firstLineChars="147"/>
        <w:contextualSpacing/>
        <w:rPr>
          <w:rFonts w:ascii="宋体" w:hAnsi="宋体"/>
          <w:b/>
          <w:color w:val="auto"/>
          <w:kern w:val="0"/>
          <w:sz w:val="20"/>
          <w:szCs w:val="21"/>
          <w:highlight w:val="none"/>
        </w:rPr>
      </w:pPr>
      <w:r>
        <w:rPr>
          <w:rFonts w:hint="eastAsia" w:ascii="宋体" w:hAnsi="宋体"/>
          <w:b/>
          <w:color w:val="auto"/>
          <w:kern w:val="0"/>
          <w:sz w:val="24"/>
          <w:highlight w:val="none"/>
        </w:rPr>
        <w:t>6.质疑供应商为法人或者其他组织的，质疑函应由法定代表人、主要负责人，或者其授权代表签字或者盖章，并加盖公章。</w:t>
      </w:r>
    </w:p>
    <w:p w14:paraId="50AC60A8">
      <w:pPr>
        <w:snapToGrid w:val="0"/>
        <w:rPr>
          <w:rFonts w:ascii="宋体" w:hAnsi="Courier New"/>
          <w:b/>
          <w:color w:val="auto"/>
          <w:kern w:val="0"/>
          <w:sz w:val="24"/>
          <w:highlight w:val="none"/>
        </w:rPr>
      </w:pPr>
    </w:p>
    <w:p w14:paraId="0004F410">
      <w:pPr>
        <w:jc w:val="center"/>
        <w:rPr>
          <w:rFonts w:ascii="宋体" w:hAnsi="宋体" w:cs="宋体"/>
          <w:b/>
          <w:color w:val="auto"/>
          <w:sz w:val="32"/>
          <w:szCs w:val="32"/>
          <w:highlight w:val="none"/>
          <w:lang w:bidi="ar"/>
        </w:rPr>
      </w:pPr>
    </w:p>
    <w:p w14:paraId="5913B3EC">
      <w:pPr>
        <w:jc w:val="center"/>
        <w:rPr>
          <w:rFonts w:ascii="宋体" w:hAnsi="宋体" w:cs="宋体"/>
          <w:b/>
          <w:color w:val="auto"/>
          <w:sz w:val="32"/>
          <w:szCs w:val="32"/>
          <w:highlight w:val="none"/>
          <w:lang w:bidi="ar"/>
        </w:rPr>
      </w:pPr>
    </w:p>
    <w:p w14:paraId="63EA41B8">
      <w:pPr>
        <w:jc w:val="center"/>
        <w:rPr>
          <w:rFonts w:ascii="宋体" w:hAnsi="宋体" w:cs="宋体"/>
          <w:b/>
          <w:color w:val="auto"/>
          <w:sz w:val="32"/>
          <w:szCs w:val="32"/>
          <w:highlight w:val="none"/>
          <w:lang w:bidi="ar"/>
        </w:rPr>
      </w:pPr>
    </w:p>
    <w:p w14:paraId="2CE82781">
      <w:pPr>
        <w:jc w:val="center"/>
        <w:rPr>
          <w:rFonts w:ascii="宋体" w:hAnsi="宋体" w:cs="宋体"/>
          <w:b/>
          <w:color w:val="auto"/>
          <w:sz w:val="32"/>
          <w:szCs w:val="32"/>
          <w:highlight w:val="none"/>
          <w:lang w:bidi="ar"/>
        </w:rPr>
      </w:pPr>
    </w:p>
    <w:p w14:paraId="61405CC6">
      <w:pPr>
        <w:jc w:val="center"/>
        <w:rPr>
          <w:rFonts w:ascii="宋体" w:hAnsi="宋体" w:cs="宋体"/>
          <w:b/>
          <w:color w:val="auto"/>
          <w:sz w:val="32"/>
          <w:szCs w:val="32"/>
          <w:highlight w:val="none"/>
          <w:lang w:bidi="ar"/>
        </w:rPr>
      </w:pPr>
    </w:p>
    <w:p w14:paraId="7D33FAC2">
      <w:pPr>
        <w:jc w:val="center"/>
        <w:rPr>
          <w:rFonts w:ascii="宋体" w:hAnsi="宋体" w:cs="宋体"/>
          <w:b/>
          <w:color w:val="auto"/>
          <w:sz w:val="32"/>
          <w:szCs w:val="32"/>
          <w:highlight w:val="none"/>
          <w:lang w:bidi="ar"/>
        </w:rPr>
      </w:pPr>
    </w:p>
    <w:p w14:paraId="4E27D4B8">
      <w:pPr>
        <w:jc w:val="center"/>
        <w:rPr>
          <w:rFonts w:ascii="宋体" w:hAnsi="宋体" w:cs="宋体"/>
          <w:b/>
          <w:color w:val="auto"/>
          <w:sz w:val="32"/>
          <w:szCs w:val="32"/>
          <w:highlight w:val="none"/>
          <w:lang w:bidi="ar"/>
        </w:rPr>
      </w:pPr>
    </w:p>
    <w:p w14:paraId="69187494">
      <w:pPr>
        <w:jc w:val="center"/>
        <w:rPr>
          <w:rFonts w:ascii="宋体" w:hAnsi="宋体" w:cs="宋体"/>
          <w:b/>
          <w:color w:val="auto"/>
          <w:sz w:val="32"/>
          <w:szCs w:val="32"/>
          <w:highlight w:val="none"/>
          <w:lang w:bidi="ar"/>
        </w:rPr>
      </w:pPr>
    </w:p>
    <w:p w14:paraId="6A3D3485">
      <w:pPr>
        <w:jc w:val="center"/>
        <w:rPr>
          <w:rFonts w:ascii="宋体" w:hAnsi="宋体" w:cs="宋体"/>
          <w:b/>
          <w:color w:val="auto"/>
          <w:sz w:val="32"/>
          <w:szCs w:val="32"/>
          <w:highlight w:val="none"/>
          <w:lang w:bidi="ar"/>
        </w:rPr>
      </w:pPr>
    </w:p>
    <w:p w14:paraId="4914BB97">
      <w:pPr>
        <w:jc w:val="center"/>
        <w:rPr>
          <w:rFonts w:ascii="宋体" w:hAnsi="宋体" w:cs="宋体"/>
          <w:b/>
          <w:color w:val="auto"/>
          <w:sz w:val="32"/>
          <w:szCs w:val="32"/>
          <w:highlight w:val="none"/>
          <w:lang w:bidi="ar"/>
        </w:rPr>
      </w:pPr>
    </w:p>
    <w:p w14:paraId="3B6D7190">
      <w:pPr>
        <w:jc w:val="center"/>
        <w:rPr>
          <w:rFonts w:ascii="宋体" w:hAnsi="宋体" w:cs="宋体"/>
          <w:b/>
          <w:color w:val="auto"/>
          <w:sz w:val="32"/>
          <w:szCs w:val="32"/>
          <w:highlight w:val="none"/>
          <w:lang w:bidi="ar"/>
        </w:rPr>
      </w:pPr>
    </w:p>
    <w:p w14:paraId="70AA75C1">
      <w:pPr>
        <w:jc w:val="center"/>
        <w:rPr>
          <w:rFonts w:ascii="宋体" w:hAnsi="宋体" w:cs="宋体"/>
          <w:b/>
          <w:color w:val="auto"/>
          <w:sz w:val="32"/>
          <w:szCs w:val="32"/>
          <w:highlight w:val="none"/>
          <w:lang w:bidi="ar"/>
        </w:rPr>
      </w:pPr>
    </w:p>
    <w:p w14:paraId="56746226">
      <w:pPr>
        <w:jc w:val="center"/>
        <w:rPr>
          <w:rFonts w:ascii="宋体" w:hAnsi="宋体" w:cs="宋体"/>
          <w:b/>
          <w:color w:val="auto"/>
          <w:sz w:val="32"/>
          <w:szCs w:val="32"/>
          <w:highlight w:val="none"/>
          <w:lang w:bidi="ar"/>
        </w:rPr>
      </w:pPr>
    </w:p>
    <w:p w14:paraId="49E64184">
      <w:pPr>
        <w:jc w:val="center"/>
        <w:rPr>
          <w:rFonts w:ascii="宋体" w:hAnsi="宋体" w:cs="宋体"/>
          <w:b/>
          <w:color w:val="auto"/>
          <w:sz w:val="32"/>
          <w:szCs w:val="32"/>
          <w:highlight w:val="none"/>
          <w:lang w:bidi="ar"/>
        </w:rPr>
      </w:pPr>
    </w:p>
    <w:p w14:paraId="216C4C82">
      <w:pPr>
        <w:jc w:val="center"/>
        <w:rPr>
          <w:rFonts w:ascii="宋体" w:hAnsi="宋体" w:cs="宋体"/>
          <w:b/>
          <w:color w:val="auto"/>
          <w:sz w:val="32"/>
          <w:szCs w:val="32"/>
          <w:highlight w:val="none"/>
          <w:lang w:bidi="ar"/>
        </w:rPr>
      </w:pPr>
    </w:p>
    <w:p w14:paraId="52BFCBC0">
      <w:pPr>
        <w:jc w:val="center"/>
        <w:rPr>
          <w:rFonts w:ascii="宋体" w:hAnsi="宋体" w:cs="宋体"/>
          <w:b/>
          <w:color w:val="auto"/>
          <w:sz w:val="32"/>
          <w:szCs w:val="32"/>
          <w:highlight w:val="none"/>
          <w:lang w:bidi="ar"/>
        </w:rPr>
      </w:pPr>
    </w:p>
    <w:p w14:paraId="22F86B41">
      <w:pPr>
        <w:jc w:val="center"/>
        <w:rPr>
          <w:rFonts w:ascii="宋体" w:hAnsi="宋体" w:cs="宋体"/>
          <w:b/>
          <w:color w:val="auto"/>
          <w:sz w:val="32"/>
          <w:szCs w:val="32"/>
          <w:highlight w:val="none"/>
          <w:lang w:bidi="ar"/>
        </w:rPr>
      </w:pPr>
    </w:p>
    <w:p w14:paraId="2F3762AC">
      <w:pPr>
        <w:jc w:val="center"/>
        <w:rPr>
          <w:rFonts w:ascii="宋体" w:hAnsi="宋体" w:cs="宋体"/>
          <w:b/>
          <w:color w:val="auto"/>
          <w:sz w:val="32"/>
          <w:szCs w:val="32"/>
          <w:highlight w:val="none"/>
          <w:lang w:bidi="ar"/>
        </w:rPr>
      </w:pPr>
    </w:p>
    <w:p w14:paraId="7AD133F4">
      <w:pPr>
        <w:jc w:val="center"/>
        <w:rPr>
          <w:rFonts w:ascii="宋体" w:hAnsi="宋体" w:cs="宋体"/>
          <w:b/>
          <w:color w:val="auto"/>
          <w:sz w:val="32"/>
          <w:szCs w:val="32"/>
          <w:highlight w:val="none"/>
          <w:lang w:bidi="ar"/>
        </w:rPr>
      </w:pPr>
    </w:p>
    <w:p w14:paraId="46C2FED1">
      <w:pPr>
        <w:jc w:val="center"/>
        <w:rPr>
          <w:rFonts w:ascii="宋体" w:hAnsi="宋体"/>
          <w:b/>
          <w:color w:val="auto"/>
          <w:sz w:val="32"/>
          <w:szCs w:val="32"/>
          <w:highlight w:val="none"/>
        </w:rPr>
      </w:pPr>
      <w:r>
        <w:rPr>
          <w:rFonts w:hint="eastAsia" w:ascii="宋体" w:hAnsi="宋体" w:cs="宋体"/>
          <w:b/>
          <w:color w:val="auto"/>
          <w:sz w:val="32"/>
          <w:szCs w:val="32"/>
          <w:highlight w:val="none"/>
          <w:lang w:bidi="ar"/>
        </w:rPr>
        <w:t>质疑授权委托书（格式）</w:t>
      </w:r>
    </w:p>
    <w:p w14:paraId="41B67669">
      <w:pPr>
        <w:snapToGrid w:val="0"/>
        <w:spacing w:line="400" w:lineRule="exact"/>
        <w:outlineLvl w:val="4"/>
        <w:rPr>
          <w:rFonts w:ascii="宋体" w:hAnsi="宋体"/>
          <w:color w:val="auto"/>
          <w:szCs w:val="21"/>
          <w:highlight w:val="none"/>
        </w:rPr>
      </w:pPr>
      <w:r>
        <w:rPr>
          <w:rFonts w:hint="eastAsia" w:ascii="宋体" w:hAnsi="宋体" w:cs="宋体"/>
          <w:b/>
          <w:color w:val="auto"/>
          <w:szCs w:val="21"/>
          <w:highlight w:val="none"/>
          <w:lang w:bidi="ar"/>
        </w:rPr>
        <w:t>致</w:t>
      </w:r>
      <w:r>
        <w:rPr>
          <w:rFonts w:hint="eastAsia" w:ascii="宋体" w:hAnsi="宋体" w:cs="宋体"/>
          <w:color w:val="auto"/>
          <w:szCs w:val="21"/>
          <w:highlight w:val="none"/>
          <w:lang w:bidi="ar"/>
        </w:rPr>
        <w:t>：</w:t>
      </w:r>
      <w:r>
        <w:rPr>
          <w:rFonts w:hint="eastAsia" w:ascii="宋体" w:hAnsi="宋体"/>
          <w:color w:val="auto"/>
          <w:szCs w:val="21"/>
          <w:highlight w:val="none"/>
          <w:u w:val="single"/>
          <w:lang w:bidi="ar"/>
        </w:rPr>
        <w:t xml:space="preserve">                  </w:t>
      </w:r>
    </w:p>
    <w:p w14:paraId="0FE975DC">
      <w:pPr>
        <w:spacing w:line="400" w:lineRule="exact"/>
        <w:ind w:firstLine="525" w:firstLineChars="250"/>
        <w:rPr>
          <w:rFonts w:ascii="宋体" w:hAnsi="宋体" w:cs="宋体"/>
          <w:color w:val="auto"/>
          <w:kern w:val="0"/>
          <w:szCs w:val="21"/>
          <w:highlight w:val="none"/>
          <w:lang w:bidi="ar"/>
        </w:rPr>
      </w:pPr>
    </w:p>
    <w:p w14:paraId="0A5B38FD">
      <w:pPr>
        <w:spacing w:line="400" w:lineRule="exact"/>
        <w:ind w:firstLine="525" w:firstLineChars="250"/>
        <w:rPr>
          <w:rFonts w:ascii="宋体" w:hAnsi="宋体"/>
          <w:color w:val="auto"/>
          <w:szCs w:val="21"/>
          <w:highlight w:val="none"/>
        </w:rPr>
      </w:pPr>
      <w:r>
        <w:rPr>
          <w:rFonts w:hint="eastAsia" w:ascii="宋体" w:hAnsi="宋体" w:cs="宋体"/>
          <w:color w:val="auto"/>
          <w:kern w:val="0"/>
          <w:szCs w:val="21"/>
          <w:highlight w:val="none"/>
          <w:lang w:bidi="ar"/>
        </w:rPr>
        <w:t>我</w:t>
      </w:r>
      <w:r>
        <w:rPr>
          <w:rFonts w:hint="eastAsia" w:ascii="宋体" w:hAnsi="宋体"/>
          <w:color w:val="auto"/>
          <w:kern w:val="0"/>
          <w:szCs w:val="21"/>
          <w:highlight w:val="none"/>
          <w:u w:val="single"/>
          <w:lang w:bidi="ar"/>
        </w:rPr>
        <w:t xml:space="preserve">              </w:t>
      </w:r>
      <w:r>
        <w:rPr>
          <w:rFonts w:hint="eastAsia" w:ascii="宋体" w:hAnsi="宋体" w:cs="宋体"/>
          <w:color w:val="auto"/>
          <w:kern w:val="0"/>
          <w:szCs w:val="21"/>
          <w:highlight w:val="none"/>
          <w:lang w:bidi="ar"/>
        </w:rPr>
        <w:t>（姓名）系</w:t>
      </w:r>
      <w:r>
        <w:rPr>
          <w:rFonts w:hint="eastAsia" w:ascii="宋体" w:hAnsi="宋体"/>
          <w:color w:val="auto"/>
          <w:kern w:val="0"/>
          <w:szCs w:val="21"/>
          <w:highlight w:val="none"/>
          <w:u w:val="single"/>
          <w:lang w:bidi="ar"/>
        </w:rPr>
        <w:t xml:space="preserve">                              </w:t>
      </w:r>
      <w:r>
        <w:rPr>
          <w:rFonts w:hint="eastAsia" w:ascii="宋体" w:hAnsi="宋体" w:cs="宋体"/>
          <w:color w:val="auto"/>
          <w:kern w:val="0"/>
          <w:szCs w:val="21"/>
          <w:highlight w:val="none"/>
          <w:lang w:bidi="ar"/>
        </w:rPr>
        <w:t>（投标人名称）的法定代表人，现授权委托本单位在职职工</w:t>
      </w:r>
      <w:r>
        <w:rPr>
          <w:rFonts w:hint="eastAsia" w:ascii="宋体" w:hAnsi="宋体"/>
          <w:color w:val="auto"/>
          <w:kern w:val="0"/>
          <w:szCs w:val="21"/>
          <w:highlight w:val="none"/>
          <w:u w:val="single"/>
          <w:lang w:bidi="ar"/>
        </w:rPr>
        <w:t xml:space="preserve">            </w:t>
      </w:r>
      <w:r>
        <w:rPr>
          <w:rFonts w:hint="eastAsia" w:ascii="宋体" w:hAnsi="宋体" w:cs="宋体"/>
          <w:color w:val="auto"/>
          <w:kern w:val="0"/>
          <w:szCs w:val="21"/>
          <w:highlight w:val="none"/>
          <w:lang w:bidi="ar"/>
        </w:rPr>
        <w:t>（姓名）以我公司名义办理</w:t>
      </w:r>
      <w:r>
        <w:rPr>
          <w:rFonts w:hint="eastAsia" w:ascii="宋体" w:hAnsi="宋体"/>
          <w:color w:val="auto"/>
          <w:kern w:val="0"/>
          <w:szCs w:val="21"/>
          <w:highlight w:val="none"/>
          <w:u w:val="single"/>
          <w:lang w:bidi="ar"/>
        </w:rPr>
        <w:t xml:space="preserve">      </w:t>
      </w:r>
      <w:r>
        <w:rPr>
          <w:rFonts w:hint="eastAsia" w:ascii="宋体" w:hAnsi="宋体" w:cs="宋体"/>
          <w:color w:val="auto"/>
          <w:szCs w:val="21"/>
          <w:highlight w:val="none"/>
          <w:u w:val="single"/>
          <w:lang w:bidi="ar"/>
        </w:rPr>
        <w:t>（项目名称及项目编号）</w:t>
      </w:r>
      <w:r>
        <w:rPr>
          <w:rFonts w:hint="eastAsia" w:ascii="宋体" w:hAnsi="宋体"/>
          <w:color w:val="auto"/>
          <w:szCs w:val="21"/>
          <w:highlight w:val="none"/>
          <w:u w:val="single"/>
          <w:lang w:bidi="ar"/>
        </w:rPr>
        <w:t xml:space="preserve">        </w:t>
      </w:r>
      <w:r>
        <w:rPr>
          <w:rFonts w:hint="eastAsia" w:ascii="宋体" w:hAnsi="宋体" w:cs="宋体"/>
          <w:color w:val="auto"/>
          <w:szCs w:val="21"/>
          <w:highlight w:val="none"/>
          <w:lang w:bidi="ar"/>
        </w:rPr>
        <w:t>项目的质疑事项，代表我方全权办理针对上述项目的质疑具体事务和签署相关文件。</w:t>
      </w:r>
    </w:p>
    <w:p w14:paraId="68A600FF">
      <w:pPr>
        <w:spacing w:line="400" w:lineRule="exact"/>
        <w:ind w:firstLine="420" w:firstLineChars="200"/>
        <w:rPr>
          <w:rFonts w:ascii="宋体" w:hAnsi="宋体"/>
          <w:color w:val="auto"/>
          <w:szCs w:val="21"/>
          <w:highlight w:val="none"/>
        </w:rPr>
      </w:pPr>
      <w:r>
        <w:rPr>
          <w:rFonts w:hint="eastAsia" w:ascii="宋体" w:hAnsi="宋体" w:cs="宋体"/>
          <w:color w:val="auto"/>
          <w:szCs w:val="21"/>
          <w:highlight w:val="none"/>
          <w:lang w:bidi="ar"/>
        </w:rPr>
        <w:t>我方对被授权人的签字事项负全部责任。</w:t>
      </w:r>
    </w:p>
    <w:p w14:paraId="43813497">
      <w:pPr>
        <w:spacing w:line="400" w:lineRule="exact"/>
        <w:ind w:firstLine="420" w:firstLineChars="200"/>
        <w:rPr>
          <w:rFonts w:ascii="宋体" w:hAnsi="宋体"/>
          <w:color w:val="auto"/>
          <w:szCs w:val="21"/>
          <w:highlight w:val="none"/>
          <w:u w:val="single"/>
        </w:rPr>
      </w:pPr>
      <w:r>
        <w:rPr>
          <w:rFonts w:hint="eastAsia" w:ascii="宋体" w:hAnsi="宋体" w:cs="宋体"/>
          <w:color w:val="auto"/>
          <w:szCs w:val="21"/>
          <w:highlight w:val="none"/>
          <w:lang w:bidi="ar"/>
        </w:rPr>
        <w:t>授权委托代理期限：自即日起至该项目政府采购活动结束。</w:t>
      </w:r>
      <w:r>
        <w:rPr>
          <w:rFonts w:hint="eastAsia" w:ascii="宋体" w:hAnsi="宋体"/>
          <w:color w:val="auto"/>
          <w:szCs w:val="21"/>
          <w:highlight w:val="none"/>
          <w:lang w:bidi="ar"/>
        </w:rPr>
        <w:t xml:space="preserve">                                                                                         </w:t>
      </w:r>
    </w:p>
    <w:p w14:paraId="4ECB6BA8">
      <w:pPr>
        <w:spacing w:line="400" w:lineRule="exact"/>
        <w:ind w:firstLine="420" w:firstLineChars="200"/>
        <w:rPr>
          <w:rFonts w:ascii="宋体" w:hAnsi="宋体"/>
          <w:color w:val="auto"/>
          <w:kern w:val="0"/>
          <w:szCs w:val="21"/>
          <w:highlight w:val="none"/>
        </w:rPr>
      </w:pPr>
      <w:r>
        <w:rPr>
          <w:rFonts w:hint="eastAsia" w:ascii="宋体" w:hAnsi="宋体" w:cs="宋体"/>
          <w:color w:val="auto"/>
          <w:kern w:val="0"/>
          <w:szCs w:val="21"/>
          <w:highlight w:val="none"/>
          <w:lang w:bidi="ar"/>
        </w:rPr>
        <w:t>代理人无转委托权，特此委托。</w:t>
      </w:r>
      <w:r>
        <w:rPr>
          <w:rFonts w:hint="eastAsia" w:ascii="宋体" w:hAnsi="宋体"/>
          <w:color w:val="auto"/>
          <w:kern w:val="0"/>
          <w:szCs w:val="21"/>
          <w:highlight w:val="none"/>
          <w:lang w:bidi="ar"/>
        </w:rPr>
        <w:t xml:space="preserve"> </w:t>
      </w:r>
    </w:p>
    <w:p w14:paraId="6CEDEDF6">
      <w:pPr>
        <w:snapToGrid w:val="0"/>
        <w:spacing w:line="400" w:lineRule="exact"/>
        <w:ind w:firstLine="420"/>
        <w:outlineLvl w:val="4"/>
        <w:rPr>
          <w:rFonts w:ascii="宋体" w:hAnsi="宋体"/>
          <w:color w:val="auto"/>
          <w:szCs w:val="21"/>
          <w:highlight w:val="none"/>
        </w:rPr>
      </w:pPr>
      <w:r>
        <w:rPr>
          <w:rFonts w:hint="eastAsia" w:ascii="宋体" w:hAnsi="宋体" w:cs="宋体"/>
          <w:color w:val="auto"/>
          <w:szCs w:val="21"/>
          <w:highlight w:val="none"/>
          <w:lang w:bidi="ar"/>
        </w:rPr>
        <w:t>我已在下面签字，以资证明。</w:t>
      </w:r>
    </w:p>
    <w:p w14:paraId="7ECEDFB6">
      <w:pPr>
        <w:snapToGrid w:val="0"/>
        <w:spacing w:line="400" w:lineRule="exact"/>
        <w:ind w:firstLine="420"/>
        <w:outlineLvl w:val="4"/>
        <w:rPr>
          <w:rFonts w:ascii="宋体" w:hAnsi="宋体"/>
          <w:color w:val="auto"/>
          <w:szCs w:val="21"/>
          <w:highlight w:val="none"/>
        </w:rPr>
      </w:pPr>
      <w:r>
        <w:rPr>
          <w:rFonts w:hint="eastAsia" w:ascii="宋体" w:hAnsi="宋体" w:cs="宋体"/>
          <w:color w:val="auto"/>
          <w:szCs w:val="21"/>
          <w:highlight w:val="none"/>
          <w:lang w:bidi="ar"/>
        </w:rPr>
        <w:t>委托代理人身份证号：</w:t>
      </w:r>
      <w:r>
        <w:rPr>
          <w:rFonts w:hint="eastAsia" w:ascii="宋体" w:hAnsi="宋体"/>
          <w:color w:val="auto"/>
          <w:szCs w:val="21"/>
          <w:highlight w:val="none"/>
          <w:u w:val="single"/>
          <w:lang w:bidi="ar"/>
        </w:rPr>
        <w:t xml:space="preserve">                                   </w:t>
      </w:r>
    </w:p>
    <w:p w14:paraId="6169584E">
      <w:pPr>
        <w:snapToGrid w:val="0"/>
        <w:spacing w:line="400" w:lineRule="exact"/>
        <w:ind w:firstLine="420"/>
        <w:outlineLvl w:val="4"/>
        <w:rPr>
          <w:rFonts w:ascii="宋体" w:hAnsi="宋体"/>
          <w:color w:val="auto"/>
          <w:szCs w:val="21"/>
          <w:highlight w:val="none"/>
          <w:u w:val="single"/>
        </w:rPr>
      </w:pPr>
      <w:r>
        <w:rPr>
          <w:rFonts w:hint="eastAsia" w:ascii="宋体" w:hAnsi="宋体" w:cs="宋体"/>
          <w:color w:val="auto"/>
          <w:szCs w:val="21"/>
          <w:highlight w:val="none"/>
          <w:lang w:bidi="ar"/>
        </w:rPr>
        <w:t>投标人（公章）：</w:t>
      </w:r>
      <w:r>
        <w:rPr>
          <w:rFonts w:hint="eastAsia" w:ascii="宋体" w:hAnsi="宋体"/>
          <w:color w:val="auto"/>
          <w:szCs w:val="21"/>
          <w:highlight w:val="none"/>
          <w:u w:val="single"/>
          <w:lang w:bidi="ar"/>
        </w:rPr>
        <w:t xml:space="preserve">                                   </w:t>
      </w:r>
    </w:p>
    <w:p w14:paraId="216D86AC">
      <w:pPr>
        <w:snapToGrid w:val="0"/>
        <w:spacing w:line="400" w:lineRule="exact"/>
        <w:ind w:firstLine="420"/>
        <w:outlineLvl w:val="4"/>
        <w:rPr>
          <w:rFonts w:ascii="宋体" w:hAnsi="宋体"/>
          <w:color w:val="auto"/>
          <w:szCs w:val="21"/>
          <w:highlight w:val="none"/>
        </w:rPr>
      </w:pPr>
      <w:r>
        <w:rPr>
          <w:rFonts w:hint="eastAsia" w:ascii="宋体" w:hAnsi="宋体"/>
          <w:color w:val="auto"/>
          <w:szCs w:val="21"/>
          <w:highlight w:val="none"/>
          <w:lang w:bidi="ar"/>
        </w:rPr>
        <w:t xml:space="preserve"> </w:t>
      </w:r>
    </w:p>
    <w:p w14:paraId="01D44244">
      <w:pPr>
        <w:snapToGrid w:val="0"/>
        <w:spacing w:line="400" w:lineRule="exact"/>
        <w:ind w:firstLine="420"/>
        <w:outlineLvl w:val="4"/>
        <w:rPr>
          <w:rFonts w:ascii="宋体" w:hAnsi="宋体"/>
          <w:color w:val="auto"/>
          <w:szCs w:val="21"/>
          <w:highlight w:val="none"/>
        </w:rPr>
      </w:pPr>
      <w:r>
        <w:rPr>
          <w:rFonts w:hint="eastAsia" w:ascii="宋体" w:hAnsi="宋体" w:cs="宋体"/>
          <w:color w:val="auto"/>
          <w:szCs w:val="21"/>
          <w:highlight w:val="none"/>
          <w:lang w:bidi="ar"/>
        </w:rPr>
        <w:t>法定代表人签字：</w:t>
      </w:r>
      <w:r>
        <w:rPr>
          <w:rFonts w:hint="eastAsia" w:ascii="宋体" w:hAnsi="宋体"/>
          <w:color w:val="auto"/>
          <w:szCs w:val="21"/>
          <w:highlight w:val="none"/>
          <w:u w:val="single"/>
          <w:lang w:bidi="ar"/>
        </w:rPr>
        <w:t xml:space="preserve">             </w:t>
      </w:r>
      <w:r>
        <w:rPr>
          <w:rFonts w:hint="eastAsia" w:ascii="宋体" w:hAnsi="宋体"/>
          <w:color w:val="auto"/>
          <w:szCs w:val="21"/>
          <w:highlight w:val="none"/>
          <w:lang w:bidi="ar"/>
        </w:rPr>
        <w:t xml:space="preserve">  </w:t>
      </w:r>
      <w:r>
        <w:rPr>
          <w:rFonts w:hint="eastAsia" w:ascii="宋体" w:hAnsi="宋体" w:cs="宋体"/>
          <w:color w:val="auto"/>
          <w:szCs w:val="21"/>
          <w:highlight w:val="none"/>
          <w:lang w:bidi="ar"/>
        </w:rPr>
        <w:t xml:space="preserve">  </w:t>
      </w:r>
    </w:p>
    <w:p w14:paraId="46FECCA5">
      <w:pPr>
        <w:snapToGrid w:val="0"/>
        <w:spacing w:line="400" w:lineRule="exact"/>
        <w:ind w:firstLine="420"/>
        <w:outlineLvl w:val="4"/>
        <w:rPr>
          <w:rFonts w:ascii="宋体" w:hAnsi="宋体"/>
          <w:color w:val="auto"/>
          <w:szCs w:val="21"/>
          <w:highlight w:val="none"/>
        </w:rPr>
      </w:pPr>
      <w:r>
        <w:rPr>
          <w:rFonts w:hint="eastAsia" w:ascii="宋体" w:hAnsi="宋体"/>
          <w:color w:val="auto"/>
          <w:szCs w:val="21"/>
          <w:highlight w:val="none"/>
          <w:lang w:bidi="ar"/>
        </w:rPr>
        <w:t xml:space="preserve"> </w:t>
      </w:r>
    </w:p>
    <w:p w14:paraId="37FDBAA6">
      <w:pPr>
        <w:snapToGrid w:val="0"/>
        <w:spacing w:line="400" w:lineRule="exact"/>
        <w:ind w:firstLine="420"/>
        <w:outlineLvl w:val="4"/>
        <w:rPr>
          <w:rFonts w:ascii="宋体" w:hAnsi="宋体"/>
          <w:color w:val="auto"/>
          <w:szCs w:val="21"/>
          <w:highlight w:val="none"/>
        </w:rPr>
      </w:pPr>
      <w:r>
        <w:rPr>
          <w:rFonts w:hint="eastAsia" w:ascii="宋体" w:hAnsi="宋体"/>
          <w:color w:val="auto"/>
          <w:szCs w:val="21"/>
          <w:highlight w:val="none"/>
          <w:lang w:bidi="ar"/>
        </w:rPr>
        <w:t xml:space="preserve"> </w:t>
      </w:r>
      <w:r>
        <w:rPr>
          <w:rFonts w:hint="eastAsia" w:ascii="宋体" w:hAnsi="宋体"/>
          <w:color w:val="auto"/>
          <w:szCs w:val="21"/>
          <w:highlight w:val="none"/>
          <w:u w:val="single"/>
          <w:lang w:bidi="ar"/>
        </w:rPr>
        <w:t xml:space="preserve">     </w:t>
      </w:r>
      <w:r>
        <w:rPr>
          <w:rFonts w:hint="eastAsia" w:ascii="宋体" w:hAnsi="宋体" w:cs="宋体"/>
          <w:color w:val="auto"/>
          <w:szCs w:val="21"/>
          <w:highlight w:val="none"/>
          <w:lang w:bidi="ar"/>
        </w:rPr>
        <w:t>年</w:t>
      </w:r>
      <w:r>
        <w:rPr>
          <w:rFonts w:hint="eastAsia" w:ascii="宋体" w:hAnsi="宋体"/>
          <w:color w:val="auto"/>
          <w:szCs w:val="21"/>
          <w:highlight w:val="none"/>
          <w:u w:val="single"/>
          <w:lang w:bidi="ar"/>
        </w:rPr>
        <w:t xml:space="preserve">     </w:t>
      </w:r>
      <w:r>
        <w:rPr>
          <w:rFonts w:hint="eastAsia" w:ascii="宋体" w:hAnsi="宋体" w:cs="宋体"/>
          <w:color w:val="auto"/>
          <w:szCs w:val="21"/>
          <w:highlight w:val="none"/>
          <w:lang w:bidi="ar"/>
        </w:rPr>
        <w:t>月</w:t>
      </w:r>
      <w:r>
        <w:rPr>
          <w:rFonts w:hint="eastAsia" w:ascii="宋体" w:hAnsi="宋体"/>
          <w:color w:val="auto"/>
          <w:szCs w:val="21"/>
          <w:highlight w:val="none"/>
          <w:u w:val="single"/>
          <w:lang w:bidi="ar"/>
        </w:rPr>
        <w:t xml:space="preserve">    </w:t>
      </w:r>
      <w:r>
        <w:rPr>
          <w:rFonts w:hint="eastAsia" w:ascii="宋体" w:hAnsi="宋体" w:cs="宋体"/>
          <w:color w:val="auto"/>
          <w:szCs w:val="21"/>
          <w:highlight w:val="none"/>
          <w:lang w:bidi="ar"/>
        </w:rPr>
        <w:t>日</w:t>
      </w:r>
    </w:p>
    <w:p w14:paraId="1BEE4195">
      <w:pPr>
        <w:snapToGrid w:val="0"/>
        <w:spacing w:line="400" w:lineRule="exact"/>
        <w:ind w:firstLine="420"/>
        <w:outlineLvl w:val="4"/>
        <w:rPr>
          <w:rFonts w:ascii="宋体" w:hAnsi="宋体"/>
          <w:color w:val="auto"/>
          <w:szCs w:val="21"/>
          <w:highlight w:val="none"/>
        </w:rPr>
      </w:pPr>
      <w:r>
        <w:rPr>
          <w:rFonts w:hint="eastAsia" w:ascii="宋体" w:hAnsi="宋体"/>
          <w:color w:val="auto"/>
          <w:szCs w:val="21"/>
          <w:highlight w:val="none"/>
          <w:lang w:bidi="ar"/>
        </w:rPr>
        <w:t xml:space="preserve"> </w:t>
      </w:r>
    </w:p>
    <w:p w14:paraId="1E56AB5A">
      <w:pPr>
        <w:tabs>
          <w:tab w:val="left" w:pos="1305"/>
        </w:tabs>
        <w:spacing w:line="520" w:lineRule="exact"/>
        <w:rPr>
          <w:rFonts w:hAnsi="宋体"/>
          <w:b/>
          <w:color w:val="auto"/>
          <w:sz w:val="24"/>
          <w:highlight w:val="none"/>
        </w:rPr>
      </w:pPr>
      <w:r>
        <w:rPr>
          <w:rFonts w:hint="eastAsia" w:ascii="宋体" w:hAnsi="宋体" w:cs="宋体"/>
          <w:b/>
          <w:color w:val="auto"/>
          <w:sz w:val="24"/>
          <w:highlight w:val="none"/>
          <w:lang w:bidi="ar"/>
        </w:rPr>
        <w:t>附：委托代理人身份证正反面复印件。</w:t>
      </w:r>
    </w:p>
    <w:p w14:paraId="7DF85456">
      <w:pPr>
        <w:spacing w:line="360" w:lineRule="auto"/>
        <w:jc w:val="center"/>
        <w:rPr>
          <w:rFonts w:ascii="微软雅黑" w:hAnsi="微软雅黑" w:eastAsia="微软雅黑" w:cs="微软雅黑"/>
          <w:color w:val="auto"/>
          <w:sz w:val="44"/>
          <w:szCs w:val="44"/>
          <w:highlight w:val="none"/>
        </w:rPr>
      </w:pPr>
    </w:p>
    <w:p w14:paraId="3AC873BC">
      <w:pPr>
        <w:rPr>
          <w:color w:val="auto"/>
          <w:highlight w:val="none"/>
        </w:rPr>
      </w:pPr>
      <w:r>
        <w:rPr>
          <w:color w:val="auto"/>
          <w:highlight w:val="none"/>
        </w:rPr>
        <w:br w:type="page"/>
      </w:r>
    </w:p>
    <w:p w14:paraId="370CBCF4">
      <w:pPr>
        <w:spacing w:line="360" w:lineRule="auto"/>
        <w:jc w:val="center"/>
        <w:rPr>
          <w:rFonts w:ascii="Arial Unicode MS" w:hAnsi="Arial Unicode MS" w:eastAsia="Arial Unicode MS" w:cs="Arial Unicode MS"/>
          <w:color w:val="auto"/>
          <w:sz w:val="44"/>
          <w:szCs w:val="44"/>
          <w:highlight w:val="none"/>
        </w:rPr>
      </w:pPr>
      <w:r>
        <w:rPr>
          <w:rFonts w:hint="eastAsia" w:ascii="Arial Unicode MS" w:hAnsi="Arial Unicode MS" w:eastAsia="Arial Unicode MS" w:cs="Arial Unicode MS"/>
          <w:color w:val="auto"/>
          <w:sz w:val="44"/>
          <w:szCs w:val="44"/>
          <w:highlight w:val="none"/>
        </w:rPr>
        <w:t>投诉书（格式）</w:t>
      </w:r>
    </w:p>
    <w:p w14:paraId="7EB9A551">
      <w:pPr>
        <w:snapToGrid w:val="0"/>
        <w:spacing w:line="360" w:lineRule="auto"/>
        <w:ind w:firstLine="482" w:firstLineChars="200"/>
        <w:rPr>
          <w:rFonts w:ascii="宋体" w:hAnsi="宋体"/>
          <w:b/>
          <w:bCs/>
          <w:color w:val="auto"/>
          <w:kern w:val="0"/>
          <w:sz w:val="24"/>
          <w:highlight w:val="none"/>
        </w:rPr>
      </w:pPr>
      <w:r>
        <w:rPr>
          <w:rFonts w:hint="eastAsia" w:ascii="宋体" w:hAnsi="宋体"/>
          <w:b/>
          <w:bCs/>
          <w:color w:val="auto"/>
          <w:kern w:val="0"/>
          <w:sz w:val="24"/>
          <w:highlight w:val="none"/>
        </w:rPr>
        <w:t>一、投诉相关主体基本情况：</w:t>
      </w:r>
    </w:p>
    <w:p w14:paraId="33081BF9">
      <w:pPr>
        <w:snapToGrid w:val="0"/>
        <w:spacing w:line="360" w:lineRule="auto"/>
        <w:ind w:firstLine="480" w:firstLineChars="200"/>
        <w:rPr>
          <w:rFonts w:ascii="宋体" w:hAnsi="宋体"/>
          <w:bCs/>
          <w:color w:val="auto"/>
          <w:kern w:val="0"/>
          <w:sz w:val="24"/>
          <w:highlight w:val="none"/>
          <w:u w:val="single"/>
        </w:rPr>
      </w:pPr>
      <w:r>
        <w:rPr>
          <w:rFonts w:hint="eastAsia" w:ascii="宋体" w:hAnsi="宋体"/>
          <w:bCs/>
          <w:color w:val="auto"/>
          <w:kern w:val="0"/>
          <w:sz w:val="24"/>
          <w:highlight w:val="none"/>
        </w:rPr>
        <w:t>供应商：</w:t>
      </w:r>
      <w:r>
        <w:rPr>
          <w:rFonts w:ascii="宋体" w:hAnsi="宋体"/>
          <w:bCs/>
          <w:color w:val="auto"/>
          <w:kern w:val="0"/>
          <w:sz w:val="24"/>
          <w:highlight w:val="none"/>
          <w:u w:val="single"/>
        </w:rPr>
        <w:t xml:space="preserve">                                                                        </w:t>
      </w:r>
      <w:r>
        <w:rPr>
          <w:rFonts w:ascii="宋体" w:hAnsi="宋体"/>
          <w:bCs/>
          <w:color w:val="auto"/>
          <w:kern w:val="0"/>
          <w:sz w:val="24"/>
          <w:highlight w:val="none"/>
        </w:rPr>
        <w:t xml:space="preserve">                 </w:t>
      </w:r>
    </w:p>
    <w:p w14:paraId="5925E98F">
      <w:pPr>
        <w:snapToGrid w:val="0"/>
        <w:spacing w:line="360" w:lineRule="auto"/>
        <w:ind w:firstLine="480" w:firstLineChars="200"/>
        <w:rPr>
          <w:rFonts w:ascii="宋体" w:hAnsi="宋体"/>
          <w:bCs/>
          <w:color w:val="auto"/>
          <w:kern w:val="0"/>
          <w:sz w:val="24"/>
          <w:highlight w:val="none"/>
        </w:rPr>
      </w:pPr>
      <w:r>
        <w:rPr>
          <w:rFonts w:hint="eastAsia" w:ascii="宋体" w:hAnsi="宋体"/>
          <w:bCs/>
          <w:color w:val="auto"/>
          <w:kern w:val="0"/>
          <w:sz w:val="24"/>
          <w:highlight w:val="none"/>
        </w:rPr>
        <w:t>地址：</w:t>
      </w:r>
      <w:r>
        <w:rPr>
          <w:rFonts w:ascii="宋体" w:hAnsi="宋体"/>
          <w:bCs/>
          <w:color w:val="auto"/>
          <w:kern w:val="0"/>
          <w:sz w:val="24"/>
          <w:highlight w:val="none"/>
          <w:u w:val="single"/>
        </w:rPr>
        <w:t xml:space="preserve">                                          </w:t>
      </w:r>
      <w:r>
        <w:rPr>
          <w:rFonts w:hint="eastAsia" w:ascii="宋体" w:hAnsi="宋体"/>
          <w:bCs/>
          <w:color w:val="auto"/>
          <w:kern w:val="0"/>
          <w:sz w:val="24"/>
          <w:highlight w:val="none"/>
        </w:rPr>
        <w:t>邮编：</w:t>
      </w:r>
      <w:r>
        <w:rPr>
          <w:rFonts w:ascii="宋体" w:hAnsi="宋体"/>
          <w:bCs/>
          <w:color w:val="auto"/>
          <w:kern w:val="0"/>
          <w:sz w:val="24"/>
          <w:highlight w:val="none"/>
          <w:u w:val="single"/>
        </w:rPr>
        <w:t xml:space="preserve">                          </w:t>
      </w:r>
      <w:r>
        <w:rPr>
          <w:rFonts w:ascii="宋体" w:hAnsi="宋体"/>
          <w:bCs/>
          <w:color w:val="auto"/>
          <w:kern w:val="0"/>
          <w:sz w:val="24"/>
          <w:highlight w:val="none"/>
        </w:rPr>
        <w:t xml:space="preserve">                 </w:t>
      </w:r>
    </w:p>
    <w:p w14:paraId="1E7E0571">
      <w:pPr>
        <w:snapToGrid w:val="0"/>
        <w:spacing w:line="360" w:lineRule="auto"/>
        <w:ind w:firstLine="480" w:firstLineChars="200"/>
        <w:rPr>
          <w:rFonts w:ascii="宋体" w:hAnsi="宋体"/>
          <w:bCs/>
          <w:color w:val="auto"/>
          <w:kern w:val="0"/>
          <w:sz w:val="24"/>
          <w:highlight w:val="none"/>
          <w:u w:val="single"/>
        </w:rPr>
      </w:pPr>
      <w:r>
        <w:rPr>
          <w:rFonts w:hint="eastAsia" w:ascii="宋体" w:hAnsi="宋体"/>
          <w:bCs/>
          <w:color w:val="auto"/>
          <w:kern w:val="0"/>
          <w:sz w:val="24"/>
          <w:highlight w:val="none"/>
        </w:rPr>
        <w:t>法定代表人</w:t>
      </w:r>
      <w:r>
        <w:rPr>
          <w:rFonts w:ascii="宋体" w:hAnsi="宋体"/>
          <w:bCs/>
          <w:color w:val="auto"/>
          <w:kern w:val="0"/>
          <w:sz w:val="24"/>
          <w:highlight w:val="none"/>
        </w:rPr>
        <w:t>/</w:t>
      </w:r>
      <w:r>
        <w:rPr>
          <w:rFonts w:hint="eastAsia" w:ascii="宋体" w:hAnsi="宋体"/>
          <w:bCs/>
          <w:color w:val="auto"/>
          <w:kern w:val="0"/>
          <w:sz w:val="24"/>
          <w:highlight w:val="none"/>
        </w:rPr>
        <w:t>主要负责人：</w:t>
      </w:r>
      <w:r>
        <w:rPr>
          <w:rFonts w:ascii="宋体" w:hAnsi="宋体"/>
          <w:bCs/>
          <w:color w:val="auto"/>
          <w:kern w:val="0"/>
          <w:sz w:val="24"/>
          <w:highlight w:val="none"/>
          <w:u w:val="single"/>
        </w:rPr>
        <w:t xml:space="preserve">                                                         </w:t>
      </w:r>
    </w:p>
    <w:p w14:paraId="63A38881">
      <w:pPr>
        <w:snapToGrid w:val="0"/>
        <w:spacing w:line="360" w:lineRule="auto"/>
        <w:ind w:firstLine="480" w:firstLineChars="200"/>
        <w:rPr>
          <w:rFonts w:ascii="宋体" w:hAnsi="宋体"/>
          <w:bCs/>
          <w:color w:val="auto"/>
          <w:kern w:val="0"/>
          <w:sz w:val="24"/>
          <w:highlight w:val="none"/>
        </w:rPr>
      </w:pPr>
      <w:r>
        <w:rPr>
          <w:rFonts w:hint="eastAsia" w:ascii="宋体" w:hAnsi="宋体"/>
          <w:bCs/>
          <w:color w:val="auto"/>
          <w:kern w:val="0"/>
          <w:sz w:val="24"/>
          <w:highlight w:val="none"/>
        </w:rPr>
        <w:t>联系电话：</w:t>
      </w:r>
      <w:r>
        <w:rPr>
          <w:rFonts w:ascii="宋体" w:hAnsi="宋体"/>
          <w:bCs/>
          <w:color w:val="auto"/>
          <w:kern w:val="0"/>
          <w:sz w:val="24"/>
          <w:highlight w:val="none"/>
          <w:u w:val="single"/>
        </w:rPr>
        <w:t xml:space="preserve">                                         </w:t>
      </w:r>
    </w:p>
    <w:p w14:paraId="13B8AF82">
      <w:pPr>
        <w:snapToGrid w:val="0"/>
        <w:spacing w:line="360" w:lineRule="auto"/>
        <w:ind w:firstLine="480" w:firstLineChars="200"/>
        <w:rPr>
          <w:rFonts w:ascii="宋体" w:hAnsi="宋体"/>
          <w:bCs/>
          <w:color w:val="auto"/>
          <w:kern w:val="0"/>
          <w:sz w:val="24"/>
          <w:highlight w:val="none"/>
          <w:u w:val="single"/>
        </w:rPr>
      </w:pPr>
      <w:r>
        <w:rPr>
          <w:rFonts w:hint="eastAsia" w:ascii="宋体" w:hAnsi="宋体"/>
          <w:bCs/>
          <w:color w:val="auto"/>
          <w:kern w:val="0"/>
          <w:sz w:val="24"/>
          <w:highlight w:val="none"/>
        </w:rPr>
        <w:t>授权代表：</w:t>
      </w:r>
      <w:r>
        <w:rPr>
          <w:rFonts w:ascii="宋体" w:hAnsi="宋体"/>
          <w:bCs/>
          <w:color w:val="auto"/>
          <w:kern w:val="0"/>
          <w:sz w:val="24"/>
          <w:highlight w:val="none"/>
          <w:u w:val="single"/>
        </w:rPr>
        <w:t xml:space="preserve">                                         </w:t>
      </w:r>
      <w:r>
        <w:rPr>
          <w:rFonts w:hint="eastAsia" w:ascii="宋体" w:hAnsi="宋体"/>
          <w:bCs/>
          <w:color w:val="auto"/>
          <w:kern w:val="0"/>
          <w:sz w:val="24"/>
          <w:highlight w:val="none"/>
        </w:rPr>
        <w:t>联系电话：</w:t>
      </w:r>
      <w:r>
        <w:rPr>
          <w:rFonts w:ascii="宋体" w:hAnsi="宋体"/>
          <w:bCs/>
          <w:color w:val="auto"/>
          <w:kern w:val="0"/>
          <w:sz w:val="24"/>
          <w:highlight w:val="none"/>
          <w:u w:val="single"/>
        </w:rPr>
        <w:t xml:space="preserve">                   </w:t>
      </w:r>
    </w:p>
    <w:p w14:paraId="2F31BE42">
      <w:pPr>
        <w:snapToGrid w:val="0"/>
        <w:spacing w:line="360" w:lineRule="auto"/>
        <w:ind w:firstLine="480" w:firstLineChars="200"/>
        <w:rPr>
          <w:rFonts w:ascii="宋体" w:hAnsi="宋体"/>
          <w:bCs/>
          <w:color w:val="auto"/>
          <w:kern w:val="0"/>
          <w:sz w:val="24"/>
          <w:highlight w:val="none"/>
          <w:u w:val="single"/>
        </w:rPr>
      </w:pPr>
      <w:r>
        <w:rPr>
          <w:rFonts w:hint="eastAsia" w:ascii="宋体" w:hAnsi="宋体"/>
          <w:bCs/>
          <w:color w:val="auto"/>
          <w:kern w:val="0"/>
          <w:sz w:val="24"/>
          <w:highlight w:val="none"/>
        </w:rPr>
        <w:t>地址：</w:t>
      </w:r>
      <w:r>
        <w:rPr>
          <w:rFonts w:ascii="宋体" w:hAnsi="宋体"/>
          <w:bCs/>
          <w:color w:val="auto"/>
          <w:kern w:val="0"/>
          <w:sz w:val="24"/>
          <w:highlight w:val="none"/>
          <w:u w:val="single"/>
        </w:rPr>
        <w:t xml:space="preserve">                                                            </w:t>
      </w:r>
    </w:p>
    <w:p w14:paraId="225CAE03">
      <w:pPr>
        <w:snapToGrid w:val="0"/>
        <w:spacing w:line="360" w:lineRule="auto"/>
        <w:ind w:firstLine="480" w:firstLineChars="200"/>
        <w:rPr>
          <w:rFonts w:ascii="宋体" w:hAnsi="宋体"/>
          <w:bCs/>
          <w:color w:val="auto"/>
          <w:kern w:val="0"/>
          <w:sz w:val="24"/>
          <w:highlight w:val="none"/>
        </w:rPr>
      </w:pPr>
      <w:r>
        <w:rPr>
          <w:rFonts w:hint="eastAsia" w:ascii="宋体" w:hAnsi="宋体"/>
          <w:bCs/>
          <w:color w:val="auto"/>
          <w:kern w:val="0"/>
          <w:sz w:val="24"/>
          <w:highlight w:val="none"/>
        </w:rPr>
        <w:t>邮编：</w:t>
      </w:r>
      <w:r>
        <w:rPr>
          <w:rFonts w:ascii="宋体" w:hAnsi="宋体"/>
          <w:bCs/>
          <w:color w:val="auto"/>
          <w:kern w:val="0"/>
          <w:sz w:val="24"/>
          <w:highlight w:val="none"/>
          <w:u w:val="single"/>
        </w:rPr>
        <w:t xml:space="preserve">         </w:t>
      </w:r>
      <w:r>
        <w:rPr>
          <w:rFonts w:ascii="宋体" w:hAnsi="宋体"/>
          <w:bCs/>
          <w:color w:val="auto"/>
          <w:kern w:val="0"/>
          <w:sz w:val="24"/>
          <w:highlight w:val="none"/>
        </w:rPr>
        <w:t xml:space="preserve">   </w:t>
      </w:r>
    </w:p>
    <w:p w14:paraId="588C803B">
      <w:pPr>
        <w:snapToGrid w:val="0"/>
        <w:spacing w:line="360" w:lineRule="auto"/>
        <w:ind w:firstLine="480" w:firstLineChars="200"/>
        <w:rPr>
          <w:rFonts w:ascii="宋体" w:hAnsi="宋体"/>
          <w:bCs/>
          <w:color w:val="auto"/>
          <w:kern w:val="0"/>
          <w:sz w:val="24"/>
          <w:highlight w:val="none"/>
        </w:rPr>
      </w:pPr>
      <w:r>
        <w:rPr>
          <w:rFonts w:hint="eastAsia" w:ascii="宋体" w:hAnsi="宋体"/>
          <w:bCs/>
          <w:color w:val="auto"/>
          <w:kern w:val="0"/>
          <w:sz w:val="24"/>
          <w:highlight w:val="none"/>
        </w:rPr>
        <w:t>被投诉人</w:t>
      </w:r>
      <w:r>
        <w:rPr>
          <w:rFonts w:ascii="宋体" w:hAnsi="宋体"/>
          <w:bCs/>
          <w:color w:val="auto"/>
          <w:kern w:val="0"/>
          <w:sz w:val="24"/>
          <w:highlight w:val="none"/>
        </w:rPr>
        <w:t>1</w:t>
      </w:r>
      <w:r>
        <w:rPr>
          <w:rFonts w:hint="eastAsia" w:ascii="宋体" w:hAnsi="宋体"/>
          <w:bCs/>
          <w:color w:val="auto"/>
          <w:kern w:val="0"/>
          <w:sz w:val="24"/>
          <w:highlight w:val="none"/>
        </w:rPr>
        <w:t>：</w:t>
      </w:r>
    </w:p>
    <w:p w14:paraId="21203ACA">
      <w:pPr>
        <w:snapToGrid w:val="0"/>
        <w:spacing w:line="360" w:lineRule="auto"/>
        <w:ind w:firstLine="480" w:firstLineChars="200"/>
        <w:rPr>
          <w:rFonts w:ascii="宋体" w:hAnsi="宋体"/>
          <w:bCs/>
          <w:color w:val="auto"/>
          <w:kern w:val="0"/>
          <w:sz w:val="24"/>
          <w:highlight w:val="none"/>
          <w:u w:val="single"/>
        </w:rPr>
      </w:pPr>
      <w:r>
        <w:rPr>
          <w:rFonts w:hint="eastAsia" w:ascii="宋体" w:hAnsi="宋体"/>
          <w:bCs/>
          <w:color w:val="auto"/>
          <w:kern w:val="0"/>
          <w:sz w:val="24"/>
          <w:highlight w:val="none"/>
        </w:rPr>
        <w:t>地址：</w:t>
      </w:r>
      <w:r>
        <w:rPr>
          <w:rFonts w:ascii="宋体" w:hAnsi="宋体"/>
          <w:bCs/>
          <w:color w:val="auto"/>
          <w:kern w:val="0"/>
          <w:sz w:val="24"/>
          <w:highlight w:val="none"/>
          <w:u w:val="single"/>
        </w:rPr>
        <w:t xml:space="preserve">                                                            </w:t>
      </w:r>
    </w:p>
    <w:p w14:paraId="6C7C2BAD">
      <w:pPr>
        <w:snapToGrid w:val="0"/>
        <w:spacing w:line="360" w:lineRule="auto"/>
        <w:ind w:firstLine="480" w:firstLineChars="200"/>
        <w:rPr>
          <w:rFonts w:ascii="宋体" w:hAnsi="宋体"/>
          <w:bCs/>
          <w:color w:val="auto"/>
          <w:kern w:val="0"/>
          <w:sz w:val="24"/>
          <w:highlight w:val="none"/>
        </w:rPr>
      </w:pPr>
      <w:r>
        <w:rPr>
          <w:rFonts w:hint="eastAsia" w:ascii="宋体" w:hAnsi="宋体"/>
          <w:bCs/>
          <w:color w:val="auto"/>
          <w:kern w:val="0"/>
          <w:sz w:val="24"/>
          <w:highlight w:val="none"/>
        </w:rPr>
        <w:t>邮编：</w:t>
      </w:r>
      <w:r>
        <w:rPr>
          <w:rFonts w:ascii="宋体" w:hAnsi="宋体"/>
          <w:bCs/>
          <w:color w:val="auto"/>
          <w:kern w:val="0"/>
          <w:sz w:val="24"/>
          <w:highlight w:val="none"/>
          <w:u w:val="single"/>
        </w:rPr>
        <w:t xml:space="preserve">         </w:t>
      </w:r>
      <w:r>
        <w:rPr>
          <w:rFonts w:ascii="宋体" w:hAnsi="宋体"/>
          <w:bCs/>
          <w:color w:val="auto"/>
          <w:kern w:val="0"/>
          <w:sz w:val="24"/>
          <w:highlight w:val="none"/>
        </w:rPr>
        <w:t xml:space="preserve">  </w:t>
      </w:r>
    </w:p>
    <w:p w14:paraId="72A472F2">
      <w:pPr>
        <w:snapToGrid w:val="0"/>
        <w:spacing w:line="360" w:lineRule="auto"/>
        <w:ind w:firstLine="480" w:firstLineChars="200"/>
        <w:rPr>
          <w:rFonts w:ascii="宋体" w:hAnsi="宋体"/>
          <w:bCs/>
          <w:color w:val="auto"/>
          <w:kern w:val="0"/>
          <w:sz w:val="24"/>
          <w:highlight w:val="none"/>
          <w:u w:val="single"/>
        </w:rPr>
      </w:pPr>
      <w:r>
        <w:rPr>
          <w:rFonts w:hint="eastAsia" w:ascii="宋体" w:hAnsi="宋体"/>
          <w:bCs/>
          <w:color w:val="auto"/>
          <w:kern w:val="0"/>
          <w:sz w:val="24"/>
          <w:highlight w:val="none"/>
        </w:rPr>
        <w:t>联系人：</w:t>
      </w:r>
      <w:r>
        <w:rPr>
          <w:rFonts w:ascii="宋体" w:hAnsi="宋体"/>
          <w:bCs/>
          <w:color w:val="auto"/>
          <w:kern w:val="0"/>
          <w:sz w:val="24"/>
          <w:highlight w:val="none"/>
          <w:u w:val="single"/>
        </w:rPr>
        <w:t xml:space="preserve">                                                </w:t>
      </w:r>
      <w:r>
        <w:rPr>
          <w:rFonts w:hint="eastAsia" w:ascii="宋体" w:hAnsi="宋体"/>
          <w:bCs/>
          <w:color w:val="auto"/>
          <w:kern w:val="0"/>
          <w:sz w:val="24"/>
          <w:highlight w:val="none"/>
        </w:rPr>
        <w:t>联系电话：</w:t>
      </w:r>
      <w:r>
        <w:rPr>
          <w:rFonts w:ascii="宋体" w:hAnsi="宋体"/>
          <w:bCs/>
          <w:color w:val="auto"/>
          <w:kern w:val="0"/>
          <w:sz w:val="24"/>
          <w:highlight w:val="none"/>
          <w:u w:val="single"/>
        </w:rPr>
        <w:t xml:space="preserve">                </w:t>
      </w:r>
    </w:p>
    <w:p w14:paraId="29DAABB8">
      <w:pPr>
        <w:snapToGrid w:val="0"/>
        <w:spacing w:line="360" w:lineRule="auto"/>
        <w:ind w:firstLine="480" w:firstLineChars="200"/>
        <w:rPr>
          <w:rFonts w:ascii="宋体" w:hAnsi="宋体"/>
          <w:bCs/>
          <w:color w:val="auto"/>
          <w:kern w:val="0"/>
          <w:sz w:val="24"/>
          <w:highlight w:val="none"/>
        </w:rPr>
      </w:pPr>
      <w:r>
        <w:rPr>
          <w:rFonts w:hint="eastAsia" w:ascii="宋体" w:hAnsi="宋体"/>
          <w:bCs/>
          <w:color w:val="auto"/>
          <w:kern w:val="0"/>
          <w:sz w:val="24"/>
          <w:highlight w:val="none"/>
        </w:rPr>
        <w:t>被投诉人</w:t>
      </w:r>
      <w:r>
        <w:rPr>
          <w:rFonts w:ascii="宋体" w:hAnsi="宋体"/>
          <w:bCs/>
          <w:color w:val="auto"/>
          <w:kern w:val="0"/>
          <w:sz w:val="24"/>
          <w:highlight w:val="none"/>
        </w:rPr>
        <w:t>2</w:t>
      </w:r>
      <w:r>
        <w:rPr>
          <w:rFonts w:hint="eastAsia" w:ascii="宋体" w:hAnsi="宋体"/>
          <w:bCs/>
          <w:color w:val="auto"/>
          <w:kern w:val="0"/>
          <w:sz w:val="24"/>
          <w:highlight w:val="none"/>
        </w:rPr>
        <w:t>：</w:t>
      </w:r>
    </w:p>
    <w:p w14:paraId="44FA8AC9">
      <w:pPr>
        <w:snapToGrid w:val="0"/>
        <w:spacing w:line="360" w:lineRule="auto"/>
        <w:ind w:firstLine="480" w:firstLineChars="200"/>
        <w:rPr>
          <w:rFonts w:ascii="宋体" w:hAnsi="宋体"/>
          <w:bCs/>
          <w:color w:val="auto"/>
          <w:kern w:val="0"/>
          <w:sz w:val="24"/>
          <w:highlight w:val="none"/>
        </w:rPr>
      </w:pPr>
      <w:r>
        <w:rPr>
          <w:rFonts w:hint="eastAsia" w:ascii="宋体" w:hAnsi="宋体"/>
          <w:bCs/>
          <w:color w:val="auto"/>
          <w:kern w:val="0"/>
          <w:sz w:val="24"/>
          <w:highlight w:val="none"/>
        </w:rPr>
        <w:t>……</w:t>
      </w:r>
    </w:p>
    <w:p w14:paraId="5AAB0BCC">
      <w:pPr>
        <w:snapToGrid w:val="0"/>
        <w:spacing w:line="360" w:lineRule="auto"/>
        <w:ind w:firstLine="480" w:firstLineChars="200"/>
        <w:rPr>
          <w:rFonts w:ascii="宋体" w:hAnsi="宋体"/>
          <w:bCs/>
          <w:color w:val="auto"/>
          <w:kern w:val="0"/>
          <w:sz w:val="24"/>
          <w:highlight w:val="none"/>
          <w:u w:val="single"/>
        </w:rPr>
      </w:pPr>
      <w:r>
        <w:rPr>
          <w:rFonts w:hint="eastAsia" w:ascii="宋体" w:hAnsi="宋体"/>
          <w:bCs/>
          <w:color w:val="auto"/>
          <w:kern w:val="0"/>
          <w:sz w:val="24"/>
          <w:highlight w:val="none"/>
        </w:rPr>
        <w:t>相关供应商：</w:t>
      </w:r>
      <w:r>
        <w:rPr>
          <w:rFonts w:ascii="宋体" w:hAnsi="宋体"/>
          <w:bCs/>
          <w:color w:val="auto"/>
          <w:kern w:val="0"/>
          <w:sz w:val="24"/>
          <w:highlight w:val="none"/>
          <w:u w:val="single"/>
        </w:rPr>
        <w:t xml:space="preserve">                                                                       </w:t>
      </w:r>
    </w:p>
    <w:p w14:paraId="6EF07596">
      <w:pPr>
        <w:snapToGrid w:val="0"/>
        <w:spacing w:line="360" w:lineRule="auto"/>
        <w:ind w:firstLine="480" w:firstLineChars="200"/>
        <w:rPr>
          <w:rFonts w:ascii="宋体" w:hAnsi="宋体"/>
          <w:bCs/>
          <w:color w:val="auto"/>
          <w:kern w:val="0"/>
          <w:sz w:val="24"/>
          <w:highlight w:val="none"/>
          <w:u w:val="single"/>
        </w:rPr>
      </w:pPr>
      <w:r>
        <w:rPr>
          <w:rFonts w:hint="eastAsia" w:ascii="宋体" w:hAnsi="宋体"/>
          <w:bCs/>
          <w:color w:val="auto"/>
          <w:kern w:val="0"/>
          <w:sz w:val="24"/>
          <w:highlight w:val="none"/>
        </w:rPr>
        <w:t>地址：</w:t>
      </w:r>
      <w:r>
        <w:rPr>
          <w:rFonts w:ascii="宋体" w:hAnsi="宋体"/>
          <w:bCs/>
          <w:color w:val="auto"/>
          <w:kern w:val="0"/>
          <w:sz w:val="24"/>
          <w:highlight w:val="none"/>
          <w:u w:val="single"/>
        </w:rPr>
        <w:t xml:space="preserve">                                              </w:t>
      </w:r>
      <w:r>
        <w:rPr>
          <w:rFonts w:hint="eastAsia" w:ascii="宋体" w:hAnsi="宋体"/>
          <w:bCs/>
          <w:color w:val="auto"/>
          <w:kern w:val="0"/>
          <w:sz w:val="24"/>
          <w:highlight w:val="none"/>
        </w:rPr>
        <w:t>邮编：</w:t>
      </w:r>
      <w:r>
        <w:rPr>
          <w:rFonts w:ascii="宋体" w:hAnsi="宋体"/>
          <w:bCs/>
          <w:color w:val="auto"/>
          <w:kern w:val="0"/>
          <w:sz w:val="24"/>
          <w:highlight w:val="none"/>
          <w:u w:val="single"/>
        </w:rPr>
        <w:t xml:space="preserve">                         </w:t>
      </w:r>
    </w:p>
    <w:p w14:paraId="19DBEB96">
      <w:pPr>
        <w:snapToGrid w:val="0"/>
        <w:spacing w:line="360" w:lineRule="auto"/>
        <w:ind w:firstLine="480" w:firstLineChars="200"/>
        <w:rPr>
          <w:rFonts w:ascii="宋体" w:hAnsi="宋体"/>
          <w:bCs/>
          <w:color w:val="auto"/>
          <w:kern w:val="0"/>
          <w:sz w:val="24"/>
          <w:highlight w:val="none"/>
        </w:rPr>
      </w:pPr>
      <w:r>
        <w:rPr>
          <w:rFonts w:hint="eastAsia" w:ascii="宋体" w:hAnsi="宋体"/>
          <w:bCs/>
          <w:color w:val="auto"/>
          <w:kern w:val="0"/>
          <w:sz w:val="24"/>
          <w:highlight w:val="none"/>
        </w:rPr>
        <w:t>联系人：</w:t>
      </w:r>
      <w:r>
        <w:rPr>
          <w:rFonts w:ascii="宋体" w:hAnsi="宋体"/>
          <w:bCs/>
          <w:color w:val="auto"/>
          <w:kern w:val="0"/>
          <w:sz w:val="24"/>
          <w:highlight w:val="none"/>
          <w:u w:val="single"/>
        </w:rPr>
        <w:t xml:space="preserve">                                            </w:t>
      </w:r>
      <w:r>
        <w:rPr>
          <w:rFonts w:hint="eastAsia" w:ascii="宋体" w:hAnsi="宋体"/>
          <w:bCs/>
          <w:color w:val="auto"/>
          <w:kern w:val="0"/>
          <w:sz w:val="24"/>
          <w:highlight w:val="none"/>
        </w:rPr>
        <w:t>联系电话：</w:t>
      </w:r>
      <w:r>
        <w:rPr>
          <w:rFonts w:ascii="宋体" w:hAnsi="宋体"/>
          <w:bCs/>
          <w:color w:val="auto"/>
          <w:kern w:val="0"/>
          <w:sz w:val="24"/>
          <w:highlight w:val="none"/>
          <w:u w:val="single"/>
        </w:rPr>
        <w:t xml:space="preserve">                     </w:t>
      </w:r>
      <w:r>
        <w:rPr>
          <w:rFonts w:ascii="宋体" w:hAnsi="宋体"/>
          <w:bCs/>
          <w:color w:val="auto"/>
          <w:kern w:val="0"/>
          <w:sz w:val="24"/>
          <w:highlight w:val="none"/>
        </w:rPr>
        <w:t xml:space="preserve">                </w:t>
      </w:r>
    </w:p>
    <w:p w14:paraId="24E9A925">
      <w:pPr>
        <w:snapToGrid w:val="0"/>
        <w:spacing w:line="360" w:lineRule="auto"/>
        <w:ind w:firstLine="482" w:firstLineChars="200"/>
        <w:rPr>
          <w:rFonts w:ascii="宋体" w:hAnsi="宋体"/>
          <w:b/>
          <w:bCs/>
          <w:color w:val="auto"/>
          <w:kern w:val="0"/>
          <w:sz w:val="24"/>
          <w:highlight w:val="none"/>
        </w:rPr>
      </w:pPr>
      <w:r>
        <w:rPr>
          <w:rFonts w:hint="eastAsia" w:ascii="宋体" w:hAnsi="宋体"/>
          <w:b/>
          <w:bCs/>
          <w:color w:val="auto"/>
          <w:kern w:val="0"/>
          <w:sz w:val="24"/>
          <w:highlight w:val="none"/>
        </w:rPr>
        <w:t>二、投诉项目基本情况：</w:t>
      </w:r>
    </w:p>
    <w:p w14:paraId="330AA724">
      <w:pPr>
        <w:spacing w:line="360" w:lineRule="auto"/>
        <w:ind w:left="25" w:leftChars="12" w:firstLine="472" w:firstLineChars="197"/>
        <w:rPr>
          <w:rFonts w:ascii="宋体" w:hAnsi="宋体"/>
          <w:color w:val="auto"/>
          <w:kern w:val="0"/>
          <w:sz w:val="24"/>
          <w:highlight w:val="none"/>
        </w:rPr>
      </w:pPr>
      <w:r>
        <w:rPr>
          <w:rFonts w:hint="eastAsia" w:ascii="宋体" w:hAnsi="宋体"/>
          <w:bCs/>
          <w:color w:val="auto"/>
          <w:kern w:val="0"/>
          <w:sz w:val="24"/>
          <w:highlight w:val="none"/>
        </w:rPr>
        <w:t>采</w:t>
      </w:r>
      <w:r>
        <w:rPr>
          <w:rFonts w:hint="eastAsia" w:ascii="宋体" w:hAnsi="宋体"/>
          <w:color w:val="auto"/>
          <w:kern w:val="0"/>
          <w:sz w:val="24"/>
          <w:highlight w:val="none"/>
        </w:rPr>
        <w:t>购项目的名称：</w:t>
      </w:r>
      <w:r>
        <w:rPr>
          <w:rFonts w:ascii="宋体" w:hAnsi="宋体"/>
          <w:bCs/>
          <w:color w:val="auto"/>
          <w:kern w:val="0"/>
          <w:sz w:val="24"/>
          <w:highlight w:val="none"/>
          <w:u w:val="single"/>
        </w:rPr>
        <w:t xml:space="preserve">                                            </w:t>
      </w:r>
      <w:r>
        <w:rPr>
          <w:rFonts w:hint="eastAsia" w:ascii="宋体" w:hAnsi="宋体"/>
          <w:color w:val="auto"/>
          <w:kern w:val="0"/>
          <w:sz w:val="24"/>
          <w:highlight w:val="none"/>
        </w:rPr>
        <w:t xml:space="preserve">                                         </w:t>
      </w:r>
    </w:p>
    <w:p w14:paraId="3ABADA7C">
      <w:pPr>
        <w:spacing w:line="360" w:lineRule="auto"/>
        <w:ind w:left="25" w:leftChars="12" w:firstLine="472" w:firstLineChars="197"/>
        <w:rPr>
          <w:rFonts w:ascii="宋体" w:hAnsi="宋体"/>
          <w:color w:val="auto"/>
          <w:kern w:val="0"/>
          <w:sz w:val="24"/>
          <w:highlight w:val="none"/>
        </w:rPr>
      </w:pPr>
      <w:r>
        <w:rPr>
          <w:rFonts w:hint="eastAsia" w:ascii="宋体" w:hAnsi="宋体"/>
          <w:color w:val="auto"/>
          <w:kern w:val="0"/>
          <w:sz w:val="24"/>
          <w:highlight w:val="none"/>
        </w:rPr>
        <w:t>采购项目的编号：</w:t>
      </w:r>
      <w:r>
        <w:rPr>
          <w:rFonts w:ascii="宋体" w:hAnsi="宋体"/>
          <w:bCs/>
          <w:color w:val="auto"/>
          <w:kern w:val="0"/>
          <w:sz w:val="24"/>
          <w:highlight w:val="none"/>
          <w:u w:val="single"/>
        </w:rPr>
        <w:t xml:space="preserve">                                  </w:t>
      </w:r>
      <w:r>
        <w:rPr>
          <w:rFonts w:hint="eastAsia" w:ascii="宋体" w:hAnsi="宋体"/>
          <w:color w:val="auto"/>
          <w:kern w:val="0"/>
          <w:sz w:val="24"/>
          <w:highlight w:val="none"/>
        </w:rPr>
        <w:t xml:space="preserve"> 分标号（如有）：</w:t>
      </w:r>
      <w:r>
        <w:rPr>
          <w:rFonts w:ascii="宋体" w:hAnsi="宋体"/>
          <w:bCs/>
          <w:color w:val="auto"/>
          <w:kern w:val="0"/>
          <w:sz w:val="24"/>
          <w:highlight w:val="none"/>
          <w:u w:val="single"/>
        </w:rPr>
        <w:t xml:space="preserve">                                            </w:t>
      </w:r>
      <w:r>
        <w:rPr>
          <w:rFonts w:hint="eastAsia" w:ascii="宋体" w:hAnsi="宋体"/>
          <w:color w:val="auto"/>
          <w:kern w:val="0"/>
          <w:sz w:val="24"/>
          <w:highlight w:val="none"/>
        </w:rPr>
        <w:t xml:space="preserve">                  </w:t>
      </w:r>
    </w:p>
    <w:p w14:paraId="2D5C88AF">
      <w:pPr>
        <w:spacing w:line="360" w:lineRule="auto"/>
        <w:ind w:left="25" w:leftChars="12" w:firstLine="472" w:firstLineChars="197"/>
        <w:rPr>
          <w:rFonts w:ascii="宋体" w:hAnsi="宋体"/>
          <w:color w:val="auto"/>
          <w:kern w:val="0"/>
          <w:sz w:val="24"/>
          <w:highlight w:val="none"/>
        </w:rPr>
      </w:pPr>
      <w:r>
        <w:rPr>
          <w:rFonts w:hint="eastAsia" w:ascii="宋体" w:hAnsi="宋体"/>
          <w:color w:val="auto"/>
          <w:kern w:val="0"/>
          <w:sz w:val="24"/>
          <w:highlight w:val="none"/>
        </w:rPr>
        <w:t>采购人名称：</w:t>
      </w:r>
      <w:r>
        <w:rPr>
          <w:rFonts w:ascii="宋体" w:hAnsi="宋体"/>
          <w:bCs/>
          <w:color w:val="auto"/>
          <w:kern w:val="0"/>
          <w:sz w:val="24"/>
          <w:highlight w:val="none"/>
          <w:u w:val="single"/>
        </w:rPr>
        <w:t xml:space="preserve">                                            </w:t>
      </w:r>
      <w:r>
        <w:rPr>
          <w:rFonts w:hint="eastAsia" w:ascii="宋体" w:hAnsi="宋体"/>
          <w:color w:val="auto"/>
          <w:kern w:val="0"/>
          <w:sz w:val="24"/>
          <w:highlight w:val="none"/>
        </w:rPr>
        <w:t xml:space="preserve">                     </w:t>
      </w:r>
    </w:p>
    <w:p w14:paraId="51F47FE8">
      <w:pPr>
        <w:spacing w:line="360" w:lineRule="auto"/>
        <w:ind w:left="25" w:leftChars="12" w:firstLine="472" w:firstLineChars="197"/>
        <w:rPr>
          <w:rFonts w:ascii="宋体" w:hAnsi="宋体"/>
          <w:bCs/>
          <w:color w:val="auto"/>
          <w:kern w:val="0"/>
          <w:sz w:val="24"/>
          <w:highlight w:val="none"/>
          <w:u w:val="single"/>
        </w:rPr>
      </w:pPr>
      <w:r>
        <w:rPr>
          <w:rFonts w:hint="eastAsia" w:ascii="宋体" w:hAnsi="宋体"/>
          <w:color w:val="auto"/>
          <w:kern w:val="0"/>
          <w:sz w:val="24"/>
          <w:highlight w:val="none"/>
        </w:rPr>
        <w:t>代理机构名称：</w:t>
      </w:r>
      <w:r>
        <w:rPr>
          <w:rFonts w:ascii="宋体" w:hAnsi="宋体"/>
          <w:bCs/>
          <w:color w:val="auto"/>
          <w:kern w:val="0"/>
          <w:sz w:val="24"/>
          <w:highlight w:val="none"/>
          <w:u w:val="single"/>
        </w:rPr>
        <w:t xml:space="preserve">                                                                      </w:t>
      </w:r>
    </w:p>
    <w:p w14:paraId="2BDBDB6C">
      <w:pPr>
        <w:spacing w:line="360" w:lineRule="auto"/>
        <w:ind w:left="25" w:leftChars="12" w:firstLine="472" w:firstLineChars="197"/>
        <w:rPr>
          <w:rFonts w:ascii="宋体" w:hAnsi="宋体"/>
          <w:bCs/>
          <w:color w:val="auto"/>
          <w:kern w:val="0"/>
          <w:sz w:val="24"/>
          <w:highlight w:val="none"/>
          <w:u w:val="single"/>
        </w:rPr>
      </w:pPr>
      <w:r>
        <w:rPr>
          <w:rFonts w:hint="eastAsia" w:ascii="宋体" w:hAnsi="宋体"/>
          <w:bCs/>
          <w:color w:val="auto"/>
          <w:kern w:val="0"/>
          <w:sz w:val="24"/>
          <w:highlight w:val="none"/>
        </w:rPr>
        <w:t>采购文件公告：</w:t>
      </w:r>
      <w:r>
        <w:rPr>
          <w:rFonts w:hint="eastAsia" w:ascii="宋体" w:hAnsi="宋体"/>
          <w:bCs/>
          <w:color w:val="auto"/>
          <w:kern w:val="0"/>
          <w:sz w:val="24"/>
          <w:highlight w:val="none"/>
          <w:u w:val="single"/>
        </w:rPr>
        <w:t>是</w:t>
      </w:r>
      <w:r>
        <w:rPr>
          <w:rFonts w:ascii="宋体" w:hAnsi="宋体"/>
          <w:bCs/>
          <w:color w:val="auto"/>
          <w:kern w:val="0"/>
          <w:sz w:val="24"/>
          <w:highlight w:val="none"/>
          <w:u w:val="single"/>
        </w:rPr>
        <w:t>/</w:t>
      </w:r>
      <w:r>
        <w:rPr>
          <w:rFonts w:hint="eastAsia" w:ascii="宋体" w:hAnsi="宋体"/>
          <w:bCs/>
          <w:color w:val="auto"/>
          <w:kern w:val="0"/>
          <w:sz w:val="24"/>
          <w:highlight w:val="none"/>
          <w:u w:val="single"/>
        </w:rPr>
        <w:t>否</w:t>
      </w:r>
      <w:r>
        <w:rPr>
          <w:rFonts w:hint="eastAsia" w:ascii="宋体" w:hAnsi="宋体"/>
          <w:bCs/>
          <w:color w:val="auto"/>
          <w:kern w:val="0"/>
          <w:sz w:val="24"/>
          <w:highlight w:val="none"/>
        </w:rPr>
        <w:t>公告期限：</w:t>
      </w:r>
      <w:r>
        <w:rPr>
          <w:rFonts w:ascii="宋体" w:hAnsi="宋体"/>
          <w:bCs/>
          <w:color w:val="auto"/>
          <w:kern w:val="0"/>
          <w:sz w:val="24"/>
          <w:highlight w:val="none"/>
          <w:u w:val="single"/>
        </w:rPr>
        <w:t xml:space="preserve">                                                       </w:t>
      </w:r>
    </w:p>
    <w:p w14:paraId="2C7D868B">
      <w:pPr>
        <w:spacing w:line="360" w:lineRule="auto"/>
        <w:ind w:left="25" w:leftChars="12" w:firstLine="472" w:firstLineChars="197"/>
        <w:rPr>
          <w:rFonts w:ascii="宋体" w:hAnsi="宋体"/>
          <w:b/>
          <w:color w:val="auto"/>
          <w:kern w:val="0"/>
          <w:sz w:val="24"/>
          <w:highlight w:val="none"/>
        </w:rPr>
      </w:pPr>
      <w:r>
        <w:rPr>
          <w:rFonts w:hint="eastAsia" w:ascii="宋体" w:hAnsi="宋体"/>
          <w:bCs/>
          <w:color w:val="auto"/>
          <w:kern w:val="0"/>
          <w:sz w:val="24"/>
          <w:highlight w:val="none"/>
        </w:rPr>
        <w:t>采购结果公告：</w:t>
      </w:r>
      <w:r>
        <w:rPr>
          <w:rFonts w:hint="eastAsia" w:ascii="宋体" w:hAnsi="宋体"/>
          <w:bCs/>
          <w:color w:val="auto"/>
          <w:kern w:val="0"/>
          <w:sz w:val="24"/>
          <w:highlight w:val="none"/>
          <w:u w:val="single"/>
        </w:rPr>
        <w:t>是</w:t>
      </w:r>
      <w:r>
        <w:rPr>
          <w:rFonts w:ascii="宋体" w:hAnsi="宋体"/>
          <w:bCs/>
          <w:color w:val="auto"/>
          <w:kern w:val="0"/>
          <w:sz w:val="24"/>
          <w:highlight w:val="none"/>
          <w:u w:val="single"/>
        </w:rPr>
        <w:t>/</w:t>
      </w:r>
      <w:r>
        <w:rPr>
          <w:rFonts w:hint="eastAsia" w:ascii="宋体" w:hAnsi="宋体"/>
          <w:bCs/>
          <w:color w:val="auto"/>
          <w:kern w:val="0"/>
          <w:sz w:val="24"/>
          <w:highlight w:val="none"/>
          <w:u w:val="single"/>
        </w:rPr>
        <w:t>否</w:t>
      </w:r>
      <w:r>
        <w:rPr>
          <w:rFonts w:hint="eastAsia" w:ascii="宋体" w:hAnsi="宋体"/>
          <w:bCs/>
          <w:color w:val="auto"/>
          <w:kern w:val="0"/>
          <w:sz w:val="24"/>
          <w:highlight w:val="none"/>
        </w:rPr>
        <w:t>公告期限：</w:t>
      </w:r>
      <w:r>
        <w:rPr>
          <w:rFonts w:ascii="宋体" w:hAnsi="宋体"/>
          <w:bCs/>
          <w:color w:val="auto"/>
          <w:kern w:val="0"/>
          <w:sz w:val="24"/>
          <w:highlight w:val="none"/>
          <w:u w:val="single"/>
        </w:rPr>
        <w:t xml:space="preserve">                                                       </w:t>
      </w:r>
    </w:p>
    <w:p w14:paraId="669F40D6">
      <w:pPr>
        <w:spacing w:line="360" w:lineRule="auto"/>
        <w:ind w:left="25" w:leftChars="12" w:firstLine="472" w:firstLineChars="196"/>
        <w:rPr>
          <w:rFonts w:ascii="宋体" w:hAnsi="宋体"/>
          <w:b/>
          <w:color w:val="auto"/>
          <w:kern w:val="0"/>
          <w:sz w:val="24"/>
          <w:highlight w:val="none"/>
        </w:rPr>
      </w:pPr>
      <w:r>
        <w:rPr>
          <w:rFonts w:hint="eastAsia" w:ascii="宋体" w:hAnsi="宋体"/>
          <w:b/>
          <w:color w:val="auto"/>
          <w:kern w:val="0"/>
          <w:sz w:val="24"/>
          <w:highlight w:val="none"/>
        </w:rPr>
        <w:t>三、质疑基本情况</w:t>
      </w:r>
    </w:p>
    <w:p w14:paraId="06873061">
      <w:pPr>
        <w:spacing w:line="360" w:lineRule="auto"/>
        <w:ind w:left="23" w:leftChars="11" w:firstLine="540" w:firstLineChars="225"/>
        <w:rPr>
          <w:rFonts w:ascii="宋体" w:hAnsi="宋体"/>
          <w:color w:val="auto"/>
          <w:kern w:val="0"/>
          <w:sz w:val="24"/>
          <w:highlight w:val="none"/>
        </w:rPr>
      </w:pPr>
      <w:r>
        <w:rPr>
          <w:rFonts w:hint="eastAsia" w:ascii="宋体" w:hAnsi="宋体"/>
          <w:color w:val="auto"/>
          <w:kern w:val="0"/>
          <w:sz w:val="24"/>
          <w:highlight w:val="none"/>
        </w:rPr>
        <w:t>投诉人于</w:t>
      </w:r>
      <w:r>
        <w:rPr>
          <w:rFonts w:ascii="宋体" w:hAnsi="宋体"/>
          <w:color w:val="auto"/>
          <w:kern w:val="0"/>
          <w:sz w:val="24"/>
          <w:highlight w:val="none"/>
          <w:u w:val="single"/>
        </w:rPr>
        <w:t xml:space="preserve">      </w:t>
      </w:r>
      <w:r>
        <w:rPr>
          <w:rFonts w:hint="eastAsia" w:ascii="宋体" w:hAnsi="宋体"/>
          <w:color w:val="auto"/>
          <w:kern w:val="0"/>
          <w:sz w:val="24"/>
          <w:highlight w:val="none"/>
        </w:rPr>
        <w:t>年</w:t>
      </w:r>
      <w:r>
        <w:rPr>
          <w:rFonts w:ascii="宋体" w:hAnsi="宋体"/>
          <w:color w:val="auto"/>
          <w:kern w:val="0"/>
          <w:sz w:val="24"/>
          <w:highlight w:val="none"/>
          <w:u w:val="single"/>
        </w:rPr>
        <w:t xml:space="preserve">   </w:t>
      </w:r>
      <w:r>
        <w:rPr>
          <w:rFonts w:hint="eastAsia" w:ascii="宋体" w:hAnsi="宋体"/>
          <w:color w:val="auto"/>
          <w:kern w:val="0"/>
          <w:sz w:val="24"/>
          <w:highlight w:val="none"/>
        </w:rPr>
        <w:t>月</w:t>
      </w:r>
      <w:r>
        <w:rPr>
          <w:rFonts w:ascii="宋体" w:hAnsi="宋体"/>
          <w:color w:val="auto"/>
          <w:kern w:val="0"/>
          <w:sz w:val="24"/>
          <w:highlight w:val="none"/>
          <w:u w:val="single"/>
        </w:rPr>
        <w:t xml:space="preserve">   </w:t>
      </w:r>
      <w:r>
        <w:rPr>
          <w:rFonts w:hint="eastAsia" w:ascii="宋体" w:hAnsi="宋体"/>
          <w:color w:val="auto"/>
          <w:kern w:val="0"/>
          <w:sz w:val="24"/>
          <w:highlight w:val="none"/>
        </w:rPr>
        <w:t>日，向</w:t>
      </w:r>
      <w:r>
        <w:rPr>
          <w:rFonts w:ascii="宋体" w:hAnsi="宋体"/>
          <w:color w:val="auto"/>
          <w:kern w:val="0"/>
          <w:sz w:val="24"/>
          <w:highlight w:val="none"/>
          <w:u w:val="single"/>
        </w:rPr>
        <w:t xml:space="preserve">                                </w:t>
      </w:r>
      <w:r>
        <w:rPr>
          <w:rFonts w:hint="eastAsia" w:ascii="宋体" w:hAnsi="宋体"/>
          <w:color w:val="auto"/>
          <w:kern w:val="0"/>
          <w:sz w:val="24"/>
          <w:highlight w:val="none"/>
        </w:rPr>
        <w:t>提出质疑，质疑事项为：</w:t>
      </w:r>
    </w:p>
    <w:p w14:paraId="0B57BC87">
      <w:pPr>
        <w:spacing w:line="360" w:lineRule="auto"/>
        <w:ind w:left="23" w:leftChars="11" w:firstLine="540" w:firstLineChars="225"/>
        <w:rPr>
          <w:rFonts w:ascii="宋体" w:hAnsi="宋体"/>
          <w:bCs/>
          <w:color w:val="auto"/>
          <w:kern w:val="0"/>
          <w:sz w:val="24"/>
          <w:highlight w:val="none"/>
          <w:u w:val="single"/>
        </w:rPr>
      </w:pPr>
      <w:r>
        <w:rPr>
          <w:rFonts w:ascii="宋体" w:hAnsi="宋体"/>
          <w:color w:val="auto"/>
          <w:kern w:val="0"/>
          <w:sz w:val="24"/>
          <w:highlight w:val="none"/>
        </w:rPr>
        <w:t xml:space="preserve">    </w:t>
      </w:r>
      <w:r>
        <w:rPr>
          <w:rFonts w:ascii="宋体" w:hAnsi="宋体"/>
          <w:bCs/>
          <w:color w:val="auto"/>
          <w:kern w:val="0"/>
          <w:sz w:val="24"/>
          <w:highlight w:val="none"/>
          <w:u w:val="single"/>
        </w:rPr>
        <w:t xml:space="preserve">                                                                                      </w:t>
      </w:r>
    </w:p>
    <w:p w14:paraId="3FE83EDD">
      <w:pPr>
        <w:spacing w:line="360" w:lineRule="auto"/>
        <w:ind w:left="23" w:leftChars="11" w:firstLine="540" w:firstLineChars="225"/>
        <w:rPr>
          <w:rFonts w:ascii="宋体" w:hAnsi="宋体"/>
          <w:bCs/>
          <w:color w:val="auto"/>
          <w:kern w:val="0"/>
          <w:sz w:val="24"/>
          <w:highlight w:val="none"/>
          <w:u w:val="single"/>
        </w:rPr>
      </w:pPr>
      <w:r>
        <w:rPr>
          <w:rFonts w:ascii="宋体" w:hAnsi="宋体"/>
          <w:bCs/>
          <w:color w:val="auto"/>
          <w:kern w:val="0"/>
          <w:sz w:val="24"/>
          <w:highlight w:val="none"/>
        </w:rPr>
        <w:t xml:space="preserve">    </w:t>
      </w:r>
      <w:r>
        <w:rPr>
          <w:rFonts w:ascii="宋体" w:hAnsi="宋体"/>
          <w:bCs/>
          <w:color w:val="auto"/>
          <w:kern w:val="0"/>
          <w:sz w:val="24"/>
          <w:highlight w:val="none"/>
          <w:u w:val="single"/>
        </w:rPr>
        <w:t xml:space="preserve">                                                                                      </w:t>
      </w:r>
    </w:p>
    <w:p w14:paraId="4BC08A7D">
      <w:pPr>
        <w:spacing w:line="360" w:lineRule="auto"/>
        <w:ind w:left="23" w:leftChars="11" w:firstLine="540" w:firstLineChars="225"/>
        <w:rPr>
          <w:rFonts w:ascii="宋体" w:hAnsi="宋体"/>
          <w:color w:val="auto"/>
          <w:kern w:val="0"/>
          <w:sz w:val="24"/>
          <w:highlight w:val="none"/>
        </w:rPr>
      </w:pPr>
      <w:r>
        <w:rPr>
          <w:rFonts w:hint="eastAsia" w:ascii="宋体" w:hAnsi="宋体"/>
          <w:bCs/>
          <w:color w:val="auto"/>
          <w:kern w:val="0"/>
          <w:sz w:val="24"/>
          <w:highlight w:val="none"/>
          <w:u w:val="single"/>
        </w:rPr>
        <w:t>采购人</w:t>
      </w:r>
      <w:r>
        <w:rPr>
          <w:rFonts w:ascii="宋体" w:hAnsi="宋体"/>
          <w:bCs/>
          <w:color w:val="auto"/>
          <w:kern w:val="0"/>
          <w:sz w:val="24"/>
          <w:highlight w:val="none"/>
          <w:u w:val="single"/>
        </w:rPr>
        <w:t>/</w:t>
      </w:r>
      <w:r>
        <w:rPr>
          <w:rFonts w:hint="eastAsia" w:ascii="宋体" w:hAnsi="宋体"/>
          <w:bCs/>
          <w:color w:val="auto"/>
          <w:kern w:val="0"/>
          <w:sz w:val="24"/>
          <w:highlight w:val="none"/>
          <w:u w:val="single"/>
        </w:rPr>
        <w:t>代理机构</w:t>
      </w:r>
      <w:r>
        <w:rPr>
          <w:rFonts w:hint="eastAsia" w:ascii="宋体" w:hAnsi="宋体"/>
          <w:bCs/>
          <w:color w:val="auto"/>
          <w:kern w:val="0"/>
          <w:sz w:val="24"/>
          <w:highlight w:val="none"/>
        </w:rPr>
        <w:t>于</w:t>
      </w:r>
      <w:r>
        <w:rPr>
          <w:rFonts w:ascii="宋体" w:hAnsi="宋体"/>
          <w:color w:val="auto"/>
          <w:kern w:val="0"/>
          <w:sz w:val="24"/>
          <w:highlight w:val="none"/>
          <w:u w:val="single"/>
        </w:rPr>
        <w:t xml:space="preserve">      </w:t>
      </w:r>
      <w:r>
        <w:rPr>
          <w:rFonts w:hint="eastAsia" w:ascii="宋体" w:hAnsi="宋体"/>
          <w:color w:val="auto"/>
          <w:kern w:val="0"/>
          <w:sz w:val="24"/>
          <w:highlight w:val="none"/>
        </w:rPr>
        <w:t>年</w:t>
      </w:r>
      <w:r>
        <w:rPr>
          <w:rFonts w:ascii="宋体" w:hAnsi="宋体"/>
          <w:color w:val="auto"/>
          <w:kern w:val="0"/>
          <w:sz w:val="24"/>
          <w:highlight w:val="none"/>
          <w:u w:val="single"/>
        </w:rPr>
        <w:t xml:space="preserve">   </w:t>
      </w:r>
      <w:r>
        <w:rPr>
          <w:rFonts w:hint="eastAsia" w:ascii="宋体" w:hAnsi="宋体"/>
          <w:color w:val="auto"/>
          <w:kern w:val="0"/>
          <w:sz w:val="24"/>
          <w:highlight w:val="none"/>
        </w:rPr>
        <w:t>月</w:t>
      </w:r>
      <w:r>
        <w:rPr>
          <w:rFonts w:ascii="宋体" w:hAnsi="宋体"/>
          <w:color w:val="auto"/>
          <w:kern w:val="0"/>
          <w:sz w:val="24"/>
          <w:highlight w:val="none"/>
          <w:u w:val="single"/>
        </w:rPr>
        <w:t xml:space="preserve">   </w:t>
      </w:r>
      <w:r>
        <w:rPr>
          <w:rFonts w:hint="eastAsia" w:ascii="宋体" w:hAnsi="宋体"/>
          <w:color w:val="auto"/>
          <w:kern w:val="0"/>
          <w:sz w:val="24"/>
          <w:highlight w:val="none"/>
        </w:rPr>
        <w:t>日，</w:t>
      </w:r>
      <w:r>
        <w:rPr>
          <w:rFonts w:hint="eastAsia" w:ascii="宋体" w:hAnsi="宋体"/>
          <w:bCs/>
          <w:color w:val="auto"/>
          <w:kern w:val="0"/>
          <w:sz w:val="24"/>
          <w:highlight w:val="none"/>
        </w:rPr>
        <w:t>就质疑事项作出了答复</w:t>
      </w:r>
      <w:r>
        <w:rPr>
          <w:rFonts w:ascii="宋体" w:hAnsi="宋体"/>
          <w:bCs/>
          <w:color w:val="auto"/>
          <w:kern w:val="0"/>
          <w:sz w:val="24"/>
          <w:highlight w:val="none"/>
        </w:rPr>
        <w:t>/</w:t>
      </w:r>
      <w:r>
        <w:rPr>
          <w:rFonts w:hint="eastAsia" w:ascii="宋体" w:hAnsi="宋体"/>
          <w:bCs/>
          <w:color w:val="auto"/>
          <w:kern w:val="0"/>
          <w:sz w:val="24"/>
          <w:highlight w:val="none"/>
        </w:rPr>
        <w:t>没有在法定期限内作出答复。</w:t>
      </w:r>
      <w:r>
        <w:rPr>
          <w:rFonts w:ascii="宋体" w:hAnsi="宋体"/>
          <w:bCs/>
          <w:color w:val="auto"/>
          <w:kern w:val="0"/>
          <w:sz w:val="24"/>
          <w:highlight w:val="none"/>
        </w:rPr>
        <w:t xml:space="preserve">                                                                                             </w:t>
      </w:r>
    </w:p>
    <w:p w14:paraId="348DADF6">
      <w:pPr>
        <w:spacing w:line="360" w:lineRule="auto"/>
        <w:ind w:left="25" w:leftChars="12" w:firstLine="472" w:firstLineChars="196"/>
        <w:rPr>
          <w:rFonts w:ascii="宋体" w:hAnsi="宋体"/>
          <w:b/>
          <w:color w:val="auto"/>
          <w:kern w:val="0"/>
          <w:sz w:val="24"/>
          <w:highlight w:val="none"/>
        </w:rPr>
      </w:pPr>
      <w:r>
        <w:rPr>
          <w:rFonts w:hint="eastAsia" w:ascii="宋体" w:hAnsi="宋体"/>
          <w:b/>
          <w:color w:val="auto"/>
          <w:kern w:val="0"/>
          <w:sz w:val="24"/>
          <w:highlight w:val="none"/>
        </w:rPr>
        <w:t>四、投诉事项具体内容</w:t>
      </w:r>
    </w:p>
    <w:p w14:paraId="3A5773F5">
      <w:pPr>
        <w:spacing w:line="360" w:lineRule="auto"/>
        <w:ind w:left="25" w:leftChars="12" w:firstLine="472" w:firstLineChars="197"/>
        <w:rPr>
          <w:rFonts w:ascii="宋体" w:hAnsi="宋体"/>
          <w:bCs/>
          <w:color w:val="auto"/>
          <w:kern w:val="0"/>
          <w:sz w:val="24"/>
          <w:highlight w:val="none"/>
          <w:u w:val="single"/>
        </w:rPr>
      </w:pPr>
      <w:r>
        <w:rPr>
          <w:rFonts w:hint="eastAsia" w:ascii="宋体" w:hAnsi="宋体"/>
          <w:color w:val="auto"/>
          <w:kern w:val="0"/>
          <w:sz w:val="24"/>
          <w:highlight w:val="none"/>
        </w:rPr>
        <w:t>投诉事项</w:t>
      </w:r>
      <w:r>
        <w:rPr>
          <w:rFonts w:ascii="宋体" w:hAnsi="宋体"/>
          <w:color w:val="auto"/>
          <w:kern w:val="0"/>
          <w:sz w:val="24"/>
          <w:highlight w:val="none"/>
        </w:rPr>
        <w:t>1</w:t>
      </w:r>
      <w:r>
        <w:rPr>
          <w:rFonts w:hint="eastAsia" w:ascii="宋体" w:hAnsi="宋体"/>
          <w:color w:val="auto"/>
          <w:kern w:val="0"/>
          <w:sz w:val="24"/>
          <w:highlight w:val="none"/>
        </w:rPr>
        <w:t>：</w:t>
      </w:r>
      <w:r>
        <w:rPr>
          <w:rFonts w:ascii="宋体" w:hAnsi="宋体"/>
          <w:bCs/>
          <w:color w:val="auto"/>
          <w:kern w:val="0"/>
          <w:sz w:val="24"/>
          <w:highlight w:val="none"/>
          <w:u w:val="single"/>
        </w:rPr>
        <w:t xml:space="preserve">                                                                           </w:t>
      </w:r>
    </w:p>
    <w:p w14:paraId="480863AE">
      <w:pPr>
        <w:spacing w:line="360" w:lineRule="auto"/>
        <w:ind w:firstLine="480" w:firstLineChars="200"/>
        <w:rPr>
          <w:rFonts w:ascii="宋体" w:hAnsi="宋体"/>
          <w:bCs/>
          <w:color w:val="auto"/>
          <w:kern w:val="0"/>
          <w:sz w:val="24"/>
          <w:highlight w:val="none"/>
          <w:u w:val="single"/>
        </w:rPr>
      </w:pPr>
      <w:r>
        <w:rPr>
          <w:rFonts w:hint="eastAsia" w:ascii="宋体" w:hAnsi="宋体"/>
          <w:bCs/>
          <w:color w:val="auto"/>
          <w:kern w:val="0"/>
          <w:sz w:val="24"/>
          <w:highlight w:val="none"/>
        </w:rPr>
        <w:t>事实依据：</w:t>
      </w:r>
      <w:r>
        <w:rPr>
          <w:rFonts w:ascii="宋体" w:hAnsi="宋体"/>
          <w:color w:val="auto"/>
          <w:kern w:val="0"/>
          <w:sz w:val="24"/>
          <w:highlight w:val="none"/>
        </w:rPr>
        <w:t xml:space="preserve"> </w:t>
      </w:r>
      <w:r>
        <w:rPr>
          <w:rFonts w:ascii="宋体" w:hAnsi="宋体"/>
          <w:bCs/>
          <w:color w:val="auto"/>
          <w:kern w:val="0"/>
          <w:sz w:val="24"/>
          <w:highlight w:val="none"/>
          <w:u w:val="single"/>
        </w:rPr>
        <w:t xml:space="preserve">                                                                                      </w:t>
      </w:r>
    </w:p>
    <w:p w14:paraId="04E4F6B6">
      <w:pPr>
        <w:spacing w:line="360" w:lineRule="auto"/>
        <w:ind w:left="25" w:leftChars="12" w:firstLine="472" w:firstLineChars="197"/>
        <w:rPr>
          <w:rFonts w:ascii="宋体" w:hAnsi="宋体"/>
          <w:color w:val="auto"/>
          <w:kern w:val="0"/>
          <w:sz w:val="24"/>
          <w:highlight w:val="none"/>
        </w:rPr>
      </w:pPr>
      <w:r>
        <w:rPr>
          <w:rFonts w:ascii="宋体" w:hAnsi="宋体"/>
          <w:bCs/>
          <w:color w:val="auto"/>
          <w:kern w:val="0"/>
          <w:sz w:val="24"/>
          <w:highlight w:val="none"/>
          <w:u w:val="single"/>
        </w:rPr>
        <w:t xml:space="preserve">                                                                                        </w:t>
      </w:r>
    </w:p>
    <w:p w14:paraId="5ED95831">
      <w:pPr>
        <w:spacing w:line="360" w:lineRule="auto"/>
        <w:ind w:firstLine="480" w:firstLineChars="200"/>
        <w:rPr>
          <w:rFonts w:ascii="宋体" w:hAnsi="宋体"/>
          <w:bCs/>
          <w:color w:val="auto"/>
          <w:kern w:val="0"/>
          <w:sz w:val="24"/>
          <w:highlight w:val="none"/>
          <w:u w:val="single"/>
        </w:rPr>
      </w:pPr>
      <w:r>
        <w:rPr>
          <w:rFonts w:hint="eastAsia" w:ascii="宋体" w:hAnsi="宋体"/>
          <w:bCs/>
          <w:color w:val="auto"/>
          <w:kern w:val="0"/>
          <w:sz w:val="24"/>
          <w:highlight w:val="none"/>
        </w:rPr>
        <w:t>法律依据：</w:t>
      </w:r>
      <w:r>
        <w:rPr>
          <w:rFonts w:ascii="宋体" w:hAnsi="宋体"/>
          <w:color w:val="auto"/>
          <w:kern w:val="0"/>
          <w:sz w:val="24"/>
          <w:highlight w:val="none"/>
        </w:rPr>
        <w:t xml:space="preserve"> </w:t>
      </w:r>
      <w:r>
        <w:rPr>
          <w:rFonts w:ascii="宋体" w:hAnsi="宋体"/>
          <w:bCs/>
          <w:color w:val="auto"/>
          <w:kern w:val="0"/>
          <w:sz w:val="24"/>
          <w:highlight w:val="none"/>
          <w:u w:val="single"/>
        </w:rPr>
        <w:t xml:space="preserve">                                                                                      </w:t>
      </w:r>
    </w:p>
    <w:p w14:paraId="531932DB">
      <w:pPr>
        <w:spacing w:line="360" w:lineRule="auto"/>
        <w:ind w:left="25" w:leftChars="12" w:firstLine="352" w:firstLineChars="147"/>
        <w:rPr>
          <w:rFonts w:ascii="宋体" w:hAnsi="宋体"/>
          <w:bCs/>
          <w:color w:val="auto"/>
          <w:kern w:val="0"/>
          <w:sz w:val="24"/>
          <w:highlight w:val="none"/>
          <w:u w:val="single"/>
        </w:rPr>
      </w:pPr>
      <w:r>
        <w:rPr>
          <w:rFonts w:ascii="宋体" w:hAnsi="宋体"/>
          <w:bCs/>
          <w:color w:val="auto"/>
          <w:kern w:val="0"/>
          <w:sz w:val="24"/>
          <w:highlight w:val="none"/>
        </w:rPr>
        <w:t xml:space="preserve"> </w:t>
      </w:r>
      <w:r>
        <w:rPr>
          <w:rFonts w:ascii="宋体" w:hAnsi="宋体"/>
          <w:bCs/>
          <w:color w:val="auto"/>
          <w:kern w:val="0"/>
          <w:sz w:val="24"/>
          <w:highlight w:val="none"/>
          <w:u w:val="single"/>
        </w:rPr>
        <w:t xml:space="preserve">                                                                                        </w:t>
      </w:r>
    </w:p>
    <w:p w14:paraId="08C0DA59">
      <w:pPr>
        <w:spacing w:line="360" w:lineRule="auto"/>
        <w:ind w:left="25" w:leftChars="12" w:firstLine="472" w:firstLineChars="197"/>
        <w:rPr>
          <w:rFonts w:ascii="宋体" w:hAnsi="宋体"/>
          <w:bCs/>
          <w:color w:val="auto"/>
          <w:kern w:val="0"/>
          <w:sz w:val="24"/>
          <w:highlight w:val="none"/>
        </w:rPr>
      </w:pPr>
      <w:r>
        <w:rPr>
          <w:rFonts w:hint="eastAsia" w:ascii="宋体" w:hAnsi="宋体"/>
          <w:color w:val="auto"/>
          <w:kern w:val="0"/>
          <w:sz w:val="24"/>
          <w:highlight w:val="none"/>
        </w:rPr>
        <w:t>投诉事项</w:t>
      </w:r>
      <w:r>
        <w:rPr>
          <w:rFonts w:ascii="宋体" w:hAnsi="宋体"/>
          <w:color w:val="auto"/>
          <w:kern w:val="0"/>
          <w:sz w:val="24"/>
          <w:highlight w:val="none"/>
        </w:rPr>
        <w:t xml:space="preserve">2  </w:t>
      </w:r>
      <w:r>
        <w:rPr>
          <w:rFonts w:ascii="宋体" w:hAnsi="宋体"/>
          <w:bCs/>
          <w:color w:val="auto"/>
          <w:kern w:val="0"/>
          <w:sz w:val="24"/>
          <w:highlight w:val="none"/>
        </w:rPr>
        <w:t xml:space="preserve">   </w:t>
      </w:r>
    </w:p>
    <w:p w14:paraId="69853330">
      <w:pPr>
        <w:spacing w:line="360" w:lineRule="auto"/>
        <w:ind w:left="25" w:leftChars="12" w:firstLine="472" w:firstLineChars="197"/>
        <w:rPr>
          <w:rFonts w:ascii="宋体" w:hAnsi="宋体"/>
          <w:bCs/>
          <w:color w:val="auto"/>
          <w:kern w:val="0"/>
          <w:sz w:val="24"/>
          <w:highlight w:val="none"/>
        </w:rPr>
      </w:pPr>
      <w:r>
        <w:rPr>
          <w:rFonts w:hint="eastAsia" w:ascii="宋体" w:hAnsi="宋体"/>
          <w:bCs/>
          <w:color w:val="auto"/>
          <w:kern w:val="0"/>
          <w:sz w:val="24"/>
          <w:highlight w:val="none"/>
        </w:rPr>
        <w:t>……</w:t>
      </w:r>
    </w:p>
    <w:p w14:paraId="3609B4BF">
      <w:pPr>
        <w:spacing w:line="360" w:lineRule="auto"/>
        <w:ind w:left="25" w:leftChars="12" w:firstLine="472" w:firstLineChars="196"/>
        <w:rPr>
          <w:rFonts w:ascii="宋体" w:hAnsi="宋体"/>
          <w:b/>
          <w:color w:val="auto"/>
          <w:kern w:val="0"/>
          <w:sz w:val="24"/>
          <w:highlight w:val="none"/>
        </w:rPr>
      </w:pPr>
      <w:r>
        <w:rPr>
          <w:rFonts w:hint="eastAsia" w:ascii="宋体" w:hAnsi="宋体"/>
          <w:b/>
          <w:color w:val="auto"/>
          <w:kern w:val="0"/>
          <w:sz w:val="24"/>
          <w:highlight w:val="none"/>
        </w:rPr>
        <w:t>五、与投诉事项相关的投诉请求：</w:t>
      </w:r>
    </w:p>
    <w:p w14:paraId="2D67C3FA">
      <w:pPr>
        <w:spacing w:line="360" w:lineRule="auto"/>
        <w:ind w:left="25" w:leftChars="12" w:firstLine="472" w:firstLineChars="197"/>
        <w:rPr>
          <w:rFonts w:ascii="宋体" w:hAnsi="宋体"/>
          <w:color w:val="auto"/>
          <w:kern w:val="0"/>
          <w:sz w:val="24"/>
          <w:highlight w:val="none"/>
        </w:rPr>
      </w:pPr>
      <w:r>
        <w:rPr>
          <w:rFonts w:hint="eastAsia" w:ascii="宋体" w:hAnsi="宋体"/>
          <w:color w:val="auto"/>
          <w:kern w:val="0"/>
          <w:sz w:val="24"/>
          <w:highlight w:val="none"/>
        </w:rPr>
        <w:t>请求：</w:t>
      </w:r>
      <w:r>
        <w:rPr>
          <w:rFonts w:ascii="宋体" w:hAnsi="宋体"/>
          <w:bCs/>
          <w:color w:val="auto"/>
          <w:kern w:val="0"/>
          <w:sz w:val="24"/>
          <w:highlight w:val="none"/>
          <w:u w:val="single"/>
        </w:rPr>
        <w:t xml:space="preserve">                                                                                 </w:t>
      </w:r>
    </w:p>
    <w:p w14:paraId="00D61754">
      <w:pPr>
        <w:spacing w:line="360" w:lineRule="auto"/>
        <w:ind w:left="25" w:leftChars="12" w:firstLine="352" w:firstLineChars="147"/>
        <w:rPr>
          <w:rFonts w:ascii="宋体" w:hAnsi="宋体"/>
          <w:color w:val="auto"/>
          <w:kern w:val="0"/>
          <w:sz w:val="24"/>
          <w:highlight w:val="none"/>
        </w:rPr>
      </w:pPr>
    </w:p>
    <w:p w14:paraId="3049AC43">
      <w:pPr>
        <w:spacing w:line="360" w:lineRule="auto"/>
        <w:ind w:left="25" w:leftChars="12" w:firstLine="472" w:firstLineChars="197"/>
        <w:rPr>
          <w:rFonts w:ascii="宋体" w:hAnsi="宋体"/>
          <w:color w:val="auto"/>
          <w:kern w:val="0"/>
          <w:sz w:val="24"/>
          <w:highlight w:val="none"/>
        </w:rPr>
      </w:pPr>
      <w:r>
        <w:rPr>
          <w:rFonts w:hint="eastAsia" w:ascii="宋体" w:hAnsi="宋体"/>
          <w:color w:val="auto"/>
          <w:kern w:val="0"/>
          <w:sz w:val="24"/>
          <w:highlight w:val="none"/>
        </w:rPr>
        <w:t>签字（签章）：</w:t>
      </w:r>
      <w:r>
        <w:rPr>
          <w:rFonts w:ascii="宋体" w:hAnsi="宋体"/>
          <w:color w:val="auto"/>
          <w:kern w:val="0"/>
          <w:sz w:val="24"/>
          <w:highlight w:val="none"/>
        </w:rPr>
        <w:t xml:space="preserve">                                       </w:t>
      </w:r>
      <w:r>
        <w:rPr>
          <w:rFonts w:hint="eastAsia" w:ascii="宋体" w:hAnsi="宋体"/>
          <w:color w:val="auto"/>
          <w:kern w:val="0"/>
          <w:sz w:val="24"/>
          <w:highlight w:val="none"/>
        </w:rPr>
        <w:t>公章：</w:t>
      </w:r>
    </w:p>
    <w:p w14:paraId="15624968">
      <w:pPr>
        <w:spacing w:line="360" w:lineRule="auto"/>
        <w:ind w:left="25" w:leftChars="12" w:firstLine="472" w:firstLineChars="197"/>
        <w:rPr>
          <w:rFonts w:ascii="宋体" w:hAnsi="宋体"/>
          <w:color w:val="auto"/>
          <w:kern w:val="0"/>
          <w:sz w:val="24"/>
          <w:highlight w:val="none"/>
        </w:rPr>
      </w:pPr>
      <w:r>
        <w:rPr>
          <w:rFonts w:hint="eastAsia" w:ascii="宋体" w:hAnsi="宋体"/>
          <w:color w:val="auto"/>
          <w:kern w:val="0"/>
          <w:sz w:val="24"/>
          <w:highlight w:val="none"/>
        </w:rPr>
        <w:t>日期：</w:t>
      </w:r>
    </w:p>
    <w:p w14:paraId="76A6C932">
      <w:pPr>
        <w:snapToGrid w:val="0"/>
        <w:spacing w:line="360" w:lineRule="auto"/>
        <w:rPr>
          <w:rFonts w:ascii="宋体" w:hAnsi="宋体"/>
          <w:b/>
          <w:color w:val="auto"/>
          <w:kern w:val="0"/>
          <w:sz w:val="24"/>
          <w:highlight w:val="none"/>
        </w:rPr>
      </w:pPr>
      <w:r>
        <w:rPr>
          <w:rFonts w:hint="eastAsia" w:ascii="宋体" w:hAnsi="宋体"/>
          <w:b/>
          <w:color w:val="auto"/>
          <w:kern w:val="0"/>
          <w:sz w:val="24"/>
          <w:highlight w:val="none"/>
        </w:rPr>
        <w:t>说明：</w:t>
      </w:r>
    </w:p>
    <w:p w14:paraId="77818460">
      <w:pPr>
        <w:spacing w:line="360" w:lineRule="auto"/>
        <w:ind w:left="25" w:leftChars="12" w:firstLine="354" w:firstLineChars="147"/>
        <w:rPr>
          <w:rFonts w:ascii="宋体" w:hAnsi="宋体"/>
          <w:b/>
          <w:bCs/>
          <w:color w:val="auto"/>
          <w:kern w:val="0"/>
          <w:sz w:val="24"/>
          <w:highlight w:val="none"/>
        </w:rPr>
      </w:pPr>
      <w:r>
        <w:rPr>
          <w:rFonts w:ascii="宋体" w:hAnsi="宋体"/>
          <w:b/>
          <w:color w:val="auto"/>
          <w:kern w:val="0"/>
          <w:sz w:val="24"/>
          <w:highlight w:val="none"/>
        </w:rPr>
        <w:t>1.</w:t>
      </w:r>
      <w:r>
        <w:rPr>
          <w:rFonts w:hint="eastAsia" w:ascii="宋体" w:hAnsi="宋体"/>
          <w:b/>
          <w:color w:val="auto"/>
          <w:kern w:val="0"/>
          <w:sz w:val="24"/>
          <w:highlight w:val="none"/>
        </w:rPr>
        <w:t>投诉人提起投诉时，应当提交投诉书和必要的证明材料，并按照被投诉人和与投诉事项有关的供应商数量提供投诉书副本</w:t>
      </w:r>
      <w:r>
        <w:rPr>
          <w:rFonts w:hint="eastAsia" w:ascii="宋体" w:hAnsi="宋体"/>
          <w:b/>
          <w:bCs/>
          <w:color w:val="auto"/>
          <w:kern w:val="0"/>
          <w:sz w:val="24"/>
          <w:highlight w:val="none"/>
        </w:rPr>
        <w:t>。</w:t>
      </w:r>
    </w:p>
    <w:p w14:paraId="3EC04D30">
      <w:pPr>
        <w:spacing w:line="360" w:lineRule="auto"/>
        <w:ind w:left="25" w:leftChars="12" w:firstLine="354" w:firstLineChars="147"/>
        <w:rPr>
          <w:rFonts w:ascii="宋体" w:hAnsi="宋体"/>
          <w:b/>
          <w:color w:val="auto"/>
          <w:kern w:val="0"/>
          <w:sz w:val="24"/>
          <w:highlight w:val="none"/>
        </w:rPr>
      </w:pPr>
      <w:r>
        <w:rPr>
          <w:rFonts w:ascii="宋体" w:hAnsi="宋体"/>
          <w:b/>
          <w:color w:val="auto"/>
          <w:kern w:val="0"/>
          <w:sz w:val="24"/>
          <w:highlight w:val="none"/>
        </w:rPr>
        <w:t>2.</w:t>
      </w:r>
      <w:r>
        <w:rPr>
          <w:rFonts w:hint="eastAsia" w:ascii="宋体" w:hAnsi="宋体"/>
          <w:b/>
          <w:color w:val="auto"/>
          <w:kern w:val="0"/>
          <w:sz w:val="24"/>
          <w:highlight w:val="none"/>
        </w:rPr>
        <w:t>投诉人若委托代理人进行投诉的，投诉书应按要求列明“授权代表”的有关内容，并在附件中提交由投诉人签署的授权委托书。授权委托书应当载明代理人的姓名或者名称、代理事项、具体权限、期限和相关事项。</w:t>
      </w:r>
    </w:p>
    <w:p w14:paraId="725DFD15">
      <w:pPr>
        <w:spacing w:line="360" w:lineRule="auto"/>
        <w:ind w:left="25" w:leftChars="12" w:firstLine="354" w:firstLineChars="147"/>
        <w:rPr>
          <w:rFonts w:ascii="宋体" w:hAnsi="宋体"/>
          <w:b/>
          <w:color w:val="auto"/>
          <w:kern w:val="0"/>
          <w:sz w:val="24"/>
          <w:highlight w:val="none"/>
        </w:rPr>
      </w:pPr>
      <w:r>
        <w:rPr>
          <w:rFonts w:hint="eastAsia" w:ascii="宋体" w:hAnsi="宋体"/>
          <w:b/>
          <w:color w:val="auto"/>
          <w:kern w:val="0"/>
          <w:sz w:val="24"/>
          <w:highlight w:val="none"/>
        </w:rPr>
        <w:t>3.投诉人若对项目的某一分标（如有）进行投诉，投诉书中应列明具体分标号（如有）。</w:t>
      </w:r>
    </w:p>
    <w:p w14:paraId="1AC2F5E2">
      <w:pPr>
        <w:spacing w:line="360" w:lineRule="auto"/>
        <w:ind w:left="25" w:leftChars="12" w:firstLine="354" w:firstLineChars="147"/>
        <w:rPr>
          <w:rFonts w:ascii="宋体" w:hAnsi="宋体"/>
          <w:b/>
          <w:color w:val="auto"/>
          <w:kern w:val="0"/>
          <w:sz w:val="24"/>
          <w:highlight w:val="none"/>
        </w:rPr>
      </w:pPr>
      <w:r>
        <w:rPr>
          <w:rFonts w:hint="eastAsia" w:ascii="宋体" w:hAnsi="宋体"/>
          <w:b/>
          <w:color w:val="auto"/>
          <w:kern w:val="0"/>
          <w:sz w:val="24"/>
          <w:highlight w:val="none"/>
        </w:rPr>
        <w:t>4.投诉书应简要列明质疑事项，质疑函、质疑答复等作为附件材料提供。</w:t>
      </w:r>
    </w:p>
    <w:p w14:paraId="445F9E44">
      <w:pPr>
        <w:spacing w:line="360" w:lineRule="auto"/>
        <w:ind w:left="25" w:leftChars="12" w:firstLine="354" w:firstLineChars="147"/>
        <w:rPr>
          <w:rFonts w:ascii="宋体" w:hAnsi="宋体"/>
          <w:b/>
          <w:color w:val="auto"/>
          <w:kern w:val="0"/>
          <w:sz w:val="24"/>
          <w:highlight w:val="none"/>
        </w:rPr>
      </w:pPr>
      <w:r>
        <w:rPr>
          <w:rFonts w:hint="eastAsia" w:ascii="宋体" w:hAnsi="宋体"/>
          <w:b/>
          <w:color w:val="auto"/>
          <w:kern w:val="0"/>
          <w:sz w:val="24"/>
          <w:highlight w:val="none"/>
        </w:rPr>
        <w:t>5</w:t>
      </w:r>
      <w:r>
        <w:rPr>
          <w:rFonts w:ascii="宋体" w:hAnsi="宋体"/>
          <w:b/>
          <w:color w:val="auto"/>
          <w:kern w:val="0"/>
          <w:sz w:val="24"/>
          <w:highlight w:val="none"/>
        </w:rPr>
        <w:t>.</w:t>
      </w:r>
      <w:r>
        <w:rPr>
          <w:rFonts w:hint="eastAsia" w:ascii="宋体" w:hAnsi="宋体"/>
          <w:b/>
          <w:color w:val="auto"/>
          <w:kern w:val="0"/>
          <w:sz w:val="24"/>
          <w:highlight w:val="none"/>
        </w:rPr>
        <w:t>投诉书的投诉事项应具体、明确，并有必要的事实依据和法律依据。</w:t>
      </w:r>
    </w:p>
    <w:p w14:paraId="23477544">
      <w:pPr>
        <w:spacing w:line="360" w:lineRule="auto"/>
        <w:ind w:left="25" w:leftChars="12" w:firstLine="354" w:firstLineChars="147"/>
        <w:rPr>
          <w:rFonts w:ascii="宋体" w:hAnsi="宋体"/>
          <w:b/>
          <w:color w:val="auto"/>
          <w:kern w:val="0"/>
          <w:sz w:val="24"/>
          <w:highlight w:val="none"/>
        </w:rPr>
      </w:pPr>
      <w:r>
        <w:rPr>
          <w:rFonts w:hint="eastAsia" w:ascii="宋体" w:hAnsi="宋体"/>
          <w:b/>
          <w:color w:val="auto"/>
          <w:kern w:val="0"/>
          <w:sz w:val="24"/>
          <w:highlight w:val="none"/>
        </w:rPr>
        <w:t>6</w:t>
      </w:r>
      <w:r>
        <w:rPr>
          <w:rFonts w:ascii="宋体" w:hAnsi="宋体"/>
          <w:b/>
          <w:color w:val="auto"/>
          <w:kern w:val="0"/>
          <w:sz w:val="24"/>
          <w:highlight w:val="none"/>
        </w:rPr>
        <w:t>.</w:t>
      </w:r>
      <w:r>
        <w:rPr>
          <w:rFonts w:hint="eastAsia" w:ascii="宋体" w:hAnsi="宋体"/>
          <w:b/>
          <w:color w:val="auto"/>
          <w:kern w:val="0"/>
          <w:sz w:val="24"/>
          <w:highlight w:val="none"/>
        </w:rPr>
        <w:t>投诉书的投诉请求应与投诉事项相关。</w:t>
      </w:r>
    </w:p>
    <w:p w14:paraId="076A6E06">
      <w:pPr>
        <w:spacing w:line="360" w:lineRule="auto"/>
        <w:ind w:left="25" w:leftChars="12" w:firstLine="354" w:firstLineChars="147"/>
        <w:rPr>
          <w:rFonts w:ascii="宋体" w:hAnsi="宋体"/>
          <w:b/>
          <w:color w:val="auto"/>
          <w:kern w:val="0"/>
          <w:sz w:val="24"/>
          <w:highlight w:val="none"/>
        </w:rPr>
      </w:pPr>
      <w:r>
        <w:rPr>
          <w:rFonts w:hint="eastAsia" w:ascii="宋体" w:hAnsi="宋体"/>
          <w:b/>
          <w:color w:val="auto"/>
          <w:kern w:val="0"/>
          <w:sz w:val="24"/>
          <w:highlight w:val="none"/>
        </w:rPr>
        <w:t>7</w:t>
      </w:r>
      <w:r>
        <w:rPr>
          <w:rFonts w:ascii="宋体" w:hAnsi="宋体"/>
          <w:b/>
          <w:color w:val="auto"/>
          <w:kern w:val="0"/>
          <w:sz w:val="24"/>
          <w:highlight w:val="none"/>
        </w:rPr>
        <w:t>.</w:t>
      </w:r>
      <w:r>
        <w:rPr>
          <w:rFonts w:hint="eastAsia" w:ascii="宋体" w:hAnsi="宋体"/>
          <w:b/>
          <w:color w:val="auto"/>
          <w:kern w:val="0"/>
          <w:sz w:val="24"/>
          <w:highlight w:val="none"/>
        </w:rPr>
        <w:t>投诉人为法人或者其他组织的，投诉书应由法定代表人、主要负责人，或者其授权代表签字或者盖章，并加盖公章。</w:t>
      </w:r>
    </w:p>
    <w:p w14:paraId="190B9820">
      <w:pPr>
        <w:pStyle w:val="2"/>
        <w:jc w:val="center"/>
        <w:rPr>
          <w:rFonts w:ascii="宋体" w:hAnsi="宋体"/>
          <w:color w:val="auto"/>
          <w:kern w:val="2"/>
          <w:sz w:val="32"/>
          <w:highlight w:val="none"/>
        </w:rPr>
      </w:pPr>
      <w:bookmarkStart w:id="111" w:name="_Toc74322013"/>
      <w:bookmarkStart w:id="112" w:name="_Toc196311784"/>
      <w:r>
        <w:rPr>
          <w:rFonts w:hint="eastAsia" w:ascii="宋体" w:hAnsi="宋体"/>
          <w:color w:val="auto"/>
          <w:kern w:val="2"/>
          <w:sz w:val="32"/>
          <w:highlight w:val="none"/>
        </w:rPr>
        <w:t>第六章 合同文本</w:t>
      </w:r>
      <w:bookmarkEnd w:id="111"/>
      <w:bookmarkEnd w:id="112"/>
    </w:p>
    <w:p w14:paraId="6CD7C316">
      <w:pPr>
        <w:snapToGrid w:val="0"/>
        <w:spacing w:line="400" w:lineRule="exact"/>
        <w:ind w:right="480" w:firstLine="6720" w:firstLineChars="3200"/>
        <w:rPr>
          <w:rFonts w:ascii="宋体" w:hAnsi="宋体" w:cs="宋体"/>
          <w:bCs/>
          <w:color w:val="auto"/>
          <w:szCs w:val="21"/>
          <w:highlight w:val="none"/>
          <w:u w:val="single"/>
        </w:rPr>
      </w:pPr>
      <w:r>
        <w:rPr>
          <w:rFonts w:hint="eastAsia" w:ascii="宋体" w:hAnsi="宋体" w:cs="宋体"/>
          <w:bCs/>
          <w:color w:val="auto"/>
          <w:szCs w:val="21"/>
          <w:highlight w:val="none"/>
        </w:rPr>
        <w:t>合同编号：</w:t>
      </w:r>
    </w:p>
    <w:p w14:paraId="2C641D6D">
      <w:pPr>
        <w:snapToGrid w:val="0"/>
        <w:spacing w:line="400" w:lineRule="exact"/>
        <w:rPr>
          <w:rFonts w:ascii="宋体" w:hAnsi="宋体" w:cs="宋体"/>
          <w:color w:val="auto"/>
          <w:szCs w:val="21"/>
          <w:highlight w:val="none"/>
        </w:rPr>
      </w:pPr>
    </w:p>
    <w:p w14:paraId="17C9B0F2">
      <w:pPr>
        <w:snapToGrid w:val="0"/>
        <w:spacing w:line="400" w:lineRule="exact"/>
        <w:rPr>
          <w:rFonts w:ascii="宋体" w:hAnsi="宋体"/>
          <w:color w:val="auto"/>
          <w:highlight w:val="none"/>
        </w:rPr>
      </w:pPr>
      <w:r>
        <w:rPr>
          <w:rFonts w:hint="eastAsia" w:ascii="宋体" w:hAnsi="宋体"/>
          <w:color w:val="auto"/>
          <w:highlight w:val="none"/>
        </w:rPr>
        <w:t>采购人（甲方）：</w:t>
      </w:r>
      <w:r>
        <w:rPr>
          <w:rFonts w:hint="eastAsia" w:ascii="宋体" w:hAnsi="宋体"/>
          <w:color w:val="auto"/>
          <w:highlight w:val="none"/>
          <w:u w:val="single"/>
        </w:rPr>
        <w:t>桂林理工大学</w:t>
      </w:r>
      <w:r>
        <w:rPr>
          <w:rFonts w:hint="eastAsia" w:ascii="宋体" w:hAnsi="宋体"/>
          <w:color w:val="auto"/>
          <w:highlight w:val="none"/>
        </w:rPr>
        <w:t xml:space="preserve">               </w:t>
      </w:r>
    </w:p>
    <w:p w14:paraId="2F95FF4B">
      <w:pPr>
        <w:snapToGrid w:val="0"/>
        <w:spacing w:line="400" w:lineRule="exact"/>
        <w:rPr>
          <w:rFonts w:ascii="宋体" w:hAnsi="宋体"/>
          <w:color w:val="auto"/>
          <w:highlight w:val="none"/>
        </w:rPr>
      </w:pPr>
      <w:r>
        <w:rPr>
          <w:rFonts w:hint="eastAsia" w:ascii="宋体" w:hAnsi="宋体"/>
          <w:color w:val="auto"/>
          <w:highlight w:val="none"/>
        </w:rPr>
        <w:t>供应商（乙方）：</w:t>
      </w:r>
      <w:r>
        <w:rPr>
          <w:rFonts w:hint="eastAsia" w:ascii="宋体" w:hAnsi="宋体"/>
          <w:color w:val="auto"/>
          <w:highlight w:val="none"/>
          <w:u w:val="single"/>
        </w:rPr>
        <w:t xml:space="preserve">                  </w:t>
      </w:r>
      <w:r>
        <w:rPr>
          <w:rFonts w:hint="eastAsia" w:ascii="宋体" w:hAnsi="宋体"/>
          <w:color w:val="auto"/>
          <w:highlight w:val="none"/>
        </w:rPr>
        <w:t xml:space="preserve">               </w:t>
      </w:r>
    </w:p>
    <w:p w14:paraId="286FAFBF">
      <w:pPr>
        <w:snapToGrid w:val="0"/>
        <w:spacing w:line="400" w:lineRule="exact"/>
        <w:rPr>
          <w:rFonts w:ascii="宋体" w:hAnsi="宋体"/>
          <w:color w:val="auto"/>
          <w:highlight w:val="none"/>
        </w:rPr>
      </w:pPr>
      <w:r>
        <w:rPr>
          <w:rFonts w:hint="eastAsia" w:ascii="宋体" w:hAnsi="宋体"/>
          <w:color w:val="auto"/>
          <w:highlight w:val="none"/>
        </w:rPr>
        <w:t>项目名称：</w:t>
      </w:r>
      <w:r>
        <w:rPr>
          <w:rFonts w:hint="eastAsia" w:ascii="宋体" w:hAnsi="宋体"/>
          <w:color w:val="auto"/>
          <w:szCs w:val="21"/>
          <w:highlight w:val="none"/>
          <w:u w:val="single"/>
        </w:rPr>
        <w:t>桂林理工大学学科建设数智化与成果宣传推广平台设备采购</w:t>
      </w:r>
      <w:r>
        <w:rPr>
          <w:rFonts w:hint="eastAsia" w:ascii="宋体" w:hAnsi="宋体"/>
          <w:color w:val="auto"/>
          <w:highlight w:val="none"/>
        </w:rPr>
        <w:t xml:space="preserve"> </w:t>
      </w:r>
      <w:r>
        <w:rPr>
          <w:rFonts w:ascii="宋体" w:hAnsi="宋体"/>
          <w:color w:val="auto"/>
          <w:highlight w:val="none"/>
        </w:rPr>
        <w:t xml:space="preserve">  </w:t>
      </w:r>
    </w:p>
    <w:p w14:paraId="30CF4EEC">
      <w:pPr>
        <w:snapToGrid w:val="0"/>
        <w:spacing w:line="400" w:lineRule="exact"/>
        <w:rPr>
          <w:rFonts w:ascii="宋体" w:hAnsi="宋体"/>
          <w:color w:val="auto"/>
          <w:highlight w:val="none"/>
        </w:rPr>
      </w:pPr>
      <w:r>
        <w:rPr>
          <w:rFonts w:hint="eastAsia" w:ascii="宋体" w:hAnsi="宋体"/>
          <w:color w:val="auto"/>
          <w:highlight w:val="none"/>
        </w:rPr>
        <w:t>项目编号：</w:t>
      </w:r>
      <w:r>
        <w:rPr>
          <w:rFonts w:hint="eastAsia" w:ascii="宋体" w:hAnsi="宋体"/>
          <w:color w:val="auto"/>
          <w:szCs w:val="21"/>
          <w:highlight w:val="none"/>
        </w:rPr>
        <w:t xml:space="preserve">GXZC2026-J1-002551-YZLZ </w:t>
      </w:r>
      <w:r>
        <w:rPr>
          <w:rFonts w:ascii="宋体" w:hAnsi="宋体"/>
          <w:color w:val="auto"/>
          <w:highlight w:val="none"/>
        </w:rPr>
        <w:t xml:space="preserve">          </w:t>
      </w:r>
    </w:p>
    <w:p w14:paraId="5FB60182">
      <w:pPr>
        <w:snapToGrid w:val="0"/>
        <w:spacing w:line="400" w:lineRule="exact"/>
        <w:rPr>
          <w:rFonts w:ascii="宋体" w:hAnsi="宋体"/>
          <w:color w:val="auto"/>
          <w:highlight w:val="none"/>
          <w:u w:val="single"/>
        </w:rPr>
      </w:pPr>
      <w:r>
        <w:rPr>
          <w:rFonts w:hint="eastAsia" w:ascii="宋体" w:hAnsi="宋体"/>
          <w:color w:val="auto"/>
          <w:highlight w:val="none"/>
        </w:rPr>
        <w:t>采购计划编号：</w:t>
      </w:r>
      <w:r>
        <w:rPr>
          <w:rFonts w:hint="eastAsia" w:ascii="宋体" w:hAnsi="宋体"/>
          <w:color w:val="auto"/>
          <w:szCs w:val="21"/>
          <w:highlight w:val="none"/>
        </w:rPr>
        <w:t>广西政采[2026]15493号-001</w:t>
      </w:r>
      <w:r>
        <w:rPr>
          <w:rFonts w:hint="eastAsia" w:ascii="宋体" w:hAnsi="宋体"/>
          <w:color w:val="auto"/>
          <w:szCs w:val="21"/>
          <w:highlight w:val="none"/>
          <w:lang w:val="en-US" w:eastAsia="zh-CN"/>
        </w:rPr>
        <w:t>~</w:t>
      </w:r>
      <w:r>
        <w:rPr>
          <w:rFonts w:hint="eastAsia" w:ascii="宋体" w:hAnsi="宋体"/>
          <w:color w:val="auto"/>
          <w:szCs w:val="21"/>
          <w:highlight w:val="none"/>
        </w:rPr>
        <w:t>广西政采[2026]15493号-0</w:t>
      </w:r>
      <w:r>
        <w:rPr>
          <w:rFonts w:hint="eastAsia" w:ascii="宋体" w:hAnsi="宋体"/>
          <w:color w:val="auto"/>
          <w:szCs w:val="21"/>
          <w:highlight w:val="none"/>
          <w:lang w:val="en-US" w:eastAsia="zh-CN"/>
        </w:rPr>
        <w:t>11</w:t>
      </w:r>
    </w:p>
    <w:p w14:paraId="6464D13C">
      <w:pPr>
        <w:snapToGrid w:val="0"/>
        <w:spacing w:line="400" w:lineRule="exact"/>
        <w:rPr>
          <w:rFonts w:ascii="宋体" w:hAnsi="宋体"/>
          <w:color w:val="auto"/>
          <w:highlight w:val="none"/>
          <w:u w:val="single"/>
        </w:rPr>
      </w:pPr>
      <w:r>
        <w:rPr>
          <w:rFonts w:hint="eastAsia" w:ascii="宋体" w:hAnsi="宋体"/>
          <w:color w:val="auto"/>
          <w:highlight w:val="none"/>
        </w:rPr>
        <w:t>签订地点：</w:t>
      </w:r>
      <w:bookmarkStart w:id="113" w:name="_GoBack"/>
      <w:bookmarkEnd w:id="113"/>
      <w:r>
        <w:rPr>
          <w:rFonts w:hint="eastAsia" w:ascii="宋体" w:hAnsi="宋体"/>
          <w:color w:val="auto"/>
          <w:highlight w:val="none"/>
          <w:u w:val="single"/>
        </w:rPr>
        <w:t xml:space="preserve">广西桂林市         </w:t>
      </w:r>
      <w:r>
        <w:rPr>
          <w:rFonts w:hint="eastAsia" w:ascii="宋体" w:hAnsi="宋体"/>
          <w:color w:val="auto"/>
          <w:highlight w:val="none"/>
        </w:rPr>
        <w:t xml:space="preserve">              签订时间：</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u w:val="single"/>
        </w:rPr>
        <w:t xml:space="preserve">       </w:t>
      </w:r>
    </w:p>
    <w:p w14:paraId="0ABBD20D">
      <w:pPr>
        <w:snapToGrid w:val="0"/>
        <w:spacing w:line="400" w:lineRule="exact"/>
        <w:ind w:firstLine="420" w:firstLineChars="200"/>
        <w:rPr>
          <w:rFonts w:ascii="宋体" w:hAnsi="宋体"/>
          <w:color w:val="auto"/>
          <w:highlight w:val="none"/>
        </w:rPr>
      </w:pPr>
      <w:r>
        <w:rPr>
          <w:rFonts w:hint="eastAsia" w:ascii="宋体" w:hAnsi="宋体"/>
          <w:color w:val="auto"/>
          <w:highlight w:val="none"/>
        </w:rPr>
        <w:t>根据《中华人民共和国政府采购法》、《中华人民共和国政府采购法实施条例》、《</w:t>
      </w:r>
      <w:r>
        <w:rPr>
          <w:rFonts w:ascii="宋体" w:hAnsi="宋体" w:cs="Arial"/>
          <w:color w:val="auto"/>
          <w:highlight w:val="none"/>
          <w:shd w:val="clear" w:color="auto" w:fill="FFFFFF"/>
        </w:rPr>
        <w:t>中华人民共和国民法典</w:t>
      </w:r>
      <w:r>
        <w:rPr>
          <w:rFonts w:hint="eastAsia" w:ascii="宋体" w:hAnsi="宋体"/>
          <w:color w:val="auto"/>
          <w:highlight w:val="none"/>
        </w:rPr>
        <w:t>》等法律、法规规定，按照竞争性谈判文件(以下简称采购文件)规定条款和乙方承诺，甲、乙双方签订本合同。</w:t>
      </w:r>
    </w:p>
    <w:p w14:paraId="6275FBBC">
      <w:pPr>
        <w:snapToGrid w:val="0"/>
        <w:spacing w:line="400" w:lineRule="exact"/>
        <w:rPr>
          <w:rFonts w:ascii="宋体" w:hAnsi="宋体"/>
          <w:b/>
          <w:color w:val="auto"/>
          <w:highlight w:val="none"/>
        </w:rPr>
      </w:pPr>
      <w:r>
        <w:rPr>
          <w:rFonts w:hint="eastAsia" w:ascii="宋体" w:hAnsi="宋体"/>
          <w:b/>
          <w:color w:val="auto"/>
          <w:highlight w:val="none"/>
        </w:rPr>
        <w:t>第一条 合同标的</w:t>
      </w:r>
    </w:p>
    <w:p w14:paraId="63475248">
      <w:pPr>
        <w:snapToGrid w:val="0"/>
        <w:spacing w:line="400" w:lineRule="exact"/>
        <w:ind w:firstLine="420" w:firstLineChars="200"/>
        <w:rPr>
          <w:rFonts w:ascii="宋体" w:hAnsi="宋体"/>
          <w:color w:val="auto"/>
          <w:highlight w:val="none"/>
        </w:rPr>
      </w:pPr>
      <w:r>
        <w:rPr>
          <w:rFonts w:hint="eastAsia" w:ascii="宋体" w:hAnsi="宋体"/>
          <w:color w:val="auto"/>
          <w:highlight w:val="none"/>
        </w:rPr>
        <w:t>1.供货一览表</w:t>
      </w:r>
    </w:p>
    <w:tbl>
      <w:tblPr>
        <w:tblStyle w:val="26"/>
        <w:tblW w:w="9706"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1"/>
        <w:gridCol w:w="1013"/>
        <w:gridCol w:w="688"/>
        <w:gridCol w:w="525"/>
        <w:gridCol w:w="695"/>
        <w:gridCol w:w="906"/>
        <w:gridCol w:w="851"/>
        <w:gridCol w:w="1363"/>
        <w:gridCol w:w="1070"/>
        <w:gridCol w:w="1564"/>
      </w:tblGrid>
      <w:tr w14:paraId="0E0E7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031" w:type="dxa"/>
            <w:tcBorders>
              <w:top w:val="single" w:color="auto" w:sz="4" w:space="0"/>
              <w:left w:val="single" w:color="auto" w:sz="4" w:space="0"/>
              <w:bottom w:val="single" w:color="auto" w:sz="4" w:space="0"/>
              <w:right w:val="single" w:color="auto" w:sz="4" w:space="0"/>
            </w:tcBorders>
            <w:vAlign w:val="center"/>
          </w:tcPr>
          <w:p w14:paraId="422C7F14">
            <w:pPr>
              <w:snapToGrid w:val="0"/>
              <w:spacing w:line="360" w:lineRule="exact"/>
              <w:jc w:val="center"/>
              <w:rPr>
                <w:rFonts w:ascii="宋体" w:hAnsi="宋体"/>
                <w:color w:val="auto"/>
                <w:szCs w:val="21"/>
                <w:highlight w:val="none"/>
              </w:rPr>
            </w:pPr>
            <w:r>
              <w:rPr>
                <w:rFonts w:hint="eastAsia" w:ascii="宋体" w:hAnsi="宋体"/>
                <w:color w:val="auto"/>
                <w:highlight w:val="none"/>
              </w:rPr>
              <w:t>项号</w:t>
            </w:r>
          </w:p>
        </w:tc>
        <w:tc>
          <w:tcPr>
            <w:tcW w:w="1013" w:type="dxa"/>
            <w:tcBorders>
              <w:top w:val="single" w:color="auto" w:sz="4" w:space="0"/>
              <w:left w:val="single" w:color="auto" w:sz="4" w:space="0"/>
              <w:bottom w:val="single" w:color="auto" w:sz="4" w:space="0"/>
              <w:right w:val="single" w:color="auto" w:sz="4" w:space="0"/>
            </w:tcBorders>
            <w:vAlign w:val="center"/>
          </w:tcPr>
          <w:p w14:paraId="401403D3">
            <w:pPr>
              <w:snapToGrid w:val="0"/>
              <w:spacing w:line="360" w:lineRule="exact"/>
              <w:jc w:val="center"/>
              <w:rPr>
                <w:rFonts w:ascii="宋体" w:hAnsi="宋体"/>
                <w:color w:val="auto"/>
                <w:highlight w:val="none"/>
              </w:rPr>
            </w:pPr>
            <w:r>
              <w:rPr>
                <w:rFonts w:hint="eastAsia" w:ascii="宋体" w:hAnsi="宋体"/>
                <w:color w:val="auto"/>
                <w:highlight w:val="none"/>
              </w:rPr>
              <w:t>标的的名称</w:t>
            </w:r>
          </w:p>
        </w:tc>
        <w:tc>
          <w:tcPr>
            <w:tcW w:w="688" w:type="dxa"/>
            <w:tcBorders>
              <w:top w:val="single" w:color="auto" w:sz="4" w:space="0"/>
              <w:left w:val="single" w:color="auto" w:sz="4" w:space="0"/>
              <w:bottom w:val="single" w:color="auto" w:sz="4" w:space="0"/>
              <w:right w:val="single" w:color="auto" w:sz="4" w:space="0"/>
            </w:tcBorders>
            <w:vAlign w:val="center"/>
          </w:tcPr>
          <w:p w14:paraId="5AE37C29">
            <w:pPr>
              <w:snapToGrid w:val="0"/>
              <w:spacing w:line="360" w:lineRule="exact"/>
              <w:jc w:val="center"/>
              <w:rPr>
                <w:rFonts w:ascii="宋体" w:hAnsi="宋体"/>
                <w:color w:val="auto"/>
                <w:highlight w:val="none"/>
              </w:rPr>
            </w:pPr>
            <w:r>
              <w:rPr>
                <w:rFonts w:hint="eastAsia" w:ascii="宋体" w:hAnsi="宋体"/>
                <w:color w:val="auto"/>
                <w:highlight w:val="none"/>
              </w:rPr>
              <w:t>数量及单位</w:t>
            </w:r>
          </w:p>
          <w:p w14:paraId="641F07CF">
            <w:pPr>
              <w:snapToGrid w:val="0"/>
              <w:spacing w:line="360" w:lineRule="exact"/>
              <w:jc w:val="center"/>
              <w:rPr>
                <w:rFonts w:ascii="宋体" w:hAnsi="宋体"/>
                <w:color w:val="auto"/>
                <w:highlight w:val="none"/>
              </w:rPr>
            </w:pPr>
            <w:r>
              <w:rPr>
                <w:rFonts w:hint="eastAsia" w:ascii="宋体" w:hAnsi="宋体"/>
                <w:color w:val="auto"/>
                <w:highlight w:val="none"/>
              </w:rPr>
              <w:t>①</w:t>
            </w:r>
          </w:p>
        </w:tc>
        <w:tc>
          <w:tcPr>
            <w:tcW w:w="525" w:type="dxa"/>
            <w:tcBorders>
              <w:top w:val="single" w:color="auto" w:sz="4" w:space="0"/>
              <w:left w:val="single" w:color="auto" w:sz="4" w:space="0"/>
              <w:bottom w:val="single" w:color="auto" w:sz="4" w:space="0"/>
              <w:right w:val="single" w:color="auto" w:sz="4" w:space="0"/>
            </w:tcBorders>
            <w:vAlign w:val="center"/>
          </w:tcPr>
          <w:p w14:paraId="157B8504">
            <w:pPr>
              <w:snapToGrid w:val="0"/>
              <w:spacing w:line="360" w:lineRule="exact"/>
              <w:jc w:val="center"/>
              <w:rPr>
                <w:rFonts w:ascii="宋体" w:hAnsi="宋体"/>
                <w:color w:val="auto"/>
                <w:highlight w:val="none"/>
              </w:rPr>
            </w:pPr>
            <w:r>
              <w:rPr>
                <w:rFonts w:hint="eastAsia" w:ascii="宋体" w:hAnsi="宋体"/>
                <w:color w:val="auto"/>
                <w:highlight w:val="none"/>
              </w:rPr>
              <w:t>品牌</w:t>
            </w:r>
          </w:p>
        </w:tc>
        <w:tc>
          <w:tcPr>
            <w:tcW w:w="695" w:type="dxa"/>
            <w:tcBorders>
              <w:top w:val="single" w:color="auto" w:sz="4" w:space="0"/>
              <w:left w:val="single" w:color="auto" w:sz="4" w:space="0"/>
              <w:bottom w:val="single" w:color="auto" w:sz="4" w:space="0"/>
              <w:right w:val="single" w:color="auto" w:sz="4" w:space="0"/>
            </w:tcBorders>
            <w:vAlign w:val="center"/>
          </w:tcPr>
          <w:p w14:paraId="3EAAA4BF">
            <w:pPr>
              <w:snapToGrid w:val="0"/>
              <w:spacing w:line="360" w:lineRule="exact"/>
              <w:jc w:val="center"/>
              <w:rPr>
                <w:rFonts w:ascii="宋体" w:hAnsi="宋体"/>
                <w:color w:val="auto"/>
                <w:highlight w:val="none"/>
              </w:rPr>
            </w:pPr>
            <w:r>
              <w:rPr>
                <w:rFonts w:hint="eastAsia" w:ascii="宋体" w:hAnsi="宋体"/>
                <w:color w:val="auto"/>
                <w:highlight w:val="none"/>
              </w:rPr>
              <w:t>规格</w:t>
            </w:r>
          </w:p>
          <w:p w14:paraId="337F195D">
            <w:pPr>
              <w:snapToGrid w:val="0"/>
              <w:spacing w:line="360" w:lineRule="exact"/>
              <w:jc w:val="center"/>
              <w:rPr>
                <w:rFonts w:ascii="宋体" w:hAnsi="宋体"/>
                <w:color w:val="auto"/>
                <w:highlight w:val="none"/>
              </w:rPr>
            </w:pPr>
            <w:r>
              <w:rPr>
                <w:rFonts w:hint="eastAsia" w:ascii="宋体" w:hAnsi="宋体"/>
                <w:color w:val="auto"/>
                <w:highlight w:val="none"/>
              </w:rPr>
              <w:t>型号</w:t>
            </w:r>
          </w:p>
        </w:tc>
        <w:tc>
          <w:tcPr>
            <w:tcW w:w="906" w:type="dxa"/>
            <w:tcBorders>
              <w:top w:val="single" w:color="auto" w:sz="4" w:space="0"/>
              <w:left w:val="single" w:color="auto" w:sz="4" w:space="0"/>
              <w:bottom w:val="single" w:color="auto" w:sz="4" w:space="0"/>
              <w:right w:val="single" w:color="auto" w:sz="4" w:space="0"/>
            </w:tcBorders>
            <w:vAlign w:val="center"/>
          </w:tcPr>
          <w:p w14:paraId="2DFCE6CB">
            <w:pPr>
              <w:snapToGrid w:val="0"/>
              <w:spacing w:line="360" w:lineRule="exact"/>
              <w:jc w:val="center"/>
              <w:rPr>
                <w:rFonts w:ascii="宋体" w:hAnsi="宋体"/>
                <w:color w:val="auto"/>
                <w:highlight w:val="none"/>
              </w:rPr>
            </w:pPr>
            <w:r>
              <w:rPr>
                <w:rFonts w:hint="eastAsia" w:ascii="宋体" w:hAnsi="宋体"/>
                <w:color w:val="auto"/>
                <w:highlight w:val="none"/>
              </w:rPr>
              <w:t>制造商</w:t>
            </w:r>
          </w:p>
        </w:tc>
        <w:tc>
          <w:tcPr>
            <w:tcW w:w="851" w:type="dxa"/>
            <w:tcBorders>
              <w:top w:val="single" w:color="auto" w:sz="4" w:space="0"/>
              <w:left w:val="single" w:color="auto" w:sz="4" w:space="0"/>
              <w:bottom w:val="single" w:color="auto" w:sz="4" w:space="0"/>
              <w:right w:val="single" w:color="auto" w:sz="4" w:space="0"/>
            </w:tcBorders>
            <w:vAlign w:val="center"/>
          </w:tcPr>
          <w:p w14:paraId="5A2EC3B3">
            <w:pPr>
              <w:snapToGrid w:val="0"/>
              <w:spacing w:line="360" w:lineRule="exact"/>
              <w:jc w:val="center"/>
              <w:rPr>
                <w:rFonts w:ascii="宋体" w:hAnsi="宋体"/>
                <w:color w:val="auto"/>
                <w:highlight w:val="none"/>
              </w:rPr>
            </w:pPr>
            <w:r>
              <w:rPr>
                <w:rFonts w:hint="eastAsia" w:ascii="宋体" w:hAnsi="宋体"/>
                <w:color w:val="auto"/>
                <w:highlight w:val="none"/>
              </w:rPr>
              <w:t>原产地</w:t>
            </w:r>
          </w:p>
        </w:tc>
        <w:tc>
          <w:tcPr>
            <w:tcW w:w="1363" w:type="dxa"/>
            <w:tcBorders>
              <w:top w:val="single" w:color="auto" w:sz="4" w:space="0"/>
              <w:left w:val="single" w:color="auto" w:sz="4" w:space="0"/>
              <w:bottom w:val="single" w:color="auto" w:sz="4" w:space="0"/>
              <w:right w:val="single" w:color="auto" w:sz="4" w:space="0"/>
            </w:tcBorders>
            <w:vAlign w:val="center"/>
          </w:tcPr>
          <w:p w14:paraId="4F168E95">
            <w:pPr>
              <w:snapToGrid w:val="0"/>
              <w:spacing w:line="360" w:lineRule="exact"/>
              <w:jc w:val="center"/>
              <w:rPr>
                <w:rFonts w:ascii="宋体" w:hAnsi="宋体"/>
                <w:color w:val="auto"/>
                <w:highlight w:val="none"/>
              </w:rPr>
            </w:pPr>
            <w:r>
              <w:rPr>
                <w:rFonts w:hint="eastAsia" w:ascii="宋体" w:hAnsi="宋体"/>
                <w:color w:val="auto"/>
                <w:highlight w:val="none"/>
              </w:rPr>
              <w:t>技术参数、性能、指标及配置</w:t>
            </w:r>
          </w:p>
        </w:tc>
        <w:tc>
          <w:tcPr>
            <w:tcW w:w="1070" w:type="dxa"/>
            <w:tcBorders>
              <w:top w:val="single" w:color="auto" w:sz="4" w:space="0"/>
              <w:left w:val="single" w:color="auto" w:sz="4" w:space="0"/>
              <w:bottom w:val="single" w:color="auto" w:sz="4" w:space="0"/>
              <w:right w:val="single" w:color="auto" w:sz="4" w:space="0"/>
            </w:tcBorders>
            <w:vAlign w:val="center"/>
          </w:tcPr>
          <w:p w14:paraId="2F68BAD4">
            <w:pPr>
              <w:snapToGrid w:val="0"/>
              <w:spacing w:line="360" w:lineRule="exact"/>
              <w:jc w:val="center"/>
              <w:rPr>
                <w:rFonts w:ascii="宋体" w:hAnsi="宋体"/>
                <w:color w:val="auto"/>
                <w:highlight w:val="none"/>
              </w:rPr>
            </w:pPr>
            <w:r>
              <w:rPr>
                <w:rFonts w:hint="eastAsia" w:ascii="宋体" w:hAnsi="宋体"/>
                <w:color w:val="auto"/>
                <w:highlight w:val="none"/>
              </w:rPr>
              <w:t>单价（元）</w:t>
            </w:r>
          </w:p>
          <w:p w14:paraId="5FD4228B">
            <w:pPr>
              <w:snapToGrid w:val="0"/>
              <w:spacing w:line="360" w:lineRule="exact"/>
              <w:jc w:val="center"/>
              <w:rPr>
                <w:rFonts w:ascii="宋体" w:hAnsi="宋体"/>
                <w:color w:val="auto"/>
                <w:highlight w:val="none"/>
              </w:rPr>
            </w:pPr>
            <w:r>
              <w:rPr>
                <w:rFonts w:hint="eastAsia" w:ascii="宋体" w:hAnsi="宋体"/>
                <w:color w:val="auto"/>
                <w:highlight w:val="none"/>
              </w:rPr>
              <w:t>②</w:t>
            </w:r>
          </w:p>
        </w:tc>
        <w:tc>
          <w:tcPr>
            <w:tcW w:w="1564" w:type="dxa"/>
            <w:tcBorders>
              <w:top w:val="single" w:color="auto" w:sz="4" w:space="0"/>
              <w:left w:val="single" w:color="auto" w:sz="4" w:space="0"/>
              <w:bottom w:val="single" w:color="auto" w:sz="4" w:space="0"/>
              <w:right w:val="single" w:color="auto" w:sz="4" w:space="0"/>
            </w:tcBorders>
            <w:vAlign w:val="center"/>
          </w:tcPr>
          <w:p w14:paraId="683E0BEE">
            <w:pPr>
              <w:snapToGrid w:val="0"/>
              <w:spacing w:line="360" w:lineRule="exact"/>
              <w:jc w:val="center"/>
              <w:rPr>
                <w:rFonts w:ascii="宋体" w:hAnsi="宋体"/>
                <w:color w:val="auto"/>
                <w:szCs w:val="21"/>
                <w:highlight w:val="none"/>
              </w:rPr>
            </w:pPr>
            <w:r>
              <w:rPr>
                <w:rFonts w:hint="eastAsia" w:ascii="宋体" w:hAnsi="宋体"/>
                <w:b/>
                <w:color w:val="auto"/>
                <w:highlight w:val="none"/>
              </w:rPr>
              <w:t>单项合计金额</w:t>
            </w:r>
            <w:r>
              <w:rPr>
                <w:rFonts w:hint="eastAsia" w:ascii="宋体" w:hAnsi="宋体"/>
                <w:color w:val="auto"/>
                <w:highlight w:val="none"/>
              </w:rPr>
              <w:t>（元）</w:t>
            </w:r>
          </w:p>
          <w:p w14:paraId="2F5C96B5">
            <w:pPr>
              <w:snapToGrid w:val="0"/>
              <w:spacing w:line="360" w:lineRule="exact"/>
              <w:jc w:val="center"/>
              <w:rPr>
                <w:rFonts w:ascii="宋体" w:hAnsi="宋体"/>
                <w:color w:val="auto"/>
                <w:szCs w:val="21"/>
                <w:highlight w:val="none"/>
              </w:rPr>
            </w:pPr>
            <w:r>
              <w:rPr>
                <w:rFonts w:hint="eastAsia" w:ascii="宋体" w:hAnsi="宋体"/>
                <w:color w:val="auto"/>
                <w:highlight w:val="none"/>
              </w:rPr>
              <w:t>③＝①×②</w:t>
            </w:r>
          </w:p>
        </w:tc>
      </w:tr>
      <w:tr w14:paraId="5FE50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trPr>
        <w:tc>
          <w:tcPr>
            <w:tcW w:w="1031" w:type="dxa"/>
            <w:tcBorders>
              <w:top w:val="single" w:color="auto" w:sz="4" w:space="0"/>
              <w:left w:val="single" w:color="auto" w:sz="4" w:space="0"/>
              <w:bottom w:val="single" w:color="auto" w:sz="4" w:space="0"/>
              <w:right w:val="single" w:color="auto" w:sz="4" w:space="0"/>
            </w:tcBorders>
            <w:vAlign w:val="center"/>
          </w:tcPr>
          <w:p w14:paraId="5B179F03">
            <w:pPr>
              <w:spacing w:line="360" w:lineRule="exact"/>
              <w:jc w:val="center"/>
              <w:rPr>
                <w:rFonts w:ascii="宋体" w:hAnsi="宋体"/>
                <w:color w:val="auto"/>
                <w:szCs w:val="21"/>
                <w:highlight w:val="none"/>
              </w:rPr>
            </w:pPr>
            <w:r>
              <w:rPr>
                <w:rFonts w:hint="eastAsia" w:ascii="宋体" w:hAnsi="宋体"/>
                <w:color w:val="auto"/>
                <w:highlight w:val="none"/>
              </w:rPr>
              <w:t>1</w:t>
            </w:r>
          </w:p>
        </w:tc>
        <w:tc>
          <w:tcPr>
            <w:tcW w:w="1013" w:type="dxa"/>
            <w:tcBorders>
              <w:top w:val="single" w:color="auto" w:sz="4" w:space="0"/>
              <w:left w:val="single" w:color="auto" w:sz="4" w:space="0"/>
              <w:bottom w:val="single" w:color="auto" w:sz="4" w:space="0"/>
              <w:right w:val="single" w:color="auto" w:sz="4" w:space="0"/>
            </w:tcBorders>
            <w:vAlign w:val="center"/>
          </w:tcPr>
          <w:p w14:paraId="343C189F">
            <w:pPr>
              <w:spacing w:line="360" w:lineRule="exact"/>
              <w:jc w:val="center"/>
              <w:rPr>
                <w:rFonts w:ascii="宋体" w:hAnsi="宋体"/>
                <w:color w:val="auto"/>
                <w:szCs w:val="21"/>
                <w:highlight w:val="none"/>
              </w:rPr>
            </w:pPr>
          </w:p>
        </w:tc>
        <w:tc>
          <w:tcPr>
            <w:tcW w:w="688" w:type="dxa"/>
            <w:tcBorders>
              <w:top w:val="single" w:color="auto" w:sz="4" w:space="0"/>
              <w:left w:val="single" w:color="auto" w:sz="4" w:space="0"/>
              <w:bottom w:val="single" w:color="auto" w:sz="4" w:space="0"/>
              <w:right w:val="single" w:color="auto" w:sz="4" w:space="0"/>
            </w:tcBorders>
            <w:vAlign w:val="center"/>
          </w:tcPr>
          <w:p w14:paraId="00896023">
            <w:pPr>
              <w:spacing w:line="360" w:lineRule="exact"/>
              <w:jc w:val="center"/>
              <w:rPr>
                <w:rFonts w:ascii="宋体" w:hAnsi="宋体"/>
                <w:color w:val="auto"/>
                <w:szCs w:val="21"/>
                <w:highlight w:val="none"/>
              </w:rPr>
            </w:pPr>
          </w:p>
        </w:tc>
        <w:tc>
          <w:tcPr>
            <w:tcW w:w="525" w:type="dxa"/>
            <w:tcBorders>
              <w:top w:val="single" w:color="auto" w:sz="4" w:space="0"/>
              <w:left w:val="single" w:color="auto" w:sz="4" w:space="0"/>
              <w:bottom w:val="single" w:color="auto" w:sz="4" w:space="0"/>
              <w:right w:val="single" w:color="auto" w:sz="4" w:space="0"/>
            </w:tcBorders>
            <w:vAlign w:val="center"/>
          </w:tcPr>
          <w:p w14:paraId="3139C00F">
            <w:pPr>
              <w:snapToGrid w:val="0"/>
              <w:spacing w:line="360" w:lineRule="exact"/>
              <w:rPr>
                <w:rFonts w:ascii="宋体" w:hAnsi="宋体"/>
                <w:color w:val="auto"/>
                <w:szCs w:val="21"/>
                <w:highlight w:val="none"/>
              </w:rPr>
            </w:pPr>
          </w:p>
        </w:tc>
        <w:tc>
          <w:tcPr>
            <w:tcW w:w="695" w:type="dxa"/>
            <w:tcBorders>
              <w:top w:val="single" w:color="auto" w:sz="4" w:space="0"/>
              <w:left w:val="single" w:color="auto" w:sz="4" w:space="0"/>
              <w:bottom w:val="single" w:color="auto" w:sz="4" w:space="0"/>
              <w:right w:val="single" w:color="auto" w:sz="4" w:space="0"/>
            </w:tcBorders>
            <w:vAlign w:val="center"/>
          </w:tcPr>
          <w:p w14:paraId="0F89D2C6">
            <w:pPr>
              <w:snapToGrid w:val="0"/>
              <w:spacing w:line="360" w:lineRule="exact"/>
              <w:rPr>
                <w:rFonts w:ascii="宋体" w:hAnsi="宋体"/>
                <w:color w:val="auto"/>
                <w:szCs w:val="21"/>
                <w:highlight w:val="none"/>
              </w:rPr>
            </w:pPr>
          </w:p>
        </w:tc>
        <w:tc>
          <w:tcPr>
            <w:tcW w:w="906" w:type="dxa"/>
            <w:tcBorders>
              <w:top w:val="single" w:color="auto" w:sz="4" w:space="0"/>
              <w:left w:val="single" w:color="auto" w:sz="4" w:space="0"/>
              <w:bottom w:val="single" w:color="auto" w:sz="4" w:space="0"/>
              <w:right w:val="single" w:color="auto" w:sz="4" w:space="0"/>
            </w:tcBorders>
            <w:vAlign w:val="center"/>
          </w:tcPr>
          <w:p w14:paraId="3567B44F">
            <w:pPr>
              <w:snapToGrid w:val="0"/>
              <w:spacing w:line="360" w:lineRule="exact"/>
              <w:rPr>
                <w:rFonts w:ascii="宋体" w:hAnsi="宋体"/>
                <w:color w:val="auto"/>
                <w:szCs w:val="21"/>
                <w:highlight w:val="none"/>
              </w:rPr>
            </w:pPr>
          </w:p>
        </w:tc>
        <w:tc>
          <w:tcPr>
            <w:tcW w:w="851" w:type="dxa"/>
            <w:tcBorders>
              <w:top w:val="single" w:color="auto" w:sz="4" w:space="0"/>
              <w:left w:val="single" w:color="auto" w:sz="4" w:space="0"/>
              <w:bottom w:val="single" w:color="auto" w:sz="4" w:space="0"/>
              <w:right w:val="single" w:color="auto" w:sz="4" w:space="0"/>
            </w:tcBorders>
            <w:vAlign w:val="center"/>
          </w:tcPr>
          <w:p w14:paraId="667D09A2">
            <w:pPr>
              <w:snapToGrid w:val="0"/>
              <w:spacing w:line="360" w:lineRule="exact"/>
              <w:rPr>
                <w:rFonts w:ascii="宋体" w:hAnsi="宋体"/>
                <w:color w:val="auto"/>
                <w:szCs w:val="21"/>
                <w:highlight w:val="none"/>
              </w:rPr>
            </w:pPr>
          </w:p>
        </w:tc>
        <w:tc>
          <w:tcPr>
            <w:tcW w:w="1363" w:type="dxa"/>
            <w:tcBorders>
              <w:top w:val="single" w:color="auto" w:sz="4" w:space="0"/>
              <w:left w:val="single" w:color="auto" w:sz="4" w:space="0"/>
              <w:bottom w:val="single" w:color="auto" w:sz="4" w:space="0"/>
              <w:right w:val="single" w:color="auto" w:sz="4" w:space="0"/>
            </w:tcBorders>
            <w:vAlign w:val="center"/>
          </w:tcPr>
          <w:p w14:paraId="65E78695">
            <w:pPr>
              <w:spacing w:line="360" w:lineRule="exact"/>
              <w:jc w:val="center"/>
              <w:rPr>
                <w:rFonts w:ascii="宋体" w:hAnsi="宋体"/>
                <w:color w:val="auto"/>
                <w:szCs w:val="21"/>
                <w:highlight w:val="none"/>
              </w:rPr>
            </w:pPr>
          </w:p>
        </w:tc>
        <w:tc>
          <w:tcPr>
            <w:tcW w:w="1070" w:type="dxa"/>
            <w:tcBorders>
              <w:top w:val="single" w:color="auto" w:sz="4" w:space="0"/>
              <w:left w:val="single" w:color="auto" w:sz="4" w:space="0"/>
              <w:bottom w:val="single" w:color="auto" w:sz="4" w:space="0"/>
              <w:right w:val="single" w:color="auto" w:sz="4" w:space="0"/>
            </w:tcBorders>
            <w:vAlign w:val="center"/>
          </w:tcPr>
          <w:p w14:paraId="7E22F032">
            <w:pPr>
              <w:snapToGrid w:val="0"/>
              <w:spacing w:line="360" w:lineRule="exact"/>
              <w:rPr>
                <w:rFonts w:ascii="宋体" w:hAnsi="宋体"/>
                <w:color w:val="auto"/>
                <w:szCs w:val="21"/>
                <w:highlight w:val="none"/>
              </w:rPr>
            </w:pPr>
          </w:p>
        </w:tc>
        <w:tc>
          <w:tcPr>
            <w:tcW w:w="1564" w:type="dxa"/>
            <w:tcBorders>
              <w:top w:val="single" w:color="auto" w:sz="4" w:space="0"/>
              <w:left w:val="single" w:color="auto" w:sz="4" w:space="0"/>
              <w:bottom w:val="single" w:color="auto" w:sz="4" w:space="0"/>
              <w:right w:val="single" w:color="auto" w:sz="4" w:space="0"/>
            </w:tcBorders>
            <w:vAlign w:val="center"/>
          </w:tcPr>
          <w:p w14:paraId="1D65A7DA">
            <w:pPr>
              <w:snapToGrid w:val="0"/>
              <w:spacing w:line="360" w:lineRule="exact"/>
              <w:rPr>
                <w:rFonts w:ascii="宋体" w:hAnsi="宋体"/>
                <w:color w:val="auto"/>
                <w:szCs w:val="21"/>
                <w:highlight w:val="none"/>
              </w:rPr>
            </w:pPr>
          </w:p>
        </w:tc>
      </w:tr>
      <w:tr w14:paraId="7DBA9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trPr>
        <w:tc>
          <w:tcPr>
            <w:tcW w:w="1031" w:type="dxa"/>
            <w:tcBorders>
              <w:top w:val="single" w:color="auto" w:sz="4" w:space="0"/>
              <w:left w:val="single" w:color="auto" w:sz="4" w:space="0"/>
              <w:bottom w:val="single" w:color="auto" w:sz="4" w:space="0"/>
              <w:right w:val="single" w:color="auto" w:sz="4" w:space="0"/>
            </w:tcBorders>
            <w:vAlign w:val="center"/>
          </w:tcPr>
          <w:p w14:paraId="7099DE30">
            <w:pPr>
              <w:spacing w:line="360" w:lineRule="exact"/>
              <w:jc w:val="center"/>
              <w:rPr>
                <w:rFonts w:ascii="宋体" w:hAnsi="宋体"/>
                <w:color w:val="auto"/>
                <w:szCs w:val="21"/>
                <w:highlight w:val="none"/>
              </w:rPr>
            </w:pPr>
            <w:r>
              <w:rPr>
                <w:rFonts w:hint="eastAsia" w:ascii="宋体" w:hAnsi="宋体"/>
                <w:color w:val="auto"/>
                <w:highlight w:val="none"/>
              </w:rPr>
              <w:t>2</w:t>
            </w:r>
          </w:p>
        </w:tc>
        <w:tc>
          <w:tcPr>
            <w:tcW w:w="1013" w:type="dxa"/>
            <w:tcBorders>
              <w:top w:val="single" w:color="auto" w:sz="4" w:space="0"/>
              <w:left w:val="single" w:color="auto" w:sz="4" w:space="0"/>
              <w:bottom w:val="single" w:color="auto" w:sz="4" w:space="0"/>
              <w:right w:val="single" w:color="auto" w:sz="4" w:space="0"/>
            </w:tcBorders>
            <w:vAlign w:val="center"/>
          </w:tcPr>
          <w:p w14:paraId="59EDD1CB">
            <w:pPr>
              <w:spacing w:line="360" w:lineRule="exact"/>
              <w:jc w:val="center"/>
              <w:rPr>
                <w:rFonts w:ascii="宋体" w:hAnsi="宋体"/>
                <w:color w:val="auto"/>
                <w:szCs w:val="21"/>
                <w:highlight w:val="none"/>
              </w:rPr>
            </w:pPr>
          </w:p>
        </w:tc>
        <w:tc>
          <w:tcPr>
            <w:tcW w:w="688" w:type="dxa"/>
            <w:tcBorders>
              <w:top w:val="single" w:color="auto" w:sz="4" w:space="0"/>
              <w:left w:val="single" w:color="auto" w:sz="4" w:space="0"/>
              <w:bottom w:val="single" w:color="auto" w:sz="4" w:space="0"/>
              <w:right w:val="single" w:color="auto" w:sz="4" w:space="0"/>
            </w:tcBorders>
            <w:vAlign w:val="center"/>
          </w:tcPr>
          <w:p w14:paraId="13964A6A">
            <w:pPr>
              <w:spacing w:line="360" w:lineRule="exact"/>
              <w:jc w:val="center"/>
              <w:rPr>
                <w:rFonts w:ascii="宋体" w:hAnsi="宋体"/>
                <w:color w:val="auto"/>
                <w:szCs w:val="21"/>
                <w:highlight w:val="none"/>
              </w:rPr>
            </w:pPr>
          </w:p>
        </w:tc>
        <w:tc>
          <w:tcPr>
            <w:tcW w:w="525" w:type="dxa"/>
            <w:tcBorders>
              <w:top w:val="single" w:color="auto" w:sz="4" w:space="0"/>
              <w:left w:val="single" w:color="auto" w:sz="4" w:space="0"/>
              <w:bottom w:val="single" w:color="auto" w:sz="4" w:space="0"/>
              <w:right w:val="single" w:color="auto" w:sz="4" w:space="0"/>
            </w:tcBorders>
            <w:vAlign w:val="center"/>
          </w:tcPr>
          <w:p w14:paraId="07B18D0B">
            <w:pPr>
              <w:snapToGrid w:val="0"/>
              <w:spacing w:line="360" w:lineRule="exact"/>
              <w:rPr>
                <w:rFonts w:ascii="宋体" w:hAnsi="宋体"/>
                <w:color w:val="auto"/>
                <w:szCs w:val="21"/>
                <w:highlight w:val="none"/>
              </w:rPr>
            </w:pPr>
          </w:p>
        </w:tc>
        <w:tc>
          <w:tcPr>
            <w:tcW w:w="695" w:type="dxa"/>
            <w:tcBorders>
              <w:top w:val="single" w:color="auto" w:sz="4" w:space="0"/>
              <w:left w:val="single" w:color="auto" w:sz="4" w:space="0"/>
              <w:bottom w:val="single" w:color="auto" w:sz="4" w:space="0"/>
              <w:right w:val="single" w:color="auto" w:sz="4" w:space="0"/>
            </w:tcBorders>
            <w:vAlign w:val="center"/>
          </w:tcPr>
          <w:p w14:paraId="417C8BE1">
            <w:pPr>
              <w:snapToGrid w:val="0"/>
              <w:spacing w:line="360" w:lineRule="exact"/>
              <w:rPr>
                <w:rFonts w:ascii="宋体" w:hAnsi="宋体"/>
                <w:color w:val="auto"/>
                <w:szCs w:val="21"/>
                <w:highlight w:val="none"/>
              </w:rPr>
            </w:pPr>
          </w:p>
        </w:tc>
        <w:tc>
          <w:tcPr>
            <w:tcW w:w="906" w:type="dxa"/>
            <w:tcBorders>
              <w:top w:val="single" w:color="auto" w:sz="4" w:space="0"/>
              <w:left w:val="single" w:color="auto" w:sz="4" w:space="0"/>
              <w:bottom w:val="single" w:color="auto" w:sz="4" w:space="0"/>
              <w:right w:val="single" w:color="auto" w:sz="4" w:space="0"/>
            </w:tcBorders>
            <w:vAlign w:val="center"/>
          </w:tcPr>
          <w:p w14:paraId="620F0902">
            <w:pPr>
              <w:snapToGrid w:val="0"/>
              <w:spacing w:line="360" w:lineRule="exact"/>
              <w:rPr>
                <w:rFonts w:ascii="宋体" w:hAnsi="宋体"/>
                <w:color w:val="auto"/>
                <w:szCs w:val="21"/>
                <w:highlight w:val="none"/>
              </w:rPr>
            </w:pPr>
          </w:p>
        </w:tc>
        <w:tc>
          <w:tcPr>
            <w:tcW w:w="851" w:type="dxa"/>
            <w:tcBorders>
              <w:top w:val="single" w:color="auto" w:sz="4" w:space="0"/>
              <w:left w:val="single" w:color="auto" w:sz="4" w:space="0"/>
              <w:bottom w:val="single" w:color="auto" w:sz="4" w:space="0"/>
              <w:right w:val="single" w:color="auto" w:sz="4" w:space="0"/>
            </w:tcBorders>
            <w:vAlign w:val="center"/>
          </w:tcPr>
          <w:p w14:paraId="75D97C7F">
            <w:pPr>
              <w:snapToGrid w:val="0"/>
              <w:spacing w:line="360" w:lineRule="exact"/>
              <w:rPr>
                <w:rFonts w:ascii="宋体" w:hAnsi="宋体"/>
                <w:color w:val="auto"/>
                <w:szCs w:val="21"/>
                <w:highlight w:val="none"/>
              </w:rPr>
            </w:pPr>
          </w:p>
        </w:tc>
        <w:tc>
          <w:tcPr>
            <w:tcW w:w="1363" w:type="dxa"/>
            <w:tcBorders>
              <w:top w:val="single" w:color="auto" w:sz="4" w:space="0"/>
              <w:left w:val="single" w:color="auto" w:sz="4" w:space="0"/>
              <w:bottom w:val="single" w:color="auto" w:sz="4" w:space="0"/>
              <w:right w:val="single" w:color="auto" w:sz="4" w:space="0"/>
            </w:tcBorders>
            <w:vAlign w:val="center"/>
          </w:tcPr>
          <w:p w14:paraId="338A0E1F">
            <w:pPr>
              <w:spacing w:line="360" w:lineRule="exact"/>
              <w:jc w:val="center"/>
              <w:rPr>
                <w:rFonts w:ascii="宋体" w:hAnsi="宋体"/>
                <w:color w:val="auto"/>
                <w:szCs w:val="21"/>
                <w:highlight w:val="none"/>
              </w:rPr>
            </w:pPr>
          </w:p>
        </w:tc>
        <w:tc>
          <w:tcPr>
            <w:tcW w:w="1070" w:type="dxa"/>
            <w:tcBorders>
              <w:top w:val="single" w:color="auto" w:sz="4" w:space="0"/>
              <w:left w:val="single" w:color="auto" w:sz="4" w:space="0"/>
              <w:bottom w:val="single" w:color="auto" w:sz="4" w:space="0"/>
              <w:right w:val="single" w:color="auto" w:sz="4" w:space="0"/>
            </w:tcBorders>
            <w:vAlign w:val="center"/>
          </w:tcPr>
          <w:p w14:paraId="524C8A03">
            <w:pPr>
              <w:snapToGrid w:val="0"/>
              <w:spacing w:line="360" w:lineRule="exact"/>
              <w:rPr>
                <w:rFonts w:ascii="宋体" w:hAnsi="宋体"/>
                <w:color w:val="auto"/>
                <w:szCs w:val="21"/>
                <w:highlight w:val="none"/>
              </w:rPr>
            </w:pPr>
          </w:p>
        </w:tc>
        <w:tc>
          <w:tcPr>
            <w:tcW w:w="1564" w:type="dxa"/>
            <w:tcBorders>
              <w:top w:val="single" w:color="auto" w:sz="4" w:space="0"/>
              <w:left w:val="single" w:color="auto" w:sz="4" w:space="0"/>
              <w:bottom w:val="single" w:color="auto" w:sz="4" w:space="0"/>
              <w:right w:val="single" w:color="auto" w:sz="4" w:space="0"/>
            </w:tcBorders>
            <w:vAlign w:val="center"/>
          </w:tcPr>
          <w:p w14:paraId="5D576B42">
            <w:pPr>
              <w:snapToGrid w:val="0"/>
              <w:spacing w:line="360" w:lineRule="exact"/>
              <w:rPr>
                <w:rFonts w:ascii="宋体" w:hAnsi="宋体"/>
                <w:color w:val="auto"/>
                <w:szCs w:val="21"/>
                <w:highlight w:val="none"/>
              </w:rPr>
            </w:pPr>
          </w:p>
        </w:tc>
      </w:tr>
      <w:tr w14:paraId="1B45D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trPr>
        <w:tc>
          <w:tcPr>
            <w:tcW w:w="1031" w:type="dxa"/>
            <w:tcBorders>
              <w:top w:val="single" w:color="auto" w:sz="4" w:space="0"/>
              <w:left w:val="single" w:color="auto" w:sz="4" w:space="0"/>
              <w:bottom w:val="single" w:color="auto" w:sz="4" w:space="0"/>
              <w:right w:val="single" w:color="auto" w:sz="4" w:space="0"/>
            </w:tcBorders>
            <w:vAlign w:val="center"/>
          </w:tcPr>
          <w:p w14:paraId="7A781718">
            <w:pPr>
              <w:widowControl/>
              <w:spacing w:line="360" w:lineRule="exact"/>
              <w:jc w:val="center"/>
              <w:rPr>
                <w:rFonts w:ascii="宋体" w:hAnsi="宋体"/>
                <w:color w:val="auto"/>
                <w:szCs w:val="21"/>
                <w:highlight w:val="none"/>
              </w:rPr>
            </w:pPr>
            <w:r>
              <w:rPr>
                <w:rFonts w:hint="eastAsia" w:ascii="宋体" w:hAnsi="宋体"/>
                <w:color w:val="auto"/>
                <w:highlight w:val="none"/>
              </w:rPr>
              <w:t>……</w:t>
            </w:r>
          </w:p>
        </w:tc>
        <w:tc>
          <w:tcPr>
            <w:tcW w:w="1013" w:type="dxa"/>
            <w:tcBorders>
              <w:top w:val="single" w:color="auto" w:sz="4" w:space="0"/>
              <w:left w:val="single" w:color="auto" w:sz="4" w:space="0"/>
              <w:bottom w:val="single" w:color="auto" w:sz="4" w:space="0"/>
              <w:right w:val="single" w:color="auto" w:sz="4" w:space="0"/>
            </w:tcBorders>
            <w:vAlign w:val="center"/>
          </w:tcPr>
          <w:p w14:paraId="6C1AFC50">
            <w:pPr>
              <w:widowControl/>
              <w:spacing w:line="360" w:lineRule="exact"/>
              <w:jc w:val="center"/>
              <w:textAlignment w:val="center"/>
              <w:rPr>
                <w:rFonts w:ascii="宋体" w:hAnsi="宋体"/>
                <w:color w:val="auto"/>
                <w:szCs w:val="21"/>
                <w:highlight w:val="none"/>
              </w:rPr>
            </w:pPr>
          </w:p>
        </w:tc>
        <w:tc>
          <w:tcPr>
            <w:tcW w:w="688" w:type="dxa"/>
            <w:tcBorders>
              <w:top w:val="single" w:color="auto" w:sz="4" w:space="0"/>
              <w:left w:val="single" w:color="auto" w:sz="4" w:space="0"/>
              <w:bottom w:val="single" w:color="auto" w:sz="4" w:space="0"/>
              <w:right w:val="single" w:color="auto" w:sz="4" w:space="0"/>
            </w:tcBorders>
            <w:vAlign w:val="center"/>
          </w:tcPr>
          <w:p w14:paraId="624E67FF">
            <w:pPr>
              <w:widowControl/>
              <w:spacing w:line="360" w:lineRule="exact"/>
              <w:jc w:val="center"/>
              <w:textAlignment w:val="center"/>
              <w:rPr>
                <w:rFonts w:ascii="宋体" w:hAnsi="宋体"/>
                <w:color w:val="auto"/>
                <w:szCs w:val="21"/>
                <w:highlight w:val="none"/>
              </w:rPr>
            </w:pPr>
          </w:p>
        </w:tc>
        <w:tc>
          <w:tcPr>
            <w:tcW w:w="525" w:type="dxa"/>
            <w:tcBorders>
              <w:top w:val="single" w:color="auto" w:sz="4" w:space="0"/>
              <w:left w:val="single" w:color="auto" w:sz="4" w:space="0"/>
              <w:bottom w:val="single" w:color="auto" w:sz="4" w:space="0"/>
              <w:right w:val="single" w:color="auto" w:sz="4" w:space="0"/>
            </w:tcBorders>
            <w:vAlign w:val="center"/>
          </w:tcPr>
          <w:p w14:paraId="74F880DE">
            <w:pPr>
              <w:snapToGrid w:val="0"/>
              <w:spacing w:line="360" w:lineRule="exact"/>
              <w:rPr>
                <w:rFonts w:ascii="宋体" w:hAnsi="宋体"/>
                <w:color w:val="auto"/>
                <w:szCs w:val="21"/>
                <w:highlight w:val="none"/>
              </w:rPr>
            </w:pPr>
          </w:p>
        </w:tc>
        <w:tc>
          <w:tcPr>
            <w:tcW w:w="695" w:type="dxa"/>
            <w:tcBorders>
              <w:top w:val="single" w:color="auto" w:sz="4" w:space="0"/>
              <w:left w:val="single" w:color="auto" w:sz="4" w:space="0"/>
              <w:bottom w:val="single" w:color="auto" w:sz="4" w:space="0"/>
              <w:right w:val="single" w:color="auto" w:sz="4" w:space="0"/>
            </w:tcBorders>
            <w:vAlign w:val="center"/>
          </w:tcPr>
          <w:p w14:paraId="7C74BFAD">
            <w:pPr>
              <w:snapToGrid w:val="0"/>
              <w:spacing w:line="360" w:lineRule="exact"/>
              <w:rPr>
                <w:rFonts w:ascii="宋体" w:hAnsi="宋体"/>
                <w:color w:val="auto"/>
                <w:szCs w:val="21"/>
                <w:highlight w:val="none"/>
              </w:rPr>
            </w:pPr>
          </w:p>
        </w:tc>
        <w:tc>
          <w:tcPr>
            <w:tcW w:w="906" w:type="dxa"/>
            <w:tcBorders>
              <w:top w:val="single" w:color="auto" w:sz="4" w:space="0"/>
              <w:left w:val="single" w:color="auto" w:sz="4" w:space="0"/>
              <w:bottom w:val="single" w:color="auto" w:sz="4" w:space="0"/>
              <w:right w:val="single" w:color="auto" w:sz="4" w:space="0"/>
            </w:tcBorders>
            <w:vAlign w:val="center"/>
          </w:tcPr>
          <w:p w14:paraId="25EA59F1">
            <w:pPr>
              <w:snapToGrid w:val="0"/>
              <w:spacing w:line="360" w:lineRule="exact"/>
              <w:rPr>
                <w:rFonts w:ascii="宋体" w:hAnsi="宋体"/>
                <w:color w:val="auto"/>
                <w:szCs w:val="21"/>
                <w:highlight w:val="none"/>
              </w:rPr>
            </w:pPr>
          </w:p>
        </w:tc>
        <w:tc>
          <w:tcPr>
            <w:tcW w:w="851" w:type="dxa"/>
            <w:tcBorders>
              <w:top w:val="single" w:color="auto" w:sz="4" w:space="0"/>
              <w:left w:val="single" w:color="auto" w:sz="4" w:space="0"/>
              <w:bottom w:val="single" w:color="auto" w:sz="4" w:space="0"/>
              <w:right w:val="single" w:color="auto" w:sz="4" w:space="0"/>
            </w:tcBorders>
            <w:vAlign w:val="center"/>
          </w:tcPr>
          <w:p w14:paraId="2A894366">
            <w:pPr>
              <w:snapToGrid w:val="0"/>
              <w:spacing w:line="360" w:lineRule="exact"/>
              <w:rPr>
                <w:rFonts w:ascii="宋体" w:hAnsi="宋体"/>
                <w:color w:val="auto"/>
                <w:szCs w:val="21"/>
                <w:highlight w:val="none"/>
              </w:rPr>
            </w:pPr>
          </w:p>
        </w:tc>
        <w:tc>
          <w:tcPr>
            <w:tcW w:w="1363" w:type="dxa"/>
            <w:tcBorders>
              <w:top w:val="single" w:color="auto" w:sz="4" w:space="0"/>
              <w:left w:val="single" w:color="auto" w:sz="4" w:space="0"/>
              <w:bottom w:val="single" w:color="auto" w:sz="4" w:space="0"/>
              <w:right w:val="single" w:color="auto" w:sz="4" w:space="0"/>
            </w:tcBorders>
            <w:vAlign w:val="center"/>
          </w:tcPr>
          <w:p w14:paraId="6EEB7984">
            <w:pPr>
              <w:spacing w:line="360" w:lineRule="exact"/>
              <w:jc w:val="center"/>
              <w:rPr>
                <w:rFonts w:ascii="宋体" w:hAnsi="宋体"/>
                <w:color w:val="auto"/>
                <w:szCs w:val="21"/>
                <w:highlight w:val="none"/>
              </w:rPr>
            </w:pPr>
          </w:p>
        </w:tc>
        <w:tc>
          <w:tcPr>
            <w:tcW w:w="1070" w:type="dxa"/>
            <w:tcBorders>
              <w:top w:val="single" w:color="auto" w:sz="4" w:space="0"/>
              <w:left w:val="single" w:color="auto" w:sz="4" w:space="0"/>
              <w:bottom w:val="single" w:color="auto" w:sz="4" w:space="0"/>
              <w:right w:val="single" w:color="auto" w:sz="4" w:space="0"/>
            </w:tcBorders>
            <w:vAlign w:val="center"/>
          </w:tcPr>
          <w:p w14:paraId="5AA1B882">
            <w:pPr>
              <w:snapToGrid w:val="0"/>
              <w:spacing w:line="360" w:lineRule="exact"/>
              <w:rPr>
                <w:rFonts w:ascii="宋体" w:hAnsi="宋体"/>
                <w:color w:val="auto"/>
                <w:szCs w:val="21"/>
                <w:highlight w:val="none"/>
              </w:rPr>
            </w:pPr>
          </w:p>
        </w:tc>
        <w:tc>
          <w:tcPr>
            <w:tcW w:w="1564" w:type="dxa"/>
            <w:tcBorders>
              <w:top w:val="single" w:color="auto" w:sz="4" w:space="0"/>
              <w:left w:val="single" w:color="auto" w:sz="4" w:space="0"/>
              <w:bottom w:val="single" w:color="auto" w:sz="4" w:space="0"/>
              <w:right w:val="single" w:color="auto" w:sz="4" w:space="0"/>
            </w:tcBorders>
            <w:vAlign w:val="center"/>
          </w:tcPr>
          <w:p w14:paraId="0930414D">
            <w:pPr>
              <w:snapToGrid w:val="0"/>
              <w:spacing w:line="360" w:lineRule="exact"/>
              <w:rPr>
                <w:rFonts w:ascii="宋体" w:hAnsi="宋体"/>
                <w:color w:val="auto"/>
                <w:szCs w:val="21"/>
                <w:highlight w:val="none"/>
              </w:rPr>
            </w:pPr>
          </w:p>
        </w:tc>
      </w:tr>
      <w:tr w14:paraId="12D2F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trPr>
        <w:tc>
          <w:tcPr>
            <w:tcW w:w="9706" w:type="dxa"/>
            <w:gridSpan w:val="10"/>
            <w:tcBorders>
              <w:top w:val="single" w:color="auto" w:sz="4" w:space="0"/>
              <w:left w:val="single" w:color="auto" w:sz="4" w:space="0"/>
              <w:bottom w:val="single" w:color="auto" w:sz="4" w:space="0"/>
              <w:right w:val="single" w:color="auto" w:sz="4" w:space="0"/>
            </w:tcBorders>
            <w:vAlign w:val="center"/>
          </w:tcPr>
          <w:p w14:paraId="60E02AB3">
            <w:pPr>
              <w:snapToGrid w:val="0"/>
              <w:spacing w:line="360" w:lineRule="exact"/>
              <w:rPr>
                <w:rFonts w:ascii="宋体" w:hAnsi="宋体"/>
                <w:color w:val="auto"/>
                <w:szCs w:val="21"/>
                <w:highlight w:val="none"/>
              </w:rPr>
            </w:pPr>
            <w:r>
              <w:rPr>
                <w:rFonts w:hint="eastAsia" w:ascii="宋体" w:hAnsi="宋体"/>
                <w:color w:val="auto"/>
                <w:highlight w:val="none"/>
              </w:rPr>
              <w:t xml:space="preserve">（合计金额）大写：                  </w:t>
            </w:r>
            <w:r>
              <w:rPr>
                <w:rFonts w:hint="eastAsia" w:ascii="宋体" w:hAnsi="宋体"/>
                <w:color w:val="auto"/>
                <w:spacing w:val="20"/>
                <w:highlight w:val="none"/>
              </w:rPr>
              <w:t>人民币（¥               ）</w:t>
            </w:r>
          </w:p>
        </w:tc>
      </w:tr>
    </w:tbl>
    <w:p w14:paraId="430E1635">
      <w:pPr>
        <w:snapToGrid w:val="0"/>
        <w:spacing w:line="400" w:lineRule="exact"/>
        <w:ind w:firstLine="420" w:firstLineChars="200"/>
        <w:rPr>
          <w:rFonts w:hAnsi="宋体"/>
          <w:color w:val="auto"/>
          <w:szCs w:val="21"/>
          <w:highlight w:val="none"/>
        </w:rPr>
      </w:pPr>
      <w:r>
        <w:rPr>
          <w:rFonts w:hint="eastAsia" w:ascii="宋体" w:hAnsi="宋体"/>
          <w:color w:val="auto"/>
          <w:highlight w:val="none"/>
        </w:rPr>
        <w:t>2.合同合计金额包括：本次采购范围内货物价款、标准附件、备品备件、专用工具、辅材、安装调试及改造、包装、运输、装卸、保险费、各类税费、产品检测、检验费、验收费、售后服务、技术培训费（包括但不限于场地费、教材费用等）、技术资料、涉及的人工、差旅以及其他与本项目有关的未列明的一切费用。</w:t>
      </w:r>
    </w:p>
    <w:p w14:paraId="0E76BA7C">
      <w:pPr>
        <w:snapToGrid w:val="0"/>
        <w:spacing w:line="400" w:lineRule="exact"/>
        <w:rPr>
          <w:rFonts w:ascii="宋体" w:hAnsi="宋体"/>
          <w:b/>
          <w:color w:val="auto"/>
          <w:highlight w:val="none"/>
        </w:rPr>
      </w:pPr>
      <w:r>
        <w:rPr>
          <w:rFonts w:hint="eastAsia" w:ascii="宋体" w:hAnsi="宋体"/>
          <w:b/>
          <w:color w:val="auto"/>
          <w:highlight w:val="none"/>
        </w:rPr>
        <w:t>第二条 质量保证</w:t>
      </w:r>
    </w:p>
    <w:p w14:paraId="7BDCE89B">
      <w:pPr>
        <w:snapToGrid w:val="0"/>
        <w:spacing w:line="400" w:lineRule="exact"/>
        <w:ind w:firstLine="420" w:firstLineChars="200"/>
        <w:rPr>
          <w:rFonts w:ascii="宋体" w:hAnsi="宋体"/>
          <w:color w:val="auto"/>
          <w:highlight w:val="none"/>
        </w:rPr>
      </w:pPr>
      <w:r>
        <w:rPr>
          <w:rFonts w:hint="eastAsia" w:ascii="宋体" w:hAnsi="宋体"/>
          <w:color w:val="auto"/>
          <w:highlight w:val="none"/>
        </w:rPr>
        <w:t>1.乙方所提供的产品名称、商标品牌、生产厂家、规格型号、技术参数等内容必须与采购文件规定及响应文件承诺相一致。乙方提供的节能和环保产品必须是列入政府采购品目清单的产品。</w:t>
      </w:r>
    </w:p>
    <w:p w14:paraId="64D48009">
      <w:pPr>
        <w:snapToGrid w:val="0"/>
        <w:spacing w:line="400" w:lineRule="exact"/>
        <w:ind w:firstLine="420" w:firstLineChars="200"/>
        <w:rPr>
          <w:rFonts w:ascii="宋体" w:hAnsi="宋体"/>
          <w:color w:val="auto"/>
          <w:highlight w:val="none"/>
        </w:rPr>
      </w:pPr>
      <w:r>
        <w:rPr>
          <w:rFonts w:hint="eastAsia" w:ascii="宋体" w:hAnsi="宋体"/>
          <w:color w:val="auto"/>
          <w:highlight w:val="none"/>
        </w:rPr>
        <w:t>2.本项目执行国家相关标准、行业标准、地方标准或者其他标准、规范。如具体采购需求与标准、规范不一致的，高于标准、规范的按具体采购需求执行；低于标准、规范的按标准、规范执行。乙方所提供的货物必须是全新、未使用的原装产品，且在正常安装、使用和保养条件下，其使用寿命期内各项指标均达到采购文件规定或响应文件承诺的质量要求。</w:t>
      </w:r>
    </w:p>
    <w:p w14:paraId="4740D1AE">
      <w:pPr>
        <w:snapToGrid w:val="0"/>
        <w:spacing w:line="400" w:lineRule="exact"/>
        <w:rPr>
          <w:rFonts w:ascii="宋体" w:hAnsi="宋体"/>
          <w:b/>
          <w:color w:val="auto"/>
          <w:highlight w:val="none"/>
        </w:rPr>
      </w:pPr>
      <w:r>
        <w:rPr>
          <w:rFonts w:hint="eastAsia" w:ascii="宋体" w:hAnsi="宋体"/>
          <w:b/>
          <w:color w:val="auto"/>
          <w:highlight w:val="none"/>
        </w:rPr>
        <w:t>第三条 权利保证</w:t>
      </w:r>
    </w:p>
    <w:p w14:paraId="1CB8D615">
      <w:pPr>
        <w:snapToGrid w:val="0"/>
        <w:spacing w:line="400" w:lineRule="exact"/>
        <w:ind w:firstLine="420" w:firstLineChars="200"/>
        <w:rPr>
          <w:rFonts w:ascii="宋体" w:hAnsi="宋体"/>
          <w:color w:val="auto"/>
          <w:highlight w:val="none"/>
        </w:rPr>
      </w:pPr>
      <w:r>
        <w:rPr>
          <w:rFonts w:hint="eastAsia" w:ascii="宋体" w:hAnsi="宋体"/>
          <w:color w:val="auto"/>
          <w:highlight w:val="none"/>
        </w:rPr>
        <w:t>1.甲方在履行合同过程中提供给乙方的全部图纸、文件和其他含有数据和信息的资料，其知识产权属于甲方。</w:t>
      </w:r>
    </w:p>
    <w:p w14:paraId="79F99D3F">
      <w:pPr>
        <w:snapToGrid w:val="0"/>
        <w:spacing w:line="400" w:lineRule="exact"/>
        <w:ind w:firstLine="420" w:firstLineChars="200"/>
        <w:rPr>
          <w:rFonts w:ascii="宋体" w:hAnsi="宋体"/>
          <w:color w:val="auto"/>
          <w:highlight w:val="none"/>
        </w:rPr>
      </w:pPr>
      <w:r>
        <w:rPr>
          <w:rFonts w:hint="eastAsia" w:ascii="宋体" w:hAnsi="宋体"/>
          <w:color w:val="auto"/>
          <w:highlight w:val="none"/>
        </w:rPr>
        <w:t>2.乙方应保证所提供货物在使用时不会侵犯任何第三方的知识产权或者其他权利。如合同货物涉及知识产权，则乙方保证甲方在使用合同货物过程中免于受到第三方提出的有关知识产权侵权的主张、索赔或诉讼的伤害。</w:t>
      </w:r>
    </w:p>
    <w:p w14:paraId="78126DDF">
      <w:pPr>
        <w:snapToGrid w:val="0"/>
        <w:spacing w:line="400" w:lineRule="exact"/>
        <w:ind w:firstLine="420" w:firstLineChars="200"/>
        <w:rPr>
          <w:rFonts w:ascii="宋体" w:hAnsi="宋体"/>
          <w:color w:val="auto"/>
          <w:highlight w:val="none"/>
        </w:rPr>
      </w:pPr>
      <w:r>
        <w:rPr>
          <w:rFonts w:hint="eastAsia" w:ascii="宋体" w:hAnsi="宋体"/>
          <w:color w:val="auto"/>
          <w:highlight w:val="none"/>
        </w:rPr>
        <w:t>3.如果甲方收到任何第三方有关知识产权的主张、索赔或诉讼，乙方在收到甲方通知后，应以甲方名义并在甲方的协助下，自负费用处理与第三方的索赔或诉讼，并赔偿甲方因此发生的费用和遭受的损失。如果乙方拒绝处理前述索赔或诉讼或在收到甲方通知后28日内未作表示，甲方可以自己的名义进行这些索赔或诉讼，因此发生的费用和遭受的损失均应由乙方承担。</w:t>
      </w:r>
    </w:p>
    <w:p w14:paraId="760E0B1B">
      <w:pPr>
        <w:snapToGrid w:val="0"/>
        <w:spacing w:line="400" w:lineRule="exact"/>
        <w:ind w:firstLine="420" w:firstLineChars="200"/>
        <w:rPr>
          <w:rFonts w:ascii="宋体" w:hAnsi="宋体"/>
          <w:color w:val="auto"/>
          <w:highlight w:val="none"/>
        </w:rPr>
      </w:pPr>
      <w:r>
        <w:rPr>
          <w:rFonts w:hint="eastAsia" w:ascii="宋体" w:hAnsi="宋体"/>
          <w:color w:val="auto"/>
          <w:highlight w:val="none"/>
        </w:rPr>
        <w:t>4.乙方应按采购文件规定或响应文件承诺的时间向甲方提供使用货物的有关技术资料。</w:t>
      </w:r>
    </w:p>
    <w:p w14:paraId="13CCF7D5">
      <w:pPr>
        <w:snapToGrid w:val="0"/>
        <w:spacing w:line="400" w:lineRule="exact"/>
        <w:ind w:firstLine="420" w:firstLineChars="200"/>
        <w:rPr>
          <w:rFonts w:ascii="宋体" w:hAnsi="宋体"/>
          <w:color w:val="auto"/>
          <w:highlight w:val="none"/>
        </w:rPr>
      </w:pPr>
      <w:r>
        <w:rPr>
          <w:rFonts w:hint="eastAsia" w:ascii="宋体" w:hAnsi="宋体"/>
          <w:color w:val="auto"/>
          <w:highlight w:val="none"/>
        </w:rPr>
        <w:t>5.未经甲方书面同意，乙方不得将由甲方提供的有关合同或任何合同条款、规格、计划、图纸、样品或资料提供给与履行本合同无关的任何其他人。即使向履行本合同有关的人员提供，也应注意保密并限于履行合同的必需范围。</w:t>
      </w:r>
    </w:p>
    <w:p w14:paraId="394C64F2">
      <w:pPr>
        <w:snapToGrid w:val="0"/>
        <w:spacing w:line="400" w:lineRule="exact"/>
        <w:ind w:firstLine="420" w:firstLineChars="200"/>
        <w:rPr>
          <w:rFonts w:ascii="宋体" w:hAnsi="宋体"/>
          <w:color w:val="auto"/>
          <w:highlight w:val="none"/>
        </w:rPr>
      </w:pPr>
      <w:r>
        <w:rPr>
          <w:rFonts w:hint="eastAsia" w:ascii="宋体" w:hAnsi="宋体"/>
          <w:color w:val="auto"/>
          <w:highlight w:val="none"/>
        </w:rPr>
        <w:t>6.乙方保证将要交付的货物的所有权完全属于乙方且无任何抵押、质押、查封等产权瑕疵。</w:t>
      </w:r>
    </w:p>
    <w:p w14:paraId="42C96517">
      <w:pPr>
        <w:snapToGrid w:val="0"/>
        <w:spacing w:line="400" w:lineRule="exact"/>
        <w:rPr>
          <w:rFonts w:ascii="宋体" w:hAnsi="宋体"/>
          <w:b/>
          <w:color w:val="auto"/>
          <w:highlight w:val="none"/>
        </w:rPr>
      </w:pPr>
      <w:r>
        <w:rPr>
          <w:rFonts w:hint="eastAsia" w:ascii="宋体" w:hAnsi="宋体"/>
          <w:b/>
          <w:color w:val="auto"/>
          <w:highlight w:val="none"/>
        </w:rPr>
        <w:t>第四条 货物包装、发运及运输</w:t>
      </w:r>
    </w:p>
    <w:p w14:paraId="433800A4">
      <w:pPr>
        <w:snapToGrid w:val="0"/>
        <w:spacing w:line="400" w:lineRule="exact"/>
        <w:ind w:firstLine="420" w:firstLineChars="200"/>
        <w:rPr>
          <w:rFonts w:ascii="宋体" w:hAnsi="宋体"/>
          <w:color w:val="auto"/>
          <w:highlight w:val="none"/>
        </w:rPr>
      </w:pPr>
      <w:r>
        <w:rPr>
          <w:rFonts w:hint="eastAsia" w:ascii="宋体" w:hAnsi="宋体"/>
          <w:color w:val="auto"/>
          <w:highlight w:val="none"/>
        </w:rPr>
        <w:t>1.乙方提供的货物均应按采购文件规定或响应文件承诺的要求的包装材料、包装标准、包装方式进行包装，每一包装单元内应附详细的装箱单和质量合格证。</w:t>
      </w:r>
    </w:p>
    <w:p w14:paraId="567D72E3">
      <w:pPr>
        <w:snapToGrid w:val="0"/>
        <w:spacing w:line="400" w:lineRule="exact"/>
        <w:ind w:firstLine="420" w:firstLineChars="200"/>
        <w:rPr>
          <w:rFonts w:ascii="宋体" w:hAnsi="宋体"/>
          <w:color w:val="auto"/>
          <w:highlight w:val="none"/>
        </w:rPr>
      </w:pPr>
      <w:r>
        <w:rPr>
          <w:rFonts w:hint="eastAsia" w:ascii="宋体" w:hAnsi="宋体"/>
          <w:color w:val="auto"/>
          <w:highlight w:val="none"/>
        </w:rPr>
        <w:t>2.乙方应在货物发运前对其进行满足运输距离、防水、防潮、防震、防锈和防破损装卸等要求包装，以保证货物安全运达甲方指定地点。</w:t>
      </w:r>
    </w:p>
    <w:p w14:paraId="25AD4A1B">
      <w:pPr>
        <w:snapToGrid w:val="0"/>
        <w:spacing w:line="400" w:lineRule="exact"/>
        <w:ind w:firstLine="420" w:firstLineChars="200"/>
        <w:rPr>
          <w:rFonts w:ascii="宋体" w:hAnsi="宋体"/>
          <w:color w:val="auto"/>
          <w:highlight w:val="none"/>
        </w:rPr>
      </w:pPr>
      <w:r>
        <w:rPr>
          <w:rFonts w:hint="eastAsia" w:ascii="宋体" w:hAnsi="宋体"/>
          <w:color w:val="auto"/>
          <w:highlight w:val="none"/>
        </w:rPr>
        <w:t>3.货物在交付甲方前发生的风险均由乙方负责。</w:t>
      </w:r>
    </w:p>
    <w:p w14:paraId="0400A6E8">
      <w:pPr>
        <w:snapToGrid w:val="0"/>
        <w:spacing w:line="400" w:lineRule="exact"/>
        <w:ind w:firstLine="420" w:firstLineChars="200"/>
        <w:rPr>
          <w:rFonts w:ascii="宋体" w:hAnsi="宋体"/>
          <w:color w:val="auto"/>
          <w:highlight w:val="none"/>
        </w:rPr>
      </w:pPr>
      <w:r>
        <w:rPr>
          <w:rFonts w:hint="eastAsia" w:ascii="宋体" w:hAnsi="宋体"/>
          <w:color w:val="auto"/>
          <w:highlight w:val="none"/>
        </w:rPr>
        <w:t>4.使用说明书、质量检验证明书、随配附件和工具以及清单一并附于货物内，进口设备必须提供报关单。</w:t>
      </w:r>
    </w:p>
    <w:p w14:paraId="280FD57E">
      <w:pPr>
        <w:snapToGrid w:val="0"/>
        <w:spacing w:line="400" w:lineRule="exact"/>
        <w:rPr>
          <w:rFonts w:ascii="宋体" w:hAnsi="宋体"/>
          <w:b/>
          <w:color w:val="auto"/>
          <w:highlight w:val="none"/>
        </w:rPr>
      </w:pPr>
      <w:r>
        <w:rPr>
          <w:rFonts w:hint="eastAsia" w:ascii="宋体" w:hAnsi="宋体"/>
          <w:b/>
          <w:color w:val="auto"/>
          <w:highlight w:val="none"/>
        </w:rPr>
        <w:t>第五条 交付</w:t>
      </w:r>
    </w:p>
    <w:p w14:paraId="027E19FE">
      <w:pPr>
        <w:snapToGrid w:val="0"/>
        <w:spacing w:line="400" w:lineRule="exact"/>
        <w:ind w:firstLine="420" w:firstLineChars="200"/>
        <w:rPr>
          <w:rFonts w:ascii="宋体" w:hAnsi="宋体"/>
          <w:color w:val="auto"/>
          <w:highlight w:val="none"/>
        </w:rPr>
      </w:pPr>
      <w:r>
        <w:rPr>
          <w:rFonts w:hint="eastAsia" w:ascii="宋体" w:hAnsi="宋体"/>
          <w:color w:val="auto"/>
          <w:highlight w:val="none"/>
        </w:rPr>
        <w:t>1.交货时间：</w:t>
      </w:r>
      <w:r>
        <w:rPr>
          <w:rFonts w:hint="eastAsia" w:ascii="宋体" w:hAnsi="宋体"/>
          <w:color w:val="auto"/>
          <w:highlight w:val="none"/>
          <w:u w:val="single"/>
        </w:rPr>
        <w:t xml:space="preserve">                      </w:t>
      </w:r>
      <w:r>
        <w:rPr>
          <w:rFonts w:hint="eastAsia" w:ascii="宋体" w:hAnsi="宋体"/>
          <w:color w:val="auto"/>
          <w:highlight w:val="none"/>
        </w:rPr>
        <w:t>【按乙方响应文件中承诺的不超过采购文件要求的时间】；交付地点：</w:t>
      </w:r>
      <w:r>
        <w:rPr>
          <w:rFonts w:hint="eastAsia" w:ascii="宋体" w:hAnsi="宋体"/>
          <w:color w:val="auto"/>
          <w:highlight w:val="none"/>
          <w:u w:val="single"/>
        </w:rPr>
        <w:t>广西桂林市甲方校内指定地点</w:t>
      </w:r>
      <w:r>
        <w:rPr>
          <w:rFonts w:hint="eastAsia" w:ascii="宋体" w:hAnsi="宋体"/>
          <w:color w:val="auto"/>
          <w:highlight w:val="none"/>
        </w:rPr>
        <w:t>。乙方需在规定的交付期限内将货物送达甲方指定的地点，同时通知甲方货物已送达。</w:t>
      </w:r>
    </w:p>
    <w:p w14:paraId="3AB7E93C">
      <w:pPr>
        <w:snapToGrid w:val="0"/>
        <w:spacing w:line="400" w:lineRule="exact"/>
        <w:ind w:firstLine="420" w:firstLineChars="200"/>
        <w:rPr>
          <w:rFonts w:ascii="宋体" w:hAnsi="宋体"/>
          <w:color w:val="auto"/>
          <w:highlight w:val="none"/>
        </w:rPr>
      </w:pPr>
      <w:r>
        <w:rPr>
          <w:rFonts w:hint="eastAsia" w:ascii="宋体" w:hAnsi="宋体"/>
          <w:color w:val="auto"/>
          <w:highlight w:val="none"/>
        </w:rPr>
        <w:t>2.乙方提供不符合采购文件规定或响应文件承诺的和本合同规定的货物，甲方有权拒绝接受。</w:t>
      </w:r>
    </w:p>
    <w:p w14:paraId="3C7B72F9">
      <w:pPr>
        <w:snapToGrid w:val="0"/>
        <w:spacing w:line="400" w:lineRule="exact"/>
        <w:ind w:firstLine="420" w:firstLineChars="200"/>
        <w:rPr>
          <w:rFonts w:ascii="宋体" w:hAnsi="宋体"/>
          <w:color w:val="auto"/>
          <w:highlight w:val="none"/>
        </w:rPr>
      </w:pPr>
      <w:r>
        <w:rPr>
          <w:rFonts w:hint="eastAsia" w:ascii="宋体" w:hAnsi="宋体"/>
          <w:color w:val="auto"/>
          <w:highlight w:val="none"/>
        </w:rPr>
        <w:t>3.乙方应将所提供货物的装箱清单、用户手册、原厂保修卡、随机资料、工具和备品、备件等交付给甲方，货物属于进口产品的，供货时应同时附上中文使用说明书，如有缺失应在合理的规定时间内补齐，否则视为逾期交货。</w:t>
      </w:r>
    </w:p>
    <w:p w14:paraId="66F69292">
      <w:pPr>
        <w:snapToGrid w:val="0"/>
        <w:spacing w:line="400" w:lineRule="exact"/>
        <w:ind w:firstLine="420" w:firstLineChars="200"/>
        <w:rPr>
          <w:rFonts w:ascii="宋体" w:hAnsi="宋体"/>
          <w:color w:val="auto"/>
          <w:highlight w:val="none"/>
        </w:rPr>
      </w:pPr>
      <w:r>
        <w:rPr>
          <w:rFonts w:hint="eastAsia" w:ascii="宋体" w:hAnsi="宋体"/>
          <w:color w:val="auto"/>
          <w:highlight w:val="none"/>
        </w:rPr>
        <w:t>4.乙方交货前应对产品作出全面检查和对验收文件进行整理，并列出清单，作为甲方收货验收和使用的技术条件依据，检验的结果应随货物交甲方。</w:t>
      </w:r>
    </w:p>
    <w:p w14:paraId="1C61DC42">
      <w:pPr>
        <w:snapToGrid w:val="0"/>
        <w:spacing w:line="400" w:lineRule="exact"/>
        <w:rPr>
          <w:rFonts w:ascii="宋体" w:hAnsi="宋体"/>
          <w:b/>
          <w:color w:val="auto"/>
          <w:highlight w:val="none"/>
        </w:rPr>
      </w:pPr>
      <w:r>
        <w:rPr>
          <w:rFonts w:hint="eastAsia" w:ascii="宋体" w:hAnsi="宋体"/>
          <w:b/>
          <w:color w:val="auto"/>
          <w:highlight w:val="none"/>
        </w:rPr>
        <w:t>第六条 安装和培训</w:t>
      </w:r>
    </w:p>
    <w:p w14:paraId="714B950F">
      <w:pPr>
        <w:snapToGrid w:val="0"/>
        <w:spacing w:line="400" w:lineRule="exact"/>
        <w:ind w:firstLine="420" w:firstLineChars="200"/>
        <w:rPr>
          <w:rFonts w:ascii="宋体" w:hAnsi="宋体"/>
          <w:color w:val="auto"/>
          <w:highlight w:val="none"/>
        </w:rPr>
      </w:pPr>
      <w:r>
        <w:rPr>
          <w:rFonts w:hint="eastAsia" w:ascii="宋体" w:hAnsi="宋体"/>
          <w:color w:val="auto"/>
          <w:highlight w:val="none"/>
        </w:rPr>
        <w:t>1.甲方应提供必要安装条件（如场地、电源、水源等）。</w:t>
      </w:r>
    </w:p>
    <w:p w14:paraId="7BA24C6B">
      <w:pPr>
        <w:snapToGrid w:val="0"/>
        <w:spacing w:line="400" w:lineRule="exact"/>
        <w:ind w:firstLine="420" w:firstLineChars="200"/>
        <w:rPr>
          <w:rFonts w:ascii="宋体" w:hAnsi="宋体"/>
          <w:color w:val="auto"/>
          <w:highlight w:val="none"/>
        </w:rPr>
      </w:pPr>
      <w:r>
        <w:rPr>
          <w:rFonts w:hint="eastAsia" w:ascii="宋体" w:hAnsi="宋体"/>
          <w:color w:val="auto"/>
          <w:highlight w:val="none"/>
        </w:rPr>
        <w:t>2.乙方应当按照响应文件的承诺对甲方有关人员进行培训。培训时间、地点：</w:t>
      </w:r>
      <w:r>
        <w:rPr>
          <w:rFonts w:hint="eastAsia" w:ascii="宋体" w:hAnsi="宋体"/>
          <w:color w:val="auto"/>
          <w:highlight w:val="none"/>
          <w:u w:val="single"/>
        </w:rPr>
        <w:t>由甲方指定。</w:t>
      </w:r>
    </w:p>
    <w:p w14:paraId="1C5A9B56">
      <w:pPr>
        <w:snapToGrid w:val="0"/>
        <w:spacing w:line="400" w:lineRule="exact"/>
        <w:rPr>
          <w:rFonts w:ascii="宋体" w:hAnsi="宋体"/>
          <w:b/>
          <w:color w:val="auto"/>
          <w:highlight w:val="none"/>
        </w:rPr>
      </w:pPr>
      <w:r>
        <w:rPr>
          <w:rFonts w:hint="eastAsia" w:ascii="宋体" w:hAnsi="宋体"/>
          <w:b/>
          <w:color w:val="auto"/>
          <w:highlight w:val="none"/>
        </w:rPr>
        <w:t>第七条  调试和验收</w:t>
      </w:r>
    </w:p>
    <w:p w14:paraId="5B05EC76">
      <w:pPr>
        <w:snapToGrid w:val="0"/>
        <w:spacing w:line="400" w:lineRule="exact"/>
        <w:ind w:firstLine="420" w:firstLineChars="200"/>
        <w:rPr>
          <w:rFonts w:ascii="宋体" w:hAnsi="宋体"/>
          <w:color w:val="auto"/>
          <w:highlight w:val="none"/>
        </w:rPr>
      </w:pPr>
      <w:r>
        <w:rPr>
          <w:rFonts w:hint="eastAsia" w:ascii="宋体" w:hAnsi="宋体"/>
          <w:color w:val="auto"/>
          <w:highlight w:val="none"/>
        </w:rPr>
        <w:t>1.甲方对乙方提交的货物依据采购文件上的技术规格要求和国家有关质量标准进行现场初步验收，外观、说明书符合采购文件技术要求的，给予签收，初步验收不合格的不予签收。</w:t>
      </w:r>
    </w:p>
    <w:p w14:paraId="0D4D49E1">
      <w:pPr>
        <w:snapToGrid w:val="0"/>
        <w:spacing w:line="400" w:lineRule="exact"/>
        <w:ind w:firstLine="420" w:firstLineChars="200"/>
        <w:rPr>
          <w:rFonts w:ascii="宋体" w:hAnsi="宋体"/>
          <w:color w:val="auto"/>
          <w:highlight w:val="none"/>
        </w:rPr>
      </w:pPr>
      <w:r>
        <w:rPr>
          <w:rFonts w:hint="eastAsia" w:ascii="宋体" w:hAnsi="宋体"/>
          <w:color w:val="auto"/>
          <w:highlight w:val="none"/>
        </w:rPr>
        <w:t>2.乙方交货前应对产品作出全面检查和对验收文件进行整理，并列出清单，作为甲方收货验收和使用的技术条件依据，检验的结果应随货物交甲方。</w:t>
      </w:r>
    </w:p>
    <w:p w14:paraId="6917FC80">
      <w:pPr>
        <w:snapToGrid w:val="0"/>
        <w:spacing w:line="400" w:lineRule="exact"/>
        <w:ind w:firstLine="420" w:firstLineChars="200"/>
        <w:rPr>
          <w:rFonts w:hAnsi="宋体"/>
          <w:color w:val="auto"/>
          <w:highlight w:val="none"/>
        </w:rPr>
      </w:pPr>
      <w:r>
        <w:rPr>
          <w:rFonts w:hint="eastAsia" w:ascii="宋体" w:hAnsi="宋体"/>
          <w:color w:val="auto"/>
          <w:highlight w:val="none"/>
        </w:rPr>
        <w:t>3.甲方对乙方提供的货物在使用前进行调试时，乙方需负责安装并培训甲方的使用操作人员，并协助甲方一起调试，直到货物安装调试后符合技术要求，甲方才做最终验收。</w:t>
      </w:r>
    </w:p>
    <w:p w14:paraId="583EAA71">
      <w:pPr>
        <w:snapToGrid w:val="0"/>
        <w:spacing w:line="400" w:lineRule="exact"/>
        <w:ind w:firstLine="420" w:firstLineChars="200"/>
        <w:rPr>
          <w:rFonts w:ascii="宋体" w:hAnsi="宋体"/>
          <w:color w:val="auto"/>
          <w:highlight w:val="none"/>
        </w:rPr>
      </w:pPr>
      <w:r>
        <w:rPr>
          <w:rFonts w:hint="eastAsia" w:ascii="宋体" w:hAnsi="宋体"/>
          <w:color w:val="auto"/>
          <w:highlight w:val="none"/>
        </w:rPr>
        <w:t>4.甲方应当在到货（安装、调试完成）后，由甲方确认货物满足验收条件后</w:t>
      </w:r>
      <w:r>
        <w:rPr>
          <w:rFonts w:hint="eastAsia" w:ascii="宋体" w:hAnsi="宋体"/>
          <w:color w:val="auto"/>
          <w:highlight w:val="none"/>
          <w:u w:val="single"/>
        </w:rPr>
        <w:t>7个工作日</w:t>
      </w:r>
      <w:r>
        <w:rPr>
          <w:rFonts w:hint="eastAsia" w:ascii="宋体" w:hAnsi="宋体"/>
          <w:color w:val="auto"/>
          <w:highlight w:val="none"/>
        </w:rPr>
        <w:t>内进行验收，逾期不验收的，乙方可视同验收合格。验收时乙方必须在现场，验收完毕后作出验收结果报告，验收合格后由甲乙双方签署验收报告单，甲乙双方各执一份，验收费用由乙方负责。</w:t>
      </w:r>
    </w:p>
    <w:p w14:paraId="771D9920">
      <w:pPr>
        <w:snapToGrid w:val="0"/>
        <w:spacing w:line="400" w:lineRule="exact"/>
        <w:ind w:firstLine="420" w:firstLineChars="200"/>
        <w:rPr>
          <w:rFonts w:ascii="宋体" w:hAnsi="宋体"/>
          <w:color w:val="auto"/>
          <w:highlight w:val="none"/>
        </w:rPr>
      </w:pPr>
      <w:r>
        <w:rPr>
          <w:rFonts w:hint="eastAsia" w:ascii="宋体" w:hAnsi="宋体"/>
          <w:color w:val="auto"/>
          <w:highlight w:val="none"/>
        </w:rPr>
        <w:t>5.甲方委托采购代理机构组织的验收项目，其验收时间以该项目验收方案确定的验收时间为准，验收结果以该项目验收报告结论为准。</w:t>
      </w:r>
    </w:p>
    <w:p w14:paraId="458845EE">
      <w:pPr>
        <w:snapToGrid w:val="0"/>
        <w:spacing w:line="400" w:lineRule="exact"/>
        <w:ind w:firstLine="420" w:firstLineChars="200"/>
        <w:rPr>
          <w:rFonts w:ascii="宋体" w:hAnsi="宋体"/>
          <w:color w:val="auto"/>
          <w:highlight w:val="none"/>
        </w:rPr>
      </w:pPr>
      <w:r>
        <w:rPr>
          <w:rFonts w:hint="eastAsia" w:ascii="宋体" w:hAnsi="宋体"/>
          <w:color w:val="auto"/>
          <w:highlight w:val="none"/>
        </w:rPr>
        <w:t>6.在验收过程中发现乙方有违约问题，可暂缓资金结算，待违约问题解决后，方可办理资金结算事宜。</w:t>
      </w:r>
    </w:p>
    <w:p w14:paraId="17EF851E">
      <w:pPr>
        <w:snapToGrid w:val="0"/>
        <w:spacing w:line="400" w:lineRule="exact"/>
        <w:ind w:firstLine="420" w:firstLineChars="200"/>
        <w:rPr>
          <w:rFonts w:ascii="宋体" w:hAnsi="宋体"/>
          <w:color w:val="auto"/>
          <w:highlight w:val="none"/>
        </w:rPr>
      </w:pPr>
      <w:r>
        <w:rPr>
          <w:rFonts w:hint="eastAsia" w:ascii="宋体" w:hAnsi="宋体"/>
          <w:color w:val="auto"/>
          <w:highlight w:val="none"/>
        </w:rPr>
        <w:t>7.甲方对验收有异议的，在验收后5个工作日内以书面形式向乙方提出，乙方应自收到甲方书面异议后</w:t>
      </w:r>
      <w:r>
        <w:rPr>
          <w:rFonts w:hint="eastAsia" w:ascii="宋体" w:hAnsi="宋体"/>
          <w:color w:val="auto"/>
          <w:highlight w:val="none"/>
          <w:u w:val="single"/>
        </w:rPr>
        <w:t xml:space="preserve"> 10 </w:t>
      </w:r>
      <w:r>
        <w:rPr>
          <w:rFonts w:hint="eastAsia" w:ascii="宋体" w:hAnsi="宋体"/>
          <w:color w:val="auto"/>
          <w:highlight w:val="none"/>
        </w:rPr>
        <w:t>日内及时予以解决。</w:t>
      </w:r>
    </w:p>
    <w:p w14:paraId="5AD29894">
      <w:pPr>
        <w:snapToGrid w:val="0"/>
        <w:spacing w:line="400" w:lineRule="exact"/>
        <w:ind w:firstLine="420" w:firstLineChars="200"/>
        <w:rPr>
          <w:rFonts w:ascii="宋体" w:hAnsi="宋体"/>
          <w:color w:val="auto"/>
          <w:highlight w:val="none"/>
        </w:rPr>
      </w:pPr>
      <w:r>
        <w:rPr>
          <w:rFonts w:hint="eastAsia" w:ascii="宋体" w:hAnsi="宋体"/>
          <w:color w:val="auto"/>
          <w:highlight w:val="none"/>
        </w:rPr>
        <w:t>8.对技术复杂的货物，甲方应请国家认可的专业检测机构参与初步验收及最终验收，并由其出具质量检测报告。</w:t>
      </w:r>
    </w:p>
    <w:p w14:paraId="5C3446F2">
      <w:pPr>
        <w:snapToGrid w:val="0"/>
        <w:spacing w:line="400" w:lineRule="exact"/>
        <w:ind w:firstLine="420" w:firstLineChars="200"/>
        <w:rPr>
          <w:rFonts w:ascii="宋体" w:hAnsi="宋体"/>
          <w:color w:val="auto"/>
          <w:szCs w:val="21"/>
          <w:highlight w:val="none"/>
        </w:rPr>
      </w:pPr>
      <w:r>
        <w:rPr>
          <w:rStyle w:val="66"/>
          <w:rFonts w:hint="eastAsia" w:ascii="宋体" w:hAnsi="宋体"/>
          <w:color w:val="auto"/>
          <w:szCs w:val="21"/>
          <w:highlight w:val="none"/>
        </w:rPr>
        <w:t>9.设备符合国家相关标准及制造厂家合格产品的出厂质量标准。本项目执行国家相关标准、行业标准、地方标准或者其他标准、规范。如具体采购需求与标准、规范不一致的，高于标准、规范的按具体采购需求执行；低于标准、规范的按标准、规范执行。</w:t>
      </w:r>
    </w:p>
    <w:p w14:paraId="5C92A24E">
      <w:pPr>
        <w:snapToGrid w:val="0"/>
        <w:spacing w:line="400" w:lineRule="exact"/>
        <w:ind w:firstLine="420" w:firstLineChars="200"/>
        <w:rPr>
          <w:rFonts w:ascii="宋体" w:hAnsi="宋体"/>
          <w:color w:val="auto"/>
          <w:highlight w:val="none"/>
        </w:rPr>
      </w:pPr>
      <w:r>
        <w:rPr>
          <w:rStyle w:val="66"/>
          <w:rFonts w:hint="eastAsia" w:ascii="宋体" w:hAnsi="宋体"/>
          <w:color w:val="auto"/>
          <w:szCs w:val="21"/>
          <w:highlight w:val="none"/>
        </w:rPr>
        <w:t>10.验收条件及标准：设备需全新、完好、无破损，按照技术要求的各项指标进行验收</w:t>
      </w:r>
    </w:p>
    <w:p w14:paraId="006975DD">
      <w:pPr>
        <w:snapToGrid w:val="0"/>
        <w:spacing w:line="400" w:lineRule="exact"/>
        <w:ind w:firstLine="420" w:firstLineChars="200"/>
        <w:rPr>
          <w:rStyle w:val="66"/>
          <w:rFonts w:ascii="宋体" w:hAnsi="宋体"/>
          <w:color w:val="auto"/>
          <w:szCs w:val="21"/>
          <w:highlight w:val="none"/>
        </w:rPr>
      </w:pPr>
      <w:r>
        <w:rPr>
          <w:rStyle w:val="66"/>
          <w:rFonts w:hint="eastAsia" w:ascii="宋体" w:hAnsi="宋体"/>
          <w:color w:val="auto"/>
          <w:szCs w:val="21"/>
          <w:highlight w:val="none"/>
        </w:rPr>
        <w:t>11.验收方法及方案：产品到货后，由甲方负责组织验收。设备开机试运行，测试设备的技术性能指标，确认各项功能正常运行，同时检查随机文件应齐全。甲方现场根据谈判文件要求及响应文件承诺逐条对应进行核验（含测试或试运行），核验不合格的，甲方有权不予验收，同时报相关监督管理部门，由此造成甲方经济损失的由乙方承担全部赔偿责任。</w:t>
      </w:r>
    </w:p>
    <w:p w14:paraId="68DB457F">
      <w:pPr>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12.验收时，甲方有权邀请国家认可的第三方检测单位到现场进行检测，并出具检测报告，所涉及的相关费用由乙方承担（乙方应当将此费用综合考虑在报价中），甲方不再另行支付。校准不合格的，甲方不予验收。</w:t>
      </w:r>
    </w:p>
    <w:p w14:paraId="3F060B67">
      <w:pPr>
        <w:snapToGrid w:val="0"/>
        <w:spacing w:line="400" w:lineRule="exact"/>
        <w:ind w:firstLine="420" w:firstLineChars="200"/>
        <w:rPr>
          <w:rStyle w:val="66"/>
          <w:rFonts w:hint="eastAsia" w:ascii="宋体" w:hAnsi="宋体"/>
          <w:color w:val="auto"/>
          <w:szCs w:val="21"/>
          <w:highlight w:val="none"/>
        </w:rPr>
      </w:pPr>
      <w:r>
        <w:rPr>
          <w:rStyle w:val="66"/>
          <w:rFonts w:hint="eastAsia" w:ascii="宋体" w:hAnsi="宋体"/>
          <w:color w:val="auto"/>
          <w:szCs w:val="21"/>
          <w:highlight w:val="none"/>
        </w:rPr>
        <w:t>14.因产品质量问题发生争议的，应邀请国家认可的质量检测机构对产品质量进行鉴定。产品符合标准的，鉴定费由甲方承担；产品不符合标准的，鉴定费由乙方承担。</w:t>
      </w:r>
    </w:p>
    <w:p w14:paraId="0D8BCCA2">
      <w:pPr>
        <w:snapToGrid w:val="0"/>
        <w:spacing w:line="400" w:lineRule="exact"/>
        <w:ind w:firstLine="420" w:firstLineChars="200"/>
        <w:rPr>
          <w:rStyle w:val="66"/>
          <w:rFonts w:hint="eastAsia" w:ascii="宋体" w:hAnsi="宋体"/>
          <w:color w:val="auto"/>
          <w:szCs w:val="21"/>
          <w:highlight w:val="none"/>
        </w:rPr>
      </w:pPr>
      <w:r>
        <w:rPr>
          <w:rFonts w:hint="eastAsia" w:ascii="宋体" w:hAnsi="宋体" w:cs="宋体"/>
          <w:color w:val="auto"/>
          <w:szCs w:val="21"/>
          <w:highlight w:val="none"/>
          <w:lang w:val="en-US" w:eastAsia="zh-CN"/>
        </w:rPr>
        <w:t>15.</w:t>
      </w:r>
      <w:r>
        <w:rPr>
          <w:rFonts w:hint="eastAsia" w:ascii="宋体" w:hAnsi="宋体"/>
          <w:color w:val="auto"/>
          <w:szCs w:val="21"/>
          <w:highlight w:val="none"/>
          <w:lang w:eastAsia="zh-CN"/>
        </w:rPr>
        <w:t>乙方</w:t>
      </w:r>
      <w:r>
        <w:rPr>
          <w:rFonts w:hint="eastAsia" w:ascii="宋体" w:hAnsi="宋体"/>
          <w:color w:val="auto"/>
          <w:szCs w:val="21"/>
          <w:highlight w:val="none"/>
        </w:rPr>
        <w:t>于供货时必须向</w:t>
      </w:r>
      <w:r>
        <w:rPr>
          <w:rFonts w:hint="eastAsia" w:ascii="宋体" w:hAnsi="宋体"/>
          <w:color w:val="auto"/>
          <w:szCs w:val="21"/>
          <w:highlight w:val="none"/>
          <w:lang w:eastAsia="zh-CN"/>
        </w:rPr>
        <w:t>甲方</w:t>
      </w:r>
      <w:r>
        <w:rPr>
          <w:rFonts w:hint="eastAsia" w:ascii="宋体" w:hAnsi="宋体"/>
          <w:color w:val="auto"/>
          <w:szCs w:val="21"/>
          <w:highlight w:val="none"/>
        </w:rPr>
        <w:t>提供所</w:t>
      </w:r>
      <w:r>
        <w:rPr>
          <w:rFonts w:hint="eastAsia" w:ascii="宋体" w:hAnsi="宋体"/>
          <w:color w:val="auto"/>
          <w:szCs w:val="21"/>
          <w:highlight w:val="none"/>
          <w:lang w:eastAsia="zh-CN"/>
        </w:rPr>
        <w:t>竞第</w:t>
      </w:r>
      <w:r>
        <w:rPr>
          <w:rFonts w:hint="eastAsia" w:ascii="宋体" w:hAnsi="宋体"/>
          <w:color w:val="auto"/>
          <w:szCs w:val="21"/>
          <w:highlight w:val="none"/>
        </w:rPr>
        <w:t>1</w:t>
      </w:r>
      <w:r>
        <w:rPr>
          <w:rFonts w:ascii="宋体" w:hAnsi="宋体"/>
          <w:color w:val="auto"/>
          <w:szCs w:val="21"/>
          <w:highlight w:val="none"/>
        </w:rPr>
        <w:t>1</w:t>
      </w:r>
      <w:r>
        <w:rPr>
          <w:rFonts w:hint="eastAsia" w:ascii="宋体" w:hAnsi="宋体"/>
          <w:color w:val="auto"/>
          <w:szCs w:val="21"/>
          <w:highlight w:val="none"/>
          <w:lang w:eastAsia="zh-CN"/>
        </w:rPr>
        <w:t>、</w:t>
      </w:r>
      <w:r>
        <w:rPr>
          <w:rFonts w:hint="eastAsia" w:ascii="宋体" w:hAnsi="宋体"/>
          <w:color w:val="auto"/>
          <w:szCs w:val="21"/>
          <w:highlight w:val="none"/>
        </w:rPr>
        <w:t>1</w:t>
      </w:r>
      <w:r>
        <w:rPr>
          <w:rFonts w:ascii="宋体" w:hAnsi="宋体"/>
          <w:color w:val="auto"/>
          <w:szCs w:val="21"/>
          <w:highlight w:val="none"/>
        </w:rPr>
        <w:t>2</w:t>
      </w:r>
      <w:r>
        <w:rPr>
          <w:rFonts w:hint="eastAsia" w:ascii="宋体" w:hAnsi="宋体"/>
          <w:color w:val="auto"/>
          <w:szCs w:val="21"/>
          <w:highlight w:val="none"/>
          <w:lang w:eastAsia="zh-CN"/>
        </w:rPr>
        <w:t>、</w:t>
      </w:r>
      <w:r>
        <w:rPr>
          <w:rFonts w:hint="eastAsia" w:ascii="宋体" w:hAnsi="宋体"/>
          <w:color w:val="auto"/>
          <w:szCs w:val="21"/>
          <w:highlight w:val="none"/>
        </w:rPr>
        <w:t>30</w:t>
      </w:r>
      <w:r>
        <w:rPr>
          <w:rFonts w:hint="eastAsia" w:ascii="宋体" w:hAnsi="宋体"/>
          <w:color w:val="auto"/>
          <w:szCs w:val="21"/>
          <w:highlight w:val="none"/>
          <w:lang w:eastAsia="zh-CN"/>
        </w:rPr>
        <w:t>、</w:t>
      </w:r>
      <w:r>
        <w:rPr>
          <w:rFonts w:hint="eastAsia" w:ascii="宋体" w:hAnsi="宋体"/>
          <w:color w:val="auto"/>
          <w:szCs w:val="21"/>
          <w:highlight w:val="none"/>
        </w:rPr>
        <w:t>31</w:t>
      </w:r>
      <w:r>
        <w:rPr>
          <w:rFonts w:hint="eastAsia" w:ascii="宋体" w:hAnsi="宋体"/>
          <w:color w:val="auto"/>
          <w:szCs w:val="21"/>
          <w:highlight w:val="none"/>
          <w:lang w:eastAsia="zh-CN"/>
        </w:rPr>
        <w:t>、</w:t>
      </w:r>
      <w:r>
        <w:rPr>
          <w:rFonts w:hint="eastAsia" w:ascii="宋体" w:hAnsi="宋体"/>
          <w:color w:val="auto"/>
          <w:szCs w:val="21"/>
          <w:highlight w:val="none"/>
        </w:rPr>
        <w:t>49</w:t>
      </w:r>
      <w:r>
        <w:rPr>
          <w:rFonts w:hint="eastAsia" w:ascii="宋体" w:hAnsi="宋体"/>
          <w:color w:val="auto"/>
          <w:szCs w:val="21"/>
          <w:highlight w:val="none"/>
          <w:lang w:eastAsia="zh-CN"/>
        </w:rPr>
        <w:t>项产品“</w:t>
      </w:r>
      <w:r>
        <w:rPr>
          <w:rFonts w:hint="eastAsia" w:ascii="宋体" w:hAnsi="宋体"/>
          <w:color w:val="auto"/>
          <w:szCs w:val="21"/>
          <w:highlight w:val="none"/>
        </w:rPr>
        <w:t>4K超高清实时制作系统</w:t>
      </w:r>
      <w:r>
        <w:rPr>
          <w:rFonts w:hint="eastAsia" w:ascii="宋体" w:hAnsi="宋体"/>
          <w:color w:val="auto"/>
          <w:szCs w:val="21"/>
          <w:highlight w:val="none"/>
          <w:lang w:eastAsia="zh-CN"/>
        </w:rPr>
        <w:t>、</w:t>
      </w:r>
      <w:r>
        <w:rPr>
          <w:rFonts w:hint="eastAsia" w:ascii="宋体" w:hAnsi="宋体"/>
          <w:color w:val="auto"/>
          <w:szCs w:val="21"/>
          <w:highlight w:val="none"/>
        </w:rPr>
        <w:t>无线图传</w:t>
      </w:r>
      <w:r>
        <w:rPr>
          <w:rFonts w:hint="eastAsia" w:ascii="宋体" w:hAnsi="宋体"/>
          <w:color w:val="auto"/>
          <w:szCs w:val="21"/>
          <w:highlight w:val="none"/>
          <w:lang w:eastAsia="zh-CN"/>
        </w:rPr>
        <w:t>、</w:t>
      </w:r>
      <w:r>
        <w:rPr>
          <w:rFonts w:hint="eastAsia" w:ascii="宋体" w:hAnsi="宋体"/>
          <w:color w:val="auto"/>
          <w:szCs w:val="21"/>
          <w:highlight w:val="none"/>
        </w:rPr>
        <w:t>柔光灯</w:t>
      </w:r>
      <w:r>
        <w:rPr>
          <w:rFonts w:hint="eastAsia" w:ascii="宋体" w:hAnsi="宋体"/>
          <w:color w:val="auto"/>
          <w:szCs w:val="21"/>
          <w:highlight w:val="none"/>
          <w:lang w:eastAsia="zh-CN"/>
        </w:rPr>
        <w:t>、</w:t>
      </w:r>
      <w:r>
        <w:rPr>
          <w:rFonts w:hint="eastAsia" w:ascii="宋体" w:hAnsi="宋体"/>
          <w:color w:val="auto"/>
          <w:szCs w:val="21"/>
          <w:highlight w:val="none"/>
        </w:rPr>
        <w:t>聚光灯</w:t>
      </w:r>
      <w:r>
        <w:rPr>
          <w:rFonts w:hint="eastAsia" w:ascii="宋体" w:hAnsi="宋体"/>
          <w:color w:val="auto"/>
          <w:szCs w:val="21"/>
          <w:highlight w:val="none"/>
          <w:lang w:eastAsia="zh-CN"/>
        </w:rPr>
        <w:t>、</w:t>
      </w:r>
      <w:r>
        <w:rPr>
          <w:rFonts w:hint="eastAsia" w:ascii="宋体" w:hAnsi="宋体"/>
          <w:color w:val="auto"/>
          <w:szCs w:val="21"/>
          <w:highlight w:val="none"/>
        </w:rPr>
        <w:t>彩色技术监视器</w:t>
      </w:r>
      <w:r>
        <w:rPr>
          <w:rFonts w:hint="eastAsia" w:ascii="宋体" w:hAnsi="宋体"/>
          <w:color w:val="auto"/>
          <w:szCs w:val="21"/>
          <w:highlight w:val="none"/>
          <w:lang w:eastAsia="zh-CN"/>
        </w:rPr>
        <w:t>”由</w:t>
      </w:r>
      <w:r>
        <w:rPr>
          <w:rFonts w:hint="eastAsia" w:ascii="宋体" w:hAnsi="宋体"/>
          <w:color w:val="auto"/>
          <w:szCs w:val="21"/>
          <w:highlight w:val="none"/>
        </w:rPr>
        <w:t>生产厂家出具的售后服务承诺书原件，否则不予验收</w:t>
      </w:r>
      <w:r>
        <w:rPr>
          <w:rFonts w:hint="eastAsia" w:ascii="宋体" w:hAnsi="宋体"/>
          <w:color w:val="auto"/>
          <w:szCs w:val="21"/>
          <w:highlight w:val="none"/>
          <w:lang w:eastAsia="zh-CN"/>
        </w:rPr>
        <w:t>。</w:t>
      </w:r>
    </w:p>
    <w:p w14:paraId="65F056B7">
      <w:pPr>
        <w:snapToGrid w:val="0"/>
        <w:spacing w:line="400" w:lineRule="exact"/>
        <w:rPr>
          <w:rFonts w:ascii="宋体" w:hAnsi="宋体"/>
          <w:b/>
          <w:color w:val="auto"/>
          <w:highlight w:val="none"/>
        </w:rPr>
      </w:pPr>
      <w:r>
        <w:rPr>
          <w:rFonts w:hint="eastAsia" w:ascii="宋体" w:hAnsi="宋体"/>
          <w:b/>
          <w:color w:val="auto"/>
          <w:highlight w:val="none"/>
        </w:rPr>
        <w:t>第八条 付款方式</w:t>
      </w:r>
    </w:p>
    <w:p w14:paraId="4FACDEC7">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1.当实际使用数量发生变化时，乙方应根据实际使用量供货，合同的最终结算金额按实际使用量乘以中标（成交）单价进行计算（使用量变更导致合同变动部分的金额不得超过本采购合同金额的10%，且另需签订补充合同）。</w:t>
      </w:r>
    </w:p>
    <w:p w14:paraId="5BFCC9D1">
      <w:pPr>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2.付款方式：本项目通过最终验收后，乙方开具全额发票（国产设备必须开具增值税专用发票）给甲方，甲方收到发票后10个工作日内一次性付清100%的合同价款（无息）。</w:t>
      </w:r>
    </w:p>
    <w:p w14:paraId="5F1438CC">
      <w:pPr>
        <w:snapToGrid w:val="0"/>
        <w:spacing w:line="400" w:lineRule="exact"/>
        <w:rPr>
          <w:rFonts w:ascii="宋体" w:hAnsi="宋体"/>
          <w:b/>
          <w:color w:val="auto"/>
          <w:highlight w:val="none"/>
        </w:rPr>
      </w:pPr>
      <w:r>
        <w:rPr>
          <w:rFonts w:hint="eastAsia" w:ascii="宋体" w:hAnsi="宋体"/>
          <w:b/>
          <w:color w:val="auto"/>
          <w:highlight w:val="none"/>
        </w:rPr>
        <w:t>第九条 履约保证金</w:t>
      </w:r>
    </w:p>
    <w:p w14:paraId="25D3C30D">
      <w:pPr>
        <w:snapToGrid w:val="0"/>
        <w:spacing w:line="400" w:lineRule="exact"/>
        <w:ind w:firstLine="420" w:firstLineChars="200"/>
        <w:rPr>
          <w:rFonts w:ascii="宋体" w:hAnsi="宋体"/>
          <w:color w:val="auto"/>
          <w:highlight w:val="none"/>
        </w:rPr>
      </w:pPr>
      <w:r>
        <w:rPr>
          <w:rFonts w:hint="eastAsia" w:ascii="宋体" w:hAnsi="宋体"/>
          <w:color w:val="auto"/>
          <w:highlight w:val="none"/>
        </w:rPr>
        <w:t>1</w:t>
      </w:r>
      <w:r>
        <w:rPr>
          <w:rFonts w:ascii="宋体" w:hAnsi="宋体"/>
          <w:color w:val="auto"/>
          <w:highlight w:val="none"/>
        </w:rPr>
        <w:t>.</w:t>
      </w:r>
      <w:r>
        <w:rPr>
          <w:rFonts w:hint="eastAsia" w:ascii="宋体" w:hAnsi="宋体"/>
          <w:color w:val="auto"/>
          <w:highlight w:val="none"/>
        </w:rPr>
        <w:t>履约保证金金额：按成交金额的5%提交（如乙方为中小微企业的，按成交金额的2%提交）。由乙方在合同签订之前，向甲方交纳履约保证金。</w:t>
      </w:r>
    </w:p>
    <w:p w14:paraId="47EE9480">
      <w:pPr>
        <w:snapToGrid w:val="0"/>
        <w:spacing w:line="400" w:lineRule="exact"/>
        <w:ind w:firstLine="420" w:firstLineChars="200"/>
        <w:rPr>
          <w:rFonts w:ascii="宋体" w:hAnsi="宋体"/>
          <w:color w:val="auto"/>
          <w:highlight w:val="none"/>
        </w:rPr>
      </w:pPr>
      <w:r>
        <w:rPr>
          <w:rFonts w:hint="eastAsia" w:ascii="宋体" w:hAnsi="宋体"/>
          <w:color w:val="auto"/>
          <w:highlight w:val="none"/>
        </w:rPr>
        <w:t>2</w:t>
      </w:r>
      <w:r>
        <w:rPr>
          <w:rFonts w:ascii="宋体" w:hAnsi="宋体"/>
          <w:color w:val="auto"/>
          <w:highlight w:val="none"/>
        </w:rPr>
        <w:t>.</w:t>
      </w:r>
      <w:r>
        <w:rPr>
          <w:rFonts w:hint="eastAsia" w:ascii="宋体" w:hAnsi="宋体"/>
          <w:color w:val="auto"/>
          <w:highlight w:val="none"/>
        </w:rPr>
        <w:t>履约保证金提交方式：转账或电汇等非现金形式。</w:t>
      </w:r>
    </w:p>
    <w:p w14:paraId="26C3D6FB">
      <w:pPr>
        <w:snapToGrid w:val="0"/>
        <w:spacing w:line="400" w:lineRule="exact"/>
        <w:ind w:firstLine="420" w:firstLineChars="200"/>
        <w:rPr>
          <w:rFonts w:ascii="宋体" w:hAnsi="宋体"/>
          <w:color w:val="auto"/>
          <w:highlight w:val="none"/>
        </w:rPr>
      </w:pPr>
      <w:r>
        <w:rPr>
          <w:rFonts w:hint="eastAsia" w:ascii="宋体" w:hAnsi="宋体"/>
          <w:color w:val="auto"/>
          <w:highlight w:val="none"/>
        </w:rPr>
        <w:t>3</w:t>
      </w:r>
      <w:r>
        <w:rPr>
          <w:rFonts w:ascii="宋体" w:hAnsi="宋体"/>
          <w:color w:val="auto"/>
          <w:highlight w:val="none"/>
        </w:rPr>
        <w:t>.</w:t>
      </w:r>
      <w:r>
        <w:rPr>
          <w:rFonts w:hint="eastAsia" w:ascii="宋体" w:hAnsi="宋体"/>
          <w:color w:val="auto"/>
          <w:highlight w:val="none"/>
        </w:rPr>
        <w:t>履约保证金指定账户：</w:t>
      </w:r>
    </w:p>
    <w:p w14:paraId="421B24EA">
      <w:pPr>
        <w:snapToGrid w:val="0"/>
        <w:spacing w:line="400" w:lineRule="exact"/>
        <w:ind w:firstLine="420" w:firstLineChars="200"/>
        <w:rPr>
          <w:rFonts w:ascii="宋体" w:hAnsi="宋体"/>
          <w:color w:val="auto"/>
          <w:highlight w:val="none"/>
        </w:rPr>
      </w:pPr>
      <w:r>
        <w:rPr>
          <w:rFonts w:hint="eastAsia" w:ascii="宋体" w:hAnsi="宋体"/>
          <w:color w:val="auto"/>
          <w:highlight w:val="none"/>
        </w:rPr>
        <w:t>开户名称：桂林理工大学；</w:t>
      </w:r>
    </w:p>
    <w:p w14:paraId="2663F4A9">
      <w:pPr>
        <w:snapToGrid w:val="0"/>
        <w:spacing w:line="400" w:lineRule="exact"/>
        <w:ind w:firstLine="420" w:firstLineChars="200"/>
        <w:rPr>
          <w:rFonts w:ascii="宋体" w:hAnsi="宋体"/>
          <w:color w:val="auto"/>
          <w:highlight w:val="none"/>
        </w:rPr>
      </w:pPr>
      <w:r>
        <w:rPr>
          <w:rFonts w:hint="eastAsia" w:ascii="宋体" w:hAnsi="宋体"/>
          <w:color w:val="auto"/>
          <w:highlight w:val="none"/>
        </w:rPr>
        <w:t>开户银行：中国银行桂林分行；</w:t>
      </w:r>
    </w:p>
    <w:p w14:paraId="63ADAE17">
      <w:pPr>
        <w:snapToGrid w:val="0"/>
        <w:spacing w:line="400" w:lineRule="exact"/>
        <w:ind w:firstLine="420" w:firstLineChars="200"/>
        <w:rPr>
          <w:rFonts w:ascii="宋体" w:hAnsi="宋体"/>
          <w:color w:val="auto"/>
          <w:highlight w:val="none"/>
        </w:rPr>
      </w:pPr>
      <w:r>
        <w:rPr>
          <w:rFonts w:hint="eastAsia" w:ascii="宋体" w:hAnsi="宋体"/>
          <w:color w:val="auto"/>
          <w:highlight w:val="none"/>
        </w:rPr>
        <w:t>账号：613257488744。</w:t>
      </w:r>
    </w:p>
    <w:p w14:paraId="18FC9920">
      <w:pPr>
        <w:snapToGrid w:val="0"/>
        <w:spacing w:line="400" w:lineRule="exact"/>
        <w:ind w:firstLine="420" w:firstLineChars="200"/>
        <w:rPr>
          <w:rFonts w:ascii="宋体" w:hAnsi="宋体"/>
          <w:color w:val="auto"/>
          <w:highlight w:val="none"/>
        </w:rPr>
      </w:pPr>
      <w:r>
        <w:rPr>
          <w:rFonts w:hint="eastAsia" w:ascii="宋体" w:hAnsi="宋体"/>
          <w:color w:val="auto"/>
          <w:highlight w:val="none"/>
        </w:rPr>
        <w:t>4</w:t>
      </w:r>
      <w:r>
        <w:rPr>
          <w:rFonts w:ascii="宋体" w:hAnsi="宋体"/>
          <w:color w:val="auto"/>
          <w:highlight w:val="none"/>
        </w:rPr>
        <w:t>.</w:t>
      </w:r>
      <w:r>
        <w:rPr>
          <w:rFonts w:hint="eastAsia" w:ascii="宋体" w:hAnsi="宋体"/>
          <w:color w:val="auto"/>
          <w:highlight w:val="none"/>
        </w:rPr>
        <w:t>履约保证金退付方式、时间及条件：</w:t>
      </w:r>
    </w:p>
    <w:p w14:paraId="2D8B2243">
      <w:pPr>
        <w:snapToGrid w:val="0"/>
        <w:spacing w:line="400" w:lineRule="exact"/>
        <w:ind w:firstLine="420" w:firstLineChars="200"/>
        <w:rPr>
          <w:rFonts w:ascii="宋体" w:hAnsi="宋体"/>
          <w:color w:val="auto"/>
          <w:highlight w:val="none"/>
        </w:rPr>
      </w:pPr>
      <w:r>
        <w:rPr>
          <w:rFonts w:hint="eastAsia" w:ascii="宋体" w:hAnsi="宋体"/>
          <w:color w:val="auto"/>
          <w:highlight w:val="none"/>
        </w:rPr>
        <w:t>（1）履约保证金在乙方履行完合同约定的权利义务（包括保修服务等）事项后7个工作日内，由乙方凭履约保证金的申请表及合同向甲方申请办理履约保证金退还手续，甲方在收到合格材料后5个工作日内以银行转账方式如数退还（不计利息）。</w:t>
      </w:r>
    </w:p>
    <w:p w14:paraId="4DAE42AD">
      <w:pPr>
        <w:snapToGrid w:val="0"/>
        <w:spacing w:line="400" w:lineRule="exact"/>
        <w:ind w:firstLine="420" w:firstLineChars="200"/>
        <w:rPr>
          <w:rFonts w:ascii="宋体" w:hAnsi="宋体"/>
          <w:color w:val="auto"/>
          <w:highlight w:val="none"/>
        </w:rPr>
      </w:pPr>
      <w:r>
        <w:rPr>
          <w:rFonts w:hint="eastAsia" w:ascii="宋体" w:hAnsi="宋体"/>
          <w:color w:val="auto"/>
          <w:highlight w:val="none"/>
        </w:rPr>
        <w:t>（2）在履约保证金退还日期前，若乙方的开户名称、开户银行、账号有变动的，请以书面形式通知履约保证金收取单位，否则由此产生的后果由乙方自负。</w:t>
      </w:r>
    </w:p>
    <w:p w14:paraId="3140B4A0">
      <w:pPr>
        <w:snapToGrid w:val="0"/>
        <w:spacing w:line="400" w:lineRule="exact"/>
        <w:ind w:firstLine="420" w:firstLineChars="200"/>
        <w:rPr>
          <w:rFonts w:ascii="宋体" w:hAnsi="宋体"/>
          <w:color w:val="auto"/>
          <w:highlight w:val="none"/>
        </w:rPr>
      </w:pPr>
      <w:r>
        <w:rPr>
          <w:rFonts w:hint="eastAsia" w:ascii="宋体" w:hAnsi="宋体"/>
          <w:color w:val="auto"/>
          <w:highlight w:val="none"/>
        </w:rPr>
        <w:t>（3）乙方在签订合同后存在违约情形的，履约保证金不予退还。履约保证金不足以赔偿损失的，按实际损失赔偿。</w:t>
      </w:r>
    </w:p>
    <w:p w14:paraId="1A5E266F">
      <w:pPr>
        <w:snapToGrid w:val="0"/>
        <w:spacing w:line="400" w:lineRule="exact"/>
        <w:ind w:firstLine="420" w:firstLineChars="200"/>
        <w:rPr>
          <w:rFonts w:ascii="宋体" w:hAnsi="宋体"/>
          <w:color w:val="auto"/>
          <w:highlight w:val="none"/>
        </w:rPr>
      </w:pPr>
      <w:r>
        <w:rPr>
          <w:rFonts w:hint="eastAsia" w:ascii="宋体" w:hAnsi="宋体"/>
          <w:color w:val="auto"/>
          <w:highlight w:val="none"/>
        </w:rPr>
        <w:t>备注：履约保证金不足额缴纳或者不按规定提交方式提交的，不予签订合同。</w:t>
      </w:r>
    </w:p>
    <w:p w14:paraId="28F52EAB">
      <w:pPr>
        <w:snapToGrid w:val="0"/>
        <w:spacing w:line="400" w:lineRule="exact"/>
        <w:rPr>
          <w:rFonts w:ascii="宋体" w:hAnsi="宋体"/>
          <w:b/>
          <w:color w:val="auto"/>
          <w:highlight w:val="none"/>
        </w:rPr>
      </w:pPr>
      <w:r>
        <w:rPr>
          <w:rFonts w:hint="eastAsia" w:ascii="宋体" w:hAnsi="宋体"/>
          <w:b/>
          <w:color w:val="auto"/>
          <w:highlight w:val="none"/>
        </w:rPr>
        <w:t>第十条  税费</w:t>
      </w:r>
    </w:p>
    <w:p w14:paraId="610C0E64">
      <w:pPr>
        <w:snapToGrid w:val="0"/>
        <w:spacing w:line="400" w:lineRule="exact"/>
        <w:ind w:firstLine="420" w:firstLineChars="200"/>
        <w:rPr>
          <w:rFonts w:ascii="宋体" w:hAnsi="宋体"/>
          <w:color w:val="auto"/>
          <w:highlight w:val="none"/>
        </w:rPr>
      </w:pPr>
      <w:r>
        <w:rPr>
          <w:rFonts w:hint="eastAsia" w:ascii="宋体" w:hAnsi="宋体"/>
          <w:color w:val="auto"/>
          <w:highlight w:val="none"/>
        </w:rPr>
        <w:t>本合同执行中相关的一切税费均由乙方负担。</w:t>
      </w:r>
    </w:p>
    <w:p w14:paraId="2690FBFB">
      <w:pPr>
        <w:snapToGrid w:val="0"/>
        <w:spacing w:line="400" w:lineRule="exact"/>
        <w:rPr>
          <w:rFonts w:ascii="宋体" w:hAnsi="宋体"/>
          <w:b/>
          <w:color w:val="auto"/>
          <w:highlight w:val="none"/>
        </w:rPr>
      </w:pPr>
      <w:r>
        <w:rPr>
          <w:rFonts w:hint="eastAsia" w:ascii="宋体" w:hAnsi="宋体"/>
          <w:b/>
          <w:color w:val="auto"/>
          <w:highlight w:val="none"/>
        </w:rPr>
        <w:t>第十一条  售后服务及保修期</w:t>
      </w:r>
    </w:p>
    <w:p w14:paraId="231F8402">
      <w:pPr>
        <w:snapToGrid w:val="0"/>
        <w:spacing w:line="400" w:lineRule="exact"/>
        <w:ind w:firstLine="420" w:firstLineChars="200"/>
        <w:rPr>
          <w:rFonts w:ascii="宋体" w:hAnsi="宋体"/>
          <w:color w:val="auto"/>
          <w:highlight w:val="none"/>
        </w:rPr>
      </w:pPr>
      <w:r>
        <w:rPr>
          <w:rFonts w:hint="eastAsia" w:ascii="宋体" w:hAnsi="宋体"/>
          <w:bCs/>
          <w:color w:val="auto"/>
          <w:highlight w:val="none"/>
        </w:rPr>
        <w:t>1.</w:t>
      </w:r>
      <w:r>
        <w:rPr>
          <w:rFonts w:hint="eastAsia" w:ascii="宋体" w:hAnsi="宋体"/>
          <w:color w:val="auto"/>
          <w:highlight w:val="none"/>
        </w:rPr>
        <w:t>乙方应按响应文件承诺的产品名称、生产厂家、品牌、规格型号、技术参数、质量标准向甲方提供未经使用的全新产品。在保修期内因货物本身的质量问题发生故障，乙方应负责修理和更换零部件。对达不到技术要求者，根据实际情况，经双方协商，可按以下办法处理：</w:t>
      </w:r>
    </w:p>
    <w:p w14:paraId="0B180092">
      <w:pPr>
        <w:snapToGrid w:val="0"/>
        <w:spacing w:line="400" w:lineRule="exact"/>
        <w:ind w:firstLine="420" w:firstLineChars="200"/>
        <w:rPr>
          <w:rFonts w:hAnsi="宋体"/>
          <w:color w:val="auto"/>
          <w:highlight w:val="none"/>
        </w:rPr>
      </w:pPr>
      <w:r>
        <w:rPr>
          <w:rFonts w:hint="eastAsia" w:ascii="宋体" w:hAnsi="宋体"/>
          <w:color w:val="auto"/>
          <w:highlight w:val="none"/>
        </w:rPr>
        <w:t>（1）更换：由乙方承担所发生的全部费用。</w:t>
      </w:r>
    </w:p>
    <w:p w14:paraId="32DA8B3A">
      <w:pPr>
        <w:snapToGrid w:val="0"/>
        <w:spacing w:line="400" w:lineRule="exact"/>
        <w:ind w:firstLine="420" w:firstLineChars="200"/>
        <w:rPr>
          <w:rFonts w:hAnsi="宋体"/>
          <w:color w:val="auto"/>
          <w:highlight w:val="none"/>
        </w:rPr>
      </w:pPr>
      <w:r>
        <w:rPr>
          <w:rFonts w:hint="eastAsia" w:ascii="宋体" w:hAnsi="宋体"/>
          <w:color w:val="auto"/>
          <w:highlight w:val="none"/>
        </w:rPr>
        <w:t>（2）贬值处理：由甲乙双方合议定价。</w:t>
      </w:r>
    </w:p>
    <w:p w14:paraId="051BEDAA">
      <w:pPr>
        <w:snapToGrid w:val="0"/>
        <w:spacing w:line="400" w:lineRule="exact"/>
        <w:ind w:firstLine="420" w:firstLineChars="200"/>
        <w:rPr>
          <w:rFonts w:hAnsi="宋体"/>
          <w:color w:val="auto"/>
          <w:highlight w:val="none"/>
        </w:rPr>
      </w:pPr>
      <w:r>
        <w:rPr>
          <w:rFonts w:hint="eastAsia" w:ascii="宋体" w:hAnsi="宋体"/>
          <w:color w:val="auto"/>
          <w:highlight w:val="none"/>
        </w:rPr>
        <w:t>（3）退货处理：乙方应退还甲方支付的合同款，同时应承担该货物的直接费用（运输、保险、检验、货款利息及银行手续费等）。</w:t>
      </w:r>
    </w:p>
    <w:p w14:paraId="1B795213">
      <w:pPr>
        <w:snapToGrid w:val="0"/>
        <w:spacing w:line="400" w:lineRule="exact"/>
        <w:ind w:firstLine="420" w:firstLineChars="200"/>
        <w:rPr>
          <w:rFonts w:ascii="宋体" w:hAnsi="宋体"/>
          <w:color w:val="auto"/>
          <w:highlight w:val="none"/>
        </w:rPr>
      </w:pPr>
      <w:r>
        <w:rPr>
          <w:rFonts w:hint="eastAsia" w:ascii="宋体" w:hAnsi="宋体"/>
          <w:color w:val="auto"/>
          <w:highlight w:val="none"/>
        </w:rPr>
        <w:t>2.如在使用过程中发生质量问题，乙方在接到甲方通知后在按</w:t>
      </w:r>
      <w:r>
        <w:rPr>
          <w:rFonts w:hint="eastAsia" w:ascii="宋体" w:hAnsi="宋体"/>
          <w:color w:val="auto"/>
          <w:highlight w:val="none"/>
          <w:u w:val="single"/>
        </w:rPr>
        <w:t xml:space="preserve">乙方响应文件中承诺的不超过采购文件要求的响应时间 </w:t>
      </w:r>
      <w:r>
        <w:rPr>
          <w:rFonts w:ascii="宋体" w:hAnsi="宋体"/>
          <w:color w:val="auto"/>
          <w:highlight w:val="none"/>
          <w:u w:val="single"/>
        </w:rPr>
        <w:t xml:space="preserve">       </w:t>
      </w:r>
      <w:r>
        <w:rPr>
          <w:rFonts w:hint="eastAsia" w:ascii="宋体" w:hAnsi="宋体"/>
          <w:color w:val="auto"/>
          <w:highlight w:val="none"/>
          <w:u w:val="single"/>
        </w:rPr>
        <w:t>小时内</w:t>
      </w:r>
      <w:r>
        <w:rPr>
          <w:rFonts w:hint="eastAsia" w:ascii="宋体" w:hAnsi="宋体"/>
          <w:color w:val="auto"/>
          <w:highlight w:val="none"/>
        </w:rPr>
        <w:t>到达甲方现场处理。</w:t>
      </w:r>
    </w:p>
    <w:p w14:paraId="184E690A">
      <w:pPr>
        <w:snapToGrid w:val="0"/>
        <w:spacing w:line="400" w:lineRule="exact"/>
        <w:ind w:firstLine="420" w:firstLineChars="200"/>
        <w:rPr>
          <w:rFonts w:ascii="宋体" w:hAnsi="宋体"/>
          <w:color w:val="auto"/>
          <w:highlight w:val="none"/>
        </w:rPr>
      </w:pPr>
      <w:r>
        <w:rPr>
          <w:rFonts w:hint="eastAsia" w:ascii="宋体" w:hAnsi="宋体"/>
          <w:color w:val="auto"/>
          <w:highlight w:val="none"/>
        </w:rPr>
        <w:t>3.在保修期内，乙方应对货物出现的质量及安全问题负责处理解决并承担一切费用。</w:t>
      </w:r>
    </w:p>
    <w:p w14:paraId="132058B6">
      <w:pPr>
        <w:snapToGrid w:val="0"/>
        <w:spacing w:line="400" w:lineRule="exact"/>
        <w:ind w:firstLine="420" w:firstLineChars="200"/>
        <w:rPr>
          <w:rFonts w:ascii="宋体" w:hAnsi="宋体"/>
          <w:color w:val="auto"/>
          <w:highlight w:val="none"/>
        </w:rPr>
      </w:pPr>
      <w:r>
        <w:rPr>
          <w:rFonts w:hint="eastAsia" w:ascii="宋体" w:hAnsi="宋体"/>
          <w:color w:val="auto"/>
          <w:highlight w:val="none"/>
        </w:rPr>
        <w:t>4.乙方应按照国家有关法律法规和“三包”规定以及采购文件要求、响应文件承诺和本合同所附附件，为甲方提供售后服务。</w:t>
      </w:r>
    </w:p>
    <w:p w14:paraId="5AF7FACF">
      <w:pPr>
        <w:snapToGrid w:val="0"/>
        <w:spacing w:line="400" w:lineRule="exact"/>
        <w:ind w:firstLine="420" w:firstLineChars="200"/>
        <w:rPr>
          <w:rFonts w:ascii="宋体" w:hAnsi="宋体"/>
          <w:color w:val="auto"/>
          <w:highlight w:val="none"/>
        </w:rPr>
      </w:pPr>
      <w:r>
        <w:rPr>
          <w:rFonts w:hint="eastAsia" w:ascii="宋体" w:hAnsi="宋体"/>
          <w:color w:val="auto"/>
          <w:highlight w:val="none"/>
        </w:rPr>
        <w:t>5.货物保修期：按乙方响应文件中承诺的不少于采购文件要求的保修期。</w:t>
      </w:r>
    </w:p>
    <w:p w14:paraId="765DB5FB">
      <w:pPr>
        <w:snapToGrid w:val="0"/>
        <w:spacing w:line="400" w:lineRule="exact"/>
        <w:ind w:firstLine="420" w:firstLineChars="200"/>
        <w:rPr>
          <w:rFonts w:ascii="宋体" w:hAnsi="宋体"/>
          <w:color w:val="auto"/>
          <w:highlight w:val="none"/>
        </w:rPr>
      </w:pPr>
      <w:r>
        <w:rPr>
          <w:rFonts w:hint="eastAsia" w:ascii="宋体" w:hAnsi="宋体"/>
          <w:color w:val="auto"/>
          <w:highlight w:val="none"/>
        </w:rPr>
        <w:t>6.乙方提供的服务承诺和售后服务及保修期责任等其他具体约定事项（见合同附件）。</w:t>
      </w:r>
    </w:p>
    <w:p w14:paraId="041B55C6">
      <w:pPr>
        <w:snapToGrid w:val="0"/>
        <w:spacing w:line="400" w:lineRule="exact"/>
        <w:ind w:firstLine="420" w:firstLineChars="200"/>
        <w:rPr>
          <w:rFonts w:ascii="宋体" w:hAnsi="宋体"/>
          <w:color w:val="auto"/>
          <w:highlight w:val="none"/>
        </w:rPr>
      </w:pPr>
      <w:r>
        <w:rPr>
          <w:rFonts w:hint="eastAsia" w:ascii="宋体" w:hAnsi="宋体"/>
          <w:color w:val="auto"/>
          <w:highlight w:val="none"/>
        </w:rPr>
        <w:t>7.上述的货物保修期为</w:t>
      </w:r>
      <w:r>
        <w:rPr>
          <w:rFonts w:hint="eastAsia" w:ascii="宋体" w:hAnsi="宋体"/>
          <w:color w:val="auto"/>
          <w:highlight w:val="none"/>
          <w:u w:val="single"/>
        </w:rPr>
        <w:t xml:space="preserve">     </w:t>
      </w:r>
      <w:r>
        <w:rPr>
          <w:rFonts w:hint="eastAsia" w:ascii="宋体" w:hAnsi="宋体"/>
          <w:color w:val="auto"/>
          <w:highlight w:val="none"/>
        </w:rPr>
        <w:t>年（保修期自设备验收合格之日起计算，若乙方响应承诺保修期超过采购文件要求年限的，按其承诺执行），因人为因素出现的故障不在保修范围内。超过保修期的机器设备，终身维修，维修时只收部件成本费。</w:t>
      </w:r>
    </w:p>
    <w:p w14:paraId="27B63C83">
      <w:pPr>
        <w:snapToGrid w:val="0"/>
        <w:spacing w:line="400" w:lineRule="exact"/>
        <w:rPr>
          <w:rFonts w:ascii="宋体" w:hAnsi="宋体"/>
          <w:b/>
          <w:color w:val="auto"/>
          <w:highlight w:val="none"/>
        </w:rPr>
      </w:pPr>
      <w:r>
        <w:rPr>
          <w:rFonts w:hint="eastAsia" w:ascii="宋体" w:hAnsi="宋体"/>
          <w:b/>
          <w:color w:val="auto"/>
          <w:highlight w:val="none"/>
        </w:rPr>
        <w:t>第十二条 违约责任</w:t>
      </w:r>
    </w:p>
    <w:p w14:paraId="153C2E2E">
      <w:pPr>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1.乙方提供的货物如侵犯了第三方合法权益而引发的任何纠纷或诉讼，均由乙方负责交涉并承担全部责任。</w:t>
      </w:r>
    </w:p>
    <w:p w14:paraId="40C46437">
      <w:pPr>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2.因包装、运输引起的货物损坏，按质量不合格处罚。</w:t>
      </w:r>
    </w:p>
    <w:p w14:paraId="49457316">
      <w:pPr>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3.甲方无故延期接收货物、乙方逾期交货的，每天向对方偿付违约货款额3‰违约金，但违约金累计不得超过违约货款额</w:t>
      </w:r>
      <w:r>
        <w:rPr>
          <w:rFonts w:hint="eastAsia" w:ascii="宋体" w:hAnsi="宋体"/>
          <w:color w:val="auto"/>
          <w:szCs w:val="21"/>
          <w:highlight w:val="none"/>
          <w:u w:val="single"/>
        </w:rPr>
        <w:t>5%</w:t>
      </w:r>
      <w:r>
        <w:rPr>
          <w:rFonts w:hint="eastAsia" w:ascii="宋体" w:hAnsi="宋体"/>
          <w:color w:val="auto"/>
          <w:szCs w:val="21"/>
          <w:highlight w:val="none"/>
        </w:rPr>
        <w:t>，超过</w:t>
      </w:r>
      <w:r>
        <w:rPr>
          <w:color w:val="auto"/>
          <w:highlight w:val="none"/>
          <w:u w:val="single"/>
        </w:rPr>
        <w:t>7</w:t>
      </w:r>
      <w:r>
        <w:rPr>
          <w:rFonts w:hint="eastAsia"/>
          <w:color w:val="auto"/>
          <w:highlight w:val="none"/>
          <w:u w:val="single"/>
        </w:rPr>
        <w:t>天</w:t>
      </w:r>
      <w:r>
        <w:rPr>
          <w:rFonts w:hint="eastAsia" w:ascii="宋体" w:hAnsi="宋体"/>
          <w:color w:val="auto"/>
          <w:szCs w:val="21"/>
          <w:highlight w:val="none"/>
        </w:rPr>
        <w:t>对方有权解除合同，违约方承担因此给对方造成的经济损失；甲方延期付货款的，每天向乙方偿付延期货款额的3‰，但累计偿付不得超过延期货款额的5%。</w:t>
      </w:r>
    </w:p>
    <w:p w14:paraId="085CFC6C">
      <w:pPr>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4.乙方未按本合同和响应文件中规定的服务承诺提供售后服务的，乙方应按本合同合计金额 5%向甲方支付违约金。</w:t>
      </w:r>
    </w:p>
    <w:p w14:paraId="724C5E26">
      <w:pPr>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5.乙方提供的货物在保修期内，因设计、工艺或材料的缺陷和其他质量原因造成的问题，由乙方负责，费用从履约保证金中扣除，不足另补。</w:t>
      </w:r>
    </w:p>
    <w:p w14:paraId="76C4CA5E">
      <w:pPr>
        <w:snapToGrid w:val="0"/>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6.其他违约行为按违约货款额5%收取违约金并赔偿经济损失。</w:t>
      </w:r>
    </w:p>
    <w:p w14:paraId="76946E02">
      <w:pPr>
        <w:snapToGrid w:val="0"/>
        <w:spacing w:line="400" w:lineRule="exact"/>
        <w:ind w:firstLine="420" w:firstLineChars="200"/>
        <w:rPr>
          <w:rFonts w:ascii="宋体" w:hAnsi="宋体"/>
          <w:color w:val="auto"/>
          <w:highlight w:val="none"/>
        </w:rPr>
      </w:pPr>
      <w:r>
        <w:rPr>
          <w:rFonts w:hint="eastAsia" w:ascii="宋体" w:hAnsi="宋体"/>
          <w:color w:val="auto"/>
          <w:szCs w:val="21"/>
          <w:highlight w:val="none"/>
        </w:rPr>
        <w:t>7.乙方于响应文件中必须对所有产品的技术参数要求作出真实、有效的响应和承诺。所提供的产品必须为原装正品的、全新的、符合国家有关质量标准的产品，且提供的产品名称、生产厂家、品牌、规格型号、技术参数等必须与响应文件承诺相符。验收前，甲方现场根据采购文件要求及响应文件承诺对各项参数逐条对应进行核验，核验或检测数据不符合采购文件要求及响应文件承诺的指标的，甲方有权不予验收，终止合同执行并全部退货，同时报相关监督管理部门，由此造成甲方经济损失的由乙方承担全部赔偿责任并向甲方支付合同金额的30%违约赔偿金。如有异议，将交由国家认可并具有检验检测资质的第三方机构进行检验，若核验结果的各项参数指标不满足采购文件要求及响应文件承诺的指标要求，所有产生的费用由乙方承担，并承担政府采购虚假竞标的相关法律责任。</w:t>
      </w:r>
    </w:p>
    <w:p w14:paraId="374D384A">
      <w:pPr>
        <w:snapToGrid w:val="0"/>
        <w:spacing w:line="400" w:lineRule="exact"/>
        <w:rPr>
          <w:rFonts w:ascii="宋体" w:hAnsi="宋体"/>
          <w:b/>
          <w:color w:val="auto"/>
          <w:highlight w:val="none"/>
        </w:rPr>
      </w:pPr>
      <w:r>
        <w:rPr>
          <w:rFonts w:hint="eastAsia" w:ascii="宋体" w:hAnsi="宋体"/>
          <w:b/>
          <w:color w:val="auto"/>
          <w:highlight w:val="none"/>
        </w:rPr>
        <w:t>第十三条  不可抗力事件处理</w:t>
      </w:r>
    </w:p>
    <w:p w14:paraId="28754893">
      <w:pPr>
        <w:snapToGrid w:val="0"/>
        <w:spacing w:line="400" w:lineRule="exact"/>
        <w:ind w:firstLine="420" w:firstLineChars="200"/>
        <w:rPr>
          <w:rFonts w:ascii="宋体" w:hAnsi="宋体"/>
          <w:color w:val="auto"/>
          <w:highlight w:val="none"/>
        </w:rPr>
      </w:pPr>
      <w:r>
        <w:rPr>
          <w:rFonts w:hint="eastAsia" w:ascii="宋体" w:hAnsi="宋体"/>
          <w:color w:val="auto"/>
          <w:highlight w:val="none"/>
        </w:rPr>
        <w:t>1.在合同有效期内，任何一方因不可抗力事件导致不能履行合同，则合同履行期可延长，其延长期与不可抗力影响期相同。</w:t>
      </w:r>
    </w:p>
    <w:p w14:paraId="366DF323">
      <w:pPr>
        <w:snapToGrid w:val="0"/>
        <w:spacing w:line="400" w:lineRule="exact"/>
        <w:ind w:firstLine="420" w:firstLineChars="200"/>
        <w:rPr>
          <w:rFonts w:ascii="宋体" w:hAnsi="宋体"/>
          <w:color w:val="auto"/>
          <w:highlight w:val="none"/>
        </w:rPr>
      </w:pPr>
      <w:r>
        <w:rPr>
          <w:rFonts w:hint="eastAsia" w:ascii="宋体" w:hAnsi="宋体"/>
          <w:color w:val="auto"/>
          <w:highlight w:val="none"/>
        </w:rPr>
        <w:t>2.不可抗力事件发生后，应立即通知对方，并寄送有关权威机构出具的证明。</w:t>
      </w:r>
    </w:p>
    <w:p w14:paraId="33156759">
      <w:pPr>
        <w:snapToGrid w:val="0"/>
        <w:spacing w:line="400" w:lineRule="exact"/>
        <w:ind w:firstLine="420" w:firstLineChars="200"/>
        <w:rPr>
          <w:rFonts w:ascii="宋体" w:hAnsi="宋体"/>
          <w:color w:val="auto"/>
          <w:highlight w:val="none"/>
        </w:rPr>
      </w:pPr>
      <w:r>
        <w:rPr>
          <w:rFonts w:hint="eastAsia" w:ascii="宋体" w:hAnsi="宋体"/>
          <w:color w:val="auto"/>
          <w:highlight w:val="none"/>
        </w:rPr>
        <w:t>3.不可抗力事件延续120天以上，双方应通过友好协商，确定是否继续履行合同。</w:t>
      </w:r>
    </w:p>
    <w:p w14:paraId="572A8ECF">
      <w:pPr>
        <w:snapToGrid w:val="0"/>
        <w:spacing w:line="400" w:lineRule="exact"/>
        <w:rPr>
          <w:rFonts w:ascii="宋体" w:hAnsi="宋体"/>
          <w:b/>
          <w:color w:val="auto"/>
          <w:highlight w:val="none"/>
        </w:rPr>
      </w:pPr>
      <w:r>
        <w:rPr>
          <w:rFonts w:hint="eastAsia" w:ascii="宋体" w:hAnsi="宋体"/>
          <w:b/>
          <w:color w:val="auto"/>
          <w:highlight w:val="none"/>
        </w:rPr>
        <w:t>第十四条  合同争议解决</w:t>
      </w:r>
    </w:p>
    <w:p w14:paraId="16B56DFF">
      <w:pPr>
        <w:snapToGrid w:val="0"/>
        <w:spacing w:line="400" w:lineRule="exact"/>
        <w:ind w:firstLine="420" w:firstLineChars="200"/>
        <w:rPr>
          <w:rFonts w:ascii="宋体" w:hAnsi="宋体"/>
          <w:color w:val="auto"/>
          <w:highlight w:val="none"/>
        </w:rPr>
      </w:pPr>
      <w:r>
        <w:rPr>
          <w:rFonts w:hint="eastAsia" w:ascii="宋体" w:hAnsi="宋体"/>
          <w:color w:val="auto"/>
          <w:highlight w:val="none"/>
        </w:rPr>
        <w:t>1.因货物质量问题发生争议的，应邀请国家认可的质量检测机构对货物质量进行鉴定。货物符合标准的，鉴定费由甲方承担；货物不符合标准的，鉴定费由乙方承担。</w:t>
      </w:r>
    </w:p>
    <w:p w14:paraId="49499E76">
      <w:pPr>
        <w:snapToGrid w:val="0"/>
        <w:spacing w:line="400" w:lineRule="exact"/>
        <w:ind w:firstLine="420" w:firstLineChars="200"/>
        <w:rPr>
          <w:rFonts w:ascii="宋体" w:hAnsi="宋体"/>
          <w:color w:val="auto"/>
          <w:highlight w:val="none"/>
        </w:rPr>
      </w:pPr>
      <w:r>
        <w:rPr>
          <w:rFonts w:hint="eastAsia" w:ascii="宋体" w:hAnsi="宋体"/>
          <w:color w:val="auto"/>
          <w:highlight w:val="none"/>
        </w:rPr>
        <w:t>2.因履行本合同引起的或与本合同有关的争议，甲乙双方应首先通过友好协商解决，如果协商不能解决，可向甲方所在地具有管辖权的人民法院提起诉讼。</w:t>
      </w:r>
    </w:p>
    <w:p w14:paraId="2850F201">
      <w:pPr>
        <w:snapToGrid w:val="0"/>
        <w:spacing w:line="400" w:lineRule="exact"/>
        <w:rPr>
          <w:rFonts w:ascii="宋体" w:hAnsi="宋体"/>
          <w:b/>
          <w:color w:val="auto"/>
          <w:highlight w:val="none"/>
        </w:rPr>
      </w:pPr>
      <w:r>
        <w:rPr>
          <w:rFonts w:hint="eastAsia" w:ascii="宋体" w:hAnsi="宋体"/>
          <w:b/>
          <w:color w:val="auto"/>
          <w:highlight w:val="none"/>
        </w:rPr>
        <w:t>第十五条  合同生效及其他</w:t>
      </w:r>
    </w:p>
    <w:p w14:paraId="4460E1BC">
      <w:pPr>
        <w:snapToGrid w:val="0"/>
        <w:spacing w:line="400" w:lineRule="exact"/>
        <w:ind w:firstLine="420" w:firstLineChars="200"/>
        <w:rPr>
          <w:rFonts w:ascii="宋体" w:hAnsi="宋体"/>
          <w:color w:val="auto"/>
          <w:highlight w:val="none"/>
        </w:rPr>
      </w:pPr>
      <w:r>
        <w:rPr>
          <w:rFonts w:hint="eastAsia" w:ascii="宋体" w:hAnsi="宋体"/>
          <w:color w:val="auto"/>
          <w:highlight w:val="none"/>
        </w:rPr>
        <w:t>1.合同经双方法定代表人或委托代理人签字并加盖单位公章后生效（委托代理人签字的需后附法定代表人授权委托书，格式自拟）。</w:t>
      </w:r>
    </w:p>
    <w:p w14:paraId="53C0CD2D">
      <w:pPr>
        <w:snapToGrid w:val="0"/>
        <w:spacing w:line="400" w:lineRule="exact"/>
        <w:ind w:firstLine="420" w:firstLineChars="200"/>
        <w:rPr>
          <w:rFonts w:ascii="宋体" w:hAnsi="宋体"/>
          <w:color w:val="auto"/>
          <w:highlight w:val="none"/>
        </w:rPr>
      </w:pPr>
      <w:r>
        <w:rPr>
          <w:rFonts w:hint="eastAsia" w:ascii="宋体" w:hAnsi="宋体"/>
          <w:color w:val="auto"/>
          <w:highlight w:val="none"/>
        </w:rPr>
        <w:t>2.合同执行中涉及采购资金和采购内容修改或补充的，须经财政部门审批，并签订书面补充协议报财政部门备案，方可作为主合同不可分割的一部分。</w:t>
      </w:r>
    </w:p>
    <w:p w14:paraId="268C160F">
      <w:pPr>
        <w:snapToGrid w:val="0"/>
        <w:spacing w:line="400" w:lineRule="exact"/>
        <w:ind w:firstLine="420" w:firstLineChars="200"/>
        <w:rPr>
          <w:rFonts w:ascii="宋体" w:hAnsi="宋体"/>
          <w:color w:val="auto"/>
          <w:highlight w:val="none"/>
        </w:rPr>
      </w:pPr>
      <w:r>
        <w:rPr>
          <w:rFonts w:hint="eastAsia" w:ascii="宋体" w:hAnsi="宋体"/>
          <w:color w:val="auto"/>
          <w:highlight w:val="none"/>
        </w:rPr>
        <w:t>3.本合同未尽事宜，遵照《</w:t>
      </w:r>
      <w:r>
        <w:rPr>
          <w:rFonts w:ascii="宋体" w:hAnsi="宋体" w:cs="Arial"/>
          <w:color w:val="auto"/>
          <w:highlight w:val="none"/>
          <w:shd w:val="clear" w:color="auto" w:fill="FFFFFF"/>
        </w:rPr>
        <w:t>中华人民共和国民法典</w:t>
      </w:r>
      <w:r>
        <w:rPr>
          <w:rFonts w:hint="eastAsia" w:ascii="宋体" w:hAnsi="宋体"/>
          <w:color w:val="auto"/>
          <w:highlight w:val="none"/>
        </w:rPr>
        <w:t>》有关条文执行。</w:t>
      </w:r>
    </w:p>
    <w:p w14:paraId="673707B3">
      <w:pPr>
        <w:snapToGrid w:val="0"/>
        <w:spacing w:line="400" w:lineRule="exact"/>
        <w:rPr>
          <w:rFonts w:ascii="宋体" w:hAnsi="宋体"/>
          <w:b/>
          <w:color w:val="auto"/>
          <w:highlight w:val="none"/>
        </w:rPr>
      </w:pPr>
      <w:r>
        <w:rPr>
          <w:rFonts w:hint="eastAsia" w:ascii="宋体" w:hAnsi="宋体"/>
          <w:b/>
          <w:color w:val="auto"/>
          <w:highlight w:val="none"/>
        </w:rPr>
        <w:t>第十六条  合同的变更、终止与转让</w:t>
      </w:r>
    </w:p>
    <w:p w14:paraId="452F5E74">
      <w:pPr>
        <w:snapToGrid w:val="0"/>
        <w:spacing w:line="400" w:lineRule="exact"/>
        <w:ind w:firstLine="420" w:firstLineChars="200"/>
        <w:rPr>
          <w:rFonts w:ascii="宋体" w:hAnsi="宋体"/>
          <w:color w:val="auto"/>
          <w:highlight w:val="none"/>
        </w:rPr>
      </w:pPr>
      <w:r>
        <w:rPr>
          <w:rFonts w:hint="eastAsia" w:ascii="宋体" w:hAnsi="宋体"/>
          <w:color w:val="auto"/>
          <w:highlight w:val="none"/>
        </w:rPr>
        <w:t>1.除《中华人民共和国政府采购法》第五十条规定的情形外，本合同一经签订，甲乙双方不得擅自变更、中止或终止合同。</w:t>
      </w:r>
    </w:p>
    <w:p w14:paraId="45476EB8">
      <w:pPr>
        <w:snapToGrid w:val="0"/>
        <w:spacing w:line="400" w:lineRule="exact"/>
        <w:ind w:firstLine="420" w:firstLineChars="200"/>
        <w:rPr>
          <w:rFonts w:ascii="宋体" w:hAnsi="宋体"/>
          <w:color w:val="auto"/>
          <w:highlight w:val="none"/>
        </w:rPr>
      </w:pPr>
      <w:r>
        <w:rPr>
          <w:rFonts w:hint="eastAsia" w:ascii="宋体" w:hAnsi="宋体"/>
          <w:color w:val="auto"/>
          <w:highlight w:val="none"/>
        </w:rPr>
        <w:t>2.乙方不得擅自转让其应履行的合同义务。</w:t>
      </w:r>
    </w:p>
    <w:p w14:paraId="606F55DE">
      <w:pPr>
        <w:snapToGrid w:val="0"/>
        <w:spacing w:line="400" w:lineRule="exact"/>
        <w:rPr>
          <w:rFonts w:ascii="宋体" w:hAnsi="宋体"/>
          <w:b/>
          <w:color w:val="auto"/>
          <w:highlight w:val="none"/>
        </w:rPr>
      </w:pPr>
      <w:r>
        <w:rPr>
          <w:rFonts w:hint="eastAsia" w:ascii="宋体" w:hAnsi="宋体"/>
          <w:b/>
          <w:color w:val="auto"/>
          <w:highlight w:val="none"/>
        </w:rPr>
        <w:t>第十七条  签订本合同依据</w:t>
      </w:r>
    </w:p>
    <w:p w14:paraId="2A3E1B5D">
      <w:pPr>
        <w:snapToGrid w:val="0"/>
        <w:spacing w:line="400" w:lineRule="exact"/>
        <w:ind w:firstLine="420" w:firstLineChars="200"/>
        <w:rPr>
          <w:rFonts w:ascii="宋体" w:hAnsi="宋体"/>
          <w:color w:val="auto"/>
          <w:highlight w:val="none"/>
        </w:rPr>
      </w:pPr>
      <w:r>
        <w:rPr>
          <w:rFonts w:hint="eastAsia" w:ascii="宋体" w:hAnsi="宋体"/>
          <w:color w:val="auto"/>
          <w:highlight w:val="none"/>
        </w:rPr>
        <w:t>1.成交通知书；</w:t>
      </w:r>
    </w:p>
    <w:p w14:paraId="2BAC7FF9">
      <w:pPr>
        <w:snapToGrid w:val="0"/>
        <w:spacing w:line="400" w:lineRule="exact"/>
        <w:ind w:firstLine="420" w:firstLineChars="200"/>
        <w:rPr>
          <w:rFonts w:ascii="宋体" w:hAnsi="宋体"/>
          <w:color w:val="auto"/>
          <w:highlight w:val="none"/>
        </w:rPr>
      </w:pPr>
      <w:r>
        <w:rPr>
          <w:rFonts w:hint="eastAsia" w:ascii="宋体" w:hAnsi="宋体"/>
          <w:color w:val="auto"/>
          <w:highlight w:val="none"/>
        </w:rPr>
        <w:t>2.乙方提供的响应文件、应答文件；</w:t>
      </w:r>
    </w:p>
    <w:p w14:paraId="13B64E59">
      <w:pPr>
        <w:snapToGrid w:val="0"/>
        <w:spacing w:line="400" w:lineRule="exact"/>
        <w:ind w:firstLine="420" w:firstLineChars="200"/>
        <w:rPr>
          <w:rFonts w:ascii="宋体" w:hAnsi="宋体"/>
          <w:color w:val="auto"/>
          <w:highlight w:val="none"/>
        </w:rPr>
      </w:pPr>
      <w:r>
        <w:rPr>
          <w:rFonts w:hint="eastAsia" w:ascii="宋体" w:hAnsi="宋体"/>
          <w:color w:val="auto"/>
          <w:highlight w:val="none"/>
        </w:rPr>
        <w:t>3.采购文件及更正公告（澄清或补充通知）；</w:t>
      </w:r>
    </w:p>
    <w:p w14:paraId="53E86C78">
      <w:pPr>
        <w:snapToGrid w:val="0"/>
        <w:spacing w:line="400" w:lineRule="exact"/>
        <w:ind w:firstLine="420" w:firstLineChars="200"/>
        <w:rPr>
          <w:rFonts w:ascii="宋体" w:hAnsi="宋体"/>
          <w:color w:val="auto"/>
          <w:highlight w:val="none"/>
        </w:rPr>
      </w:pPr>
      <w:r>
        <w:rPr>
          <w:rFonts w:hint="eastAsia" w:ascii="宋体" w:hAnsi="宋体"/>
          <w:color w:val="auto"/>
          <w:highlight w:val="none"/>
        </w:rPr>
        <w:t>4.标准、规范及有关技术文件；</w:t>
      </w:r>
    </w:p>
    <w:p w14:paraId="16962405">
      <w:pPr>
        <w:snapToGrid w:val="0"/>
        <w:spacing w:line="400" w:lineRule="exact"/>
        <w:ind w:firstLine="420" w:firstLineChars="200"/>
        <w:rPr>
          <w:rFonts w:ascii="宋体" w:hAnsi="宋体"/>
          <w:color w:val="auto"/>
          <w:highlight w:val="none"/>
        </w:rPr>
      </w:pPr>
      <w:r>
        <w:rPr>
          <w:rFonts w:hint="eastAsia" w:ascii="宋体" w:hAnsi="宋体"/>
          <w:color w:val="auto"/>
          <w:highlight w:val="none"/>
        </w:rPr>
        <w:t>5.双方约定的其他合同文件。</w:t>
      </w:r>
    </w:p>
    <w:p w14:paraId="18F080ED">
      <w:pPr>
        <w:snapToGrid w:val="0"/>
        <w:spacing w:line="400" w:lineRule="exact"/>
        <w:rPr>
          <w:rFonts w:ascii="宋体" w:hAnsi="宋体"/>
          <w:color w:val="auto"/>
          <w:highlight w:val="none"/>
        </w:rPr>
      </w:pPr>
      <w:r>
        <w:rPr>
          <w:rFonts w:hint="eastAsia" w:ascii="宋体" w:hAnsi="宋体"/>
          <w:b/>
          <w:color w:val="auto"/>
          <w:highlight w:val="none"/>
        </w:rPr>
        <w:t xml:space="preserve">第十八条  </w:t>
      </w:r>
      <w:r>
        <w:rPr>
          <w:rFonts w:hint="eastAsia" w:ascii="宋体" w:hAnsi="宋体"/>
          <w:color w:val="auto"/>
          <w:highlight w:val="none"/>
        </w:rPr>
        <w:t>本合同一式四份，具有同等法律效力，甲方两份，乙方一份，采购代理机构一份（可根据需要另行增加）。</w:t>
      </w:r>
    </w:p>
    <w:p w14:paraId="5D8EC4E9">
      <w:pPr>
        <w:snapToGrid w:val="0"/>
        <w:spacing w:line="340" w:lineRule="exact"/>
        <w:rPr>
          <w:rFonts w:ascii="宋体" w:hAnsi="宋体"/>
          <w:color w:val="auto"/>
          <w:highlight w:val="none"/>
        </w:rPr>
      </w:pPr>
    </w:p>
    <w:tbl>
      <w:tblPr>
        <w:tblStyle w:val="26"/>
        <w:tblW w:w="9033" w:type="dxa"/>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16B1D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16" w:type="dxa"/>
            <w:tcBorders>
              <w:top w:val="single" w:color="auto" w:sz="4" w:space="0"/>
              <w:left w:val="single" w:color="auto" w:sz="4" w:space="0"/>
              <w:bottom w:val="single" w:color="auto" w:sz="4" w:space="0"/>
              <w:right w:val="single" w:color="auto" w:sz="4" w:space="0"/>
            </w:tcBorders>
            <w:vAlign w:val="center"/>
          </w:tcPr>
          <w:p w14:paraId="4924FD0E">
            <w:pPr>
              <w:snapToGrid w:val="0"/>
              <w:spacing w:line="360" w:lineRule="exact"/>
              <w:rPr>
                <w:rFonts w:ascii="宋体" w:hAnsi="宋体"/>
                <w:color w:val="auto"/>
                <w:szCs w:val="21"/>
                <w:highlight w:val="none"/>
              </w:rPr>
            </w:pPr>
            <w:r>
              <w:rPr>
                <w:rFonts w:hint="eastAsia" w:ascii="宋体" w:hAnsi="宋体"/>
                <w:color w:val="auto"/>
                <w:highlight w:val="none"/>
              </w:rPr>
              <w:t xml:space="preserve">甲方（章）           </w:t>
            </w:r>
          </w:p>
          <w:p w14:paraId="2B0CD6D5">
            <w:pPr>
              <w:snapToGrid w:val="0"/>
              <w:spacing w:line="360" w:lineRule="exact"/>
              <w:rPr>
                <w:rFonts w:ascii="宋体" w:hAnsi="宋体"/>
                <w:color w:val="auto"/>
                <w:highlight w:val="none"/>
              </w:rPr>
            </w:pPr>
          </w:p>
          <w:p w14:paraId="269A6D91">
            <w:pPr>
              <w:snapToGrid w:val="0"/>
              <w:spacing w:line="360" w:lineRule="exact"/>
              <w:ind w:firstLine="630" w:firstLineChars="300"/>
              <w:rPr>
                <w:rFonts w:ascii="宋体" w:hAnsi="宋体"/>
                <w:color w:val="auto"/>
                <w:szCs w:val="21"/>
                <w:highlight w:val="none"/>
              </w:rPr>
            </w:pPr>
            <w:r>
              <w:rPr>
                <w:rFonts w:hint="eastAsia" w:ascii="宋体" w:hAnsi="宋体"/>
                <w:color w:val="auto"/>
                <w:highlight w:val="none"/>
              </w:rPr>
              <w:t>年   月   日</w:t>
            </w:r>
          </w:p>
        </w:tc>
        <w:tc>
          <w:tcPr>
            <w:tcW w:w="4517" w:type="dxa"/>
            <w:tcBorders>
              <w:top w:val="single" w:color="auto" w:sz="4" w:space="0"/>
              <w:left w:val="single" w:color="auto" w:sz="4" w:space="0"/>
              <w:bottom w:val="single" w:color="auto" w:sz="4" w:space="0"/>
              <w:right w:val="single" w:color="auto" w:sz="4" w:space="0"/>
            </w:tcBorders>
            <w:vAlign w:val="center"/>
          </w:tcPr>
          <w:p w14:paraId="0D6A1265">
            <w:pPr>
              <w:snapToGrid w:val="0"/>
              <w:spacing w:line="360" w:lineRule="exact"/>
              <w:rPr>
                <w:rFonts w:ascii="宋体" w:hAnsi="宋体"/>
                <w:color w:val="auto"/>
                <w:szCs w:val="21"/>
                <w:highlight w:val="none"/>
              </w:rPr>
            </w:pPr>
            <w:r>
              <w:rPr>
                <w:rFonts w:hint="eastAsia" w:ascii="宋体" w:hAnsi="宋体"/>
                <w:color w:val="auto"/>
                <w:highlight w:val="none"/>
              </w:rPr>
              <w:t xml:space="preserve">乙方（章）              </w:t>
            </w:r>
          </w:p>
          <w:p w14:paraId="39506171">
            <w:pPr>
              <w:snapToGrid w:val="0"/>
              <w:spacing w:line="360" w:lineRule="exact"/>
              <w:rPr>
                <w:rFonts w:ascii="宋体" w:hAnsi="宋体"/>
                <w:color w:val="auto"/>
                <w:highlight w:val="none"/>
              </w:rPr>
            </w:pPr>
          </w:p>
          <w:p w14:paraId="5BB70118">
            <w:pPr>
              <w:snapToGrid w:val="0"/>
              <w:spacing w:line="360" w:lineRule="exact"/>
              <w:rPr>
                <w:rFonts w:ascii="宋体" w:hAnsi="宋体"/>
                <w:color w:val="auto"/>
                <w:szCs w:val="21"/>
                <w:highlight w:val="none"/>
              </w:rPr>
            </w:pPr>
            <w:r>
              <w:rPr>
                <w:rFonts w:hint="eastAsia" w:ascii="宋体" w:hAnsi="宋体"/>
                <w:color w:val="auto"/>
                <w:highlight w:val="none"/>
              </w:rPr>
              <w:t xml:space="preserve">       年   月   日</w:t>
            </w:r>
          </w:p>
        </w:tc>
      </w:tr>
      <w:tr w14:paraId="0A690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516" w:type="dxa"/>
            <w:tcBorders>
              <w:top w:val="single" w:color="auto" w:sz="4" w:space="0"/>
              <w:left w:val="single" w:color="auto" w:sz="4" w:space="0"/>
              <w:bottom w:val="single" w:color="auto" w:sz="4" w:space="0"/>
              <w:right w:val="single" w:color="auto" w:sz="4" w:space="0"/>
            </w:tcBorders>
            <w:vAlign w:val="center"/>
          </w:tcPr>
          <w:p w14:paraId="3F6307E3">
            <w:pPr>
              <w:snapToGrid w:val="0"/>
              <w:spacing w:line="360" w:lineRule="exact"/>
              <w:rPr>
                <w:rFonts w:ascii="宋体" w:hAnsi="宋体"/>
                <w:color w:val="auto"/>
                <w:szCs w:val="21"/>
                <w:highlight w:val="none"/>
              </w:rPr>
            </w:pPr>
            <w:r>
              <w:rPr>
                <w:rFonts w:hint="eastAsia" w:ascii="宋体" w:hAnsi="宋体"/>
                <w:color w:val="auto"/>
                <w:highlight w:val="none"/>
              </w:rPr>
              <w:t>单位地址：桂林市七星区建干路12号</w:t>
            </w:r>
          </w:p>
        </w:tc>
        <w:tc>
          <w:tcPr>
            <w:tcW w:w="4517" w:type="dxa"/>
            <w:tcBorders>
              <w:top w:val="single" w:color="auto" w:sz="4" w:space="0"/>
              <w:left w:val="single" w:color="auto" w:sz="4" w:space="0"/>
              <w:bottom w:val="single" w:color="auto" w:sz="4" w:space="0"/>
              <w:right w:val="single" w:color="auto" w:sz="4" w:space="0"/>
            </w:tcBorders>
            <w:vAlign w:val="center"/>
          </w:tcPr>
          <w:p w14:paraId="55326C13">
            <w:pPr>
              <w:snapToGrid w:val="0"/>
              <w:spacing w:line="360" w:lineRule="exact"/>
              <w:rPr>
                <w:rFonts w:ascii="宋体" w:hAnsi="宋体"/>
                <w:color w:val="auto"/>
                <w:szCs w:val="21"/>
                <w:highlight w:val="none"/>
              </w:rPr>
            </w:pPr>
            <w:r>
              <w:rPr>
                <w:rFonts w:hint="eastAsia" w:ascii="宋体" w:hAnsi="宋体"/>
                <w:color w:val="auto"/>
                <w:highlight w:val="none"/>
              </w:rPr>
              <w:t>单位地址：</w:t>
            </w:r>
          </w:p>
        </w:tc>
      </w:tr>
      <w:tr w14:paraId="0CD9C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trPr>
        <w:tc>
          <w:tcPr>
            <w:tcW w:w="4516" w:type="dxa"/>
            <w:tcBorders>
              <w:top w:val="single" w:color="auto" w:sz="4" w:space="0"/>
              <w:left w:val="single" w:color="auto" w:sz="4" w:space="0"/>
              <w:bottom w:val="single" w:color="auto" w:sz="4" w:space="0"/>
              <w:right w:val="single" w:color="auto" w:sz="4" w:space="0"/>
            </w:tcBorders>
            <w:vAlign w:val="center"/>
          </w:tcPr>
          <w:p w14:paraId="79871F11">
            <w:pPr>
              <w:snapToGrid w:val="0"/>
              <w:spacing w:line="360" w:lineRule="exact"/>
              <w:rPr>
                <w:rFonts w:ascii="宋体" w:hAnsi="宋体"/>
                <w:color w:val="auto"/>
                <w:szCs w:val="21"/>
                <w:highlight w:val="none"/>
              </w:rPr>
            </w:pPr>
            <w:r>
              <w:rPr>
                <w:rFonts w:hint="eastAsia" w:ascii="宋体" w:hAnsi="宋体"/>
                <w:color w:val="auto"/>
                <w:highlight w:val="none"/>
              </w:rPr>
              <w:t>法定代表人：</w:t>
            </w:r>
          </w:p>
        </w:tc>
        <w:tc>
          <w:tcPr>
            <w:tcW w:w="4517" w:type="dxa"/>
            <w:tcBorders>
              <w:top w:val="single" w:color="auto" w:sz="4" w:space="0"/>
              <w:left w:val="single" w:color="auto" w:sz="4" w:space="0"/>
              <w:bottom w:val="single" w:color="auto" w:sz="4" w:space="0"/>
              <w:right w:val="single" w:color="auto" w:sz="4" w:space="0"/>
            </w:tcBorders>
            <w:vAlign w:val="center"/>
          </w:tcPr>
          <w:p w14:paraId="4FBFD1A0">
            <w:pPr>
              <w:snapToGrid w:val="0"/>
              <w:spacing w:line="360" w:lineRule="exact"/>
              <w:rPr>
                <w:rFonts w:ascii="宋体" w:hAnsi="宋体"/>
                <w:color w:val="auto"/>
                <w:szCs w:val="21"/>
                <w:highlight w:val="none"/>
              </w:rPr>
            </w:pPr>
            <w:r>
              <w:rPr>
                <w:rFonts w:hint="eastAsia" w:ascii="宋体" w:hAnsi="宋体"/>
                <w:color w:val="auto"/>
                <w:highlight w:val="none"/>
              </w:rPr>
              <w:t>法定代表人：</w:t>
            </w:r>
          </w:p>
        </w:tc>
      </w:tr>
      <w:tr w14:paraId="67223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trPr>
        <w:tc>
          <w:tcPr>
            <w:tcW w:w="4516" w:type="dxa"/>
            <w:tcBorders>
              <w:top w:val="single" w:color="auto" w:sz="4" w:space="0"/>
              <w:left w:val="single" w:color="auto" w:sz="4" w:space="0"/>
              <w:bottom w:val="single" w:color="auto" w:sz="4" w:space="0"/>
              <w:right w:val="single" w:color="auto" w:sz="4" w:space="0"/>
            </w:tcBorders>
            <w:vAlign w:val="center"/>
          </w:tcPr>
          <w:p w14:paraId="1A2B45A1">
            <w:pPr>
              <w:snapToGrid w:val="0"/>
              <w:spacing w:line="360" w:lineRule="exact"/>
              <w:rPr>
                <w:rFonts w:ascii="宋体" w:hAnsi="宋体"/>
                <w:color w:val="auto"/>
                <w:szCs w:val="21"/>
                <w:highlight w:val="none"/>
              </w:rPr>
            </w:pPr>
            <w:r>
              <w:rPr>
                <w:rFonts w:hint="eastAsia" w:ascii="宋体" w:hAnsi="宋体"/>
                <w:color w:val="auto"/>
                <w:highlight w:val="none"/>
              </w:rPr>
              <w:t>委托代理人：</w:t>
            </w:r>
          </w:p>
        </w:tc>
        <w:tc>
          <w:tcPr>
            <w:tcW w:w="4517" w:type="dxa"/>
            <w:tcBorders>
              <w:top w:val="single" w:color="auto" w:sz="4" w:space="0"/>
              <w:left w:val="single" w:color="auto" w:sz="4" w:space="0"/>
              <w:bottom w:val="single" w:color="auto" w:sz="4" w:space="0"/>
              <w:right w:val="single" w:color="auto" w:sz="4" w:space="0"/>
            </w:tcBorders>
            <w:vAlign w:val="center"/>
          </w:tcPr>
          <w:p w14:paraId="091AE079">
            <w:pPr>
              <w:snapToGrid w:val="0"/>
              <w:spacing w:line="360" w:lineRule="exact"/>
              <w:rPr>
                <w:rFonts w:ascii="宋体" w:hAnsi="宋体"/>
                <w:color w:val="auto"/>
                <w:szCs w:val="21"/>
                <w:highlight w:val="none"/>
              </w:rPr>
            </w:pPr>
            <w:r>
              <w:rPr>
                <w:rFonts w:hint="eastAsia" w:ascii="宋体" w:hAnsi="宋体"/>
                <w:color w:val="auto"/>
                <w:highlight w:val="none"/>
              </w:rPr>
              <w:t>委托代理人：</w:t>
            </w:r>
          </w:p>
        </w:tc>
      </w:tr>
      <w:tr w14:paraId="16162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516" w:type="dxa"/>
            <w:tcBorders>
              <w:top w:val="single" w:color="auto" w:sz="4" w:space="0"/>
              <w:left w:val="single" w:color="auto" w:sz="4" w:space="0"/>
              <w:bottom w:val="single" w:color="auto" w:sz="4" w:space="0"/>
              <w:right w:val="single" w:color="auto" w:sz="4" w:space="0"/>
            </w:tcBorders>
            <w:vAlign w:val="center"/>
          </w:tcPr>
          <w:p w14:paraId="25C4DC5F">
            <w:pPr>
              <w:snapToGrid w:val="0"/>
              <w:spacing w:line="360" w:lineRule="exact"/>
              <w:rPr>
                <w:rFonts w:ascii="宋体" w:hAnsi="宋体"/>
                <w:color w:val="auto"/>
                <w:szCs w:val="21"/>
                <w:highlight w:val="none"/>
              </w:rPr>
            </w:pPr>
            <w:r>
              <w:rPr>
                <w:rFonts w:hint="eastAsia" w:ascii="宋体" w:hAnsi="宋体"/>
                <w:color w:val="auto"/>
                <w:highlight w:val="none"/>
              </w:rPr>
              <w:t>电话：0773-5895090</w:t>
            </w:r>
          </w:p>
        </w:tc>
        <w:tc>
          <w:tcPr>
            <w:tcW w:w="4517" w:type="dxa"/>
            <w:tcBorders>
              <w:top w:val="single" w:color="auto" w:sz="4" w:space="0"/>
              <w:left w:val="single" w:color="auto" w:sz="4" w:space="0"/>
              <w:bottom w:val="single" w:color="auto" w:sz="4" w:space="0"/>
              <w:right w:val="single" w:color="auto" w:sz="4" w:space="0"/>
            </w:tcBorders>
            <w:vAlign w:val="center"/>
          </w:tcPr>
          <w:p w14:paraId="0C46E043">
            <w:pPr>
              <w:snapToGrid w:val="0"/>
              <w:spacing w:line="360" w:lineRule="exact"/>
              <w:rPr>
                <w:rFonts w:ascii="宋体" w:hAnsi="宋体"/>
                <w:color w:val="auto"/>
                <w:szCs w:val="21"/>
                <w:highlight w:val="none"/>
              </w:rPr>
            </w:pPr>
            <w:r>
              <w:rPr>
                <w:rFonts w:hint="eastAsia" w:ascii="宋体" w:hAnsi="宋体"/>
                <w:color w:val="auto"/>
                <w:highlight w:val="none"/>
              </w:rPr>
              <w:t>电话：</w:t>
            </w:r>
          </w:p>
        </w:tc>
      </w:tr>
      <w:tr w14:paraId="58A0A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4516" w:type="dxa"/>
            <w:tcBorders>
              <w:top w:val="single" w:color="auto" w:sz="4" w:space="0"/>
              <w:left w:val="single" w:color="auto" w:sz="4" w:space="0"/>
              <w:bottom w:val="single" w:color="auto" w:sz="4" w:space="0"/>
              <w:right w:val="single" w:color="auto" w:sz="4" w:space="0"/>
            </w:tcBorders>
            <w:vAlign w:val="center"/>
          </w:tcPr>
          <w:p w14:paraId="6A51A349">
            <w:pPr>
              <w:snapToGrid w:val="0"/>
              <w:spacing w:line="360" w:lineRule="exact"/>
              <w:rPr>
                <w:rFonts w:ascii="宋体" w:hAnsi="宋体"/>
                <w:color w:val="auto"/>
                <w:szCs w:val="21"/>
                <w:highlight w:val="none"/>
              </w:rPr>
            </w:pPr>
            <w:r>
              <w:rPr>
                <w:rFonts w:hint="eastAsia" w:ascii="宋体" w:hAnsi="宋体"/>
                <w:color w:val="auto"/>
                <w:highlight w:val="none"/>
              </w:rPr>
              <w:t>电子邮箱：zbk@glut.edu.cn</w:t>
            </w:r>
          </w:p>
        </w:tc>
        <w:tc>
          <w:tcPr>
            <w:tcW w:w="4517" w:type="dxa"/>
            <w:tcBorders>
              <w:top w:val="single" w:color="auto" w:sz="4" w:space="0"/>
              <w:left w:val="single" w:color="auto" w:sz="4" w:space="0"/>
              <w:bottom w:val="single" w:color="auto" w:sz="4" w:space="0"/>
              <w:right w:val="single" w:color="auto" w:sz="4" w:space="0"/>
            </w:tcBorders>
            <w:vAlign w:val="center"/>
          </w:tcPr>
          <w:p w14:paraId="58F20B19">
            <w:pPr>
              <w:snapToGrid w:val="0"/>
              <w:spacing w:line="360" w:lineRule="exact"/>
              <w:rPr>
                <w:rFonts w:ascii="宋体" w:hAnsi="宋体"/>
                <w:color w:val="auto"/>
                <w:szCs w:val="21"/>
                <w:highlight w:val="none"/>
              </w:rPr>
            </w:pPr>
            <w:r>
              <w:rPr>
                <w:rFonts w:hint="eastAsia" w:ascii="宋体" w:hAnsi="宋体"/>
                <w:color w:val="auto"/>
                <w:highlight w:val="none"/>
              </w:rPr>
              <w:t>电子邮箱：</w:t>
            </w:r>
          </w:p>
        </w:tc>
      </w:tr>
      <w:tr w14:paraId="73A0C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16" w:type="dxa"/>
            <w:tcBorders>
              <w:top w:val="single" w:color="auto" w:sz="4" w:space="0"/>
              <w:left w:val="single" w:color="auto" w:sz="4" w:space="0"/>
              <w:bottom w:val="single" w:color="auto" w:sz="4" w:space="0"/>
              <w:right w:val="single" w:color="auto" w:sz="4" w:space="0"/>
            </w:tcBorders>
            <w:vAlign w:val="center"/>
          </w:tcPr>
          <w:p w14:paraId="263E4FE5">
            <w:pPr>
              <w:snapToGrid w:val="0"/>
              <w:spacing w:line="360" w:lineRule="exact"/>
              <w:rPr>
                <w:rFonts w:ascii="宋体" w:hAnsi="宋体"/>
                <w:color w:val="auto"/>
                <w:szCs w:val="21"/>
                <w:highlight w:val="none"/>
              </w:rPr>
            </w:pPr>
            <w:r>
              <w:rPr>
                <w:rFonts w:hint="eastAsia" w:ascii="宋体" w:hAnsi="宋体"/>
                <w:color w:val="auto"/>
                <w:highlight w:val="none"/>
              </w:rPr>
              <w:t>开户银行：中国银行桂林分行</w:t>
            </w:r>
          </w:p>
        </w:tc>
        <w:tc>
          <w:tcPr>
            <w:tcW w:w="4517" w:type="dxa"/>
            <w:tcBorders>
              <w:top w:val="single" w:color="auto" w:sz="4" w:space="0"/>
              <w:left w:val="single" w:color="auto" w:sz="4" w:space="0"/>
              <w:bottom w:val="single" w:color="auto" w:sz="4" w:space="0"/>
              <w:right w:val="single" w:color="auto" w:sz="4" w:space="0"/>
            </w:tcBorders>
            <w:vAlign w:val="center"/>
          </w:tcPr>
          <w:p w14:paraId="3F8BDCC2">
            <w:pPr>
              <w:snapToGrid w:val="0"/>
              <w:spacing w:line="360" w:lineRule="exact"/>
              <w:rPr>
                <w:rFonts w:ascii="宋体" w:hAnsi="宋体"/>
                <w:color w:val="auto"/>
                <w:szCs w:val="21"/>
                <w:highlight w:val="none"/>
              </w:rPr>
            </w:pPr>
            <w:r>
              <w:rPr>
                <w:rFonts w:hint="eastAsia" w:ascii="宋体" w:hAnsi="宋体"/>
                <w:color w:val="auto"/>
                <w:highlight w:val="none"/>
              </w:rPr>
              <w:t>开户银行：</w:t>
            </w:r>
          </w:p>
        </w:tc>
      </w:tr>
      <w:tr w14:paraId="5C2B7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4516" w:type="dxa"/>
            <w:tcBorders>
              <w:top w:val="single" w:color="auto" w:sz="4" w:space="0"/>
              <w:left w:val="single" w:color="auto" w:sz="4" w:space="0"/>
              <w:bottom w:val="single" w:color="auto" w:sz="4" w:space="0"/>
              <w:right w:val="single" w:color="auto" w:sz="4" w:space="0"/>
            </w:tcBorders>
            <w:vAlign w:val="center"/>
          </w:tcPr>
          <w:p w14:paraId="7ADCC103">
            <w:pPr>
              <w:snapToGrid w:val="0"/>
              <w:spacing w:line="360" w:lineRule="exact"/>
              <w:rPr>
                <w:rFonts w:ascii="宋体" w:hAnsi="宋体"/>
                <w:color w:val="auto"/>
                <w:szCs w:val="21"/>
                <w:highlight w:val="none"/>
              </w:rPr>
            </w:pPr>
            <w:r>
              <w:rPr>
                <w:rFonts w:hint="eastAsia" w:ascii="宋体" w:hAnsi="宋体"/>
                <w:color w:val="auto"/>
                <w:highlight w:val="none"/>
              </w:rPr>
              <w:t>账号：6132 5748 8744</w:t>
            </w:r>
          </w:p>
        </w:tc>
        <w:tc>
          <w:tcPr>
            <w:tcW w:w="4517" w:type="dxa"/>
            <w:tcBorders>
              <w:top w:val="single" w:color="auto" w:sz="4" w:space="0"/>
              <w:left w:val="single" w:color="auto" w:sz="4" w:space="0"/>
              <w:bottom w:val="single" w:color="auto" w:sz="4" w:space="0"/>
              <w:right w:val="single" w:color="auto" w:sz="4" w:space="0"/>
            </w:tcBorders>
            <w:vAlign w:val="center"/>
          </w:tcPr>
          <w:p w14:paraId="01E57E50">
            <w:pPr>
              <w:snapToGrid w:val="0"/>
              <w:spacing w:line="360" w:lineRule="exact"/>
              <w:rPr>
                <w:rFonts w:ascii="宋体" w:hAnsi="宋体"/>
                <w:color w:val="auto"/>
                <w:szCs w:val="21"/>
                <w:highlight w:val="none"/>
              </w:rPr>
            </w:pPr>
            <w:r>
              <w:rPr>
                <w:rFonts w:hint="eastAsia" w:ascii="宋体" w:hAnsi="宋体"/>
                <w:color w:val="auto"/>
                <w:highlight w:val="none"/>
              </w:rPr>
              <w:t>账号：</w:t>
            </w:r>
          </w:p>
        </w:tc>
      </w:tr>
      <w:tr w14:paraId="10A22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4516" w:type="dxa"/>
            <w:tcBorders>
              <w:top w:val="single" w:color="auto" w:sz="4" w:space="0"/>
              <w:left w:val="single" w:color="auto" w:sz="4" w:space="0"/>
              <w:bottom w:val="single" w:color="auto" w:sz="4" w:space="0"/>
              <w:right w:val="single" w:color="auto" w:sz="4" w:space="0"/>
            </w:tcBorders>
            <w:vAlign w:val="center"/>
          </w:tcPr>
          <w:p w14:paraId="0B8ED0E1">
            <w:pPr>
              <w:snapToGrid w:val="0"/>
              <w:spacing w:line="360" w:lineRule="exact"/>
              <w:rPr>
                <w:rFonts w:ascii="宋体" w:hAnsi="宋体"/>
                <w:color w:val="auto"/>
                <w:szCs w:val="21"/>
                <w:highlight w:val="none"/>
              </w:rPr>
            </w:pPr>
            <w:r>
              <w:rPr>
                <w:rFonts w:hint="eastAsia" w:ascii="宋体" w:hAnsi="宋体"/>
                <w:color w:val="auto"/>
                <w:highlight w:val="none"/>
              </w:rPr>
              <w:t>邮政编码：541004</w:t>
            </w:r>
          </w:p>
        </w:tc>
        <w:tc>
          <w:tcPr>
            <w:tcW w:w="4517" w:type="dxa"/>
            <w:tcBorders>
              <w:top w:val="single" w:color="auto" w:sz="4" w:space="0"/>
              <w:left w:val="single" w:color="auto" w:sz="4" w:space="0"/>
              <w:bottom w:val="single" w:color="auto" w:sz="4" w:space="0"/>
              <w:right w:val="single" w:color="auto" w:sz="4" w:space="0"/>
            </w:tcBorders>
            <w:vAlign w:val="center"/>
          </w:tcPr>
          <w:p w14:paraId="00EFF54D">
            <w:pPr>
              <w:snapToGrid w:val="0"/>
              <w:spacing w:line="360" w:lineRule="exact"/>
              <w:rPr>
                <w:rFonts w:ascii="宋体" w:hAnsi="宋体"/>
                <w:color w:val="auto"/>
                <w:szCs w:val="21"/>
                <w:highlight w:val="none"/>
              </w:rPr>
            </w:pPr>
            <w:r>
              <w:rPr>
                <w:rFonts w:hint="eastAsia" w:ascii="宋体" w:hAnsi="宋体"/>
                <w:color w:val="auto"/>
                <w:highlight w:val="none"/>
              </w:rPr>
              <w:t>邮政编码：</w:t>
            </w:r>
          </w:p>
        </w:tc>
      </w:tr>
    </w:tbl>
    <w:p w14:paraId="3806B8B2">
      <w:pPr>
        <w:snapToGrid w:val="0"/>
        <w:spacing w:line="360" w:lineRule="exact"/>
        <w:jc w:val="center"/>
        <w:rPr>
          <w:rFonts w:ascii="仿宋_GB2312" w:eastAsia="仿宋_GB2312"/>
          <w:b/>
          <w:color w:val="auto"/>
          <w:sz w:val="28"/>
          <w:szCs w:val="28"/>
          <w:highlight w:val="none"/>
        </w:rPr>
      </w:pPr>
      <w:r>
        <w:rPr>
          <w:rFonts w:hint="eastAsia" w:ascii="仿宋_GB2312" w:eastAsia="仿宋_GB2312"/>
          <w:b/>
          <w:color w:val="auto"/>
          <w:sz w:val="28"/>
          <w:szCs w:val="28"/>
          <w:highlight w:val="none"/>
        </w:rPr>
        <w:t xml:space="preserve">  </w:t>
      </w:r>
    </w:p>
    <w:p w14:paraId="74E86728">
      <w:pPr>
        <w:snapToGrid w:val="0"/>
        <w:spacing w:line="360" w:lineRule="exact"/>
        <w:jc w:val="center"/>
        <w:rPr>
          <w:rFonts w:ascii="仿宋_GB2312" w:eastAsia="仿宋_GB2312"/>
          <w:b/>
          <w:color w:val="auto"/>
          <w:sz w:val="28"/>
          <w:szCs w:val="28"/>
          <w:highlight w:val="none"/>
        </w:rPr>
      </w:pPr>
      <w:r>
        <w:rPr>
          <w:rFonts w:ascii="仿宋_GB2312" w:eastAsia="仿宋_GB2312"/>
          <w:b/>
          <w:color w:val="auto"/>
          <w:sz w:val="28"/>
          <w:szCs w:val="28"/>
          <w:highlight w:val="none"/>
        </w:rPr>
        <w:br w:type="page"/>
      </w:r>
    </w:p>
    <w:p w14:paraId="12CA4DA3">
      <w:pPr>
        <w:snapToGrid w:val="0"/>
        <w:spacing w:line="360" w:lineRule="exact"/>
        <w:jc w:val="center"/>
        <w:rPr>
          <w:rFonts w:ascii="仿宋_GB2312" w:eastAsia="仿宋_GB2312"/>
          <w:b/>
          <w:color w:val="auto"/>
          <w:sz w:val="28"/>
          <w:szCs w:val="28"/>
          <w:highlight w:val="none"/>
        </w:rPr>
      </w:pPr>
      <w:r>
        <w:rPr>
          <w:rFonts w:hint="eastAsia" w:ascii="仿宋_GB2312" w:eastAsia="仿宋_GB2312"/>
          <w:b/>
          <w:color w:val="auto"/>
          <w:sz w:val="28"/>
          <w:szCs w:val="28"/>
          <w:highlight w:val="none"/>
        </w:rPr>
        <w:t>合 同 附 件</w:t>
      </w:r>
    </w:p>
    <w:p w14:paraId="76113377">
      <w:pPr>
        <w:snapToGrid w:val="0"/>
        <w:spacing w:line="360" w:lineRule="exact"/>
        <w:ind w:firstLine="105" w:firstLineChars="50"/>
        <w:rPr>
          <w:rFonts w:ascii="宋体" w:hAnsi="宋体"/>
          <w:color w:val="auto"/>
          <w:szCs w:val="21"/>
          <w:highlight w:val="none"/>
        </w:rPr>
      </w:pPr>
      <w:r>
        <w:rPr>
          <w:rFonts w:hint="eastAsia" w:ascii="宋体" w:hAnsi="宋体"/>
          <w:color w:val="auto"/>
          <w:highlight w:val="none"/>
        </w:rPr>
        <w:t>一般货物类</w:t>
      </w:r>
    </w:p>
    <w:tbl>
      <w:tblPr>
        <w:tblStyle w:val="26"/>
        <w:tblW w:w="0" w:type="auto"/>
        <w:tblInd w:w="213" w:type="dxa"/>
        <w:tblLayout w:type="fixed"/>
        <w:tblCellMar>
          <w:top w:w="0" w:type="dxa"/>
          <w:left w:w="108" w:type="dxa"/>
          <w:bottom w:w="0" w:type="dxa"/>
          <w:right w:w="108" w:type="dxa"/>
        </w:tblCellMar>
      </w:tblPr>
      <w:tblGrid>
        <w:gridCol w:w="4010"/>
        <w:gridCol w:w="4512"/>
      </w:tblGrid>
      <w:tr w14:paraId="77E6B062">
        <w:tblPrEx>
          <w:tblCellMar>
            <w:top w:w="0" w:type="dxa"/>
            <w:left w:w="108" w:type="dxa"/>
            <w:bottom w:w="0" w:type="dxa"/>
            <w:right w:w="108" w:type="dxa"/>
          </w:tblCellMar>
        </w:tblPrEx>
        <w:trPr>
          <w:trHeight w:val="1226" w:hRule="atLeast"/>
        </w:trPr>
        <w:tc>
          <w:tcPr>
            <w:tcW w:w="8522" w:type="dxa"/>
            <w:gridSpan w:val="2"/>
            <w:tcBorders>
              <w:top w:val="single" w:color="auto" w:sz="4" w:space="0"/>
              <w:left w:val="single" w:color="auto" w:sz="4" w:space="0"/>
              <w:bottom w:val="nil"/>
              <w:right w:val="single" w:color="auto" w:sz="4" w:space="0"/>
            </w:tcBorders>
          </w:tcPr>
          <w:p w14:paraId="0CF0407D">
            <w:pPr>
              <w:snapToGrid w:val="0"/>
              <w:spacing w:line="360" w:lineRule="exact"/>
              <w:rPr>
                <w:rFonts w:ascii="宋体" w:hAnsi="宋体"/>
                <w:b/>
                <w:color w:val="auto"/>
                <w:sz w:val="24"/>
                <w:highlight w:val="none"/>
              </w:rPr>
            </w:pPr>
            <w:r>
              <w:rPr>
                <w:rFonts w:hint="eastAsia" w:ascii="宋体" w:hAnsi="宋体"/>
                <w:b/>
                <w:color w:val="auto"/>
                <w:sz w:val="24"/>
                <w:highlight w:val="none"/>
              </w:rPr>
              <w:t>1.供应商承诺具体事项：</w:t>
            </w:r>
          </w:p>
        </w:tc>
      </w:tr>
      <w:tr w14:paraId="50EEBA11">
        <w:tblPrEx>
          <w:tblCellMar>
            <w:top w:w="0" w:type="dxa"/>
            <w:left w:w="108" w:type="dxa"/>
            <w:bottom w:w="0" w:type="dxa"/>
            <w:right w:w="108" w:type="dxa"/>
          </w:tblCellMar>
        </w:tblPrEx>
        <w:trPr>
          <w:trHeight w:val="1228" w:hRule="atLeast"/>
        </w:trPr>
        <w:tc>
          <w:tcPr>
            <w:tcW w:w="8522" w:type="dxa"/>
            <w:gridSpan w:val="2"/>
            <w:tcBorders>
              <w:top w:val="single" w:color="auto" w:sz="4" w:space="0"/>
              <w:left w:val="single" w:color="auto" w:sz="4" w:space="0"/>
              <w:bottom w:val="nil"/>
              <w:right w:val="single" w:color="auto" w:sz="4" w:space="0"/>
            </w:tcBorders>
          </w:tcPr>
          <w:p w14:paraId="6809898C">
            <w:pPr>
              <w:snapToGrid w:val="0"/>
              <w:spacing w:line="360" w:lineRule="exact"/>
              <w:rPr>
                <w:rFonts w:ascii="宋体" w:hAnsi="宋体"/>
                <w:b/>
                <w:color w:val="auto"/>
                <w:sz w:val="24"/>
                <w:highlight w:val="none"/>
              </w:rPr>
            </w:pPr>
            <w:r>
              <w:rPr>
                <w:rFonts w:hint="eastAsia" w:ascii="宋体" w:hAnsi="宋体"/>
                <w:b/>
                <w:color w:val="auto"/>
                <w:sz w:val="24"/>
                <w:highlight w:val="none"/>
              </w:rPr>
              <w:t>2.售后服务具体事项：</w:t>
            </w:r>
          </w:p>
        </w:tc>
      </w:tr>
      <w:tr w14:paraId="4B04122F">
        <w:tblPrEx>
          <w:tblCellMar>
            <w:top w:w="0" w:type="dxa"/>
            <w:left w:w="108" w:type="dxa"/>
            <w:bottom w:w="0" w:type="dxa"/>
            <w:right w:w="108" w:type="dxa"/>
          </w:tblCellMar>
        </w:tblPrEx>
        <w:trPr>
          <w:trHeight w:val="1088" w:hRule="atLeast"/>
        </w:trPr>
        <w:tc>
          <w:tcPr>
            <w:tcW w:w="8522" w:type="dxa"/>
            <w:gridSpan w:val="2"/>
            <w:tcBorders>
              <w:top w:val="single" w:color="auto" w:sz="4" w:space="0"/>
              <w:left w:val="single" w:color="auto" w:sz="4" w:space="0"/>
              <w:bottom w:val="nil"/>
              <w:right w:val="single" w:color="auto" w:sz="4" w:space="0"/>
            </w:tcBorders>
          </w:tcPr>
          <w:p w14:paraId="716501D4">
            <w:pPr>
              <w:snapToGrid w:val="0"/>
              <w:spacing w:line="360" w:lineRule="exact"/>
              <w:rPr>
                <w:rFonts w:ascii="宋体" w:hAnsi="宋体"/>
                <w:b/>
                <w:color w:val="auto"/>
                <w:sz w:val="24"/>
                <w:highlight w:val="none"/>
              </w:rPr>
            </w:pPr>
            <w:r>
              <w:rPr>
                <w:rFonts w:hint="eastAsia" w:ascii="宋体" w:hAnsi="宋体"/>
                <w:b/>
                <w:color w:val="auto"/>
                <w:sz w:val="24"/>
                <w:highlight w:val="none"/>
              </w:rPr>
              <w:t>3.保修期责任：</w:t>
            </w:r>
          </w:p>
        </w:tc>
      </w:tr>
      <w:tr w14:paraId="3A451E1D">
        <w:tblPrEx>
          <w:tblCellMar>
            <w:top w:w="0" w:type="dxa"/>
            <w:left w:w="108" w:type="dxa"/>
            <w:bottom w:w="0" w:type="dxa"/>
            <w:right w:w="108" w:type="dxa"/>
          </w:tblCellMar>
        </w:tblPrEx>
        <w:trPr>
          <w:trHeight w:val="1360" w:hRule="atLeast"/>
        </w:trPr>
        <w:tc>
          <w:tcPr>
            <w:tcW w:w="8522" w:type="dxa"/>
            <w:gridSpan w:val="2"/>
            <w:tcBorders>
              <w:top w:val="single" w:color="auto" w:sz="4" w:space="0"/>
              <w:left w:val="single" w:color="auto" w:sz="4" w:space="0"/>
              <w:bottom w:val="single" w:color="auto" w:sz="4" w:space="0"/>
              <w:right w:val="single" w:color="auto" w:sz="4" w:space="0"/>
            </w:tcBorders>
          </w:tcPr>
          <w:p w14:paraId="763A6BC3">
            <w:pPr>
              <w:snapToGrid w:val="0"/>
              <w:spacing w:line="360" w:lineRule="exact"/>
              <w:rPr>
                <w:rFonts w:ascii="宋体" w:hAnsi="宋体"/>
                <w:b/>
                <w:color w:val="auto"/>
                <w:sz w:val="24"/>
                <w:highlight w:val="none"/>
              </w:rPr>
            </w:pPr>
            <w:r>
              <w:rPr>
                <w:rFonts w:hint="eastAsia" w:ascii="宋体" w:hAnsi="宋体"/>
                <w:b/>
                <w:color w:val="auto"/>
                <w:sz w:val="24"/>
                <w:highlight w:val="none"/>
              </w:rPr>
              <w:t>4.其他具体事项：</w:t>
            </w:r>
          </w:p>
        </w:tc>
      </w:tr>
      <w:tr w14:paraId="04664C8F">
        <w:tblPrEx>
          <w:tblCellMar>
            <w:top w:w="0" w:type="dxa"/>
            <w:left w:w="108" w:type="dxa"/>
            <w:bottom w:w="0" w:type="dxa"/>
            <w:right w:w="108" w:type="dxa"/>
          </w:tblCellMar>
        </w:tblPrEx>
        <w:trPr>
          <w:trHeight w:val="1360" w:hRule="atLeast"/>
        </w:trPr>
        <w:tc>
          <w:tcPr>
            <w:tcW w:w="4010" w:type="dxa"/>
            <w:tcBorders>
              <w:top w:val="single" w:color="auto" w:sz="4" w:space="0"/>
              <w:left w:val="single" w:color="auto" w:sz="4" w:space="0"/>
              <w:bottom w:val="single" w:color="auto" w:sz="4" w:space="0"/>
              <w:right w:val="single" w:color="auto" w:sz="4" w:space="0"/>
            </w:tcBorders>
            <w:vAlign w:val="center"/>
          </w:tcPr>
          <w:p w14:paraId="08A10532">
            <w:pPr>
              <w:snapToGrid w:val="0"/>
              <w:spacing w:line="360" w:lineRule="exact"/>
              <w:rPr>
                <w:rFonts w:ascii="宋体" w:hAnsi="宋体"/>
                <w:b/>
                <w:color w:val="auto"/>
                <w:sz w:val="24"/>
                <w:highlight w:val="none"/>
              </w:rPr>
            </w:pPr>
            <w:r>
              <w:rPr>
                <w:rFonts w:hint="eastAsia" w:ascii="宋体" w:hAnsi="宋体"/>
                <w:b/>
                <w:color w:val="auto"/>
                <w:sz w:val="24"/>
                <w:highlight w:val="none"/>
              </w:rPr>
              <w:t>甲方（章）</w:t>
            </w:r>
          </w:p>
          <w:p w14:paraId="24510DA8">
            <w:pPr>
              <w:snapToGrid w:val="0"/>
              <w:spacing w:line="360" w:lineRule="exact"/>
              <w:rPr>
                <w:rFonts w:ascii="宋体" w:hAnsi="宋体"/>
                <w:b/>
                <w:color w:val="auto"/>
                <w:sz w:val="24"/>
                <w:highlight w:val="none"/>
              </w:rPr>
            </w:pPr>
          </w:p>
          <w:p w14:paraId="5485AC3D">
            <w:pPr>
              <w:snapToGrid w:val="0"/>
              <w:spacing w:line="360" w:lineRule="exact"/>
              <w:rPr>
                <w:rFonts w:ascii="宋体" w:hAnsi="宋体"/>
                <w:b/>
                <w:color w:val="auto"/>
                <w:sz w:val="24"/>
                <w:highlight w:val="none"/>
              </w:rPr>
            </w:pPr>
          </w:p>
          <w:p w14:paraId="272D8192">
            <w:pPr>
              <w:snapToGrid w:val="0"/>
              <w:spacing w:line="360" w:lineRule="exact"/>
              <w:rPr>
                <w:rFonts w:ascii="宋体" w:hAnsi="宋体"/>
                <w:b/>
                <w:color w:val="auto"/>
                <w:sz w:val="24"/>
                <w:highlight w:val="none"/>
              </w:rPr>
            </w:pPr>
            <w:r>
              <w:rPr>
                <w:rFonts w:hint="eastAsia" w:ascii="宋体" w:hAnsi="宋体"/>
                <w:b/>
                <w:color w:val="auto"/>
                <w:sz w:val="24"/>
                <w:highlight w:val="none"/>
              </w:rPr>
              <w:t xml:space="preserve">                 年   月   日 </w:t>
            </w:r>
          </w:p>
        </w:tc>
        <w:tc>
          <w:tcPr>
            <w:tcW w:w="4512" w:type="dxa"/>
            <w:tcBorders>
              <w:top w:val="single" w:color="auto" w:sz="4" w:space="0"/>
              <w:left w:val="single" w:color="auto" w:sz="4" w:space="0"/>
              <w:bottom w:val="single" w:color="auto" w:sz="4" w:space="0"/>
              <w:right w:val="single" w:color="auto" w:sz="4" w:space="0"/>
            </w:tcBorders>
            <w:vAlign w:val="center"/>
          </w:tcPr>
          <w:p w14:paraId="17D0769D">
            <w:pPr>
              <w:snapToGrid w:val="0"/>
              <w:spacing w:line="360" w:lineRule="exact"/>
              <w:rPr>
                <w:rFonts w:ascii="宋体" w:hAnsi="宋体"/>
                <w:b/>
                <w:color w:val="auto"/>
                <w:sz w:val="24"/>
                <w:highlight w:val="none"/>
              </w:rPr>
            </w:pPr>
            <w:r>
              <w:rPr>
                <w:rFonts w:hint="eastAsia" w:ascii="宋体" w:hAnsi="宋体"/>
                <w:b/>
                <w:color w:val="auto"/>
                <w:sz w:val="24"/>
                <w:highlight w:val="none"/>
              </w:rPr>
              <w:t>乙方（章）</w:t>
            </w:r>
          </w:p>
          <w:p w14:paraId="33631DD5">
            <w:pPr>
              <w:snapToGrid w:val="0"/>
              <w:spacing w:line="360" w:lineRule="exact"/>
              <w:rPr>
                <w:rFonts w:ascii="宋体" w:hAnsi="宋体"/>
                <w:b/>
                <w:color w:val="auto"/>
                <w:sz w:val="24"/>
                <w:highlight w:val="none"/>
              </w:rPr>
            </w:pPr>
          </w:p>
          <w:p w14:paraId="7C7C4214">
            <w:pPr>
              <w:snapToGrid w:val="0"/>
              <w:spacing w:line="360" w:lineRule="exact"/>
              <w:rPr>
                <w:rFonts w:ascii="宋体" w:hAnsi="宋体"/>
                <w:b/>
                <w:color w:val="auto"/>
                <w:sz w:val="24"/>
                <w:highlight w:val="none"/>
              </w:rPr>
            </w:pPr>
          </w:p>
          <w:p w14:paraId="45FFE0F7">
            <w:pPr>
              <w:snapToGrid w:val="0"/>
              <w:spacing w:line="360" w:lineRule="exact"/>
              <w:rPr>
                <w:rFonts w:ascii="宋体" w:hAnsi="宋体"/>
                <w:b/>
                <w:color w:val="auto"/>
                <w:sz w:val="24"/>
                <w:highlight w:val="none"/>
              </w:rPr>
            </w:pPr>
            <w:r>
              <w:rPr>
                <w:rFonts w:hint="eastAsia" w:ascii="宋体" w:hAnsi="宋体"/>
                <w:b/>
                <w:color w:val="auto"/>
                <w:sz w:val="24"/>
                <w:highlight w:val="none"/>
              </w:rPr>
              <w:t xml:space="preserve">                年   月   日</w:t>
            </w:r>
          </w:p>
        </w:tc>
      </w:tr>
    </w:tbl>
    <w:p w14:paraId="6393C1D8">
      <w:pPr>
        <w:snapToGrid w:val="0"/>
        <w:spacing w:line="360" w:lineRule="exact"/>
        <w:rPr>
          <w:rFonts w:ascii="宋体" w:hAnsi="宋体"/>
          <w:color w:val="auto"/>
          <w:szCs w:val="21"/>
          <w:highlight w:val="none"/>
        </w:rPr>
      </w:pPr>
      <w:r>
        <w:rPr>
          <w:rFonts w:hint="eastAsia" w:ascii="宋体" w:hAnsi="宋体"/>
          <w:color w:val="auto"/>
          <w:highlight w:val="none"/>
        </w:rPr>
        <w:t xml:space="preserve">   注：售后服务事项填不下时可另加附页</w:t>
      </w:r>
    </w:p>
    <w:p w14:paraId="368068A4">
      <w:pPr>
        <w:snapToGrid w:val="0"/>
        <w:spacing w:line="400" w:lineRule="exact"/>
        <w:rPr>
          <w:color w:val="auto"/>
          <w:highlight w:val="none"/>
        </w:rPr>
      </w:pPr>
    </w:p>
    <w:sectPr>
      <w:headerReference r:id="rId5" w:type="first"/>
      <w:footerReference r:id="rId7" w:type="first"/>
      <w:headerReference r:id="rId3" w:type="default"/>
      <w:footerReference r:id="rId6" w:type="default"/>
      <w:headerReference r:id="rId4" w:type="even"/>
      <w:pgSz w:w="11910" w:h="16840"/>
      <w:pgMar w:top="1418" w:right="1503" w:bottom="1418" w:left="1678" w:header="720" w:footer="720" w:gutter="0"/>
      <w:pgNumType w:start="0"/>
      <w:cols w:space="720" w:num="1"/>
      <w:titlePg/>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57D02421-E11B-418C-9C7E-FA4DE97E5541}"/>
  </w:font>
  <w:font w:name="Arial">
    <w:panose1 w:val="020B0604020202020204"/>
    <w:charset w:val="01"/>
    <w:family w:val="swiss"/>
    <w:pitch w:val="default"/>
    <w:sig w:usb0="E0002AFF" w:usb1="C0007843" w:usb2="00000009" w:usb3="00000000" w:csb0="400001FF" w:csb1="FFFF0000"/>
    <w:embedRegular r:id="rId2" w:fontKey="{84C5F780-FA21-4B3C-BF2A-BE885245B10C}"/>
  </w:font>
  <w:font w:name="黑体">
    <w:panose1 w:val="02010609060101010101"/>
    <w:charset w:val="86"/>
    <w:family w:val="auto"/>
    <w:pitch w:val="default"/>
    <w:sig w:usb0="800002BF" w:usb1="38CF7CFA" w:usb2="00000016" w:usb3="00000000" w:csb0="00040001" w:csb1="00000000"/>
    <w:embedRegular r:id="rId3" w:fontKey="{96D669E2-C9CD-4A9D-84BC-25236E7765F3}"/>
  </w:font>
  <w:font w:name="Courier New">
    <w:panose1 w:val="02070309020205020404"/>
    <w:charset w:val="01"/>
    <w:family w:val="modern"/>
    <w:pitch w:val="default"/>
    <w:sig w:usb0="E0002AFF" w:usb1="C0007843" w:usb2="00000009" w:usb3="00000000" w:csb0="400001FF" w:csb1="FFFF0000"/>
    <w:embedRegular r:id="rId4" w:fontKey="{C184EB4B-D64F-418F-B029-A7C946B3AFF7}"/>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embedRegular r:id="rId5" w:fontKey="{551E1329-F9F4-4E1B-BFF7-4B3AAE30D44A}"/>
  </w:font>
  <w:font w:name="Cambria">
    <w:panose1 w:val="02040503050406030204"/>
    <w:charset w:val="00"/>
    <w:family w:val="roman"/>
    <w:pitch w:val="default"/>
    <w:sig w:usb0="A00002EF" w:usb1="4000004B" w:usb2="00000000" w:usb3="00000000" w:csb0="2000009F" w:csb1="00000000"/>
  </w:font>
  <w:font w:name="仿宋_GB2312">
    <w:panose1 w:val="02010609030101010101"/>
    <w:charset w:val="86"/>
    <w:family w:val="modern"/>
    <w:pitch w:val="default"/>
    <w:sig w:usb0="00000001" w:usb1="080E0000" w:usb2="00000000" w:usb3="00000000" w:csb0="00040000" w:csb1="00000000"/>
    <w:embedRegular r:id="rId6" w:fontKey="{EE18EF7A-C89D-4847-AB8C-26FEB6EA4009}"/>
  </w:font>
  <w:font w:name="Tahoma">
    <w:panose1 w:val="020B0604030504040204"/>
    <w:charset w:val="00"/>
    <w:family w:val="swiss"/>
    <w:pitch w:val="default"/>
    <w:sig w:usb0="E1002EFF" w:usb1="C000605B" w:usb2="00000029" w:usb3="00000000" w:csb0="200101FF" w:csb1="20280000"/>
  </w:font>
  <w:font w:name="等线 Light">
    <w:altName w:val="宋体"/>
    <w:panose1 w:val="02010600030101010101"/>
    <w:charset w:val="86"/>
    <w:family w:val="auto"/>
    <w:pitch w:val="default"/>
    <w:sig w:usb0="00000000" w:usb1="00000000" w:usb2="00000016" w:usb3="00000000" w:csb0="0004000F" w:csb1="00000000"/>
  </w:font>
  <w:font w:name="Arial Unicode MS">
    <w:panose1 w:val="020B0604020202020204"/>
    <w:charset w:val="86"/>
    <w:family w:val="swiss"/>
    <w:pitch w:val="default"/>
    <w:sig w:usb0="FFFFFFFF" w:usb1="E9FFFFFF" w:usb2="0000003F" w:usb3="00000000" w:csb0="603F01FF" w:csb1="FFFF0000"/>
    <w:embedRegular r:id="rId7" w:fontKey="{B79628CB-F8DA-4DF8-90A1-FE335BA8097F}"/>
  </w:font>
  <w:font w:name="方正小标宋简体">
    <w:panose1 w:val="02000000000000000000"/>
    <w:charset w:val="86"/>
    <w:family w:val="script"/>
    <w:pitch w:val="default"/>
    <w:sig w:usb0="00000001" w:usb1="08000000" w:usb2="00000000" w:usb3="00000000" w:csb0="00040000" w:csb1="00000000"/>
    <w:embedRegular r:id="rId8" w:fontKey="{6023F97A-3270-46C0-B142-9CE3C5781352}"/>
  </w:font>
  <w:font w:name="华文新魏">
    <w:panose1 w:val="02010800040101010101"/>
    <w:charset w:val="86"/>
    <w:family w:val="auto"/>
    <w:pitch w:val="default"/>
    <w:sig w:usb0="00000001" w:usb1="080F0000" w:usb2="00000000" w:usb3="00000000" w:csb0="00040000" w:csb1="00000000"/>
    <w:embedRegular r:id="rId9" w:fontKey="{BD83F1C5-0A25-4337-A101-50E3D326D188}"/>
  </w:font>
  <w:font w:name="Wingdings 2">
    <w:panose1 w:val="05020102010507070707"/>
    <w:charset w:val="02"/>
    <w:family w:val="roman"/>
    <w:pitch w:val="default"/>
    <w:sig w:usb0="00000000" w:usb1="00000000" w:usb2="00000000" w:usb3="00000000" w:csb0="80000000" w:csb1="00000000"/>
    <w:embedRegular r:id="rId10" w:fontKey="{702220BA-058F-4A83-BA32-02BC47FB11E7}"/>
  </w:font>
  <w:font w:name="微软雅黑">
    <w:panose1 w:val="020B0503020204020204"/>
    <w:charset w:val="86"/>
    <w:family w:val="swiss"/>
    <w:pitch w:val="default"/>
    <w:sig w:usb0="80000287" w:usb1="280F3C52" w:usb2="00000016" w:usb3="00000000" w:csb0="0004001F" w:csb1="00000000"/>
    <w:embedRegular r:id="rId11" w:fontKey="{EB6630C7-8213-42A2-99CD-B879841D79DF}"/>
  </w:font>
  <w:font w:name="等线">
    <w:panose1 w:val="02010600030101010101"/>
    <w:charset w:val="86"/>
    <w:family w:val="auto"/>
    <w:pitch w:val="default"/>
    <w:sig w:usb0="A00002BF" w:usb1="38CF7CFA" w:usb2="00000016" w:usb3="00000000" w:csb0="0004000F" w:csb1="00000000"/>
    <w:embedRegular r:id="rId12" w:fontKey="{B94D0C6E-4FB1-4201-83DC-8293AB23C546}"/>
  </w:font>
  <w:font w:name="仿宋">
    <w:panose1 w:val="02010609060101010101"/>
    <w:charset w:val="86"/>
    <w:family w:val="modern"/>
    <w:pitch w:val="default"/>
    <w:sig w:usb0="800002BF" w:usb1="38CF7CFA" w:usb2="00000016" w:usb3="00000000" w:csb0="00040001" w:csb1="00000000"/>
    <w:embedRegular r:id="rId13" w:fontKey="{F6950298-B952-4B70-B736-6F59F6DE2991}"/>
  </w:font>
  <w:font w:name="Segoe UI Symbol">
    <w:panose1 w:val="020B0502040204020203"/>
    <w:charset w:val="00"/>
    <w:family w:val="swiss"/>
    <w:pitch w:val="default"/>
    <w:sig w:usb0="8000006F" w:usb1="1200FBEF" w:usb2="0064C000" w:usb3="00000002" w:csb0="00000001" w:csb1="40000000"/>
    <w:embedRegular r:id="rId14" w:fontKey="{9A352565-6594-40EE-994C-FD6F6EA04219}"/>
  </w:font>
  <w:font w:name="WPSEMBED1">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3D18A">
    <w:pPr>
      <w:pStyle w:val="19"/>
      <w:jc w:val="center"/>
    </w:pPr>
    <w:r>
      <w:fldChar w:fldCharType="begin"/>
    </w:r>
    <w:r>
      <w:instrText xml:space="preserve">PAGE   \* MERGEFORMAT</w:instrText>
    </w:r>
    <w:r>
      <w:fldChar w:fldCharType="separate"/>
    </w:r>
    <w:r>
      <w:rPr>
        <w:lang w:val="zh-CN"/>
      </w:rPr>
      <w:t>95</w:t>
    </w:r>
    <w:r>
      <w:fldChar w:fldCharType="end"/>
    </w:r>
  </w:p>
  <w:p w14:paraId="113A9079">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F0740">
    <w:pPr>
      <w:pStyle w:val="1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4" name="文本框 5122"/>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a:effectLst/>
                    </wps:spPr>
                    <wps:txbx>
                      <w:txbxContent>
                        <w:p w14:paraId="67AD4C9A">
                          <w:pPr>
                            <w:pStyle w:val="19"/>
                          </w:pPr>
                          <w:r>
                            <w:fldChar w:fldCharType="begin"/>
                          </w:r>
                          <w:r>
                            <w:instrText xml:space="preserve"> PAGE  \* MERGEFORMAT </w:instrText>
                          </w:r>
                          <w:r>
                            <w:fldChar w:fldCharType="separate"/>
                          </w:r>
                          <w:r>
                            <w:t>0</w:t>
                          </w:r>
                          <w:r>
                            <w:fldChar w:fldCharType="end"/>
                          </w:r>
                        </w:p>
                      </w:txbxContent>
                    </wps:txbx>
                    <wps:bodyPr wrap="none" lIns="0" tIns="0" rIns="0" bIns="0" upright="1">
                      <a:spAutoFit/>
                    </wps:bodyPr>
                  </wps:wsp>
                </a:graphicData>
              </a:graphic>
            </wp:anchor>
          </w:drawing>
        </mc:Choice>
        <mc:Fallback>
          <w:pict>
            <v:shape id="文本框 5122"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Pi91E0AAAAAIBAAAPAAAAAAAAAAEAIAAAACIAAABk&#10;cnMvZG93bnJldi54bWxQSwECFAAUAAAACACHTuJAE11gB9UBAACnAwAADgAAAAAAAAABACAAAAAf&#10;AQAAZHJzL2Uyb0RvYy54bWxQSwUGAAAAAAYABgBZAQAAZgUAAAAA&#10;">
              <v:fill on="f" focussize="0,0"/>
              <v:stroke on="f"/>
              <v:imagedata o:title=""/>
              <o:lock v:ext="edit" aspectratio="f"/>
              <v:textbox inset="0mm,0mm,0mm,0mm" style="mso-fit-shape-to-text:t;">
                <w:txbxContent>
                  <w:p w14:paraId="67AD4C9A">
                    <w:pPr>
                      <w:pStyle w:val="19"/>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32A3D1">
    <w: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5274310" cy="4674235"/>
          <wp:effectExtent l="0" t="0" r="13970" b="4445"/>
          <wp:wrapNone/>
          <wp:docPr id="3" name="WordPictureWatermark34209" descr="集团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34209" descr="集团logo"/>
                  <pic:cNvPicPr>
                    <a:picLocks noChangeAspect="1"/>
                  </pic:cNvPicPr>
                </pic:nvPicPr>
                <pic:blipFill>
                  <a:blip r:embed="rId1">
                    <a:lum bright="69998" contrast="-70001"/>
                  </a:blip>
                  <a:stretch>
                    <a:fillRect/>
                  </a:stretch>
                </pic:blipFill>
                <pic:spPr>
                  <a:xfrm>
                    <a:off x="0" y="0"/>
                    <a:ext cx="5274310" cy="467423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69F70">
    <w:pPr>
      <w:pStyle w:val="20"/>
    </w:pPr>
    <w: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5538470" cy="4908550"/>
          <wp:effectExtent l="0" t="0" r="0" b="0"/>
          <wp:wrapNone/>
          <wp:docPr id="2" name="WordPictureWatermark274376876" descr="云之龙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274376876" descr="云之龙标志"/>
                  <pic:cNvPicPr>
                    <a:picLocks noChangeAspect="1"/>
                  </pic:cNvPicPr>
                </pic:nvPicPr>
                <pic:blipFill>
                  <a:blip r:embed="rId1">
                    <a:lum bright="70001" contrast="-70000"/>
                  </a:blip>
                  <a:stretch>
                    <a:fillRect/>
                  </a:stretch>
                </pic:blipFill>
                <pic:spPr>
                  <a:xfrm>
                    <a:off x="0" y="0"/>
                    <a:ext cx="5538470" cy="490855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9CAA1">
    <w:r>
      <w:drawing>
        <wp:anchor distT="0" distB="0" distL="114300" distR="114300" simplePos="0" relativeHeight="251662336" behindDoc="1" locked="0" layoutInCell="1" allowOverlap="1">
          <wp:simplePos x="0" y="0"/>
          <wp:positionH relativeFrom="margin">
            <wp:align>center</wp:align>
          </wp:positionH>
          <wp:positionV relativeFrom="margin">
            <wp:align>center</wp:align>
          </wp:positionV>
          <wp:extent cx="5274310" cy="4674235"/>
          <wp:effectExtent l="0" t="0" r="13970" b="4445"/>
          <wp:wrapNone/>
          <wp:docPr id="5" name="WordPictureWatermark34209" descr="集团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34209" descr="集团logo"/>
                  <pic:cNvPicPr>
                    <a:picLocks noChangeAspect="1"/>
                  </pic:cNvPicPr>
                </pic:nvPicPr>
                <pic:blipFill>
                  <a:blip r:embed="rId1">
                    <a:lum bright="69998" contrast="-70001"/>
                  </a:blip>
                  <a:stretch>
                    <a:fillRect/>
                  </a:stretch>
                </pic:blipFill>
                <pic:spPr>
                  <a:xfrm>
                    <a:off x="0" y="0"/>
                    <a:ext cx="5274310" cy="467423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DAC666"/>
    <w:multiLevelType w:val="singleLevel"/>
    <w:tmpl w:val="A1DAC666"/>
    <w:lvl w:ilvl="0" w:tentative="0">
      <w:start w:val="1"/>
      <w:numFmt w:val="decimal"/>
      <w:suff w:val="nothing"/>
      <w:lvlText w:val="（%1）"/>
      <w:lvlJc w:val="left"/>
    </w:lvl>
  </w:abstractNum>
  <w:abstractNum w:abstractNumId="1">
    <w:nsid w:val="51744158"/>
    <w:multiLevelType w:val="singleLevel"/>
    <w:tmpl w:val="51744158"/>
    <w:lvl w:ilvl="0" w:tentative="0">
      <w:start w:val="1"/>
      <w:numFmt w:val="decimal"/>
      <w:lvlText w:val="%1."/>
      <w:lvlJc w:val="left"/>
      <w:pPr>
        <w:tabs>
          <w:tab w:val="left" w:pos="312"/>
        </w:tabs>
      </w:pPr>
    </w:lvl>
  </w:abstractNum>
  <w:abstractNum w:abstractNumId="2">
    <w:nsid w:val="53FC6F10"/>
    <w:multiLevelType w:val="singleLevel"/>
    <w:tmpl w:val="53FC6F10"/>
    <w:lvl w:ilvl="0" w:tentative="0">
      <w:start w:val="3"/>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removePersonalInformation/>
  <w:embedTrueTypeFonts/>
  <w:saveSubset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4ZWE1OWEwMDNiYzM2MWRjODUzZWY4ZWRlODA4OWIifQ=="/>
  </w:docVars>
  <w:rsids>
    <w:rsidRoot w:val="00F34B14"/>
    <w:rsid w:val="0000008D"/>
    <w:rsid w:val="0000024D"/>
    <w:rsid w:val="00000672"/>
    <w:rsid w:val="000008E1"/>
    <w:rsid w:val="00001799"/>
    <w:rsid w:val="000019E0"/>
    <w:rsid w:val="00001BEA"/>
    <w:rsid w:val="00002A22"/>
    <w:rsid w:val="00002CC1"/>
    <w:rsid w:val="00002D29"/>
    <w:rsid w:val="00003187"/>
    <w:rsid w:val="000040C5"/>
    <w:rsid w:val="00004514"/>
    <w:rsid w:val="00004531"/>
    <w:rsid w:val="00004A8A"/>
    <w:rsid w:val="00004BFA"/>
    <w:rsid w:val="00005E55"/>
    <w:rsid w:val="00005FDF"/>
    <w:rsid w:val="00006346"/>
    <w:rsid w:val="0000657D"/>
    <w:rsid w:val="00006586"/>
    <w:rsid w:val="0001007C"/>
    <w:rsid w:val="00010D39"/>
    <w:rsid w:val="000112BB"/>
    <w:rsid w:val="0001149B"/>
    <w:rsid w:val="0001172C"/>
    <w:rsid w:val="00011834"/>
    <w:rsid w:val="00011A96"/>
    <w:rsid w:val="00012520"/>
    <w:rsid w:val="00012854"/>
    <w:rsid w:val="00012BE1"/>
    <w:rsid w:val="00012EA6"/>
    <w:rsid w:val="00012EC3"/>
    <w:rsid w:val="00013415"/>
    <w:rsid w:val="000139DC"/>
    <w:rsid w:val="00013AF3"/>
    <w:rsid w:val="00013D8C"/>
    <w:rsid w:val="00013DFE"/>
    <w:rsid w:val="000141EA"/>
    <w:rsid w:val="00014385"/>
    <w:rsid w:val="000146C5"/>
    <w:rsid w:val="0001486B"/>
    <w:rsid w:val="00014B02"/>
    <w:rsid w:val="00016395"/>
    <w:rsid w:val="000164F5"/>
    <w:rsid w:val="000166C4"/>
    <w:rsid w:val="00016832"/>
    <w:rsid w:val="00016960"/>
    <w:rsid w:val="00016E02"/>
    <w:rsid w:val="00017396"/>
    <w:rsid w:val="000177DB"/>
    <w:rsid w:val="00020227"/>
    <w:rsid w:val="000203E4"/>
    <w:rsid w:val="00020455"/>
    <w:rsid w:val="00022731"/>
    <w:rsid w:val="00022792"/>
    <w:rsid w:val="00022917"/>
    <w:rsid w:val="0002392D"/>
    <w:rsid w:val="00024832"/>
    <w:rsid w:val="00024ADE"/>
    <w:rsid w:val="00024B43"/>
    <w:rsid w:val="00024C6A"/>
    <w:rsid w:val="00024EAF"/>
    <w:rsid w:val="0002528D"/>
    <w:rsid w:val="00025382"/>
    <w:rsid w:val="00025636"/>
    <w:rsid w:val="00025E36"/>
    <w:rsid w:val="00026627"/>
    <w:rsid w:val="00026662"/>
    <w:rsid w:val="00026721"/>
    <w:rsid w:val="00026886"/>
    <w:rsid w:val="00026AA5"/>
    <w:rsid w:val="0002781D"/>
    <w:rsid w:val="00030496"/>
    <w:rsid w:val="00030C60"/>
    <w:rsid w:val="000329A1"/>
    <w:rsid w:val="000329E0"/>
    <w:rsid w:val="000332B2"/>
    <w:rsid w:val="000333A0"/>
    <w:rsid w:val="00033ACF"/>
    <w:rsid w:val="00033B92"/>
    <w:rsid w:val="0003516C"/>
    <w:rsid w:val="000352E9"/>
    <w:rsid w:val="00035B2B"/>
    <w:rsid w:val="00036A07"/>
    <w:rsid w:val="00036E33"/>
    <w:rsid w:val="0003745B"/>
    <w:rsid w:val="00037E2D"/>
    <w:rsid w:val="00040571"/>
    <w:rsid w:val="0004156E"/>
    <w:rsid w:val="00041597"/>
    <w:rsid w:val="0004206E"/>
    <w:rsid w:val="0004231E"/>
    <w:rsid w:val="000425B6"/>
    <w:rsid w:val="000425D8"/>
    <w:rsid w:val="000429EF"/>
    <w:rsid w:val="00042E21"/>
    <w:rsid w:val="000435F4"/>
    <w:rsid w:val="000442AD"/>
    <w:rsid w:val="0004440C"/>
    <w:rsid w:val="00044FD4"/>
    <w:rsid w:val="0004587F"/>
    <w:rsid w:val="00045880"/>
    <w:rsid w:val="000462CB"/>
    <w:rsid w:val="000466C8"/>
    <w:rsid w:val="000466CF"/>
    <w:rsid w:val="00046B5E"/>
    <w:rsid w:val="00047130"/>
    <w:rsid w:val="0004783A"/>
    <w:rsid w:val="000503D6"/>
    <w:rsid w:val="000509D9"/>
    <w:rsid w:val="000516D9"/>
    <w:rsid w:val="00051C84"/>
    <w:rsid w:val="00054DC2"/>
    <w:rsid w:val="00054F53"/>
    <w:rsid w:val="000552A6"/>
    <w:rsid w:val="00055D41"/>
    <w:rsid w:val="00057299"/>
    <w:rsid w:val="00057BC9"/>
    <w:rsid w:val="00057CEC"/>
    <w:rsid w:val="00060472"/>
    <w:rsid w:val="00060DCE"/>
    <w:rsid w:val="000623B4"/>
    <w:rsid w:val="00062963"/>
    <w:rsid w:val="00062BAF"/>
    <w:rsid w:val="000634A7"/>
    <w:rsid w:val="00063E85"/>
    <w:rsid w:val="00063F81"/>
    <w:rsid w:val="000643A0"/>
    <w:rsid w:val="0006448D"/>
    <w:rsid w:val="00064847"/>
    <w:rsid w:val="0006484B"/>
    <w:rsid w:val="00064AE0"/>
    <w:rsid w:val="00064D80"/>
    <w:rsid w:val="00065273"/>
    <w:rsid w:val="0006585B"/>
    <w:rsid w:val="00065A1F"/>
    <w:rsid w:val="00065BBC"/>
    <w:rsid w:val="000666AC"/>
    <w:rsid w:val="000668E0"/>
    <w:rsid w:val="000670C2"/>
    <w:rsid w:val="00067163"/>
    <w:rsid w:val="0006725F"/>
    <w:rsid w:val="000673E2"/>
    <w:rsid w:val="00067D58"/>
    <w:rsid w:val="00071046"/>
    <w:rsid w:val="000710EA"/>
    <w:rsid w:val="000711E4"/>
    <w:rsid w:val="00072AED"/>
    <w:rsid w:val="00073F47"/>
    <w:rsid w:val="00074037"/>
    <w:rsid w:val="0007406E"/>
    <w:rsid w:val="00074163"/>
    <w:rsid w:val="000743AB"/>
    <w:rsid w:val="00074B72"/>
    <w:rsid w:val="00074E2B"/>
    <w:rsid w:val="00075210"/>
    <w:rsid w:val="00075B7E"/>
    <w:rsid w:val="00075BEF"/>
    <w:rsid w:val="0007628E"/>
    <w:rsid w:val="000773D6"/>
    <w:rsid w:val="00077458"/>
    <w:rsid w:val="00077C70"/>
    <w:rsid w:val="000800E7"/>
    <w:rsid w:val="0008043E"/>
    <w:rsid w:val="00080B57"/>
    <w:rsid w:val="000817D1"/>
    <w:rsid w:val="00081BA3"/>
    <w:rsid w:val="00081D2E"/>
    <w:rsid w:val="00082294"/>
    <w:rsid w:val="0008267B"/>
    <w:rsid w:val="00082BE8"/>
    <w:rsid w:val="00082D02"/>
    <w:rsid w:val="00083B91"/>
    <w:rsid w:val="0008480D"/>
    <w:rsid w:val="00085086"/>
    <w:rsid w:val="0008520B"/>
    <w:rsid w:val="00085C7E"/>
    <w:rsid w:val="00085DF8"/>
    <w:rsid w:val="00086A8F"/>
    <w:rsid w:val="00086E7D"/>
    <w:rsid w:val="000871B8"/>
    <w:rsid w:val="000877AC"/>
    <w:rsid w:val="00087DB6"/>
    <w:rsid w:val="00087E36"/>
    <w:rsid w:val="00090639"/>
    <w:rsid w:val="00090722"/>
    <w:rsid w:val="00090839"/>
    <w:rsid w:val="00090A2A"/>
    <w:rsid w:val="000913BE"/>
    <w:rsid w:val="0009172C"/>
    <w:rsid w:val="000918F8"/>
    <w:rsid w:val="00091909"/>
    <w:rsid w:val="00091DA3"/>
    <w:rsid w:val="00092295"/>
    <w:rsid w:val="00092442"/>
    <w:rsid w:val="00092973"/>
    <w:rsid w:val="0009299D"/>
    <w:rsid w:val="00092E14"/>
    <w:rsid w:val="00093ECD"/>
    <w:rsid w:val="00094632"/>
    <w:rsid w:val="000948A6"/>
    <w:rsid w:val="00094ABF"/>
    <w:rsid w:val="00094C88"/>
    <w:rsid w:val="0009588E"/>
    <w:rsid w:val="000959EE"/>
    <w:rsid w:val="00095B2F"/>
    <w:rsid w:val="00095B51"/>
    <w:rsid w:val="00095EF9"/>
    <w:rsid w:val="0009648B"/>
    <w:rsid w:val="000968CD"/>
    <w:rsid w:val="0009720C"/>
    <w:rsid w:val="00097804"/>
    <w:rsid w:val="00097D8E"/>
    <w:rsid w:val="00097DA0"/>
    <w:rsid w:val="000A0887"/>
    <w:rsid w:val="000A0D6B"/>
    <w:rsid w:val="000A0EEE"/>
    <w:rsid w:val="000A1389"/>
    <w:rsid w:val="000A166E"/>
    <w:rsid w:val="000A17D0"/>
    <w:rsid w:val="000A1A9A"/>
    <w:rsid w:val="000A2B0E"/>
    <w:rsid w:val="000A398F"/>
    <w:rsid w:val="000A3D73"/>
    <w:rsid w:val="000A457D"/>
    <w:rsid w:val="000A4AEE"/>
    <w:rsid w:val="000A5072"/>
    <w:rsid w:val="000A509C"/>
    <w:rsid w:val="000A53E6"/>
    <w:rsid w:val="000A57D1"/>
    <w:rsid w:val="000A585D"/>
    <w:rsid w:val="000A5D59"/>
    <w:rsid w:val="000A6007"/>
    <w:rsid w:val="000A65A6"/>
    <w:rsid w:val="000A7275"/>
    <w:rsid w:val="000A7A12"/>
    <w:rsid w:val="000A7AD8"/>
    <w:rsid w:val="000A7CA5"/>
    <w:rsid w:val="000B0011"/>
    <w:rsid w:val="000B039A"/>
    <w:rsid w:val="000B10FE"/>
    <w:rsid w:val="000B1209"/>
    <w:rsid w:val="000B1801"/>
    <w:rsid w:val="000B19B3"/>
    <w:rsid w:val="000B1D0C"/>
    <w:rsid w:val="000B2D03"/>
    <w:rsid w:val="000B3815"/>
    <w:rsid w:val="000B3AE4"/>
    <w:rsid w:val="000B3C7B"/>
    <w:rsid w:val="000B408A"/>
    <w:rsid w:val="000B477A"/>
    <w:rsid w:val="000B53B7"/>
    <w:rsid w:val="000B5498"/>
    <w:rsid w:val="000B636E"/>
    <w:rsid w:val="000B67B6"/>
    <w:rsid w:val="000B6C95"/>
    <w:rsid w:val="000C01A3"/>
    <w:rsid w:val="000C08BD"/>
    <w:rsid w:val="000C0BCA"/>
    <w:rsid w:val="000C0C58"/>
    <w:rsid w:val="000C1679"/>
    <w:rsid w:val="000C176E"/>
    <w:rsid w:val="000C1EA4"/>
    <w:rsid w:val="000C20DB"/>
    <w:rsid w:val="000C233F"/>
    <w:rsid w:val="000C2898"/>
    <w:rsid w:val="000C28F9"/>
    <w:rsid w:val="000C2F89"/>
    <w:rsid w:val="000C3562"/>
    <w:rsid w:val="000C435F"/>
    <w:rsid w:val="000C4635"/>
    <w:rsid w:val="000C548E"/>
    <w:rsid w:val="000C55AE"/>
    <w:rsid w:val="000C6B39"/>
    <w:rsid w:val="000C6DE4"/>
    <w:rsid w:val="000C6F3B"/>
    <w:rsid w:val="000D01EB"/>
    <w:rsid w:val="000D056E"/>
    <w:rsid w:val="000D0675"/>
    <w:rsid w:val="000D0A89"/>
    <w:rsid w:val="000D1389"/>
    <w:rsid w:val="000D1798"/>
    <w:rsid w:val="000D1A2A"/>
    <w:rsid w:val="000D2386"/>
    <w:rsid w:val="000D2519"/>
    <w:rsid w:val="000D2626"/>
    <w:rsid w:val="000D31C8"/>
    <w:rsid w:val="000D3894"/>
    <w:rsid w:val="000D4A06"/>
    <w:rsid w:val="000D4F23"/>
    <w:rsid w:val="000D5104"/>
    <w:rsid w:val="000D52D2"/>
    <w:rsid w:val="000D54D4"/>
    <w:rsid w:val="000D5AA5"/>
    <w:rsid w:val="000D5BB6"/>
    <w:rsid w:val="000D5C29"/>
    <w:rsid w:val="000D5E05"/>
    <w:rsid w:val="000D68C4"/>
    <w:rsid w:val="000D6A5C"/>
    <w:rsid w:val="000D6E02"/>
    <w:rsid w:val="000D7334"/>
    <w:rsid w:val="000D73DD"/>
    <w:rsid w:val="000D7D9B"/>
    <w:rsid w:val="000D7EF1"/>
    <w:rsid w:val="000E1448"/>
    <w:rsid w:val="000E149C"/>
    <w:rsid w:val="000E18E2"/>
    <w:rsid w:val="000E28AB"/>
    <w:rsid w:val="000E2E3E"/>
    <w:rsid w:val="000E33C5"/>
    <w:rsid w:val="000E3583"/>
    <w:rsid w:val="000E382D"/>
    <w:rsid w:val="000E3AF0"/>
    <w:rsid w:val="000E3D53"/>
    <w:rsid w:val="000E487F"/>
    <w:rsid w:val="000E4E04"/>
    <w:rsid w:val="000E61D7"/>
    <w:rsid w:val="000E683D"/>
    <w:rsid w:val="000E6A16"/>
    <w:rsid w:val="000E6B7E"/>
    <w:rsid w:val="000E6EC9"/>
    <w:rsid w:val="000E70B4"/>
    <w:rsid w:val="000E7E87"/>
    <w:rsid w:val="000F016B"/>
    <w:rsid w:val="000F01E0"/>
    <w:rsid w:val="000F02A6"/>
    <w:rsid w:val="000F11B3"/>
    <w:rsid w:val="000F1710"/>
    <w:rsid w:val="000F1CAF"/>
    <w:rsid w:val="000F29AA"/>
    <w:rsid w:val="000F3281"/>
    <w:rsid w:val="000F3317"/>
    <w:rsid w:val="000F3733"/>
    <w:rsid w:val="000F3FD5"/>
    <w:rsid w:val="000F44E6"/>
    <w:rsid w:val="000F4D88"/>
    <w:rsid w:val="000F4F81"/>
    <w:rsid w:val="000F4FEE"/>
    <w:rsid w:val="000F551B"/>
    <w:rsid w:val="000F5B1B"/>
    <w:rsid w:val="000F62D4"/>
    <w:rsid w:val="000F62F9"/>
    <w:rsid w:val="000F64AA"/>
    <w:rsid w:val="000F6C36"/>
    <w:rsid w:val="000F7AF4"/>
    <w:rsid w:val="000F7C33"/>
    <w:rsid w:val="000F7D5C"/>
    <w:rsid w:val="000F7F0C"/>
    <w:rsid w:val="00100246"/>
    <w:rsid w:val="001004D6"/>
    <w:rsid w:val="00100618"/>
    <w:rsid w:val="001006AA"/>
    <w:rsid w:val="00100D90"/>
    <w:rsid w:val="001011FC"/>
    <w:rsid w:val="00101236"/>
    <w:rsid w:val="00101C00"/>
    <w:rsid w:val="00102900"/>
    <w:rsid w:val="00103918"/>
    <w:rsid w:val="00104324"/>
    <w:rsid w:val="00104889"/>
    <w:rsid w:val="00104897"/>
    <w:rsid w:val="00104EDE"/>
    <w:rsid w:val="00105372"/>
    <w:rsid w:val="00105B67"/>
    <w:rsid w:val="00106879"/>
    <w:rsid w:val="00106887"/>
    <w:rsid w:val="00106BEE"/>
    <w:rsid w:val="00107132"/>
    <w:rsid w:val="001117EF"/>
    <w:rsid w:val="00111ADA"/>
    <w:rsid w:val="0011216E"/>
    <w:rsid w:val="00113026"/>
    <w:rsid w:val="00113134"/>
    <w:rsid w:val="00113AC0"/>
    <w:rsid w:val="00113E75"/>
    <w:rsid w:val="00114851"/>
    <w:rsid w:val="001158FD"/>
    <w:rsid w:val="00115DE0"/>
    <w:rsid w:val="00115E11"/>
    <w:rsid w:val="00115F56"/>
    <w:rsid w:val="001163AA"/>
    <w:rsid w:val="00117625"/>
    <w:rsid w:val="00117CBD"/>
    <w:rsid w:val="00120033"/>
    <w:rsid w:val="0012006A"/>
    <w:rsid w:val="0012051E"/>
    <w:rsid w:val="00120990"/>
    <w:rsid w:val="001217B5"/>
    <w:rsid w:val="00121979"/>
    <w:rsid w:val="00122064"/>
    <w:rsid w:val="00122959"/>
    <w:rsid w:val="001229F9"/>
    <w:rsid w:val="00124D49"/>
    <w:rsid w:val="00125004"/>
    <w:rsid w:val="0012603E"/>
    <w:rsid w:val="001263B8"/>
    <w:rsid w:val="00126763"/>
    <w:rsid w:val="00126779"/>
    <w:rsid w:val="00127C98"/>
    <w:rsid w:val="00127D95"/>
    <w:rsid w:val="00130217"/>
    <w:rsid w:val="00130783"/>
    <w:rsid w:val="0013097A"/>
    <w:rsid w:val="0013112B"/>
    <w:rsid w:val="001312CB"/>
    <w:rsid w:val="00131A36"/>
    <w:rsid w:val="00131B75"/>
    <w:rsid w:val="00132B47"/>
    <w:rsid w:val="00132E64"/>
    <w:rsid w:val="00133D64"/>
    <w:rsid w:val="00133EC8"/>
    <w:rsid w:val="001351CB"/>
    <w:rsid w:val="001359A2"/>
    <w:rsid w:val="00135E37"/>
    <w:rsid w:val="00136020"/>
    <w:rsid w:val="00136445"/>
    <w:rsid w:val="001366D4"/>
    <w:rsid w:val="00140132"/>
    <w:rsid w:val="00140319"/>
    <w:rsid w:val="001412DA"/>
    <w:rsid w:val="00141C9C"/>
    <w:rsid w:val="00142239"/>
    <w:rsid w:val="001434BE"/>
    <w:rsid w:val="0014479F"/>
    <w:rsid w:val="001452B4"/>
    <w:rsid w:val="0014550E"/>
    <w:rsid w:val="00145DD0"/>
    <w:rsid w:val="00146EC6"/>
    <w:rsid w:val="001472D5"/>
    <w:rsid w:val="001478D2"/>
    <w:rsid w:val="00150085"/>
    <w:rsid w:val="00150CC9"/>
    <w:rsid w:val="00150D0C"/>
    <w:rsid w:val="001527C5"/>
    <w:rsid w:val="00152A87"/>
    <w:rsid w:val="00153651"/>
    <w:rsid w:val="00153B91"/>
    <w:rsid w:val="00153F07"/>
    <w:rsid w:val="00154486"/>
    <w:rsid w:val="00154E79"/>
    <w:rsid w:val="00156D0E"/>
    <w:rsid w:val="0015754B"/>
    <w:rsid w:val="00157B49"/>
    <w:rsid w:val="0016086E"/>
    <w:rsid w:val="00160D0C"/>
    <w:rsid w:val="00161172"/>
    <w:rsid w:val="0016139E"/>
    <w:rsid w:val="00161B00"/>
    <w:rsid w:val="00161E65"/>
    <w:rsid w:val="001620B6"/>
    <w:rsid w:val="00162212"/>
    <w:rsid w:val="00162597"/>
    <w:rsid w:val="001626F0"/>
    <w:rsid w:val="001629AF"/>
    <w:rsid w:val="00163C94"/>
    <w:rsid w:val="00163D8B"/>
    <w:rsid w:val="0016428A"/>
    <w:rsid w:val="001646E8"/>
    <w:rsid w:val="001647C9"/>
    <w:rsid w:val="00164C0E"/>
    <w:rsid w:val="001661A3"/>
    <w:rsid w:val="001667F6"/>
    <w:rsid w:val="001671F2"/>
    <w:rsid w:val="00167786"/>
    <w:rsid w:val="0016782B"/>
    <w:rsid w:val="00167C3A"/>
    <w:rsid w:val="001708E3"/>
    <w:rsid w:val="0017102F"/>
    <w:rsid w:val="0017250A"/>
    <w:rsid w:val="00172535"/>
    <w:rsid w:val="00172D28"/>
    <w:rsid w:val="00173256"/>
    <w:rsid w:val="001733E1"/>
    <w:rsid w:val="00173892"/>
    <w:rsid w:val="00173F74"/>
    <w:rsid w:val="00174809"/>
    <w:rsid w:val="00174BE0"/>
    <w:rsid w:val="00175086"/>
    <w:rsid w:val="00175993"/>
    <w:rsid w:val="00175BA6"/>
    <w:rsid w:val="00176CA7"/>
    <w:rsid w:val="00176D66"/>
    <w:rsid w:val="0017782E"/>
    <w:rsid w:val="001778C5"/>
    <w:rsid w:val="00177DE7"/>
    <w:rsid w:val="00177E1C"/>
    <w:rsid w:val="00177E56"/>
    <w:rsid w:val="00177F0A"/>
    <w:rsid w:val="00177F88"/>
    <w:rsid w:val="00180669"/>
    <w:rsid w:val="001807B7"/>
    <w:rsid w:val="00180AE5"/>
    <w:rsid w:val="001817A2"/>
    <w:rsid w:val="00181C5F"/>
    <w:rsid w:val="0018240C"/>
    <w:rsid w:val="0018274B"/>
    <w:rsid w:val="00182B6B"/>
    <w:rsid w:val="00182BEB"/>
    <w:rsid w:val="00183088"/>
    <w:rsid w:val="00185617"/>
    <w:rsid w:val="00185918"/>
    <w:rsid w:val="00185CE5"/>
    <w:rsid w:val="00186C44"/>
    <w:rsid w:val="001915A6"/>
    <w:rsid w:val="001916FD"/>
    <w:rsid w:val="0019171E"/>
    <w:rsid w:val="00191A54"/>
    <w:rsid w:val="001920F1"/>
    <w:rsid w:val="0019220F"/>
    <w:rsid w:val="001928B1"/>
    <w:rsid w:val="0019300D"/>
    <w:rsid w:val="00193D2E"/>
    <w:rsid w:val="00193F61"/>
    <w:rsid w:val="001940C7"/>
    <w:rsid w:val="001949C9"/>
    <w:rsid w:val="00194ED5"/>
    <w:rsid w:val="00195424"/>
    <w:rsid w:val="00195439"/>
    <w:rsid w:val="001955FF"/>
    <w:rsid w:val="001964A7"/>
    <w:rsid w:val="001973F5"/>
    <w:rsid w:val="0019777F"/>
    <w:rsid w:val="0019795F"/>
    <w:rsid w:val="00197D58"/>
    <w:rsid w:val="00197EDD"/>
    <w:rsid w:val="001A002B"/>
    <w:rsid w:val="001A02B3"/>
    <w:rsid w:val="001A04BB"/>
    <w:rsid w:val="001A08D0"/>
    <w:rsid w:val="001A14B1"/>
    <w:rsid w:val="001A183E"/>
    <w:rsid w:val="001A1B39"/>
    <w:rsid w:val="001A2492"/>
    <w:rsid w:val="001A2E69"/>
    <w:rsid w:val="001A3377"/>
    <w:rsid w:val="001A38FB"/>
    <w:rsid w:val="001A3C34"/>
    <w:rsid w:val="001A3EDE"/>
    <w:rsid w:val="001A4002"/>
    <w:rsid w:val="001A4222"/>
    <w:rsid w:val="001A45EE"/>
    <w:rsid w:val="001A50EA"/>
    <w:rsid w:val="001A51B4"/>
    <w:rsid w:val="001A5AB8"/>
    <w:rsid w:val="001A5E24"/>
    <w:rsid w:val="001A5EEC"/>
    <w:rsid w:val="001A5FAB"/>
    <w:rsid w:val="001A64AF"/>
    <w:rsid w:val="001A653E"/>
    <w:rsid w:val="001A6D8B"/>
    <w:rsid w:val="001A76C4"/>
    <w:rsid w:val="001B079E"/>
    <w:rsid w:val="001B0BD1"/>
    <w:rsid w:val="001B0C02"/>
    <w:rsid w:val="001B0CDA"/>
    <w:rsid w:val="001B0E26"/>
    <w:rsid w:val="001B125A"/>
    <w:rsid w:val="001B18A2"/>
    <w:rsid w:val="001B1C74"/>
    <w:rsid w:val="001B1E05"/>
    <w:rsid w:val="001B1EBA"/>
    <w:rsid w:val="001B2142"/>
    <w:rsid w:val="001B2223"/>
    <w:rsid w:val="001B26CF"/>
    <w:rsid w:val="001B2C7C"/>
    <w:rsid w:val="001B2F2B"/>
    <w:rsid w:val="001B3259"/>
    <w:rsid w:val="001B327A"/>
    <w:rsid w:val="001B35DE"/>
    <w:rsid w:val="001B36A1"/>
    <w:rsid w:val="001B3A13"/>
    <w:rsid w:val="001B3A7B"/>
    <w:rsid w:val="001B42DE"/>
    <w:rsid w:val="001B526C"/>
    <w:rsid w:val="001B59FF"/>
    <w:rsid w:val="001B636D"/>
    <w:rsid w:val="001B65D7"/>
    <w:rsid w:val="001B6752"/>
    <w:rsid w:val="001B6768"/>
    <w:rsid w:val="001B6F1F"/>
    <w:rsid w:val="001B7AEB"/>
    <w:rsid w:val="001B7EAD"/>
    <w:rsid w:val="001B7ECC"/>
    <w:rsid w:val="001C047D"/>
    <w:rsid w:val="001C0908"/>
    <w:rsid w:val="001C1AED"/>
    <w:rsid w:val="001C21E6"/>
    <w:rsid w:val="001C25A7"/>
    <w:rsid w:val="001C2FB1"/>
    <w:rsid w:val="001C30A8"/>
    <w:rsid w:val="001C318C"/>
    <w:rsid w:val="001C3802"/>
    <w:rsid w:val="001C4287"/>
    <w:rsid w:val="001C4479"/>
    <w:rsid w:val="001C4D52"/>
    <w:rsid w:val="001C52FE"/>
    <w:rsid w:val="001C62CA"/>
    <w:rsid w:val="001C6502"/>
    <w:rsid w:val="001C6767"/>
    <w:rsid w:val="001C6B5B"/>
    <w:rsid w:val="001C6C99"/>
    <w:rsid w:val="001C6CC4"/>
    <w:rsid w:val="001C700E"/>
    <w:rsid w:val="001C76B7"/>
    <w:rsid w:val="001C76FB"/>
    <w:rsid w:val="001C7890"/>
    <w:rsid w:val="001C7AE1"/>
    <w:rsid w:val="001D04AF"/>
    <w:rsid w:val="001D1A31"/>
    <w:rsid w:val="001D1E81"/>
    <w:rsid w:val="001D214E"/>
    <w:rsid w:val="001D2764"/>
    <w:rsid w:val="001D33D0"/>
    <w:rsid w:val="001D3697"/>
    <w:rsid w:val="001D3D60"/>
    <w:rsid w:val="001D51DE"/>
    <w:rsid w:val="001D52E9"/>
    <w:rsid w:val="001D540E"/>
    <w:rsid w:val="001D58A1"/>
    <w:rsid w:val="001D5A8A"/>
    <w:rsid w:val="001D709B"/>
    <w:rsid w:val="001D735E"/>
    <w:rsid w:val="001D73C8"/>
    <w:rsid w:val="001D74D4"/>
    <w:rsid w:val="001D7E1F"/>
    <w:rsid w:val="001E04A1"/>
    <w:rsid w:val="001E0756"/>
    <w:rsid w:val="001E0A8D"/>
    <w:rsid w:val="001E0FFB"/>
    <w:rsid w:val="001E129E"/>
    <w:rsid w:val="001E1DBC"/>
    <w:rsid w:val="001E2016"/>
    <w:rsid w:val="001E2167"/>
    <w:rsid w:val="001E2B9F"/>
    <w:rsid w:val="001E4A8D"/>
    <w:rsid w:val="001E5A94"/>
    <w:rsid w:val="001E5CBF"/>
    <w:rsid w:val="001E5F62"/>
    <w:rsid w:val="001E7251"/>
    <w:rsid w:val="001E75A3"/>
    <w:rsid w:val="001E7648"/>
    <w:rsid w:val="001F0575"/>
    <w:rsid w:val="001F0BCC"/>
    <w:rsid w:val="001F127B"/>
    <w:rsid w:val="001F2A2E"/>
    <w:rsid w:val="001F2E3D"/>
    <w:rsid w:val="001F3133"/>
    <w:rsid w:val="001F33D4"/>
    <w:rsid w:val="001F366A"/>
    <w:rsid w:val="001F3B72"/>
    <w:rsid w:val="001F3C63"/>
    <w:rsid w:val="001F4460"/>
    <w:rsid w:val="001F5265"/>
    <w:rsid w:val="001F5DAF"/>
    <w:rsid w:val="001F637C"/>
    <w:rsid w:val="001F66BD"/>
    <w:rsid w:val="001F6869"/>
    <w:rsid w:val="001F6B6C"/>
    <w:rsid w:val="001F711A"/>
    <w:rsid w:val="001F75B0"/>
    <w:rsid w:val="001F7686"/>
    <w:rsid w:val="001F7E10"/>
    <w:rsid w:val="00200987"/>
    <w:rsid w:val="00200CE5"/>
    <w:rsid w:val="002014DB"/>
    <w:rsid w:val="0020151F"/>
    <w:rsid w:val="00201DFC"/>
    <w:rsid w:val="00201E12"/>
    <w:rsid w:val="00201FD7"/>
    <w:rsid w:val="00202832"/>
    <w:rsid w:val="002031E2"/>
    <w:rsid w:val="00203324"/>
    <w:rsid w:val="002033B5"/>
    <w:rsid w:val="00203716"/>
    <w:rsid w:val="0020382C"/>
    <w:rsid w:val="00203CB0"/>
    <w:rsid w:val="0020422A"/>
    <w:rsid w:val="0020437A"/>
    <w:rsid w:val="00204B5F"/>
    <w:rsid w:val="00204FC0"/>
    <w:rsid w:val="00205294"/>
    <w:rsid w:val="0020532C"/>
    <w:rsid w:val="002053AE"/>
    <w:rsid w:val="002054CF"/>
    <w:rsid w:val="002055EC"/>
    <w:rsid w:val="00205D23"/>
    <w:rsid w:val="00206040"/>
    <w:rsid w:val="00206371"/>
    <w:rsid w:val="00207701"/>
    <w:rsid w:val="002100B1"/>
    <w:rsid w:val="00210370"/>
    <w:rsid w:val="0021064F"/>
    <w:rsid w:val="002108CC"/>
    <w:rsid w:val="002114C7"/>
    <w:rsid w:val="002118F3"/>
    <w:rsid w:val="00211B35"/>
    <w:rsid w:val="00212174"/>
    <w:rsid w:val="00212756"/>
    <w:rsid w:val="0021302C"/>
    <w:rsid w:val="00213045"/>
    <w:rsid w:val="00213483"/>
    <w:rsid w:val="00213A6B"/>
    <w:rsid w:val="00213B1C"/>
    <w:rsid w:val="0021415E"/>
    <w:rsid w:val="00214202"/>
    <w:rsid w:val="002146F3"/>
    <w:rsid w:val="002148E3"/>
    <w:rsid w:val="00215373"/>
    <w:rsid w:val="0021552D"/>
    <w:rsid w:val="002156AE"/>
    <w:rsid w:val="00216797"/>
    <w:rsid w:val="00217861"/>
    <w:rsid w:val="00217B63"/>
    <w:rsid w:val="00217F54"/>
    <w:rsid w:val="002204C9"/>
    <w:rsid w:val="0022054D"/>
    <w:rsid w:val="0022290A"/>
    <w:rsid w:val="00223F71"/>
    <w:rsid w:val="002244F7"/>
    <w:rsid w:val="00224DE1"/>
    <w:rsid w:val="002250BB"/>
    <w:rsid w:val="0022525C"/>
    <w:rsid w:val="00225664"/>
    <w:rsid w:val="00225C68"/>
    <w:rsid w:val="00225CB8"/>
    <w:rsid w:val="00225F40"/>
    <w:rsid w:val="002269D4"/>
    <w:rsid w:val="002269DC"/>
    <w:rsid w:val="00227C97"/>
    <w:rsid w:val="00227F2D"/>
    <w:rsid w:val="00227F80"/>
    <w:rsid w:val="0023069A"/>
    <w:rsid w:val="0023089D"/>
    <w:rsid w:val="00231851"/>
    <w:rsid w:val="002319FB"/>
    <w:rsid w:val="00231B89"/>
    <w:rsid w:val="00232E08"/>
    <w:rsid w:val="00233E8C"/>
    <w:rsid w:val="00235538"/>
    <w:rsid w:val="002355BE"/>
    <w:rsid w:val="0023649E"/>
    <w:rsid w:val="002367BD"/>
    <w:rsid w:val="00236DE9"/>
    <w:rsid w:val="00237401"/>
    <w:rsid w:val="00237AED"/>
    <w:rsid w:val="00237D5A"/>
    <w:rsid w:val="00237EA9"/>
    <w:rsid w:val="002404EF"/>
    <w:rsid w:val="00240ED6"/>
    <w:rsid w:val="00240FE1"/>
    <w:rsid w:val="00241193"/>
    <w:rsid w:val="00241300"/>
    <w:rsid w:val="00241997"/>
    <w:rsid w:val="00241D3C"/>
    <w:rsid w:val="002425DA"/>
    <w:rsid w:val="0024274D"/>
    <w:rsid w:val="0024280E"/>
    <w:rsid w:val="0024306B"/>
    <w:rsid w:val="002430C8"/>
    <w:rsid w:val="0024395D"/>
    <w:rsid w:val="002439AB"/>
    <w:rsid w:val="00244D21"/>
    <w:rsid w:val="00244D58"/>
    <w:rsid w:val="002450D5"/>
    <w:rsid w:val="00245587"/>
    <w:rsid w:val="002459BF"/>
    <w:rsid w:val="00245F2B"/>
    <w:rsid w:val="00246192"/>
    <w:rsid w:val="00246F95"/>
    <w:rsid w:val="00247BC2"/>
    <w:rsid w:val="00247F3A"/>
    <w:rsid w:val="00250122"/>
    <w:rsid w:val="0025023B"/>
    <w:rsid w:val="00250755"/>
    <w:rsid w:val="00250AE3"/>
    <w:rsid w:val="00250C82"/>
    <w:rsid w:val="00250E8F"/>
    <w:rsid w:val="002512BD"/>
    <w:rsid w:val="00251C4A"/>
    <w:rsid w:val="0025271C"/>
    <w:rsid w:val="0025298D"/>
    <w:rsid w:val="00252A91"/>
    <w:rsid w:val="002533CD"/>
    <w:rsid w:val="002537F9"/>
    <w:rsid w:val="00254349"/>
    <w:rsid w:val="00254472"/>
    <w:rsid w:val="002544C1"/>
    <w:rsid w:val="00254EAB"/>
    <w:rsid w:val="002552E0"/>
    <w:rsid w:val="0025554E"/>
    <w:rsid w:val="002557AF"/>
    <w:rsid w:val="002557CB"/>
    <w:rsid w:val="002561FA"/>
    <w:rsid w:val="00256474"/>
    <w:rsid w:val="002566B1"/>
    <w:rsid w:val="002575E3"/>
    <w:rsid w:val="00257736"/>
    <w:rsid w:val="00257820"/>
    <w:rsid w:val="002603C1"/>
    <w:rsid w:val="0026079E"/>
    <w:rsid w:val="002609A1"/>
    <w:rsid w:val="002612B1"/>
    <w:rsid w:val="00261467"/>
    <w:rsid w:val="00264069"/>
    <w:rsid w:val="00264B53"/>
    <w:rsid w:val="00264BBE"/>
    <w:rsid w:val="002657E1"/>
    <w:rsid w:val="00266165"/>
    <w:rsid w:val="00267AB1"/>
    <w:rsid w:val="002702EF"/>
    <w:rsid w:val="0027112B"/>
    <w:rsid w:val="0027125E"/>
    <w:rsid w:val="002715DF"/>
    <w:rsid w:val="00271767"/>
    <w:rsid w:val="00272293"/>
    <w:rsid w:val="002723C8"/>
    <w:rsid w:val="00272676"/>
    <w:rsid w:val="002733C6"/>
    <w:rsid w:val="00273CBE"/>
    <w:rsid w:val="00277441"/>
    <w:rsid w:val="00277584"/>
    <w:rsid w:val="00277937"/>
    <w:rsid w:val="00280188"/>
    <w:rsid w:val="002802D7"/>
    <w:rsid w:val="00280B00"/>
    <w:rsid w:val="002815E4"/>
    <w:rsid w:val="0028167B"/>
    <w:rsid w:val="00281C81"/>
    <w:rsid w:val="0028232C"/>
    <w:rsid w:val="00282656"/>
    <w:rsid w:val="002827F1"/>
    <w:rsid w:val="00282EC3"/>
    <w:rsid w:val="002835B0"/>
    <w:rsid w:val="00283752"/>
    <w:rsid w:val="0028407E"/>
    <w:rsid w:val="0028410F"/>
    <w:rsid w:val="002847F3"/>
    <w:rsid w:val="00285CF7"/>
    <w:rsid w:val="00286603"/>
    <w:rsid w:val="00286A98"/>
    <w:rsid w:val="00286F89"/>
    <w:rsid w:val="00286FB5"/>
    <w:rsid w:val="00287763"/>
    <w:rsid w:val="00287A91"/>
    <w:rsid w:val="00287DA3"/>
    <w:rsid w:val="00287DD1"/>
    <w:rsid w:val="00290606"/>
    <w:rsid w:val="00290702"/>
    <w:rsid w:val="00290964"/>
    <w:rsid w:val="00290F9D"/>
    <w:rsid w:val="002918A7"/>
    <w:rsid w:val="00291D6D"/>
    <w:rsid w:val="00291FF1"/>
    <w:rsid w:val="002922D2"/>
    <w:rsid w:val="002923F6"/>
    <w:rsid w:val="0029287E"/>
    <w:rsid w:val="00293361"/>
    <w:rsid w:val="00293770"/>
    <w:rsid w:val="00293C49"/>
    <w:rsid w:val="002943FB"/>
    <w:rsid w:val="00295287"/>
    <w:rsid w:val="002952B1"/>
    <w:rsid w:val="00295D11"/>
    <w:rsid w:val="00295D3F"/>
    <w:rsid w:val="00295FA0"/>
    <w:rsid w:val="00296A1D"/>
    <w:rsid w:val="00296BFE"/>
    <w:rsid w:val="00296CDC"/>
    <w:rsid w:val="00296DEB"/>
    <w:rsid w:val="00297A7A"/>
    <w:rsid w:val="002A09D0"/>
    <w:rsid w:val="002A0C3A"/>
    <w:rsid w:val="002A1130"/>
    <w:rsid w:val="002A1161"/>
    <w:rsid w:val="002A14D3"/>
    <w:rsid w:val="002A1880"/>
    <w:rsid w:val="002A1A1B"/>
    <w:rsid w:val="002A1A5E"/>
    <w:rsid w:val="002A1D47"/>
    <w:rsid w:val="002A23B7"/>
    <w:rsid w:val="002A28CE"/>
    <w:rsid w:val="002A2D78"/>
    <w:rsid w:val="002A3786"/>
    <w:rsid w:val="002A3A57"/>
    <w:rsid w:val="002A4439"/>
    <w:rsid w:val="002A456F"/>
    <w:rsid w:val="002A50A1"/>
    <w:rsid w:val="002A5171"/>
    <w:rsid w:val="002A6716"/>
    <w:rsid w:val="002A67AF"/>
    <w:rsid w:val="002A6D22"/>
    <w:rsid w:val="002A6DB2"/>
    <w:rsid w:val="002A6DC2"/>
    <w:rsid w:val="002A6DEF"/>
    <w:rsid w:val="002A7411"/>
    <w:rsid w:val="002A75BB"/>
    <w:rsid w:val="002A7C24"/>
    <w:rsid w:val="002B013E"/>
    <w:rsid w:val="002B058D"/>
    <w:rsid w:val="002B0C16"/>
    <w:rsid w:val="002B1143"/>
    <w:rsid w:val="002B11C9"/>
    <w:rsid w:val="002B169E"/>
    <w:rsid w:val="002B1D69"/>
    <w:rsid w:val="002B2014"/>
    <w:rsid w:val="002B2621"/>
    <w:rsid w:val="002B296F"/>
    <w:rsid w:val="002B2AC5"/>
    <w:rsid w:val="002B2BC2"/>
    <w:rsid w:val="002B2E88"/>
    <w:rsid w:val="002B3528"/>
    <w:rsid w:val="002B3539"/>
    <w:rsid w:val="002B3B2B"/>
    <w:rsid w:val="002B5E7B"/>
    <w:rsid w:val="002B5F79"/>
    <w:rsid w:val="002B6326"/>
    <w:rsid w:val="002B69E2"/>
    <w:rsid w:val="002B6D17"/>
    <w:rsid w:val="002B7247"/>
    <w:rsid w:val="002C0C1C"/>
    <w:rsid w:val="002C184E"/>
    <w:rsid w:val="002C2008"/>
    <w:rsid w:val="002C293C"/>
    <w:rsid w:val="002C29C1"/>
    <w:rsid w:val="002C2B16"/>
    <w:rsid w:val="002C374E"/>
    <w:rsid w:val="002C3F02"/>
    <w:rsid w:val="002C4B33"/>
    <w:rsid w:val="002C53E7"/>
    <w:rsid w:val="002C54C2"/>
    <w:rsid w:val="002C58F6"/>
    <w:rsid w:val="002C5D34"/>
    <w:rsid w:val="002C5EA7"/>
    <w:rsid w:val="002C661A"/>
    <w:rsid w:val="002C6B1D"/>
    <w:rsid w:val="002C730C"/>
    <w:rsid w:val="002C7377"/>
    <w:rsid w:val="002C7423"/>
    <w:rsid w:val="002C7CC6"/>
    <w:rsid w:val="002D0177"/>
    <w:rsid w:val="002D03AB"/>
    <w:rsid w:val="002D094B"/>
    <w:rsid w:val="002D0AF5"/>
    <w:rsid w:val="002D0FA1"/>
    <w:rsid w:val="002D1749"/>
    <w:rsid w:val="002D1C54"/>
    <w:rsid w:val="002D2082"/>
    <w:rsid w:val="002D2214"/>
    <w:rsid w:val="002D2231"/>
    <w:rsid w:val="002D25FC"/>
    <w:rsid w:val="002D2C36"/>
    <w:rsid w:val="002D2DDF"/>
    <w:rsid w:val="002D318B"/>
    <w:rsid w:val="002D3380"/>
    <w:rsid w:val="002D367E"/>
    <w:rsid w:val="002D4003"/>
    <w:rsid w:val="002D4925"/>
    <w:rsid w:val="002D4AC6"/>
    <w:rsid w:val="002D5C7B"/>
    <w:rsid w:val="002D681A"/>
    <w:rsid w:val="002D6DFC"/>
    <w:rsid w:val="002D7648"/>
    <w:rsid w:val="002D77B9"/>
    <w:rsid w:val="002D7909"/>
    <w:rsid w:val="002D7E56"/>
    <w:rsid w:val="002E0206"/>
    <w:rsid w:val="002E041B"/>
    <w:rsid w:val="002E109C"/>
    <w:rsid w:val="002E115E"/>
    <w:rsid w:val="002E193E"/>
    <w:rsid w:val="002E1998"/>
    <w:rsid w:val="002E1D76"/>
    <w:rsid w:val="002E243C"/>
    <w:rsid w:val="002E26C4"/>
    <w:rsid w:val="002E3ACD"/>
    <w:rsid w:val="002E40C6"/>
    <w:rsid w:val="002E4B37"/>
    <w:rsid w:val="002E4BF9"/>
    <w:rsid w:val="002E4C6C"/>
    <w:rsid w:val="002E4F67"/>
    <w:rsid w:val="002E6E07"/>
    <w:rsid w:val="002E6F5B"/>
    <w:rsid w:val="002E7A9B"/>
    <w:rsid w:val="002F01FB"/>
    <w:rsid w:val="002F0631"/>
    <w:rsid w:val="002F0B3E"/>
    <w:rsid w:val="002F16DD"/>
    <w:rsid w:val="002F199D"/>
    <w:rsid w:val="002F2102"/>
    <w:rsid w:val="002F23B2"/>
    <w:rsid w:val="002F23E9"/>
    <w:rsid w:val="002F266F"/>
    <w:rsid w:val="002F2AC5"/>
    <w:rsid w:val="002F3F97"/>
    <w:rsid w:val="002F4084"/>
    <w:rsid w:val="002F4672"/>
    <w:rsid w:val="002F4A08"/>
    <w:rsid w:val="002F4ADB"/>
    <w:rsid w:val="002F50E5"/>
    <w:rsid w:val="002F531E"/>
    <w:rsid w:val="002F5ACC"/>
    <w:rsid w:val="002F5F4A"/>
    <w:rsid w:val="002F643A"/>
    <w:rsid w:val="002F6C2C"/>
    <w:rsid w:val="002F704B"/>
    <w:rsid w:val="002F70A6"/>
    <w:rsid w:val="002F72C3"/>
    <w:rsid w:val="002F768C"/>
    <w:rsid w:val="002F78EC"/>
    <w:rsid w:val="002F7C71"/>
    <w:rsid w:val="002F7C72"/>
    <w:rsid w:val="002F7D1E"/>
    <w:rsid w:val="00300F92"/>
    <w:rsid w:val="00301364"/>
    <w:rsid w:val="00301664"/>
    <w:rsid w:val="00301839"/>
    <w:rsid w:val="00301CAD"/>
    <w:rsid w:val="00301DAB"/>
    <w:rsid w:val="00302089"/>
    <w:rsid w:val="00302929"/>
    <w:rsid w:val="003029C2"/>
    <w:rsid w:val="00302F0F"/>
    <w:rsid w:val="00303038"/>
    <w:rsid w:val="00303243"/>
    <w:rsid w:val="00303BCC"/>
    <w:rsid w:val="00303F2B"/>
    <w:rsid w:val="00303F8D"/>
    <w:rsid w:val="00304541"/>
    <w:rsid w:val="00304580"/>
    <w:rsid w:val="00304899"/>
    <w:rsid w:val="003050B0"/>
    <w:rsid w:val="0030586A"/>
    <w:rsid w:val="00305F98"/>
    <w:rsid w:val="003074C5"/>
    <w:rsid w:val="00307A3C"/>
    <w:rsid w:val="00307FA4"/>
    <w:rsid w:val="00310890"/>
    <w:rsid w:val="00310CC1"/>
    <w:rsid w:val="0031202C"/>
    <w:rsid w:val="003122C5"/>
    <w:rsid w:val="00312D30"/>
    <w:rsid w:val="00312F5E"/>
    <w:rsid w:val="00313026"/>
    <w:rsid w:val="003131CA"/>
    <w:rsid w:val="0031421F"/>
    <w:rsid w:val="0031469A"/>
    <w:rsid w:val="00314B31"/>
    <w:rsid w:val="00314B36"/>
    <w:rsid w:val="00315158"/>
    <w:rsid w:val="00315192"/>
    <w:rsid w:val="00315346"/>
    <w:rsid w:val="003154C1"/>
    <w:rsid w:val="00315A65"/>
    <w:rsid w:val="003167B9"/>
    <w:rsid w:val="00316CEC"/>
    <w:rsid w:val="00316E14"/>
    <w:rsid w:val="0031784C"/>
    <w:rsid w:val="00317BA7"/>
    <w:rsid w:val="00320145"/>
    <w:rsid w:val="00320306"/>
    <w:rsid w:val="00320BE2"/>
    <w:rsid w:val="00321215"/>
    <w:rsid w:val="00321228"/>
    <w:rsid w:val="003212D1"/>
    <w:rsid w:val="00321359"/>
    <w:rsid w:val="00321886"/>
    <w:rsid w:val="00321902"/>
    <w:rsid w:val="0032223B"/>
    <w:rsid w:val="0032247D"/>
    <w:rsid w:val="0032274F"/>
    <w:rsid w:val="00322C57"/>
    <w:rsid w:val="00322F03"/>
    <w:rsid w:val="00323694"/>
    <w:rsid w:val="00324016"/>
    <w:rsid w:val="00324C0D"/>
    <w:rsid w:val="00324D63"/>
    <w:rsid w:val="003255AF"/>
    <w:rsid w:val="003256EB"/>
    <w:rsid w:val="003259DB"/>
    <w:rsid w:val="00325DF6"/>
    <w:rsid w:val="00330B79"/>
    <w:rsid w:val="00331060"/>
    <w:rsid w:val="0033175D"/>
    <w:rsid w:val="00331A48"/>
    <w:rsid w:val="00331FFC"/>
    <w:rsid w:val="00332540"/>
    <w:rsid w:val="003329D5"/>
    <w:rsid w:val="00332D30"/>
    <w:rsid w:val="003330C9"/>
    <w:rsid w:val="00333527"/>
    <w:rsid w:val="00333529"/>
    <w:rsid w:val="0033364C"/>
    <w:rsid w:val="00334415"/>
    <w:rsid w:val="00334F92"/>
    <w:rsid w:val="00335273"/>
    <w:rsid w:val="0033587D"/>
    <w:rsid w:val="00335F24"/>
    <w:rsid w:val="003364B1"/>
    <w:rsid w:val="0033691E"/>
    <w:rsid w:val="00336CCB"/>
    <w:rsid w:val="0033745F"/>
    <w:rsid w:val="00337631"/>
    <w:rsid w:val="00337D84"/>
    <w:rsid w:val="00337F44"/>
    <w:rsid w:val="0034025B"/>
    <w:rsid w:val="0034085E"/>
    <w:rsid w:val="00340916"/>
    <w:rsid w:val="00341134"/>
    <w:rsid w:val="003411D1"/>
    <w:rsid w:val="003416BA"/>
    <w:rsid w:val="00341BD6"/>
    <w:rsid w:val="00342A8A"/>
    <w:rsid w:val="00342CD6"/>
    <w:rsid w:val="00342D4F"/>
    <w:rsid w:val="00342F99"/>
    <w:rsid w:val="003438C2"/>
    <w:rsid w:val="00344726"/>
    <w:rsid w:val="0034480C"/>
    <w:rsid w:val="0034486B"/>
    <w:rsid w:val="00344B36"/>
    <w:rsid w:val="003454A4"/>
    <w:rsid w:val="00346505"/>
    <w:rsid w:val="00347171"/>
    <w:rsid w:val="0035031B"/>
    <w:rsid w:val="0035034B"/>
    <w:rsid w:val="00350AAC"/>
    <w:rsid w:val="00350E6C"/>
    <w:rsid w:val="003518A6"/>
    <w:rsid w:val="00351B2B"/>
    <w:rsid w:val="00351CB0"/>
    <w:rsid w:val="00351E7F"/>
    <w:rsid w:val="00352953"/>
    <w:rsid w:val="003531DC"/>
    <w:rsid w:val="003533B2"/>
    <w:rsid w:val="003537DE"/>
    <w:rsid w:val="003537F9"/>
    <w:rsid w:val="00353B1A"/>
    <w:rsid w:val="00354062"/>
    <w:rsid w:val="00354150"/>
    <w:rsid w:val="00354A1C"/>
    <w:rsid w:val="00354B1A"/>
    <w:rsid w:val="00354FFB"/>
    <w:rsid w:val="00355386"/>
    <w:rsid w:val="00355C0D"/>
    <w:rsid w:val="003566A9"/>
    <w:rsid w:val="00356988"/>
    <w:rsid w:val="00356B20"/>
    <w:rsid w:val="00356BA1"/>
    <w:rsid w:val="00356E94"/>
    <w:rsid w:val="00357128"/>
    <w:rsid w:val="0035755E"/>
    <w:rsid w:val="00357A80"/>
    <w:rsid w:val="00357C6B"/>
    <w:rsid w:val="00360CDB"/>
    <w:rsid w:val="00360D14"/>
    <w:rsid w:val="0036127D"/>
    <w:rsid w:val="0036150D"/>
    <w:rsid w:val="00361783"/>
    <w:rsid w:val="00361B1B"/>
    <w:rsid w:val="00361B8B"/>
    <w:rsid w:val="00361B95"/>
    <w:rsid w:val="0036206A"/>
    <w:rsid w:val="00363DB1"/>
    <w:rsid w:val="00363F39"/>
    <w:rsid w:val="00364AB0"/>
    <w:rsid w:val="003655F3"/>
    <w:rsid w:val="00365638"/>
    <w:rsid w:val="003663E4"/>
    <w:rsid w:val="003667B0"/>
    <w:rsid w:val="003667DD"/>
    <w:rsid w:val="00366B48"/>
    <w:rsid w:val="00367329"/>
    <w:rsid w:val="00367615"/>
    <w:rsid w:val="00367764"/>
    <w:rsid w:val="00370316"/>
    <w:rsid w:val="003709A3"/>
    <w:rsid w:val="00370DC7"/>
    <w:rsid w:val="0037156C"/>
    <w:rsid w:val="003718E2"/>
    <w:rsid w:val="00371CBD"/>
    <w:rsid w:val="00371E53"/>
    <w:rsid w:val="00372E7B"/>
    <w:rsid w:val="00373519"/>
    <w:rsid w:val="00373CBE"/>
    <w:rsid w:val="003740CC"/>
    <w:rsid w:val="0037429D"/>
    <w:rsid w:val="0037435E"/>
    <w:rsid w:val="00374E79"/>
    <w:rsid w:val="00375388"/>
    <w:rsid w:val="00375FB9"/>
    <w:rsid w:val="003761D2"/>
    <w:rsid w:val="00376851"/>
    <w:rsid w:val="00376FA2"/>
    <w:rsid w:val="00377A3B"/>
    <w:rsid w:val="00377C0C"/>
    <w:rsid w:val="00377E02"/>
    <w:rsid w:val="00377E3C"/>
    <w:rsid w:val="003800EA"/>
    <w:rsid w:val="003802A9"/>
    <w:rsid w:val="00380393"/>
    <w:rsid w:val="00380834"/>
    <w:rsid w:val="00380BBE"/>
    <w:rsid w:val="00381775"/>
    <w:rsid w:val="00381916"/>
    <w:rsid w:val="00381D70"/>
    <w:rsid w:val="00382128"/>
    <w:rsid w:val="0038235E"/>
    <w:rsid w:val="00382559"/>
    <w:rsid w:val="003829D0"/>
    <w:rsid w:val="00382AF1"/>
    <w:rsid w:val="00382FBA"/>
    <w:rsid w:val="0038444F"/>
    <w:rsid w:val="003845B4"/>
    <w:rsid w:val="00384E83"/>
    <w:rsid w:val="00385314"/>
    <w:rsid w:val="00385333"/>
    <w:rsid w:val="00387051"/>
    <w:rsid w:val="00387712"/>
    <w:rsid w:val="00387841"/>
    <w:rsid w:val="00387ECF"/>
    <w:rsid w:val="0039021B"/>
    <w:rsid w:val="00390429"/>
    <w:rsid w:val="00390669"/>
    <w:rsid w:val="00390959"/>
    <w:rsid w:val="00391E96"/>
    <w:rsid w:val="00392015"/>
    <w:rsid w:val="0039272E"/>
    <w:rsid w:val="0039296A"/>
    <w:rsid w:val="00392A7A"/>
    <w:rsid w:val="0039319A"/>
    <w:rsid w:val="0039327C"/>
    <w:rsid w:val="003933A2"/>
    <w:rsid w:val="0039366C"/>
    <w:rsid w:val="003938F3"/>
    <w:rsid w:val="00393EC8"/>
    <w:rsid w:val="00393F18"/>
    <w:rsid w:val="00393F39"/>
    <w:rsid w:val="00394946"/>
    <w:rsid w:val="00394BC6"/>
    <w:rsid w:val="00395429"/>
    <w:rsid w:val="0039572A"/>
    <w:rsid w:val="00395D02"/>
    <w:rsid w:val="00395E42"/>
    <w:rsid w:val="00396052"/>
    <w:rsid w:val="00396A2D"/>
    <w:rsid w:val="00396CE7"/>
    <w:rsid w:val="00396FC3"/>
    <w:rsid w:val="003970CE"/>
    <w:rsid w:val="00397693"/>
    <w:rsid w:val="00397BC1"/>
    <w:rsid w:val="003A0716"/>
    <w:rsid w:val="003A0B61"/>
    <w:rsid w:val="003A1554"/>
    <w:rsid w:val="003A1A94"/>
    <w:rsid w:val="003A1C7C"/>
    <w:rsid w:val="003A204E"/>
    <w:rsid w:val="003A229C"/>
    <w:rsid w:val="003A237B"/>
    <w:rsid w:val="003A2D25"/>
    <w:rsid w:val="003A39B2"/>
    <w:rsid w:val="003A4825"/>
    <w:rsid w:val="003A48B2"/>
    <w:rsid w:val="003A48FD"/>
    <w:rsid w:val="003A4DDB"/>
    <w:rsid w:val="003A55E4"/>
    <w:rsid w:val="003A60E7"/>
    <w:rsid w:val="003A6660"/>
    <w:rsid w:val="003A68B6"/>
    <w:rsid w:val="003A6A81"/>
    <w:rsid w:val="003A6B62"/>
    <w:rsid w:val="003A6E03"/>
    <w:rsid w:val="003A6FD9"/>
    <w:rsid w:val="003B00E9"/>
    <w:rsid w:val="003B05D0"/>
    <w:rsid w:val="003B06E4"/>
    <w:rsid w:val="003B071C"/>
    <w:rsid w:val="003B0B6A"/>
    <w:rsid w:val="003B0F79"/>
    <w:rsid w:val="003B1483"/>
    <w:rsid w:val="003B1CFD"/>
    <w:rsid w:val="003B1F99"/>
    <w:rsid w:val="003B20DA"/>
    <w:rsid w:val="003B271E"/>
    <w:rsid w:val="003B29CF"/>
    <w:rsid w:val="003B41B5"/>
    <w:rsid w:val="003B44ED"/>
    <w:rsid w:val="003B47FC"/>
    <w:rsid w:val="003B4B2E"/>
    <w:rsid w:val="003B4B4E"/>
    <w:rsid w:val="003B54DF"/>
    <w:rsid w:val="003B5ABF"/>
    <w:rsid w:val="003B5F96"/>
    <w:rsid w:val="003B6659"/>
    <w:rsid w:val="003B68C1"/>
    <w:rsid w:val="003B6F6B"/>
    <w:rsid w:val="003B7733"/>
    <w:rsid w:val="003B7AF1"/>
    <w:rsid w:val="003C0166"/>
    <w:rsid w:val="003C01FD"/>
    <w:rsid w:val="003C0711"/>
    <w:rsid w:val="003C1670"/>
    <w:rsid w:val="003C1EFB"/>
    <w:rsid w:val="003C3424"/>
    <w:rsid w:val="003C350C"/>
    <w:rsid w:val="003C376F"/>
    <w:rsid w:val="003C3903"/>
    <w:rsid w:val="003C3A90"/>
    <w:rsid w:val="003C3BA0"/>
    <w:rsid w:val="003C3C41"/>
    <w:rsid w:val="003C4580"/>
    <w:rsid w:val="003C4C7B"/>
    <w:rsid w:val="003C5033"/>
    <w:rsid w:val="003C52D8"/>
    <w:rsid w:val="003C570C"/>
    <w:rsid w:val="003C5989"/>
    <w:rsid w:val="003C5C5E"/>
    <w:rsid w:val="003C639A"/>
    <w:rsid w:val="003C6746"/>
    <w:rsid w:val="003C6D30"/>
    <w:rsid w:val="003C7133"/>
    <w:rsid w:val="003C7555"/>
    <w:rsid w:val="003C76BE"/>
    <w:rsid w:val="003C7898"/>
    <w:rsid w:val="003D010A"/>
    <w:rsid w:val="003D0D68"/>
    <w:rsid w:val="003D0DC9"/>
    <w:rsid w:val="003D0EE7"/>
    <w:rsid w:val="003D0FF5"/>
    <w:rsid w:val="003D14E0"/>
    <w:rsid w:val="003D155D"/>
    <w:rsid w:val="003D2D1B"/>
    <w:rsid w:val="003D30AB"/>
    <w:rsid w:val="003D3D94"/>
    <w:rsid w:val="003D4217"/>
    <w:rsid w:val="003D48C7"/>
    <w:rsid w:val="003D4B26"/>
    <w:rsid w:val="003D4C08"/>
    <w:rsid w:val="003D4F83"/>
    <w:rsid w:val="003D51ED"/>
    <w:rsid w:val="003D5C93"/>
    <w:rsid w:val="003D5CDD"/>
    <w:rsid w:val="003D5F3E"/>
    <w:rsid w:val="003D64FF"/>
    <w:rsid w:val="003D668A"/>
    <w:rsid w:val="003D6E34"/>
    <w:rsid w:val="003D71A6"/>
    <w:rsid w:val="003D750D"/>
    <w:rsid w:val="003D77A8"/>
    <w:rsid w:val="003D77D1"/>
    <w:rsid w:val="003D787E"/>
    <w:rsid w:val="003D7C44"/>
    <w:rsid w:val="003D7CE8"/>
    <w:rsid w:val="003D7E84"/>
    <w:rsid w:val="003E03E7"/>
    <w:rsid w:val="003E0FB5"/>
    <w:rsid w:val="003E1032"/>
    <w:rsid w:val="003E1904"/>
    <w:rsid w:val="003E285E"/>
    <w:rsid w:val="003E3038"/>
    <w:rsid w:val="003E3300"/>
    <w:rsid w:val="003E38F9"/>
    <w:rsid w:val="003E4CC1"/>
    <w:rsid w:val="003E4F97"/>
    <w:rsid w:val="003E51CC"/>
    <w:rsid w:val="003E65AC"/>
    <w:rsid w:val="003E6ACF"/>
    <w:rsid w:val="003E6E24"/>
    <w:rsid w:val="003E72B9"/>
    <w:rsid w:val="003E7942"/>
    <w:rsid w:val="003E7955"/>
    <w:rsid w:val="003E7ED4"/>
    <w:rsid w:val="003F0D13"/>
    <w:rsid w:val="003F0E52"/>
    <w:rsid w:val="003F0EF2"/>
    <w:rsid w:val="003F0F6B"/>
    <w:rsid w:val="003F1C1E"/>
    <w:rsid w:val="003F1F40"/>
    <w:rsid w:val="003F1FE3"/>
    <w:rsid w:val="003F2F1A"/>
    <w:rsid w:val="003F3865"/>
    <w:rsid w:val="003F3A0A"/>
    <w:rsid w:val="003F3BE0"/>
    <w:rsid w:val="003F4632"/>
    <w:rsid w:val="003F47BA"/>
    <w:rsid w:val="003F6617"/>
    <w:rsid w:val="004001CC"/>
    <w:rsid w:val="00400906"/>
    <w:rsid w:val="004012E4"/>
    <w:rsid w:val="004014C9"/>
    <w:rsid w:val="004021EF"/>
    <w:rsid w:val="00402332"/>
    <w:rsid w:val="0040253C"/>
    <w:rsid w:val="00402576"/>
    <w:rsid w:val="004025C2"/>
    <w:rsid w:val="00403E55"/>
    <w:rsid w:val="00404532"/>
    <w:rsid w:val="00404681"/>
    <w:rsid w:val="0040496D"/>
    <w:rsid w:val="00404F30"/>
    <w:rsid w:val="00405010"/>
    <w:rsid w:val="004053C1"/>
    <w:rsid w:val="0040595A"/>
    <w:rsid w:val="00405AD1"/>
    <w:rsid w:val="00406923"/>
    <w:rsid w:val="00406969"/>
    <w:rsid w:val="0040713A"/>
    <w:rsid w:val="0040763D"/>
    <w:rsid w:val="0040791D"/>
    <w:rsid w:val="0041012D"/>
    <w:rsid w:val="004105B0"/>
    <w:rsid w:val="00410624"/>
    <w:rsid w:val="004107A8"/>
    <w:rsid w:val="00410A28"/>
    <w:rsid w:val="00410EC5"/>
    <w:rsid w:val="0041194A"/>
    <w:rsid w:val="0041250F"/>
    <w:rsid w:val="004133A8"/>
    <w:rsid w:val="00413821"/>
    <w:rsid w:val="00413D43"/>
    <w:rsid w:val="00413EB3"/>
    <w:rsid w:val="004141A3"/>
    <w:rsid w:val="00414493"/>
    <w:rsid w:val="00414909"/>
    <w:rsid w:val="00414A17"/>
    <w:rsid w:val="00414E42"/>
    <w:rsid w:val="00414F21"/>
    <w:rsid w:val="00415E66"/>
    <w:rsid w:val="00416112"/>
    <w:rsid w:val="00416DF0"/>
    <w:rsid w:val="0041765B"/>
    <w:rsid w:val="00417AE0"/>
    <w:rsid w:val="00417BAA"/>
    <w:rsid w:val="00417CA0"/>
    <w:rsid w:val="00420BA9"/>
    <w:rsid w:val="00420D7A"/>
    <w:rsid w:val="0042216E"/>
    <w:rsid w:val="004223DE"/>
    <w:rsid w:val="0042293E"/>
    <w:rsid w:val="00422A10"/>
    <w:rsid w:val="00423D86"/>
    <w:rsid w:val="004248EC"/>
    <w:rsid w:val="00424D17"/>
    <w:rsid w:val="0042533E"/>
    <w:rsid w:val="00425DFD"/>
    <w:rsid w:val="004263A3"/>
    <w:rsid w:val="00427713"/>
    <w:rsid w:val="00427CCC"/>
    <w:rsid w:val="00427EBD"/>
    <w:rsid w:val="0043013A"/>
    <w:rsid w:val="00430421"/>
    <w:rsid w:val="00430B4F"/>
    <w:rsid w:val="00430BC8"/>
    <w:rsid w:val="00430D59"/>
    <w:rsid w:val="004311FB"/>
    <w:rsid w:val="004314B1"/>
    <w:rsid w:val="00431815"/>
    <w:rsid w:val="00431C09"/>
    <w:rsid w:val="00431E65"/>
    <w:rsid w:val="00432589"/>
    <w:rsid w:val="00432A94"/>
    <w:rsid w:val="00433517"/>
    <w:rsid w:val="0043366D"/>
    <w:rsid w:val="00433827"/>
    <w:rsid w:val="00433DA8"/>
    <w:rsid w:val="004343FE"/>
    <w:rsid w:val="00434400"/>
    <w:rsid w:val="0043450A"/>
    <w:rsid w:val="00435201"/>
    <w:rsid w:val="0043529C"/>
    <w:rsid w:val="004360C8"/>
    <w:rsid w:val="0043681A"/>
    <w:rsid w:val="00436DA8"/>
    <w:rsid w:val="00437D65"/>
    <w:rsid w:val="0044006B"/>
    <w:rsid w:val="0044026F"/>
    <w:rsid w:val="0044033F"/>
    <w:rsid w:val="00440630"/>
    <w:rsid w:val="0044083B"/>
    <w:rsid w:val="00441123"/>
    <w:rsid w:val="00441368"/>
    <w:rsid w:val="00441584"/>
    <w:rsid w:val="00441F4C"/>
    <w:rsid w:val="00442095"/>
    <w:rsid w:val="00442965"/>
    <w:rsid w:val="00444157"/>
    <w:rsid w:val="0044417C"/>
    <w:rsid w:val="00444DB3"/>
    <w:rsid w:val="00444FF2"/>
    <w:rsid w:val="004452B9"/>
    <w:rsid w:val="004455F6"/>
    <w:rsid w:val="00445A2F"/>
    <w:rsid w:val="00445AF3"/>
    <w:rsid w:val="00446328"/>
    <w:rsid w:val="00446341"/>
    <w:rsid w:val="00446648"/>
    <w:rsid w:val="0044684E"/>
    <w:rsid w:val="00447118"/>
    <w:rsid w:val="004479CA"/>
    <w:rsid w:val="00447B3A"/>
    <w:rsid w:val="00447C45"/>
    <w:rsid w:val="00447CC4"/>
    <w:rsid w:val="00447E11"/>
    <w:rsid w:val="0045009F"/>
    <w:rsid w:val="004503A4"/>
    <w:rsid w:val="00450555"/>
    <w:rsid w:val="00450AA7"/>
    <w:rsid w:val="00450DC6"/>
    <w:rsid w:val="004516A5"/>
    <w:rsid w:val="00451FE8"/>
    <w:rsid w:val="00452179"/>
    <w:rsid w:val="004522E3"/>
    <w:rsid w:val="00452E99"/>
    <w:rsid w:val="004534DA"/>
    <w:rsid w:val="004535AE"/>
    <w:rsid w:val="00453C42"/>
    <w:rsid w:val="0045463A"/>
    <w:rsid w:val="004547A2"/>
    <w:rsid w:val="004547B7"/>
    <w:rsid w:val="00454AC9"/>
    <w:rsid w:val="00454E26"/>
    <w:rsid w:val="004552A7"/>
    <w:rsid w:val="004554A3"/>
    <w:rsid w:val="00455A6E"/>
    <w:rsid w:val="00455CD0"/>
    <w:rsid w:val="00456758"/>
    <w:rsid w:val="004569CD"/>
    <w:rsid w:val="0045746B"/>
    <w:rsid w:val="004578EB"/>
    <w:rsid w:val="00457B5F"/>
    <w:rsid w:val="00460303"/>
    <w:rsid w:val="00460697"/>
    <w:rsid w:val="00460D81"/>
    <w:rsid w:val="0046152E"/>
    <w:rsid w:val="00462593"/>
    <w:rsid w:val="00462E55"/>
    <w:rsid w:val="00464253"/>
    <w:rsid w:val="0046504E"/>
    <w:rsid w:val="004656C5"/>
    <w:rsid w:val="00465D5A"/>
    <w:rsid w:val="00465EEF"/>
    <w:rsid w:val="00466D03"/>
    <w:rsid w:val="00466D5B"/>
    <w:rsid w:val="0046711B"/>
    <w:rsid w:val="00467312"/>
    <w:rsid w:val="00471156"/>
    <w:rsid w:val="00471AD8"/>
    <w:rsid w:val="00472429"/>
    <w:rsid w:val="004725E5"/>
    <w:rsid w:val="004726FE"/>
    <w:rsid w:val="00472751"/>
    <w:rsid w:val="004729F6"/>
    <w:rsid w:val="00472CE4"/>
    <w:rsid w:val="00472ED1"/>
    <w:rsid w:val="00473055"/>
    <w:rsid w:val="00473128"/>
    <w:rsid w:val="00473995"/>
    <w:rsid w:val="00474893"/>
    <w:rsid w:val="00475078"/>
    <w:rsid w:val="00475226"/>
    <w:rsid w:val="00476318"/>
    <w:rsid w:val="00476E15"/>
    <w:rsid w:val="00476F88"/>
    <w:rsid w:val="004779A0"/>
    <w:rsid w:val="00477A5B"/>
    <w:rsid w:val="00477B48"/>
    <w:rsid w:val="00477F32"/>
    <w:rsid w:val="0048004D"/>
    <w:rsid w:val="00480103"/>
    <w:rsid w:val="004808E3"/>
    <w:rsid w:val="00480E96"/>
    <w:rsid w:val="00481016"/>
    <w:rsid w:val="004814D3"/>
    <w:rsid w:val="0048204C"/>
    <w:rsid w:val="004821BB"/>
    <w:rsid w:val="00482233"/>
    <w:rsid w:val="0048261A"/>
    <w:rsid w:val="004826FE"/>
    <w:rsid w:val="004827D5"/>
    <w:rsid w:val="004827FE"/>
    <w:rsid w:val="004830C9"/>
    <w:rsid w:val="00483347"/>
    <w:rsid w:val="00483B1F"/>
    <w:rsid w:val="00483E2E"/>
    <w:rsid w:val="004843BC"/>
    <w:rsid w:val="00484785"/>
    <w:rsid w:val="00484B69"/>
    <w:rsid w:val="00485406"/>
    <w:rsid w:val="004858AC"/>
    <w:rsid w:val="0048590F"/>
    <w:rsid w:val="00486542"/>
    <w:rsid w:val="004867A5"/>
    <w:rsid w:val="00486A9E"/>
    <w:rsid w:val="00486D60"/>
    <w:rsid w:val="0048756B"/>
    <w:rsid w:val="0048790F"/>
    <w:rsid w:val="00487A05"/>
    <w:rsid w:val="00487C87"/>
    <w:rsid w:val="00490BB8"/>
    <w:rsid w:val="00490E26"/>
    <w:rsid w:val="004923E5"/>
    <w:rsid w:val="00492A25"/>
    <w:rsid w:val="004943C3"/>
    <w:rsid w:val="00494437"/>
    <w:rsid w:val="0049474A"/>
    <w:rsid w:val="00495430"/>
    <w:rsid w:val="004957E9"/>
    <w:rsid w:val="00495E21"/>
    <w:rsid w:val="0049606E"/>
    <w:rsid w:val="004961EA"/>
    <w:rsid w:val="00496350"/>
    <w:rsid w:val="00496F91"/>
    <w:rsid w:val="00497274"/>
    <w:rsid w:val="00497708"/>
    <w:rsid w:val="0049797C"/>
    <w:rsid w:val="00497C2C"/>
    <w:rsid w:val="00497E9D"/>
    <w:rsid w:val="004A07AC"/>
    <w:rsid w:val="004A10CE"/>
    <w:rsid w:val="004A1265"/>
    <w:rsid w:val="004A1310"/>
    <w:rsid w:val="004A1405"/>
    <w:rsid w:val="004A1452"/>
    <w:rsid w:val="004A1F97"/>
    <w:rsid w:val="004A1FC6"/>
    <w:rsid w:val="004A2CF6"/>
    <w:rsid w:val="004A3C03"/>
    <w:rsid w:val="004A3C84"/>
    <w:rsid w:val="004A3DB7"/>
    <w:rsid w:val="004A3FB3"/>
    <w:rsid w:val="004A5088"/>
    <w:rsid w:val="004A5255"/>
    <w:rsid w:val="004A5718"/>
    <w:rsid w:val="004A6097"/>
    <w:rsid w:val="004A6CB0"/>
    <w:rsid w:val="004A70FF"/>
    <w:rsid w:val="004A767D"/>
    <w:rsid w:val="004A7B5C"/>
    <w:rsid w:val="004A7CCC"/>
    <w:rsid w:val="004B0189"/>
    <w:rsid w:val="004B1347"/>
    <w:rsid w:val="004B1B84"/>
    <w:rsid w:val="004B29AC"/>
    <w:rsid w:val="004B35DF"/>
    <w:rsid w:val="004B3627"/>
    <w:rsid w:val="004B38D1"/>
    <w:rsid w:val="004B3DEB"/>
    <w:rsid w:val="004B3ED3"/>
    <w:rsid w:val="004B3F3A"/>
    <w:rsid w:val="004B420F"/>
    <w:rsid w:val="004B4779"/>
    <w:rsid w:val="004B4922"/>
    <w:rsid w:val="004B518D"/>
    <w:rsid w:val="004B547F"/>
    <w:rsid w:val="004B54F1"/>
    <w:rsid w:val="004B57DF"/>
    <w:rsid w:val="004B5959"/>
    <w:rsid w:val="004B66D0"/>
    <w:rsid w:val="004B6AE4"/>
    <w:rsid w:val="004C03A0"/>
    <w:rsid w:val="004C04AB"/>
    <w:rsid w:val="004C1A6D"/>
    <w:rsid w:val="004C2138"/>
    <w:rsid w:val="004C2ED0"/>
    <w:rsid w:val="004C32D4"/>
    <w:rsid w:val="004C3940"/>
    <w:rsid w:val="004C3BFE"/>
    <w:rsid w:val="004C4FAE"/>
    <w:rsid w:val="004C51FD"/>
    <w:rsid w:val="004C529A"/>
    <w:rsid w:val="004C534B"/>
    <w:rsid w:val="004C5547"/>
    <w:rsid w:val="004C5A19"/>
    <w:rsid w:val="004C5F7F"/>
    <w:rsid w:val="004C6237"/>
    <w:rsid w:val="004C65A8"/>
    <w:rsid w:val="004C65BC"/>
    <w:rsid w:val="004C6F74"/>
    <w:rsid w:val="004C786C"/>
    <w:rsid w:val="004C7963"/>
    <w:rsid w:val="004D08DD"/>
    <w:rsid w:val="004D1202"/>
    <w:rsid w:val="004D1554"/>
    <w:rsid w:val="004D1EAE"/>
    <w:rsid w:val="004D222D"/>
    <w:rsid w:val="004D2F63"/>
    <w:rsid w:val="004D35BA"/>
    <w:rsid w:val="004D3A87"/>
    <w:rsid w:val="004D4095"/>
    <w:rsid w:val="004D4701"/>
    <w:rsid w:val="004D47C7"/>
    <w:rsid w:val="004D5901"/>
    <w:rsid w:val="004D60E3"/>
    <w:rsid w:val="004D618D"/>
    <w:rsid w:val="004D62A9"/>
    <w:rsid w:val="004D6AEE"/>
    <w:rsid w:val="004D6B74"/>
    <w:rsid w:val="004D6FC3"/>
    <w:rsid w:val="004D7476"/>
    <w:rsid w:val="004D7511"/>
    <w:rsid w:val="004D761F"/>
    <w:rsid w:val="004E0306"/>
    <w:rsid w:val="004E032B"/>
    <w:rsid w:val="004E0484"/>
    <w:rsid w:val="004E0572"/>
    <w:rsid w:val="004E0FEF"/>
    <w:rsid w:val="004E14DA"/>
    <w:rsid w:val="004E19AA"/>
    <w:rsid w:val="004E1F40"/>
    <w:rsid w:val="004E25A8"/>
    <w:rsid w:val="004E2AA0"/>
    <w:rsid w:val="004E3930"/>
    <w:rsid w:val="004E3ED9"/>
    <w:rsid w:val="004E424D"/>
    <w:rsid w:val="004E4DAA"/>
    <w:rsid w:val="004E5866"/>
    <w:rsid w:val="004E5D94"/>
    <w:rsid w:val="004E6097"/>
    <w:rsid w:val="004E61EF"/>
    <w:rsid w:val="004E6772"/>
    <w:rsid w:val="004E68A9"/>
    <w:rsid w:val="004E6B5D"/>
    <w:rsid w:val="004E6D07"/>
    <w:rsid w:val="004E6D63"/>
    <w:rsid w:val="004E76A7"/>
    <w:rsid w:val="004E76CE"/>
    <w:rsid w:val="004E7736"/>
    <w:rsid w:val="004E7B03"/>
    <w:rsid w:val="004F0064"/>
    <w:rsid w:val="004F06AC"/>
    <w:rsid w:val="004F0B2B"/>
    <w:rsid w:val="004F1691"/>
    <w:rsid w:val="004F1AE6"/>
    <w:rsid w:val="004F1FA2"/>
    <w:rsid w:val="004F23FF"/>
    <w:rsid w:val="004F243F"/>
    <w:rsid w:val="004F267A"/>
    <w:rsid w:val="004F2D59"/>
    <w:rsid w:val="004F2FE6"/>
    <w:rsid w:val="004F38F4"/>
    <w:rsid w:val="004F3E0C"/>
    <w:rsid w:val="004F43C6"/>
    <w:rsid w:val="004F536E"/>
    <w:rsid w:val="004F5578"/>
    <w:rsid w:val="004F5F6C"/>
    <w:rsid w:val="004F6321"/>
    <w:rsid w:val="004F6A2D"/>
    <w:rsid w:val="004F7160"/>
    <w:rsid w:val="004F7780"/>
    <w:rsid w:val="004F78CF"/>
    <w:rsid w:val="00500100"/>
    <w:rsid w:val="00500258"/>
    <w:rsid w:val="00501071"/>
    <w:rsid w:val="005012A8"/>
    <w:rsid w:val="0050175E"/>
    <w:rsid w:val="00501A99"/>
    <w:rsid w:val="00501ED7"/>
    <w:rsid w:val="00502161"/>
    <w:rsid w:val="00502D46"/>
    <w:rsid w:val="00503180"/>
    <w:rsid w:val="00503B6F"/>
    <w:rsid w:val="0050417C"/>
    <w:rsid w:val="00504386"/>
    <w:rsid w:val="00505175"/>
    <w:rsid w:val="00505450"/>
    <w:rsid w:val="0050588E"/>
    <w:rsid w:val="00505F8D"/>
    <w:rsid w:val="005100B7"/>
    <w:rsid w:val="005101EF"/>
    <w:rsid w:val="00510616"/>
    <w:rsid w:val="005110EC"/>
    <w:rsid w:val="005111CA"/>
    <w:rsid w:val="005113C9"/>
    <w:rsid w:val="0051143B"/>
    <w:rsid w:val="0051280C"/>
    <w:rsid w:val="00512842"/>
    <w:rsid w:val="005128BE"/>
    <w:rsid w:val="00512B7B"/>
    <w:rsid w:val="00512E6C"/>
    <w:rsid w:val="0051356F"/>
    <w:rsid w:val="00513E7C"/>
    <w:rsid w:val="005140BB"/>
    <w:rsid w:val="005143C2"/>
    <w:rsid w:val="0051454F"/>
    <w:rsid w:val="00514658"/>
    <w:rsid w:val="00514FD9"/>
    <w:rsid w:val="005156EA"/>
    <w:rsid w:val="00515733"/>
    <w:rsid w:val="0051608F"/>
    <w:rsid w:val="0051677D"/>
    <w:rsid w:val="00516B5F"/>
    <w:rsid w:val="00517378"/>
    <w:rsid w:val="00517AF3"/>
    <w:rsid w:val="00517C0E"/>
    <w:rsid w:val="0052035A"/>
    <w:rsid w:val="00520543"/>
    <w:rsid w:val="0052084F"/>
    <w:rsid w:val="005210F7"/>
    <w:rsid w:val="00521303"/>
    <w:rsid w:val="005215CB"/>
    <w:rsid w:val="00521753"/>
    <w:rsid w:val="00521A44"/>
    <w:rsid w:val="00521D16"/>
    <w:rsid w:val="005222BE"/>
    <w:rsid w:val="005224EE"/>
    <w:rsid w:val="005235C6"/>
    <w:rsid w:val="00523730"/>
    <w:rsid w:val="00523BB1"/>
    <w:rsid w:val="0052451A"/>
    <w:rsid w:val="00524737"/>
    <w:rsid w:val="00524781"/>
    <w:rsid w:val="00525B52"/>
    <w:rsid w:val="00525B5A"/>
    <w:rsid w:val="00525DDE"/>
    <w:rsid w:val="00525F76"/>
    <w:rsid w:val="00526265"/>
    <w:rsid w:val="0052652D"/>
    <w:rsid w:val="0052655D"/>
    <w:rsid w:val="005265E0"/>
    <w:rsid w:val="00526BC3"/>
    <w:rsid w:val="0053058B"/>
    <w:rsid w:val="0053089C"/>
    <w:rsid w:val="00530F9E"/>
    <w:rsid w:val="005322C6"/>
    <w:rsid w:val="005324C8"/>
    <w:rsid w:val="005326A4"/>
    <w:rsid w:val="005326FC"/>
    <w:rsid w:val="0053274E"/>
    <w:rsid w:val="00532F2F"/>
    <w:rsid w:val="00532F52"/>
    <w:rsid w:val="0053358A"/>
    <w:rsid w:val="00533E52"/>
    <w:rsid w:val="00534668"/>
    <w:rsid w:val="0053466A"/>
    <w:rsid w:val="00534DDD"/>
    <w:rsid w:val="005350A3"/>
    <w:rsid w:val="00535291"/>
    <w:rsid w:val="00535435"/>
    <w:rsid w:val="00535879"/>
    <w:rsid w:val="00535885"/>
    <w:rsid w:val="00535A94"/>
    <w:rsid w:val="00536D87"/>
    <w:rsid w:val="00536EB3"/>
    <w:rsid w:val="0053728C"/>
    <w:rsid w:val="00537874"/>
    <w:rsid w:val="00540204"/>
    <w:rsid w:val="00540578"/>
    <w:rsid w:val="005407D2"/>
    <w:rsid w:val="00540808"/>
    <w:rsid w:val="00540809"/>
    <w:rsid w:val="0054080E"/>
    <w:rsid w:val="00540EA1"/>
    <w:rsid w:val="005415CA"/>
    <w:rsid w:val="00541A71"/>
    <w:rsid w:val="00541F62"/>
    <w:rsid w:val="005422B0"/>
    <w:rsid w:val="005424D9"/>
    <w:rsid w:val="005424FA"/>
    <w:rsid w:val="00542A20"/>
    <w:rsid w:val="00542AD8"/>
    <w:rsid w:val="0054358E"/>
    <w:rsid w:val="00543AF4"/>
    <w:rsid w:val="00543DB0"/>
    <w:rsid w:val="00544191"/>
    <w:rsid w:val="00544F39"/>
    <w:rsid w:val="0054515D"/>
    <w:rsid w:val="00545450"/>
    <w:rsid w:val="00545862"/>
    <w:rsid w:val="00546E53"/>
    <w:rsid w:val="00547EFB"/>
    <w:rsid w:val="00550148"/>
    <w:rsid w:val="0055051E"/>
    <w:rsid w:val="00550567"/>
    <w:rsid w:val="005505C3"/>
    <w:rsid w:val="005509A2"/>
    <w:rsid w:val="00551606"/>
    <w:rsid w:val="005516C0"/>
    <w:rsid w:val="00551BB6"/>
    <w:rsid w:val="00551D6B"/>
    <w:rsid w:val="005520EB"/>
    <w:rsid w:val="00552563"/>
    <w:rsid w:val="00552B32"/>
    <w:rsid w:val="00552BA7"/>
    <w:rsid w:val="005531DF"/>
    <w:rsid w:val="005537E4"/>
    <w:rsid w:val="00553874"/>
    <w:rsid w:val="00553A71"/>
    <w:rsid w:val="00553ACC"/>
    <w:rsid w:val="00554706"/>
    <w:rsid w:val="00554987"/>
    <w:rsid w:val="00554AD8"/>
    <w:rsid w:val="00554F78"/>
    <w:rsid w:val="005556A5"/>
    <w:rsid w:val="00556BF7"/>
    <w:rsid w:val="00560716"/>
    <w:rsid w:val="00560918"/>
    <w:rsid w:val="00560FC6"/>
    <w:rsid w:val="00561462"/>
    <w:rsid w:val="00562149"/>
    <w:rsid w:val="005621F3"/>
    <w:rsid w:val="005630D8"/>
    <w:rsid w:val="00563396"/>
    <w:rsid w:val="00563FFD"/>
    <w:rsid w:val="00565855"/>
    <w:rsid w:val="00565D91"/>
    <w:rsid w:val="00565FC2"/>
    <w:rsid w:val="00566EEB"/>
    <w:rsid w:val="00567525"/>
    <w:rsid w:val="005677CE"/>
    <w:rsid w:val="00567893"/>
    <w:rsid w:val="00567B5D"/>
    <w:rsid w:val="00567E84"/>
    <w:rsid w:val="005705A3"/>
    <w:rsid w:val="00573733"/>
    <w:rsid w:val="00574554"/>
    <w:rsid w:val="0057484C"/>
    <w:rsid w:val="00574DC6"/>
    <w:rsid w:val="00574EE8"/>
    <w:rsid w:val="00575152"/>
    <w:rsid w:val="005758DA"/>
    <w:rsid w:val="00576089"/>
    <w:rsid w:val="005764B1"/>
    <w:rsid w:val="0057677E"/>
    <w:rsid w:val="00576851"/>
    <w:rsid w:val="00576A56"/>
    <w:rsid w:val="00576C13"/>
    <w:rsid w:val="00576D06"/>
    <w:rsid w:val="00576E14"/>
    <w:rsid w:val="00577804"/>
    <w:rsid w:val="00577882"/>
    <w:rsid w:val="005779E4"/>
    <w:rsid w:val="005803AD"/>
    <w:rsid w:val="00580964"/>
    <w:rsid w:val="00580AC5"/>
    <w:rsid w:val="00580E52"/>
    <w:rsid w:val="00580E64"/>
    <w:rsid w:val="00580EB3"/>
    <w:rsid w:val="00581753"/>
    <w:rsid w:val="005819C2"/>
    <w:rsid w:val="00581A2A"/>
    <w:rsid w:val="00581F43"/>
    <w:rsid w:val="0058289C"/>
    <w:rsid w:val="00582B9C"/>
    <w:rsid w:val="00582C35"/>
    <w:rsid w:val="00582DC6"/>
    <w:rsid w:val="005836C7"/>
    <w:rsid w:val="005838F4"/>
    <w:rsid w:val="00583BA2"/>
    <w:rsid w:val="00583E30"/>
    <w:rsid w:val="0058408E"/>
    <w:rsid w:val="00584090"/>
    <w:rsid w:val="00584849"/>
    <w:rsid w:val="00584859"/>
    <w:rsid w:val="00584A08"/>
    <w:rsid w:val="00585374"/>
    <w:rsid w:val="00585392"/>
    <w:rsid w:val="00586F3C"/>
    <w:rsid w:val="005871D0"/>
    <w:rsid w:val="005874F9"/>
    <w:rsid w:val="00587A3C"/>
    <w:rsid w:val="005906A3"/>
    <w:rsid w:val="00590710"/>
    <w:rsid w:val="00590B77"/>
    <w:rsid w:val="00591219"/>
    <w:rsid w:val="005913A3"/>
    <w:rsid w:val="00591DCD"/>
    <w:rsid w:val="00591E6C"/>
    <w:rsid w:val="00592ED4"/>
    <w:rsid w:val="0059435E"/>
    <w:rsid w:val="00594A7B"/>
    <w:rsid w:val="00594AFA"/>
    <w:rsid w:val="0059580E"/>
    <w:rsid w:val="0059630E"/>
    <w:rsid w:val="00596A6F"/>
    <w:rsid w:val="005976E1"/>
    <w:rsid w:val="005A00F0"/>
    <w:rsid w:val="005A0446"/>
    <w:rsid w:val="005A0541"/>
    <w:rsid w:val="005A09E4"/>
    <w:rsid w:val="005A0E65"/>
    <w:rsid w:val="005A1134"/>
    <w:rsid w:val="005A12D4"/>
    <w:rsid w:val="005A1525"/>
    <w:rsid w:val="005A1EC3"/>
    <w:rsid w:val="005A252B"/>
    <w:rsid w:val="005A282D"/>
    <w:rsid w:val="005A2844"/>
    <w:rsid w:val="005A2A71"/>
    <w:rsid w:val="005A2EB8"/>
    <w:rsid w:val="005A2FEB"/>
    <w:rsid w:val="005A3204"/>
    <w:rsid w:val="005A32F7"/>
    <w:rsid w:val="005A3341"/>
    <w:rsid w:val="005A38A7"/>
    <w:rsid w:val="005A3FA1"/>
    <w:rsid w:val="005A46EC"/>
    <w:rsid w:val="005A4847"/>
    <w:rsid w:val="005A494F"/>
    <w:rsid w:val="005A5322"/>
    <w:rsid w:val="005A6A43"/>
    <w:rsid w:val="005A6B2E"/>
    <w:rsid w:val="005A6BB2"/>
    <w:rsid w:val="005B0160"/>
    <w:rsid w:val="005B0185"/>
    <w:rsid w:val="005B035F"/>
    <w:rsid w:val="005B074F"/>
    <w:rsid w:val="005B07EC"/>
    <w:rsid w:val="005B09D8"/>
    <w:rsid w:val="005B0C87"/>
    <w:rsid w:val="005B120C"/>
    <w:rsid w:val="005B24F3"/>
    <w:rsid w:val="005B2B11"/>
    <w:rsid w:val="005B2B4E"/>
    <w:rsid w:val="005B2E00"/>
    <w:rsid w:val="005B370E"/>
    <w:rsid w:val="005B45B1"/>
    <w:rsid w:val="005B4B0B"/>
    <w:rsid w:val="005B4C77"/>
    <w:rsid w:val="005B4DA3"/>
    <w:rsid w:val="005B53EE"/>
    <w:rsid w:val="005B5BEE"/>
    <w:rsid w:val="005B6B65"/>
    <w:rsid w:val="005B6CF6"/>
    <w:rsid w:val="005B6D84"/>
    <w:rsid w:val="005B77D2"/>
    <w:rsid w:val="005B77E8"/>
    <w:rsid w:val="005C019B"/>
    <w:rsid w:val="005C07A1"/>
    <w:rsid w:val="005C144E"/>
    <w:rsid w:val="005C14A8"/>
    <w:rsid w:val="005C22F6"/>
    <w:rsid w:val="005C27A2"/>
    <w:rsid w:val="005C2A5B"/>
    <w:rsid w:val="005C2EDB"/>
    <w:rsid w:val="005C30F5"/>
    <w:rsid w:val="005C34A1"/>
    <w:rsid w:val="005C357E"/>
    <w:rsid w:val="005C3951"/>
    <w:rsid w:val="005C40FF"/>
    <w:rsid w:val="005C4832"/>
    <w:rsid w:val="005C51A5"/>
    <w:rsid w:val="005C557A"/>
    <w:rsid w:val="005C5807"/>
    <w:rsid w:val="005C59CA"/>
    <w:rsid w:val="005C610B"/>
    <w:rsid w:val="005C61DD"/>
    <w:rsid w:val="005C6438"/>
    <w:rsid w:val="005C6B8B"/>
    <w:rsid w:val="005C7256"/>
    <w:rsid w:val="005C7814"/>
    <w:rsid w:val="005C7EE2"/>
    <w:rsid w:val="005D02E3"/>
    <w:rsid w:val="005D0310"/>
    <w:rsid w:val="005D039C"/>
    <w:rsid w:val="005D0FBB"/>
    <w:rsid w:val="005D1369"/>
    <w:rsid w:val="005D1F34"/>
    <w:rsid w:val="005D1FE2"/>
    <w:rsid w:val="005D1FFD"/>
    <w:rsid w:val="005D2529"/>
    <w:rsid w:val="005D2C1F"/>
    <w:rsid w:val="005D34B2"/>
    <w:rsid w:val="005D3B54"/>
    <w:rsid w:val="005D40CD"/>
    <w:rsid w:val="005D4E0B"/>
    <w:rsid w:val="005D4F32"/>
    <w:rsid w:val="005D5302"/>
    <w:rsid w:val="005D54A3"/>
    <w:rsid w:val="005D69A6"/>
    <w:rsid w:val="005D6A61"/>
    <w:rsid w:val="005D6B59"/>
    <w:rsid w:val="005D7037"/>
    <w:rsid w:val="005E03E4"/>
    <w:rsid w:val="005E0454"/>
    <w:rsid w:val="005E105F"/>
    <w:rsid w:val="005E1343"/>
    <w:rsid w:val="005E1413"/>
    <w:rsid w:val="005E171D"/>
    <w:rsid w:val="005E1947"/>
    <w:rsid w:val="005E2634"/>
    <w:rsid w:val="005E2A6C"/>
    <w:rsid w:val="005E31C8"/>
    <w:rsid w:val="005E33E3"/>
    <w:rsid w:val="005E34C2"/>
    <w:rsid w:val="005E35C6"/>
    <w:rsid w:val="005E3C1C"/>
    <w:rsid w:val="005E50E4"/>
    <w:rsid w:val="005E5B01"/>
    <w:rsid w:val="005E5E17"/>
    <w:rsid w:val="005E77F4"/>
    <w:rsid w:val="005E7933"/>
    <w:rsid w:val="005E79FE"/>
    <w:rsid w:val="005E7BB7"/>
    <w:rsid w:val="005E7E0B"/>
    <w:rsid w:val="005F009E"/>
    <w:rsid w:val="005F00D3"/>
    <w:rsid w:val="005F0117"/>
    <w:rsid w:val="005F053D"/>
    <w:rsid w:val="005F0A88"/>
    <w:rsid w:val="005F0DF1"/>
    <w:rsid w:val="005F0FB9"/>
    <w:rsid w:val="005F143F"/>
    <w:rsid w:val="005F1516"/>
    <w:rsid w:val="005F1CC5"/>
    <w:rsid w:val="005F229E"/>
    <w:rsid w:val="005F2564"/>
    <w:rsid w:val="005F2CEA"/>
    <w:rsid w:val="005F3197"/>
    <w:rsid w:val="005F3822"/>
    <w:rsid w:val="005F3E0B"/>
    <w:rsid w:val="005F4D16"/>
    <w:rsid w:val="005F4E52"/>
    <w:rsid w:val="005F5590"/>
    <w:rsid w:val="005F5604"/>
    <w:rsid w:val="005F5967"/>
    <w:rsid w:val="005F5E03"/>
    <w:rsid w:val="005F6180"/>
    <w:rsid w:val="005F69FE"/>
    <w:rsid w:val="005F6A62"/>
    <w:rsid w:val="005F6D23"/>
    <w:rsid w:val="005F77C8"/>
    <w:rsid w:val="006000AD"/>
    <w:rsid w:val="00600451"/>
    <w:rsid w:val="0060058E"/>
    <w:rsid w:val="00601164"/>
    <w:rsid w:val="00601F73"/>
    <w:rsid w:val="00602740"/>
    <w:rsid w:val="00602A3A"/>
    <w:rsid w:val="00602A3C"/>
    <w:rsid w:val="006033D5"/>
    <w:rsid w:val="0060353A"/>
    <w:rsid w:val="00603802"/>
    <w:rsid w:val="00603BE3"/>
    <w:rsid w:val="00603EFD"/>
    <w:rsid w:val="006041DF"/>
    <w:rsid w:val="0060472E"/>
    <w:rsid w:val="0060475B"/>
    <w:rsid w:val="00604FB6"/>
    <w:rsid w:val="00605387"/>
    <w:rsid w:val="00605FF4"/>
    <w:rsid w:val="00606302"/>
    <w:rsid w:val="00606D81"/>
    <w:rsid w:val="00606FF8"/>
    <w:rsid w:val="006071E4"/>
    <w:rsid w:val="006072DB"/>
    <w:rsid w:val="006072EF"/>
    <w:rsid w:val="006076FD"/>
    <w:rsid w:val="00607B87"/>
    <w:rsid w:val="00607BA3"/>
    <w:rsid w:val="006108AC"/>
    <w:rsid w:val="00610DAD"/>
    <w:rsid w:val="0061143F"/>
    <w:rsid w:val="006114D8"/>
    <w:rsid w:val="00611585"/>
    <w:rsid w:val="006117C1"/>
    <w:rsid w:val="00612330"/>
    <w:rsid w:val="006125A6"/>
    <w:rsid w:val="00612931"/>
    <w:rsid w:val="00613601"/>
    <w:rsid w:val="00613791"/>
    <w:rsid w:val="00613AAB"/>
    <w:rsid w:val="00613B53"/>
    <w:rsid w:val="00614505"/>
    <w:rsid w:val="006148C7"/>
    <w:rsid w:val="00614D14"/>
    <w:rsid w:val="006150D6"/>
    <w:rsid w:val="006152AF"/>
    <w:rsid w:val="00615AC1"/>
    <w:rsid w:val="00615CBE"/>
    <w:rsid w:val="0061605C"/>
    <w:rsid w:val="006170C9"/>
    <w:rsid w:val="00617452"/>
    <w:rsid w:val="006174D1"/>
    <w:rsid w:val="00617EEE"/>
    <w:rsid w:val="006210FE"/>
    <w:rsid w:val="006213F0"/>
    <w:rsid w:val="00621F7C"/>
    <w:rsid w:val="0062233B"/>
    <w:rsid w:val="00622811"/>
    <w:rsid w:val="00622894"/>
    <w:rsid w:val="00622BB7"/>
    <w:rsid w:val="00622F3B"/>
    <w:rsid w:val="00623389"/>
    <w:rsid w:val="0062352A"/>
    <w:rsid w:val="0062432E"/>
    <w:rsid w:val="00624958"/>
    <w:rsid w:val="0062530A"/>
    <w:rsid w:val="00625E45"/>
    <w:rsid w:val="0062600E"/>
    <w:rsid w:val="006265C4"/>
    <w:rsid w:val="006266DC"/>
    <w:rsid w:val="00627383"/>
    <w:rsid w:val="00627733"/>
    <w:rsid w:val="00627876"/>
    <w:rsid w:val="006300B4"/>
    <w:rsid w:val="006301BB"/>
    <w:rsid w:val="00630844"/>
    <w:rsid w:val="0063115F"/>
    <w:rsid w:val="00631474"/>
    <w:rsid w:val="00631684"/>
    <w:rsid w:val="00632042"/>
    <w:rsid w:val="00632605"/>
    <w:rsid w:val="006328A3"/>
    <w:rsid w:val="00633F8D"/>
    <w:rsid w:val="006341EF"/>
    <w:rsid w:val="006344C9"/>
    <w:rsid w:val="00634BED"/>
    <w:rsid w:val="00635A4A"/>
    <w:rsid w:val="00635FB9"/>
    <w:rsid w:val="00636148"/>
    <w:rsid w:val="00636968"/>
    <w:rsid w:val="006375D6"/>
    <w:rsid w:val="00637774"/>
    <w:rsid w:val="0064024C"/>
    <w:rsid w:val="00640291"/>
    <w:rsid w:val="0064097F"/>
    <w:rsid w:val="00641FAC"/>
    <w:rsid w:val="00642734"/>
    <w:rsid w:val="00642EEA"/>
    <w:rsid w:val="00642F03"/>
    <w:rsid w:val="006432A5"/>
    <w:rsid w:val="006435A5"/>
    <w:rsid w:val="00643664"/>
    <w:rsid w:val="00643A0F"/>
    <w:rsid w:val="00643AC1"/>
    <w:rsid w:val="00643CAA"/>
    <w:rsid w:val="00644AFB"/>
    <w:rsid w:val="00646668"/>
    <w:rsid w:val="006469A0"/>
    <w:rsid w:val="00651CE5"/>
    <w:rsid w:val="00651E9D"/>
    <w:rsid w:val="00652137"/>
    <w:rsid w:val="00652680"/>
    <w:rsid w:val="00652A09"/>
    <w:rsid w:val="00652A87"/>
    <w:rsid w:val="00652EB2"/>
    <w:rsid w:val="006530A1"/>
    <w:rsid w:val="00653CDE"/>
    <w:rsid w:val="006540B4"/>
    <w:rsid w:val="00654359"/>
    <w:rsid w:val="00654474"/>
    <w:rsid w:val="00654494"/>
    <w:rsid w:val="00654DD2"/>
    <w:rsid w:val="00655289"/>
    <w:rsid w:val="00655C98"/>
    <w:rsid w:val="0065636A"/>
    <w:rsid w:val="00656C3C"/>
    <w:rsid w:val="00657003"/>
    <w:rsid w:val="00657126"/>
    <w:rsid w:val="006572C1"/>
    <w:rsid w:val="0065741F"/>
    <w:rsid w:val="00657930"/>
    <w:rsid w:val="00660074"/>
    <w:rsid w:val="00660238"/>
    <w:rsid w:val="00660259"/>
    <w:rsid w:val="006602D4"/>
    <w:rsid w:val="006602EF"/>
    <w:rsid w:val="00660EFA"/>
    <w:rsid w:val="00660F41"/>
    <w:rsid w:val="00661213"/>
    <w:rsid w:val="00661236"/>
    <w:rsid w:val="00661277"/>
    <w:rsid w:val="006616FE"/>
    <w:rsid w:val="006619D1"/>
    <w:rsid w:val="00661A89"/>
    <w:rsid w:val="00661C90"/>
    <w:rsid w:val="006621FC"/>
    <w:rsid w:val="00663263"/>
    <w:rsid w:val="00663FEA"/>
    <w:rsid w:val="00664253"/>
    <w:rsid w:val="0066454C"/>
    <w:rsid w:val="006647AE"/>
    <w:rsid w:val="00664803"/>
    <w:rsid w:val="00664A71"/>
    <w:rsid w:val="00664F44"/>
    <w:rsid w:val="0066594B"/>
    <w:rsid w:val="00665CF4"/>
    <w:rsid w:val="006661A4"/>
    <w:rsid w:val="006664C6"/>
    <w:rsid w:val="006666C3"/>
    <w:rsid w:val="00666768"/>
    <w:rsid w:val="00666822"/>
    <w:rsid w:val="00666AC6"/>
    <w:rsid w:val="00666EF7"/>
    <w:rsid w:val="006670E0"/>
    <w:rsid w:val="00667212"/>
    <w:rsid w:val="00667532"/>
    <w:rsid w:val="006676DB"/>
    <w:rsid w:val="00667F03"/>
    <w:rsid w:val="006704FD"/>
    <w:rsid w:val="00671161"/>
    <w:rsid w:val="006711BF"/>
    <w:rsid w:val="006712C9"/>
    <w:rsid w:val="00672185"/>
    <w:rsid w:val="0067294B"/>
    <w:rsid w:val="00672F3E"/>
    <w:rsid w:val="006739FC"/>
    <w:rsid w:val="00673AA4"/>
    <w:rsid w:val="00673C7B"/>
    <w:rsid w:val="00673E39"/>
    <w:rsid w:val="00674187"/>
    <w:rsid w:val="00674D13"/>
    <w:rsid w:val="00674D89"/>
    <w:rsid w:val="0067508F"/>
    <w:rsid w:val="00675349"/>
    <w:rsid w:val="00675E7E"/>
    <w:rsid w:val="0067621A"/>
    <w:rsid w:val="0067625C"/>
    <w:rsid w:val="00676C1D"/>
    <w:rsid w:val="0068051E"/>
    <w:rsid w:val="00680B9D"/>
    <w:rsid w:val="00680D81"/>
    <w:rsid w:val="00681360"/>
    <w:rsid w:val="00681E57"/>
    <w:rsid w:val="00681F13"/>
    <w:rsid w:val="006820B8"/>
    <w:rsid w:val="0068231C"/>
    <w:rsid w:val="00682344"/>
    <w:rsid w:val="00682F28"/>
    <w:rsid w:val="0068391F"/>
    <w:rsid w:val="00683B6D"/>
    <w:rsid w:val="0068422D"/>
    <w:rsid w:val="006845B7"/>
    <w:rsid w:val="00684842"/>
    <w:rsid w:val="00685415"/>
    <w:rsid w:val="0068558F"/>
    <w:rsid w:val="00685616"/>
    <w:rsid w:val="00685BD6"/>
    <w:rsid w:val="006878A6"/>
    <w:rsid w:val="006901EE"/>
    <w:rsid w:val="00690437"/>
    <w:rsid w:val="006909F8"/>
    <w:rsid w:val="00690E65"/>
    <w:rsid w:val="0069188E"/>
    <w:rsid w:val="00691974"/>
    <w:rsid w:val="006922E3"/>
    <w:rsid w:val="0069265D"/>
    <w:rsid w:val="00692CE6"/>
    <w:rsid w:val="00693B6C"/>
    <w:rsid w:val="00693FF3"/>
    <w:rsid w:val="00694202"/>
    <w:rsid w:val="006942AE"/>
    <w:rsid w:val="006942C4"/>
    <w:rsid w:val="0069483C"/>
    <w:rsid w:val="00695421"/>
    <w:rsid w:val="00695A03"/>
    <w:rsid w:val="00696D4B"/>
    <w:rsid w:val="0069708B"/>
    <w:rsid w:val="00697BD3"/>
    <w:rsid w:val="00697DFA"/>
    <w:rsid w:val="006A04A9"/>
    <w:rsid w:val="006A0C53"/>
    <w:rsid w:val="006A10F3"/>
    <w:rsid w:val="006A16D5"/>
    <w:rsid w:val="006A1772"/>
    <w:rsid w:val="006A1780"/>
    <w:rsid w:val="006A25A5"/>
    <w:rsid w:val="006A2790"/>
    <w:rsid w:val="006A2FD5"/>
    <w:rsid w:val="006A3178"/>
    <w:rsid w:val="006A36B4"/>
    <w:rsid w:val="006A3CEC"/>
    <w:rsid w:val="006A3F75"/>
    <w:rsid w:val="006A4F36"/>
    <w:rsid w:val="006A4F57"/>
    <w:rsid w:val="006A4FB3"/>
    <w:rsid w:val="006A5A3E"/>
    <w:rsid w:val="006A5B9C"/>
    <w:rsid w:val="006A5E8D"/>
    <w:rsid w:val="006A69F1"/>
    <w:rsid w:val="006A6CA7"/>
    <w:rsid w:val="006A6F2B"/>
    <w:rsid w:val="006A703E"/>
    <w:rsid w:val="006A74C0"/>
    <w:rsid w:val="006A7B37"/>
    <w:rsid w:val="006A7BE3"/>
    <w:rsid w:val="006B01A6"/>
    <w:rsid w:val="006B01D1"/>
    <w:rsid w:val="006B0704"/>
    <w:rsid w:val="006B0E0B"/>
    <w:rsid w:val="006B16EA"/>
    <w:rsid w:val="006B1780"/>
    <w:rsid w:val="006B211F"/>
    <w:rsid w:val="006B224E"/>
    <w:rsid w:val="006B25BA"/>
    <w:rsid w:val="006B2885"/>
    <w:rsid w:val="006B3615"/>
    <w:rsid w:val="006B376E"/>
    <w:rsid w:val="006B3C72"/>
    <w:rsid w:val="006B4589"/>
    <w:rsid w:val="006B4751"/>
    <w:rsid w:val="006B4AA3"/>
    <w:rsid w:val="006B4FA3"/>
    <w:rsid w:val="006B5138"/>
    <w:rsid w:val="006B5451"/>
    <w:rsid w:val="006B61A9"/>
    <w:rsid w:val="006B65C9"/>
    <w:rsid w:val="006B6805"/>
    <w:rsid w:val="006B6BBE"/>
    <w:rsid w:val="006B6DE0"/>
    <w:rsid w:val="006B725A"/>
    <w:rsid w:val="006B7CE3"/>
    <w:rsid w:val="006B7D5F"/>
    <w:rsid w:val="006C1184"/>
    <w:rsid w:val="006C15B4"/>
    <w:rsid w:val="006C19D9"/>
    <w:rsid w:val="006C1C05"/>
    <w:rsid w:val="006C32F4"/>
    <w:rsid w:val="006C3C11"/>
    <w:rsid w:val="006C3C54"/>
    <w:rsid w:val="006C3ED9"/>
    <w:rsid w:val="006C40F4"/>
    <w:rsid w:val="006C427B"/>
    <w:rsid w:val="006C4706"/>
    <w:rsid w:val="006C481B"/>
    <w:rsid w:val="006C4D5D"/>
    <w:rsid w:val="006C4E2C"/>
    <w:rsid w:val="006C4E5A"/>
    <w:rsid w:val="006C4F9F"/>
    <w:rsid w:val="006C61AB"/>
    <w:rsid w:val="006C650D"/>
    <w:rsid w:val="006C6700"/>
    <w:rsid w:val="006C6725"/>
    <w:rsid w:val="006C6F7F"/>
    <w:rsid w:val="006C748D"/>
    <w:rsid w:val="006C74E2"/>
    <w:rsid w:val="006D02CF"/>
    <w:rsid w:val="006D055A"/>
    <w:rsid w:val="006D06E3"/>
    <w:rsid w:val="006D0848"/>
    <w:rsid w:val="006D09C4"/>
    <w:rsid w:val="006D0BF6"/>
    <w:rsid w:val="006D0C1D"/>
    <w:rsid w:val="006D0CE1"/>
    <w:rsid w:val="006D2004"/>
    <w:rsid w:val="006D27E7"/>
    <w:rsid w:val="006D2A33"/>
    <w:rsid w:val="006D2A8C"/>
    <w:rsid w:val="006D2E9D"/>
    <w:rsid w:val="006D3F04"/>
    <w:rsid w:val="006D40CB"/>
    <w:rsid w:val="006D4C1E"/>
    <w:rsid w:val="006D4C42"/>
    <w:rsid w:val="006D4FD9"/>
    <w:rsid w:val="006D5809"/>
    <w:rsid w:val="006D5EF4"/>
    <w:rsid w:val="006D6245"/>
    <w:rsid w:val="006D630A"/>
    <w:rsid w:val="006D668D"/>
    <w:rsid w:val="006D7363"/>
    <w:rsid w:val="006D74F2"/>
    <w:rsid w:val="006E015F"/>
    <w:rsid w:val="006E04BE"/>
    <w:rsid w:val="006E04C8"/>
    <w:rsid w:val="006E06A7"/>
    <w:rsid w:val="006E0712"/>
    <w:rsid w:val="006E0754"/>
    <w:rsid w:val="006E082C"/>
    <w:rsid w:val="006E0D96"/>
    <w:rsid w:val="006E11E5"/>
    <w:rsid w:val="006E1611"/>
    <w:rsid w:val="006E2668"/>
    <w:rsid w:val="006E282E"/>
    <w:rsid w:val="006E2D39"/>
    <w:rsid w:val="006E32B0"/>
    <w:rsid w:val="006E36D8"/>
    <w:rsid w:val="006E396A"/>
    <w:rsid w:val="006E3A73"/>
    <w:rsid w:val="006E3C62"/>
    <w:rsid w:val="006E4C50"/>
    <w:rsid w:val="006E5DD8"/>
    <w:rsid w:val="006E5EA1"/>
    <w:rsid w:val="006E62C1"/>
    <w:rsid w:val="006E6C55"/>
    <w:rsid w:val="006E6DB5"/>
    <w:rsid w:val="006E73A8"/>
    <w:rsid w:val="006E7ABC"/>
    <w:rsid w:val="006F0760"/>
    <w:rsid w:val="006F07D7"/>
    <w:rsid w:val="006F0FF1"/>
    <w:rsid w:val="006F11E2"/>
    <w:rsid w:val="006F12F5"/>
    <w:rsid w:val="006F193D"/>
    <w:rsid w:val="006F24F6"/>
    <w:rsid w:val="006F2574"/>
    <w:rsid w:val="006F29D8"/>
    <w:rsid w:val="006F2D6C"/>
    <w:rsid w:val="006F2F33"/>
    <w:rsid w:val="006F3231"/>
    <w:rsid w:val="006F3DE3"/>
    <w:rsid w:val="006F48D5"/>
    <w:rsid w:val="006F4AE3"/>
    <w:rsid w:val="006F511F"/>
    <w:rsid w:val="006F54B3"/>
    <w:rsid w:val="006F5674"/>
    <w:rsid w:val="006F59A2"/>
    <w:rsid w:val="006F61D8"/>
    <w:rsid w:val="006F62B7"/>
    <w:rsid w:val="006F62CC"/>
    <w:rsid w:val="006F6327"/>
    <w:rsid w:val="006F70BC"/>
    <w:rsid w:val="006F713A"/>
    <w:rsid w:val="006F76BF"/>
    <w:rsid w:val="00700077"/>
    <w:rsid w:val="0070196A"/>
    <w:rsid w:val="00702E23"/>
    <w:rsid w:val="007030DC"/>
    <w:rsid w:val="00703F42"/>
    <w:rsid w:val="007045EF"/>
    <w:rsid w:val="007047F6"/>
    <w:rsid w:val="007049DF"/>
    <w:rsid w:val="00704C3C"/>
    <w:rsid w:val="00704CF5"/>
    <w:rsid w:val="00705F78"/>
    <w:rsid w:val="007066A4"/>
    <w:rsid w:val="00706F37"/>
    <w:rsid w:val="00707BEF"/>
    <w:rsid w:val="00707D09"/>
    <w:rsid w:val="00711208"/>
    <w:rsid w:val="00711FBB"/>
    <w:rsid w:val="0071209F"/>
    <w:rsid w:val="007125A2"/>
    <w:rsid w:val="00712D76"/>
    <w:rsid w:val="00712DA3"/>
    <w:rsid w:val="00713F79"/>
    <w:rsid w:val="007148A8"/>
    <w:rsid w:val="00714AA4"/>
    <w:rsid w:val="007153B2"/>
    <w:rsid w:val="0071592B"/>
    <w:rsid w:val="0071661B"/>
    <w:rsid w:val="00716BA9"/>
    <w:rsid w:val="00716E06"/>
    <w:rsid w:val="007171E0"/>
    <w:rsid w:val="00717C9A"/>
    <w:rsid w:val="0072033C"/>
    <w:rsid w:val="00720763"/>
    <w:rsid w:val="00720A8E"/>
    <w:rsid w:val="00720B1B"/>
    <w:rsid w:val="00720EC1"/>
    <w:rsid w:val="00721062"/>
    <w:rsid w:val="00721E5D"/>
    <w:rsid w:val="00722541"/>
    <w:rsid w:val="007229D4"/>
    <w:rsid w:val="00722B46"/>
    <w:rsid w:val="00722CD9"/>
    <w:rsid w:val="007230F8"/>
    <w:rsid w:val="007233F4"/>
    <w:rsid w:val="0072343A"/>
    <w:rsid w:val="00724044"/>
    <w:rsid w:val="007244E1"/>
    <w:rsid w:val="007248D3"/>
    <w:rsid w:val="00725137"/>
    <w:rsid w:val="007259CA"/>
    <w:rsid w:val="00725ED1"/>
    <w:rsid w:val="007261C4"/>
    <w:rsid w:val="007263ED"/>
    <w:rsid w:val="00726EDF"/>
    <w:rsid w:val="00727012"/>
    <w:rsid w:val="00727A43"/>
    <w:rsid w:val="00727FF2"/>
    <w:rsid w:val="00730BB6"/>
    <w:rsid w:val="007323E0"/>
    <w:rsid w:val="00732474"/>
    <w:rsid w:val="007324FF"/>
    <w:rsid w:val="00732F19"/>
    <w:rsid w:val="0073355F"/>
    <w:rsid w:val="00733791"/>
    <w:rsid w:val="00733808"/>
    <w:rsid w:val="0073391B"/>
    <w:rsid w:val="00733DE2"/>
    <w:rsid w:val="00734564"/>
    <w:rsid w:val="00734592"/>
    <w:rsid w:val="0073468F"/>
    <w:rsid w:val="00734A5E"/>
    <w:rsid w:val="00734EE0"/>
    <w:rsid w:val="007351F8"/>
    <w:rsid w:val="007352EA"/>
    <w:rsid w:val="007355AC"/>
    <w:rsid w:val="007359A9"/>
    <w:rsid w:val="00736453"/>
    <w:rsid w:val="007364E5"/>
    <w:rsid w:val="00736ACC"/>
    <w:rsid w:val="0073767E"/>
    <w:rsid w:val="00737866"/>
    <w:rsid w:val="0073792F"/>
    <w:rsid w:val="00737A88"/>
    <w:rsid w:val="007408E5"/>
    <w:rsid w:val="00740ADA"/>
    <w:rsid w:val="00740DA6"/>
    <w:rsid w:val="00741727"/>
    <w:rsid w:val="00741A0E"/>
    <w:rsid w:val="00741D1E"/>
    <w:rsid w:val="00741EE2"/>
    <w:rsid w:val="00742367"/>
    <w:rsid w:val="007423F7"/>
    <w:rsid w:val="00742EAA"/>
    <w:rsid w:val="0074373A"/>
    <w:rsid w:val="00743818"/>
    <w:rsid w:val="00743830"/>
    <w:rsid w:val="00743835"/>
    <w:rsid w:val="007439E2"/>
    <w:rsid w:val="00743CF7"/>
    <w:rsid w:val="00743D6F"/>
    <w:rsid w:val="00743DD8"/>
    <w:rsid w:val="007441FB"/>
    <w:rsid w:val="00744517"/>
    <w:rsid w:val="00744541"/>
    <w:rsid w:val="00744774"/>
    <w:rsid w:val="00744810"/>
    <w:rsid w:val="007458FF"/>
    <w:rsid w:val="0074670F"/>
    <w:rsid w:val="00746EBC"/>
    <w:rsid w:val="00747526"/>
    <w:rsid w:val="00747B7A"/>
    <w:rsid w:val="00747DE2"/>
    <w:rsid w:val="00747E18"/>
    <w:rsid w:val="007504BF"/>
    <w:rsid w:val="007506CD"/>
    <w:rsid w:val="00751713"/>
    <w:rsid w:val="0075267F"/>
    <w:rsid w:val="007526EC"/>
    <w:rsid w:val="00752827"/>
    <w:rsid w:val="0075310C"/>
    <w:rsid w:val="007531F8"/>
    <w:rsid w:val="00753347"/>
    <w:rsid w:val="00753518"/>
    <w:rsid w:val="007536E3"/>
    <w:rsid w:val="00753C48"/>
    <w:rsid w:val="007543C2"/>
    <w:rsid w:val="0075461A"/>
    <w:rsid w:val="00754975"/>
    <w:rsid w:val="00754C97"/>
    <w:rsid w:val="00754ED1"/>
    <w:rsid w:val="00754FE4"/>
    <w:rsid w:val="00755538"/>
    <w:rsid w:val="00755C10"/>
    <w:rsid w:val="00756236"/>
    <w:rsid w:val="00756271"/>
    <w:rsid w:val="0075651B"/>
    <w:rsid w:val="00756521"/>
    <w:rsid w:val="007569BA"/>
    <w:rsid w:val="00756AB7"/>
    <w:rsid w:val="00756C71"/>
    <w:rsid w:val="007575D3"/>
    <w:rsid w:val="00757918"/>
    <w:rsid w:val="00757AEA"/>
    <w:rsid w:val="00757CF8"/>
    <w:rsid w:val="00760477"/>
    <w:rsid w:val="00761950"/>
    <w:rsid w:val="00761AF4"/>
    <w:rsid w:val="00761CE2"/>
    <w:rsid w:val="00762071"/>
    <w:rsid w:val="007623FB"/>
    <w:rsid w:val="0076376A"/>
    <w:rsid w:val="00764A6C"/>
    <w:rsid w:val="0076500F"/>
    <w:rsid w:val="00765011"/>
    <w:rsid w:val="0076504E"/>
    <w:rsid w:val="007653E4"/>
    <w:rsid w:val="00765E6A"/>
    <w:rsid w:val="00766068"/>
    <w:rsid w:val="007678B9"/>
    <w:rsid w:val="00767EA0"/>
    <w:rsid w:val="0077068F"/>
    <w:rsid w:val="00770C58"/>
    <w:rsid w:val="00771932"/>
    <w:rsid w:val="00771AD5"/>
    <w:rsid w:val="0077201C"/>
    <w:rsid w:val="00772118"/>
    <w:rsid w:val="00772A06"/>
    <w:rsid w:val="00772E93"/>
    <w:rsid w:val="007736EA"/>
    <w:rsid w:val="0077408D"/>
    <w:rsid w:val="00774270"/>
    <w:rsid w:val="007746E7"/>
    <w:rsid w:val="007750A7"/>
    <w:rsid w:val="00775315"/>
    <w:rsid w:val="00775679"/>
    <w:rsid w:val="00775803"/>
    <w:rsid w:val="00776050"/>
    <w:rsid w:val="0077631F"/>
    <w:rsid w:val="00777139"/>
    <w:rsid w:val="00777A34"/>
    <w:rsid w:val="00777B32"/>
    <w:rsid w:val="0078051E"/>
    <w:rsid w:val="00781F81"/>
    <w:rsid w:val="00781FDD"/>
    <w:rsid w:val="00782A9F"/>
    <w:rsid w:val="00782D12"/>
    <w:rsid w:val="00782F75"/>
    <w:rsid w:val="00783E67"/>
    <w:rsid w:val="007845A4"/>
    <w:rsid w:val="0078508A"/>
    <w:rsid w:val="0078592E"/>
    <w:rsid w:val="00785A13"/>
    <w:rsid w:val="00786C4C"/>
    <w:rsid w:val="00786D5C"/>
    <w:rsid w:val="00786E96"/>
    <w:rsid w:val="007875E2"/>
    <w:rsid w:val="00787F93"/>
    <w:rsid w:val="0079052E"/>
    <w:rsid w:val="007907CA"/>
    <w:rsid w:val="00790E12"/>
    <w:rsid w:val="00791101"/>
    <w:rsid w:val="0079118D"/>
    <w:rsid w:val="007913A1"/>
    <w:rsid w:val="00791E6D"/>
    <w:rsid w:val="007927C0"/>
    <w:rsid w:val="00792836"/>
    <w:rsid w:val="007928DC"/>
    <w:rsid w:val="007939CC"/>
    <w:rsid w:val="007949E6"/>
    <w:rsid w:val="00794AD7"/>
    <w:rsid w:val="00795098"/>
    <w:rsid w:val="00795761"/>
    <w:rsid w:val="00796FB8"/>
    <w:rsid w:val="007A0A5E"/>
    <w:rsid w:val="007A11C2"/>
    <w:rsid w:val="007A1540"/>
    <w:rsid w:val="007A21B2"/>
    <w:rsid w:val="007A2367"/>
    <w:rsid w:val="007A2DC5"/>
    <w:rsid w:val="007A41BF"/>
    <w:rsid w:val="007A490A"/>
    <w:rsid w:val="007A490D"/>
    <w:rsid w:val="007A491F"/>
    <w:rsid w:val="007A532C"/>
    <w:rsid w:val="007A581D"/>
    <w:rsid w:val="007A685D"/>
    <w:rsid w:val="007A6AD9"/>
    <w:rsid w:val="007A6B2F"/>
    <w:rsid w:val="007A76D1"/>
    <w:rsid w:val="007A7B95"/>
    <w:rsid w:val="007A7EF2"/>
    <w:rsid w:val="007B0297"/>
    <w:rsid w:val="007B0F53"/>
    <w:rsid w:val="007B1DD8"/>
    <w:rsid w:val="007B1EC5"/>
    <w:rsid w:val="007B1F06"/>
    <w:rsid w:val="007B1F4A"/>
    <w:rsid w:val="007B21AE"/>
    <w:rsid w:val="007B2200"/>
    <w:rsid w:val="007B2570"/>
    <w:rsid w:val="007B26BC"/>
    <w:rsid w:val="007B3113"/>
    <w:rsid w:val="007B3304"/>
    <w:rsid w:val="007B332B"/>
    <w:rsid w:val="007B37A1"/>
    <w:rsid w:val="007B394D"/>
    <w:rsid w:val="007B3C64"/>
    <w:rsid w:val="007B3DC0"/>
    <w:rsid w:val="007B43B0"/>
    <w:rsid w:val="007B479A"/>
    <w:rsid w:val="007B4BB1"/>
    <w:rsid w:val="007B4CEB"/>
    <w:rsid w:val="007B512D"/>
    <w:rsid w:val="007B5C48"/>
    <w:rsid w:val="007B64AC"/>
    <w:rsid w:val="007B6E8C"/>
    <w:rsid w:val="007B707C"/>
    <w:rsid w:val="007B7490"/>
    <w:rsid w:val="007B774A"/>
    <w:rsid w:val="007B77EC"/>
    <w:rsid w:val="007B7A7E"/>
    <w:rsid w:val="007C0525"/>
    <w:rsid w:val="007C0B56"/>
    <w:rsid w:val="007C13F7"/>
    <w:rsid w:val="007C183F"/>
    <w:rsid w:val="007C19A6"/>
    <w:rsid w:val="007C218D"/>
    <w:rsid w:val="007C2494"/>
    <w:rsid w:val="007C274B"/>
    <w:rsid w:val="007C2D28"/>
    <w:rsid w:val="007C3E22"/>
    <w:rsid w:val="007C3E64"/>
    <w:rsid w:val="007C5153"/>
    <w:rsid w:val="007C533F"/>
    <w:rsid w:val="007C5662"/>
    <w:rsid w:val="007C6284"/>
    <w:rsid w:val="007C641C"/>
    <w:rsid w:val="007C67C6"/>
    <w:rsid w:val="007C707A"/>
    <w:rsid w:val="007C746D"/>
    <w:rsid w:val="007C7E59"/>
    <w:rsid w:val="007D0B91"/>
    <w:rsid w:val="007D0F53"/>
    <w:rsid w:val="007D1452"/>
    <w:rsid w:val="007D1E29"/>
    <w:rsid w:val="007D2B94"/>
    <w:rsid w:val="007D3FFF"/>
    <w:rsid w:val="007D460C"/>
    <w:rsid w:val="007D4AD3"/>
    <w:rsid w:val="007D4C8D"/>
    <w:rsid w:val="007D5D19"/>
    <w:rsid w:val="007D5FDC"/>
    <w:rsid w:val="007D6232"/>
    <w:rsid w:val="007D6D68"/>
    <w:rsid w:val="007D7374"/>
    <w:rsid w:val="007E01DA"/>
    <w:rsid w:val="007E0AF4"/>
    <w:rsid w:val="007E1603"/>
    <w:rsid w:val="007E2EB2"/>
    <w:rsid w:val="007E32DA"/>
    <w:rsid w:val="007E350D"/>
    <w:rsid w:val="007E4998"/>
    <w:rsid w:val="007E4A9C"/>
    <w:rsid w:val="007E6914"/>
    <w:rsid w:val="007E7073"/>
    <w:rsid w:val="007E716F"/>
    <w:rsid w:val="007E7F78"/>
    <w:rsid w:val="007F0C8B"/>
    <w:rsid w:val="007F1517"/>
    <w:rsid w:val="007F193D"/>
    <w:rsid w:val="007F1D44"/>
    <w:rsid w:val="007F2A41"/>
    <w:rsid w:val="007F2C13"/>
    <w:rsid w:val="007F2CEC"/>
    <w:rsid w:val="007F3874"/>
    <w:rsid w:val="007F552A"/>
    <w:rsid w:val="007F55DE"/>
    <w:rsid w:val="007F5605"/>
    <w:rsid w:val="007F5C3F"/>
    <w:rsid w:val="007F5F75"/>
    <w:rsid w:val="007F6147"/>
    <w:rsid w:val="007F6FCD"/>
    <w:rsid w:val="007F78FF"/>
    <w:rsid w:val="007F79A0"/>
    <w:rsid w:val="007F79EA"/>
    <w:rsid w:val="00800B63"/>
    <w:rsid w:val="00800F6C"/>
    <w:rsid w:val="008018B8"/>
    <w:rsid w:val="00802444"/>
    <w:rsid w:val="008025BE"/>
    <w:rsid w:val="00804961"/>
    <w:rsid w:val="00804C86"/>
    <w:rsid w:val="00804E95"/>
    <w:rsid w:val="00804F40"/>
    <w:rsid w:val="008051FC"/>
    <w:rsid w:val="008055A9"/>
    <w:rsid w:val="00805914"/>
    <w:rsid w:val="008059F5"/>
    <w:rsid w:val="008062FC"/>
    <w:rsid w:val="0080667F"/>
    <w:rsid w:val="008066EE"/>
    <w:rsid w:val="008067D1"/>
    <w:rsid w:val="0080709C"/>
    <w:rsid w:val="008070EB"/>
    <w:rsid w:val="00807376"/>
    <w:rsid w:val="008074D9"/>
    <w:rsid w:val="00807654"/>
    <w:rsid w:val="0080784C"/>
    <w:rsid w:val="00807D53"/>
    <w:rsid w:val="0081049A"/>
    <w:rsid w:val="00810E8E"/>
    <w:rsid w:val="0081142D"/>
    <w:rsid w:val="008116D5"/>
    <w:rsid w:val="00811CB2"/>
    <w:rsid w:val="00812462"/>
    <w:rsid w:val="008131C3"/>
    <w:rsid w:val="008140A5"/>
    <w:rsid w:val="00814404"/>
    <w:rsid w:val="0081481D"/>
    <w:rsid w:val="00814BE8"/>
    <w:rsid w:val="00814F6E"/>
    <w:rsid w:val="008157B6"/>
    <w:rsid w:val="00815900"/>
    <w:rsid w:val="00815B84"/>
    <w:rsid w:val="00817660"/>
    <w:rsid w:val="00817E14"/>
    <w:rsid w:val="0082033F"/>
    <w:rsid w:val="00821102"/>
    <w:rsid w:val="008215B4"/>
    <w:rsid w:val="00821A3D"/>
    <w:rsid w:val="00821B36"/>
    <w:rsid w:val="00822037"/>
    <w:rsid w:val="00822055"/>
    <w:rsid w:val="00823B4D"/>
    <w:rsid w:val="00823E0A"/>
    <w:rsid w:val="00823FC6"/>
    <w:rsid w:val="00823FFC"/>
    <w:rsid w:val="00824811"/>
    <w:rsid w:val="00824C69"/>
    <w:rsid w:val="00825553"/>
    <w:rsid w:val="00825C74"/>
    <w:rsid w:val="00826A7D"/>
    <w:rsid w:val="00826AB1"/>
    <w:rsid w:val="00826AB9"/>
    <w:rsid w:val="00826E0E"/>
    <w:rsid w:val="0082731F"/>
    <w:rsid w:val="00827D11"/>
    <w:rsid w:val="00827DBA"/>
    <w:rsid w:val="00827E0F"/>
    <w:rsid w:val="00827F6E"/>
    <w:rsid w:val="00830BDC"/>
    <w:rsid w:val="00830BDE"/>
    <w:rsid w:val="00830DB2"/>
    <w:rsid w:val="008311AD"/>
    <w:rsid w:val="00831758"/>
    <w:rsid w:val="0083279F"/>
    <w:rsid w:val="00833B7F"/>
    <w:rsid w:val="00833D0A"/>
    <w:rsid w:val="00834906"/>
    <w:rsid w:val="00834B7F"/>
    <w:rsid w:val="00836075"/>
    <w:rsid w:val="00836417"/>
    <w:rsid w:val="008366A6"/>
    <w:rsid w:val="00836874"/>
    <w:rsid w:val="00836D77"/>
    <w:rsid w:val="008411C7"/>
    <w:rsid w:val="008411F9"/>
    <w:rsid w:val="008413AB"/>
    <w:rsid w:val="008416B5"/>
    <w:rsid w:val="00841F5C"/>
    <w:rsid w:val="00842449"/>
    <w:rsid w:val="00842764"/>
    <w:rsid w:val="00842913"/>
    <w:rsid w:val="00842D10"/>
    <w:rsid w:val="0084322B"/>
    <w:rsid w:val="00843688"/>
    <w:rsid w:val="00843B93"/>
    <w:rsid w:val="00843E00"/>
    <w:rsid w:val="00843F81"/>
    <w:rsid w:val="0084403D"/>
    <w:rsid w:val="00844087"/>
    <w:rsid w:val="0084519E"/>
    <w:rsid w:val="00846148"/>
    <w:rsid w:val="00846179"/>
    <w:rsid w:val="00846370"/>
    <w:rsid w:val="0084709A"/>
    <w:rsid w:val="00847903"/>
    <w:rsid w:val="00847C2B"/>
    <w:rsid w:val="00847C3D"/>
    <w:rsid w:val="00847E67"/>
    <w:rsid w:val="0085030C"/>
    <w:rsid w:val="008509AE"/>
    <w:rsid w:val="00850D7C"/>
    <w:rsid w:val="008520AD"/>
    <w:rsid w:val="0085270D"/>
    <w:rsid w:val="00852D56"/>
    <w:rsid w:val="00852E34"/>
    <w:rsid w:val="00852F17"/>
    <w:rsid w:val="0085318B"/>
    <w:rsid w:val="008532BF"/>
    <w:rsid w:val="0085353A"/>
    <w:rsid w:val="00853BF4"/>
    <w:rsid w:val="00854294"/>
    <w:rsid w:val="00854769"/>
    <w:rsid w:val="0085595B"/>
    <w:rsid w:val="00855F80"/>
    <w:rsid w:val="00856033"/>
    <w:rsid w:val="008566B8"/>
    <w:rsid w:val="00857143"/>
    <w:rsid w:val="0085788B"/>
    <w:rsid w:val="00857A9E"/>
    <w:rsid w:val="00857DE2"/>
    <w:rsid w:val="008614E7"/>
    <w:rsid w:val="00861628"/>
    <w:rsid w:val="00861DD1"/>
    <w:rsid w:val="0086210E"/>
    <w:rsid w:val="00862328"/>
    <w:rsid w:val="00862721"/>
    <w:rsid w:val="00862750"/>
    <w:rsid w:val="008629B3"/>
    <w:rsid w:val="0086353C"/>
    <w:rsid w:val="0086407F"/>
    <w:rsid w:val="00864434"/>
    <w:rsid w:val="00864A1F"/>
    <w:rsid w:val="00864D79"/>
    <w:rsid w:val="00864E79"/>
    <w:rsid w:val="00866111"/>
    <w:rsid w:val="00866466"/>
    <w:rsid w:val="0086661F"/>
    <w:rsid w:val="00866840"/>
    <w:rsid w:val="00866A0D"/>
    <w:rsid w:val="00866C54"/>
    <w:rsid w:val="00866DB5"/>
    <w:rsid w:val="00867058"/>
    <w:rsid w:val="0086772A"/>
    <w:rsid w:val="00867789"/>
    <w:rsid w:val="0086784E"/>
    <w:rsid w:val="00867858"/>
    <w:rsid w:val="00867AF1"/>
    <w:rsid w:val="0087036E"/>
    <w:rsid w:val="00870445"/>
    <w:rsid w:val="008705A4"/>
    <w:rsid w:val="00871D4C"/>
    <w:rsid w:val="00872118"/>
    <w:rsid w:val="00872827"/>
    <w:rsid w:val="00872888"/>
    <w:rsid w:val="00872A15"/>
    <w:rsid w:val="00872A32"/>
    <w:rsid w:val="00872D92"/>
    <w:rsid w:val="00872E21"/>
    <w:rsid w:val="008740AC"/>
    <w:rsid w:val="00874ECA"/>
    <w:rsid w:val="008752F5"/>
    <w:rsid w:val="008764EF"/>
    <w:rsid w:val="008768FB"/>
    <w:rsid w:val="00876EAE"/>
    <w:rsid w:val="00876EED"/>
    <w:rsid w:val="00877FEA"/>
    <w:rsid w:val="00880025"/>
    <w:rsid w:val="00880C03"/>
    <w:rsid w:val="00880F31"/>
    <w:rsid w:val="00880F95"/>
    <w:rsid w:val="008819C6"/>
    <w:rsid w:val="00881BF5"/>
    <w:rsid w:val="008821D3"/>
    <w:rsid w:val="0088228A"/>
    <w:rsid w:val="00882592"/>
    <w:rsid w:val="0088291A"/>
    <w:rsid w:val="00882B44"/>
    <w:rsid w:val="00882FE5"/>
    <w:rsid w:val="008845A4"/>
    <w:rsid w:val="00884CC3"/>
    <w:rsid w:val="008851CC"/>
    <w:rsid w:val="00885AAC"/>
    <w:rsid w:val="00885D3C"/>
    <w:rsid w:val="00886138"/>
    <w:rsid w:val="00886AF2"/>
    <w:rsid w:val="00886E66"/>
    <w:rsid w:val="008871B0"/>
    <w:rsid w:val="0088779A"/>
    <w:rsid w:val="0089040A"/>
    <w:rsid w:val="00890A5B"/>
    <w:rsid w:val="008915EE"/>
    <w:rsid w:val="0089217C"/>
    <w:rsid w:val="008923DD"/>
    <w:rsid w:val="008928A1"/>
    <w:rsid w:val="00893671"/>
    <w:rsid w:val="00893EAC"/>
    <w:rsid w:val="00895838"/>
    <w:rsid w:val="00895A72"/>
    <w:rsid w:val="00895CDF"/>
    <w:rsid w:val="008968C7"/>
    <w:rsid w:val="00897A55"/>
    <w:rsid w:val="00897E2D"/>
    <w:rsid w:val="008A0650"/>
    <w:rsid w:val="008A0CC0"/>
    <w:rsid w:val="008A0FC9"/>
    <w:rsid w:val="008A10BD"/>
    <w:rsid w:val="008A1956"/>
    <w:rsid w:val="008A2B5F"/>
    <w:rsid w:val="008A40D3"/>
    <w:rsid w:val="008A469C"/>
    <w:rsid w:val="008A484A"/>
    <w:rsid w:val="008A4CA2"/>
    <w:rsid w:val="008A5108"/>
    <w:rsid w:val="008A5877"/>
    <w:rsid w:val="008A5A29"/>
    <w:rsid w:val="008A5C31"/>
    <w:rsid w:val="008A5CAC"/>
    <w:rsid w:val="008A6183"/>
    <w:rsid w:val="008A6332"/>
    <w:rsid w:val="008A6539"/>
    <w:rsid w:val="008A65F6"/>
    <w:rsid w:val="008A701C"/>
    <w:rsid w:val="008A7F13"/>
    <w:rsid w:val="008B0499"/>
    <w:rsid w:val="008B05DD"/>
    <w:rsid w:val="008B12F0"/>
    <w:rsid w:val="008B17E8"/>
    <w:rsid w:val="008B1925"/>
    <w:rsid w:val="008B1C7B"/>
    <w:rsid w:val="008B1F82"/>
    <w:rsid w:val="008B263E"/>
    <w:rsid w:val="008B266C"/>
    <w:rsid w:val="008B2D03"/>
    <w:rsid w:val="008B2E7C"/>
    <w:rsid w:val="008B42EB"/>
    <w:rsid w:val="008B45A7"/>
    <w:rsid w:val="008B4A70"/>
    <w:rsid w:val="008B4CA7"/>
    <w:rsid w:val="008B502F"/>
    <w:rsid w:val="008B5A88"/>
    <w:rsid w:val="008B5B70"/>
    <w:rsid w:val="008B5BDB"/>
    <w:rsid w:val="008B5D97"/>
    <w:rsid w:val="008B6AFE"/>
    <w:rsid w:val="008B7034"/>
    <w:rsid w:val="008B7227"/>
    <w:rsid w:val="008B7A97"/>
    <w:rsid w:val="008B7EEB"/>
    <w:rsid w:val="008C0405"/>
    <w:rsid w:val="008C05B8"/>
    <w:rsid w:val="008C07C0"/>
    <w:rsid w:val="008C10D9"/>
    <w:rsid w:val="008C191C"/>
    <w:rsid w:val="008C1DA4"/>
    <w:rsid w:val="008C1F7C"/>
    <w:rsid w:val="008C21B9"/>
    <w:rsid w:val="008C228A"/>
    <w:rsid w:val="008C2398"/>
    <w:rsid w:val="008C2CD5"/>
    <w:rsid w:val="008C360E"/>
    <w:rsid w:val="008C3618"/>
    <w:rsid w:val="008C37C2"/>
    <w:rsid w:val="008C3F20"/>
    <w:rsid w:val="008C43AD"/>
    <w:rsid w:val="008C56D0"/>
    <w:rsid w:val="008C59FB"/>
    <w:rsid w:val="008C6687"/>
    <w:rsid w:val="008C68F0"/>
    <w:rsid w:val="008C6F92"/>
    <w:rsid w:val="008C72E4"/>
    <w:rsid w:val="008C731F"/>
    <w:rsid w:val="008C74D9"/>
    <w:rsid w:val="008D01FF"/>
    <w:rsid w:val="008D0C63"/>
    <w:rsid w:val="008D1052"/>
    <w:rsid w:val="008D1199"/>
    <w:rsid w:val="008D124C"/>
    <w:rsid w:val="008D1594"/>
    <w:rsid w:val="008D1BB3"/>
    <w:rsid w:val="008D1BFE"/>
    <w:rsid w:val="008D1E9D"/>
    <w:rsid w:val="008D2138"/>
    <w:rsid w:val="008D22AE"/>
    <w:rsid w:val="008D234A"/>
    <w:rsid w:val="008D25C0"/>
    <w:rsid w:val="008D2600"/>
    <w:rsid w:val="008D3734"/>
    <w:rsid w:val="008D3DE3"/>
    <w:rsid w:val="008D46E0"/>
    <w:rsid w:val="008D49B4"/>
    <w:rsid w:val="008D4C16"/>
    <w:rsid w:val="008D5029"/>
    <w:rsid w:val="008D5581"/>
    <w:rsid w:val="008D566C"/>
    <w:rsid w:val="008D57CF"/>
    <w:rsid w:val="008D58D9"/>
    <w:rsid w:val="008D5EFE"/>
    <w:rsid w:val="008D6152"/>
    <w:rsid w:val="008D6426"/>
    <w:rsid w:val="008D66EA"/>
    <w:rsid w:val="008D6E59"/>
    <w:rsid w:val="008D7155"/>
    <w:rsid w:val="008D7A27"/>
    <w:rsid w:val="008D7DE4"/>
    <w:rsid w:val="008E09B3"/>
    <w:rsid w:val="008E10C3"/>
    <w:rsid w:val="008E141A"/>
    <w:rsid w:val="008E19CA"/>
    <w:rsid w:val="008E1A44"/>
    <w:rsid w:val="008E28E6"/>
    <w:rsid w:val="008E2B60"/>
    <w:rsid w:val="008E3162"/>
    <w:rsid w:val="008E3232"/>
    <w:rsid w:val="008E3674"/>
    <w:rsid w:val="008E3B6C"/>
    <w:rsid w:val="008E4B31"/>
    <w:rsid w:val="008E5511"/>
    <w:rsid w:val="008E5652"/>
    <w:rsid w:val="008E5A63"/>
    <w:rsid w:val="008E5E5D"/>
    <w:rsid w:val="008E68BB"/>
    <w:rsid w:val="008E6C9B"/>
    <w:rsid w:val="008E77D4"/>
    <w:rsid w:val="008F0981"/>
    <w:rsid w:val="008F0AFD"/>
    <w:rsid w:val="008F17B2"/>
    <w:rsid w:val="008F1FEE"/>
    <w:rsid w:val="008F28EE"/>
    <w:rsid w:val="008F357B"/>
    <w:rsid w:val="008F361C"/>
    <w:rsid w:val="008F44CA"/>
    <w:rsid w:val="008F49B9"/>
    <w:rsid w:val="008F49D3"/>
    <w:rsid w:val="008F4A4B"/>
    <w:rsid w:val="008F5102"/>
    <w:rsid w:val="008F59B1"/>
    <w:rsid w:val="008F5A92"/>
    <w:rsid w:val="008F6408"/>
    <w:rsid w:val="008F6519"/>
    <w:rsid w:val="008F6B38"/>
    <w:rsid w:val="008F6FD2"/>
    <w:rsid w:val="008F7012"/>
    <w:rsid w:val="008F7A17"/>
    <w:rsid w:val="008F7B17"/>
    <w:rsid w:val="00900042"/>
    <w:rsid w:val="0090034B"/>
    <w:rsid w:val="009005E6"/>
    <w:rsid w:val="00901159"/>
    <w:rsid w:val="00901C00"/>
    <w:rsid w:val="00902623"/>
    <w:rsid w:val="00902890"/>
    <w:rsid w:val="00902E9D"/>
    <w:rsid w:val="00904A4C"/>
    <w:rsid w:val="00904BE4"/>
    <w:rsid w:val="0090504A"/>
    <w:rsid w:val="009056CE"/>
    <w:rsid w:val="0090580B"/>
    <w:rsid w:val="00905A68"/>
    <w:rsid w:val="00905D7E"/>
    <w:rsid w:val="009063B7"/>
    <w:rsid w:val="009066A9"/>
    <w:rsid w:val="00906B83"/>
    <w:rsid w:val="00906D0C"/>
    <w:rsid w:val="00907037"/>
    <w:rsid w:val="009076F8"/>
    <w:rsid w:val="0091114B"/>
    <w:rsid w:val="00911303"/>
    <w:rsid w:val="0091160A"/>
    <w:rsid w:val="00911C78"/>
    <w:rsid w:val="009121ED"/>
    <w:rsid w:val="00912FCB"/>
    <w:rsid w:val="00913258"/>
    <w:rsid w:val="00913724"/>
    <w:rsid w:val="009140E3"/>
    <w:rsid w:val="00914819"/>
    <w:rsid w:val="0091528D"/>
    <w:rsid w:val="0091564D"/>
    <w:rsid w:val="009156DA"/>
    <w:rsid w:val="0091579B"/>
    <w:rsid w:val="00915B7D"/>
    <w:rsid w:val="00915E28"/>
    <w:rsid w:val="009168CE"/>
    <w:rsid w:val="0091694E"/>
    <w:rsid w:val="00916BC5"/>
    <w:rsid w:val="00916C78"/>
    <w:rsid w:val="0091726A"/>
    <w:rsid w:val="009174AC"/>
    <w:rsid w:val="00920184"/>
    <w:rsid w:val="00920A19"/>
    <w:rsid w:val="00920EA4"/>
    <w:rsid w:val="009210B3"/>
    <w:rsid w:val="00921792"/>
    <w:rsid w:val="009217B1"/>
    <w:rsid w:val="00921BEA"/>
    <w:rsid w:val="00921E56"/>
    <w:rsid w:val="00923998"/>
    <w:rsid w:val="00923DB4"/>
    <w:rsid w:val="009242DC"/>
    <w:rsid w:val="0092430E"/>
    <w:rsid w:val="009249D7"/>
    <w:rsid w:val="0092625F"/>
    <w:rsid w:val="009268A9"/>
    <w:rsid w:val="00926DAD"/>
    <w:rsid w:val="00926E04"/>
    <w:rsid w:val="0092714F"/>
    <w:rsid w:val="00927B37"/>
    <w:rsid w:val="009301B2"/>
    <w:rsid w:val="00930DC2"/>
    <w:rsid w:val="009313DD"/>
    <w:rsid w:val="00931BDE"/>
    <w:rsid w:val="009321B1"/>
    <w:rsid w:val="00932ED7"/>
    <w:rsid w:val="0093357E"/>
    <w:rsid w:val="0093422D"/>
    <w:rsid w:val="00934325"/>
    <w:rsid w:val="009347F5"/>
    <w:rsid w:val="00934DD7"/>
    <w:rsid w:val="00935706"/>
    <w:rsid w:val="009369A9"/>
    <w:rsid w:val="00936CF7"/>
    <w:rsid w:val="00937201"/>
    <w:rsid w:val="0093734A"/>
    <w:rsid w:val="00937783"/>
    <w:rsid w:val="00940A33"/>
    <w:rsid w:val="00940C51"/>
    <w:rsid w:val="00940FE1"/>
    <w:rsid w:val="00942306"/>
    <w:rsid w:val="009424B8"/>
    <w:rsid w:val="009433A4"/>
    <w:rsid w:val="00943529"/>
    <w:rsid w:val="009442C0"/>
    <w:rsid w:val="0094435B"/>
    <w:rsid w:val="00944668"/>
    <w:rsid w:val="00944DC6"/>
    <w:rsid w:val="0094515F"/>
    <w:rsid w:val="0094537D"/>
    <w:rsid w:val="0094573F"/>
    <w:rsid w:val="009458B0"/>
    <w:rsid w:val="00945B52"/>
    <w:rsid w:val="00945DC0"/>
    <w:rsid w:val="00945F05"/>
    <w:rsid w:val="0094633E"/>
    <w:rsid w:val="00946348"/>
    <w:rsid w:val="00946BE6"/>
    <w:rsid w:val="00946EB5"/>
    <w:rsid w:val="009471AD"/>
    <w:rsid w:val="00947801"/>
    <w:rsid w:val="009478A2"/>
    <w:rsid w:val="00947D9C"/>
    <w:rsid w:val="00950404"/>
    <w:rsid w:val="009506D4"/>
    <w:rsid w:val="00951BB7"/>
    <w:rsid w:val="00951DE1"/>
    <w:rsid w:val="00951ED5"/>
    <w:rsid w:val="00952060"/>
    <w:rsid w:val="009526DA"/>
    <w:rsid w:val="00952750"/>
    <w:rsid w:val="009527C8"/>
    <w:rsid w:val="00952BD5"/>
    <w:rsid w:val="009536E3"/>
    <w:rsid w:val="00953D27"/>
    <w:rsid w:val="00953E99"/>
    <w:rsid w:val="00954800"/>
    <w:rsid w:val="00954958"/>
    <w:rsid w:val="0095543B"/>
    <w:rsid w:val="00955643"/>
    <w:rsid w:val="00955877"/>
    <w:rsid w:val="00955FBB"/>
    <w:rsid w:val="0095694B"/>
    <w:rsid w:val="00956BD5"/>
    <w:rsid w:val="009574BB"/>
    <w:rsid w:val="009574CB"/>
    <w:rsid w:val="009577B5"/>
    <w:rsid w:val="00957C77"/>
    <w:rsid w:val="0096046A"/>
    <w:rsid w:val="009608E6"/>
    <w:rsid w:val="00960A2C"/>
    <w:rsid w:val="00960F03"/>
    <w:rsid w:val="00961779"/>
    <w:rsid w:val="00962917"/>
    <w:rsid w:val="00962EB1"/>
    <w:rsid w:val="00964588"/>
    <w:rsid w:val="00964E89"/>
    <w:rsid w:val="00965118"/>
    <w:rsid w:val="00965AB7"/>
    <w:rsid w:val="00966522"/>
    <w:rsid w:val="009668C3"/>
    <w:rsid w:val="00967D3F"/>
    <w:rsid w:val="00967E78"/>
    <w:rsid w:val="00970348"/>
    <w:rsid w:val="00970D7E"/>
    <w:rsid w:val="00970E93"/>
    <w:rsid w:val="00970F18"/>
    <w:rsid w:val="009719DD"/>
    <w:rsid w:val="00971CF1"/>
    <w:rsid w:val="009721E9"/>
    <w:rsid w:val="00972A58"/>
    <w:rsid w:val="00972E3F"/>
    <w:rsid w:val="00973490"/>
    <w:rsid w:val="00973772"/>
    <w:rsid w:val="009738FC"/>
    <w:rsid w:val="0097428E"/>
    <w:rsid w:val="00974413"/>
    <w:rsid w:val="00974A2E"/>
    <w:rsid w:val="00975889"/>
    <w:rsid w:val="0097594C"/>
    <w:rsid w:val="00975E1E"/>
    <w:rsid w:val="00975E70"/>
    <w:rsid w:val="00975E93"/>
    <w:rsid w:val="0097651D"/>
    <w:rsid w:val="009765D3"/>
    <w:rsid w:val="009769C1"/>
    <w:rsid w:val="00976CBB"/>
    <w:rsid w:val="00977009"/>
    <w:rsid w:val="00977400"/>
    <w:rsid w:val="009776CE"/>
    <w:rsid w:val="00977CD6"/>
    <w:rsid w:val="009805C5"/>
    <w:rsid w:val="00982064"/>
    <w:rsid w:val="00982481"/>
    <w:rsid w:val="0098254C"/>
    <w:rsid w:val="00982A0D"/>
    <w:rsid w:val="00982D26"/>
    <w:rsid w:val="0098330E"/>
    <w:rsid w:val="009833DD"/>
    <w:rsid w:val="00983412"/>
    <w:rsid w:val="009840AB"/>
    <w:rsid w:val="0098479B"/>
    <w:rsid w:val="009849E9"/>
    <w:rsid w:val="009850A9"/>
    <w:rsid w:val="009866F3"/>
    <w:rsid w:val="00987812"/>
    <w:rsid w:val="00987864"/>
    <w:rsid w:val="00987B91"/>
    <w:rsid w:val="00990225"/>
    <w:rsid w:val="00990BE5"/>
    <w:rsid w:val="0099244B"/>
    <w:rsid w:val="0099314D"/>
    <w:rsid w:val="00993186"/>
    <w:rsid w:val="00993568"/>
    <w:rsid w:val="0099388D"/>
    <w:rsid w:val="009945FB"/>
    <w:rsid w:val="009947B6"/>
    <w:rsid w:val="00994FCC"/>
    <w:rsid w:val="00995150"/>
    <w:rsid w:val="009957F3"/>
    <w:rsid w:val="00995D67"/>
    <w:rsid w:val="0099623C"/>
    <w:rsid w:val="0099629F"/>
    <w:rsid w:val="009970BF"/>
    <w:rsid w:val="009971C7"/>
    <w:rsid w:val="009A013B"/>
    <w:rsid w:val="009A02F4"/>
    <w:rsid w:val="009A03C7"/>
    <w:rsid w:val="009A111A"/>
    <w:rsid w:val="009A1844"/>
    <w:rsid w:val="009A1F12"/>
    <w:rsid w:val="009A21CC"/>
    <w:rsid w:val="009A2494"/>
    <w:rsid w:val="009A2615"/>
    <w:rsid w:val="009A26CA"/>
    <w:rsid w:val="009A28DB"/>
    <w:rsid w:val="009A36F2"/>
    <w:rsid w:val="009A5513"/>
    <w:rsid w:val="009A5749"/>
    <w:rsid w:val="009A57D0"/>
    <w:rsid w:val="009A5A5F"/>
    <w:rsid w:val="009A5FC7"/>
    <w:rsid w:val="009A60C8"/>
    <w:rsid w:val="009A6559"/>
    <w:rsid w:val="009A68FC"/>
    <w:rsid w:val="009A6A13"/>
    <w:rsid w:val="009A6E78"/>
    <w:rsid w:val="009A7514"/>
    <w:rsid w:val="009A7604"/>
    <w:rsid w:val="009A79FE"/>
    <w:rsid w:val="009A7E7A"/>
    <w:rsid w:val="009B0831"/>
    <w:rsid w:val="009B121C"/>
    <w:rsid w:val="009B1584"/>
    <w:rsid w:val="009B1585"/>
    <w:rsid w:val="009B1E67"/>
    <w:rsid w:val="009B222C"/>
    <w:rsid w:val="009B2469"/>
    <w:rsid w:val="009B30E1"/>
    <w:rsid w:val="009B314F"/>
    <w:rsid w:val="009B3B55"/>
    <w:rsid w:val="009B404F"/>
    <w:rsid w:val="009B439C"/>
    <w:rsid w:val="009B498A"/>
    <w:rsid w:val="009B4A6C"/>
    <w:rsid w:val="009B5777"/>
    <w:rsid w:val="009B5779"/>
    <w:rsid w:val="009B634A"/>
    <w:rsid w:val="009B660B"/>
    <w:rsid w:val="009B6753"/>
    <w:rsid w:val="009B68FF"/>
    <w:rsid w:val="009B6A26"/>
    <w:rsid w:val="009B6BB3"/>
    <w:rsid w:val="009B72F7"/>
    <w:rsid w:val="009B7E4B"/>
    <w:rsid w:val="009B7EFD"/>
    <w:rsid w:val="009C006C"/>
    <w:rsid w:val="009C079D"/>
    <w:rsid w:val="009C0B4D"/>
    <w:rsid w:val="009C0C7F"/>
    <w:rsid w:val="009C0D70"/>
    <w:rsid w:val="009C120B"/>
    <w:rsid w:val="009C13D1"/>
    <w:rsid w:val="009C261F"/>
    <w:rsid w:val="009C2775"/>
    <w:rsid w:val="009C2913"/>
    <w:rsid w:val="009C3008"/>
    <w:rsid w:val="009C3376"/>
    <w:rsid w:val="009C3426"/>
    <w:rsid w:val="009C38C7"/>
    <w:rsid w:val="009C3CD7"/>
    <w:rsid w:val="009C59A5"/>
    <w:rsid w:val="009C5AFE"/>
    <w:rsid w:val="009C5F4D"/>
    <w:rsid w:val="009C609E"/>
    <w:rsid w:val="009C63A3"/>
    <w:rsid w:val="009C6606"/>
    <w:rsid w:val="009C6CE5"/>
    <w:rsid w:val="009C6D50"/>
    <w:rsid w:val="009C7158"/>
    <w:rsid w:val="009C74DE"/>
    <w:rsid w:val="009C7547"/>
    <w:rsid w:val="009C78E7"/>
    <w:rsid w:val="009D061A"/>
    <w:rsid w:val="009D07F2"/>
    <w:rsid w:val="009D0F85"/>
    <w:rsid w:val="009D1678"/>
    <w:rsid w:val="009D1693"/>
    <w:rsid w:val="009D1FEF"/>
    <w:rsid w:val="009D2721"/>
    <w:rsid w:val="009D29B0"/>
    <w:rsid w:val="009D2F60"/>
    <w:rsid w:val="009D338C"/>
    <w:rsid w:val="009D3788"/>
    <w:rsid w:val="009D3D0D"/>
    <w:rsid w:val="009D3E45"/>
    <w:rsid w:val="009D409A"/>
    <w:rsid w:val="009D4F17"/>
    <w:rsid w:val="009D524C"/>
    <w:rsid w:val="009D5BAC"/>
    <w:rsid w:val="009D64BD"/>
    <w:rsid w:val="009D655E"/>
    <w:rsid w:val="009D69B9"/>
    <w:rsid w:val="009D6E5D"/>
    <w:rsid w:val="009D74BE"/>
    <w:rsid w:val="009D76A9"/>
    <w:rsid w:val="009E0546"/>
    <w:rsid w:val="009E0B2B"/>
    <w:rsid w:val="009E0BEC"/>
    <w:rsid w:val="009E0D0A"/>
    <w:rsid w:val="009E0D1A"/>
    <w:rsid w:val="009E153F"/>
    <w:rsid w:val="009E1BA2"/>
    <w:rsid w:val="009E2BF2"/>
    <w:rsid w:val="009E2D6C"/>
    <w:rsid w:val="009E3731"/>
    <w:rsid w:val="009E388B"/>
    <w:rsid w:val="009E393E"/>
    <w:rsid w:val="009E3990"/>
    <w:rsid w:val="009E3AA9"/>
    <w:rsid w:val="009E3B66"/>
    <w:rsid w:val="009E3CA7"/>
    <w:rsid w:val="009E444E"/>
    <w:rsid w:val="009E4968"/>
    <w:rsid w:val="009E4E7E"/>
    <w:rsid w:val="009E5198"/>
    <w:rsid w:val="009E56A6"/>
    <w:rsid w:val="009E5EA2"/>
    <w:rsid w:val="009E663C"/>
    <w:rsid w:val="009E6BB1"/>
    <w:rsid w:val="009E6EE9"/>
    <w:rsid w:val="009E7A30"/>
    <w:rsid w:val="009F0092"/>
    <w:rsid w:val="009F04A0"/>
    <w:rsid w:val="009F0CD9"/>
    <w:rsid w:val="009F0D65"/>
    <w:rsid w:val="009F1A79"/>
    <w:rsid w:val="009F1C27"/>
    <w:rsid w:val="009F1F57"/>
    <w:rsid w:val="009F2E26"/>
    <w:rsid w:val="009F3BAF"/>
    <w:rsid w:val="009F462F"/>
    <w:rsid w:val="009F46DF"/>
    <w:rsid w:val="009F4FCF"/>
    <w:rsid w:val="009F5CEC"/>
    <w:rsid w:val="009F5DE2"/>
    <w:rsid w:val="009F5E38"/>
    <w:rsid w:val="009F5F98"/>
    <w:rsid w:val="009F65F4"/>
    <w:rsid w:val="009F676B"/>
    <w:rsid w:val="009F68F0"/>
    <w:rsid w:val="009F6A94"/>
    <w:rsid w:val="009F6B47"/>
    <w:rsid w:val="009F6EA6"/>
    <w:rsid w:val="009F71D1"/>
    <w:rsid w:val="009F7735"/>
    <w:rsid w:val="009F7BBB"/>
    <w:rsid w:val="00A004DF"/>
    <w:rsid w:val="00A00B70"/>
    <w:rsid w:val="00A00D29"/>
    <w:rsid w:val="00A00E87"/>
    <w:rsid w:val="00A00FD5"/>
    <w:rsid w:val="00A019A8"/>
    <w:rsid w:val="00A01B03"/>
    <w:rsid w:val="00A01D0B"/>
    <w:rsid w:val="00A01EFA"/>
    <w:rsid w:val="00A02C66"/>
    <w:rsid w:val="00A03026"/>
    <w:rsid w:val="00A035CA"/>
    <w:rsid w:val="00A0364C"/>
    <w:rsid w:val="00A03861"/>
    <w:rsid w:val="00A03E97"/>
    <w:rsid w:val="00A0464C"/>
    <w:rsid w:val="00A048E6"/>
    <w:rsid w:val="00A04D48"/>
    <w:rsid w:val="00A054E0"/>
    <w:rsid w:val="00A05ABE"/>
    <w:rsid w:val="00A0663F"/>
    <w:rsid w:val="00A066CE"/>
    <w:rsid w:val="00A0740B"/>
    <w:rsid w:val="00A075A9"/>
    <w:rsid w:val="00A07C69"/>
    <w:rsid w:val="00A10C14"/>
    <w:rsid w:val="00A11042"/>
    <w:rsid w:val="00A11E3F"/>
    <w:rsid w:val="00A13040"/>
    <w:rsid w:val="00A133D8"/>
    <w:rsid w:val="00A1371A"/>
    <w:rsid w:val="00A138C7"/>
    <w:rsid w:val="00A14BB1"/>
    <w:rsid w:val="00A14E97"/>
    <w:rsid w:val="00A15167"/>
    <w:rsid w:val="00A1555A"/>
    <w:rsid w:val="00A1603C"/>
    <w:rsid w:val="00A165EA"/>
    <w:rsid w:val="00A16A89"/>
    <w:rsid w:val="00A1706C"/>
    <w:rsid w:val="00A20069"/>
    <w:rsid w:val="00A20280"/>
    <w:rsid w:val="00A202CB"/>
    <w:rsid w:val="00A20753"/>
    <w:rsid w:val="00A208D2"/>
    <w:rsid w:val="00A20ECE"/>
    <w:rsid w:val="00A20FA8"/>
    <w:rsid w:val="00A21F80"/>
    <w:rsid w:val="00A2244D"/>
    <w:rsid w:val="00A2253D"/>
    <w:rsid w:val="00A22629"/>
    <w:rsid w:val="00A22AEC"/>
    <w:rsid w:val="00A2324F"/>
    <w:rsid w:val="00A2346E"/>
    <w:rsid w:val="00A236D1"/>
    <w:rsid w:val="00A238C5"/>
    <w:rsid w:val="00A23C2B"/>
    <w:rsid w:val="00A2418A"/>
    <w:rsid w:val="00A2433A"/>
    <w:rsid w:val="00A24377"/>
    <w:rsid w:val="00A247B8"/>
    <w:rsid w:val="00A24C50"/>
    <w:rsid w:val="00A24D39"/>
    <w:rsid w:val="00A24D8F"/>
    <w:rsid w:val="00A24EBA"/>
    <w:rsid w:val="00A252D3"/>
    <w:rsid w:val="00A25B8B"/>
    <w:rsid w:val="00A25F78"/>
    <w:rsid w:val="00A26130"/>
    <w:rsid w:val="00A269AF"/>
    <w:rsid w:val="00A269C3"/>
    <w:rsid w:val="00A26A3B"/>
    <w:rsid w:val="00A26ECA"/>
    <w:rsid w:val="00A2731A"/>
    <w:rsid w:val="00A3057D"/>
    <w:rsid w:val="00A30582"/>
    <w:rsid w:val="00A30913"/>
    <w:rsid w:val="00A30F6E"/>
    <w:rsid w:val="00A3142C"/>
    <w:rsid w:val="00A31D37"/>
    <w:rsid w:val="00A324C1"/>
    <w:rsid w:val="00A329D8"/>
    <w:rsid w:val="00A330F6"/>
    <w:rsid w:val="00A337DB"/>
    <w:rsid w:val="00A337EB"/>
    <w:rsid w:val="00A33F55"/>
    <w:rsid w:val="00A3467F"/>
    <w:rsid w:val="00A3551A"/>
    <w:rsid w:val="00A355A3"/>
    <w:rsid w:val="00A35B82"/>
    <w:rsid w:val="00A37264"/>
    <w:rsid w:val="00A376E8"/>
    <w:rsid w:val="00A37E33"/>
    <w:rsid w:val="00A37E69"/>
    <w:rsid w:val="00A37F8E"/>
    <w:rsid w:val="00A40739"/>
    <w:rsid w:val="00A40AD2"/>
    <w:rsid w:val="00A40D7E"/>
    <w:rsid w:val="00A40DE3"/>
    <w:rsid w:val="00A411AC"/>
    <w:rsid w:val="00A41331"/>
    <w:rsid w:val="00A413C3"/>
    <w:rsid w:val="00A41737"/>
    <w:rsid w:val="00A41941"/>
    <w:rsid w:val="00A42B8F"/>
    <w:rsid w:val="00A42B9C"/>
    <w:rsid w:val="00A43254"/>
    <w:rsid w:val="00A43814"/>
    <w:rsid w:val="00A43896"/>
    <w:rsid w:val="00A43A26"/>
    <w:rsid w:val="00A43DD1"/>
    <w:rsid w:val="00A43E4D"/>
    <w:rsid w:val="00A44799"/>
    <w:rsid w:val="00A447A0"/>
    <w:rsid w:val="00A4598B"/>
    <w:rsid w:val="00A459F5"/>
    <w:rsid w:val="00A45DC6"/>
    <w:rsid w:val="00A45FC0"/>
    <w:rsid w:val="00A46041"/>
    <w:rsid w:val="00A46B32"/>
    <w:rsid w:val="00A46D41"/>
    <w:rsid w:val="00A46F0C"/>
    <w:rsid w:val="00A471B9"/>
    <w:rsid w:val="00A472E8"/>
    <w:rsid w:val="00A47301"/>
    <w:rsid w:val="00A47448"/>
    <w:rsid w:val="00A47C25"/>
    <w:rsid w:val="00A47ECC"/>
    <w:rsid w:val="00A5008C"/>
    <w:rsid w:val="00A50171"/>
    <w:rsid w:val="00A5102E"/>
    <w:rsid w:val="00A51083"/>
    <w:rsid w:val="00A5132E"/>
    <w:rsid w:val="00A513DE"/>
    <w:rsid w:val="00A51533"/>
    <w:rsid w:val="00A51547"/>
    <w:rsid w:val="00A5163C"/>
    <w:rsid w:val="00A517B0"/>
    <w:rsid w:val="00A51AD9"/>
    <w:rsid w:val="00A51E68"/>
    <w:rsid w:val="00A52530"/>
    <w:rsid w:val="00A52F3B"/>
    <w:rsid w:val="00A52F96"/>
    <w:rsid w:val="00A53165"/>
    <w:rsid w:val="00A531D4"/>
    <w:rsid w:val="00A53A02"/>
    <w:rsid w:val="00A54B50"/>
    <w:rsid w:val="00A55929"/>
    <w:rsid w:val="00A55ACD"/>
    <w:rsid w:val="00A55CFA"/>
    <w:rsid w:val="00A55D6E"/>
    <w:rsid w:val="00A56890"/>
    <w:rsid w:val="00A56AD9"/>
    <w:rsid w:val="00A5711D"/>
    <w:rsid w:val="00A575B8"/>
    <w:rsid w:val="00A57A8D"/>
    <w:rsid w:val="00A603BA"/>
    <w:rsid w:val="00A6261D"/>
    <w:rsid w:val="00A631DF"/>
    <w:rsid w:val="00A63ACD"/>
    <w:rsid w:val="00A643E2"/>
    <w:rsid w:val="00A647B1"/>
    <w:rsid w:val="00A64A06"/>
    <w:rsid w:val="00A64A91"/>
    <w:rsid w:val="00A64DEF"/>
    <w:rsid w:val="00A654CF"/>
    <w:rsid w:val="00A65680"/>
    <w:rsid w:val="00A65E4E"/>
    <w:rsid w:val="00A65F68"/>
    <w:rsid w:val="00A6638B"/>
    <w:rsid w:val="00A665DF"/>
    <w:rsid w:val="00A66756"/>
    <w:rsid w:val="00A66C89"/>
    <w:rsid w:val="00A66CF3"/>
    <w:rsid w:val="00A66FDE"/>
    <w:rsid w:val="00A67EC5"/>
    <w:rsid w:val="00A67F1B"/>
    <w:rsid w:val="00A67FCC"/>
    <w:rsid w:val="00A7061C"/>
    <w:rsid w:val="00A716DC"/>
    <w:rsid w:val="00A7179F"/>
    <w:rsid w:val="00A71ABE"/>
    <w:rsid w:val="00A71B6C"/>
    <w:rsid w:val="00A7217B"/>
    <w:rsid w:val="00A72281"/>
    <w:rsid w:val="00A7293E"/>
    <w:rsid w:val="00A72EE4"/>
    <w:rsid w:val="00A73067"/>
    <w:rsid w:val="00A732DD"/>
    <w:rsid w:val="00A73318"/>
    <w:rsid w:val="00A737C4"/>
    <w:rsid w:val="00A739A6"/>
    <w:rsid w:val="00A73BB5"/>
    <w:rsid w:val="00A74007"/>
    <w:rsid w:val="00A74638"/>
    <w:rsid w:val="00A74B7C"/>
    <w:rsid w:val="00A74ECD"/>
    <w:rsid w:val="00A754D6"/>
    <w:rsid w:val="00A75EF9"/>
    <w:rsid w:val="00A7634A"/>
    <w:rsid w:val="00A76363"/>
    <w:rsid w:val="00A76BC9"/>
    <w:rsid w:val="00A76FD8"/>
    <w:rsid w:val="00A77141"/>
    <w:rsid w:val="00A77566"/>
    <w:rsid w:val="00A77C31"/>
    <w:rsid w:val="00A80563"/>
    <w:rsid w:val="00A80B6A"/>
    <w:rsid w:val="00A81828"/>
    <w:rsid w:val="00A82100"/>
    <w:rsid w:val="00A8311C"/>
    <w:rsid w:val="00A8441E"/>
    <w:rsid w:val="00A84BC8"/>
    <w:rsid w:val="00A84C5F"/>
    <w:rsid w:val="00A84E40"/>
    <w:rsid w:val="00A86973"/>
    <w:rsid w:val="00A8721F"/>
    <w:rsid w:val="00A872EB"/>
    <w:rsid w:val="00A8740B"/>
    <w:rsid w:val="00A87519"/>
    <w:rsid w:val="00A87C95"/>
    <w:rsid w:val="00A87D5E"/>
    <w:rsid w:val="00A907C9"/>
    <w:rsid w:val="00A90DE4"/>
    <w:rsid w:val="00A9158E"/>
    <w:rsid w:val="00A91A74"/>
    <w:rsid w:val="00A9246D"/>
    <w:rsid w:val="00A92C2A"/>
    <w:rsid w:val="00A93644"/>
    <w:rsid w:val="00A939BC"/>
    <w:rsid w:val="00A93BD0"/>
    <w:rsid w:val="00A958E8"/>
    <w:rsid w:val="00A95D69"/>
    <w:rsid w:val="00A968B6"/>
    <w:rsid w:val="00A96AF4"/>
    <w:rsid w:val="00A96C76"/>
    <w:rsid w:val="00A975A4"/>
    <w:rsid w:val="00A9775B"/>
    <w:rsid w:val="00AA08D1"/>
    <w:rsid w:val="00AA1600"/>
    <w:rsid w:val="00AA1728"/>
    <w:rsid w:val="00AA178A"/>
    <w:rsid w:val="00AA2001"/>
    <w:rsid w:val="00AA20E9"/>
    <w:rsid w:val="00AA2B5C"/>
    <w:rsid w:val="00AA2DB3"/>
    <w:rsid w:val="00AA32F3"/>
    <w:rsid w:val="00AA3BE2"/>
    <w:rsid w:val="00AA4E59"/>
    <w:rsid w:val="00AA4F6E"/>
    <w:rsid w:val="00AA5328"/>
    <w:rsid w:val="00AA5393"/>
    <w:rsid w:val="00AA5771"/>
    <w:rsid w:val="00AA61D8"/>
    <w:rsid w:val="00AA63D4"/>
    <w:rsid w:val="00AA6767"/>
    <w:rsid w:val="00AA6C17"/>
    <w:rsid w:val="00AA7C33"/>
    <w:rsid w:val="00AB03FD"/>
    <w:rsid w:val="00AB0832"/>
    <w:rsid w:val="00AB1A8B"/>
    <w:rsid w:val="00AB2407"/>
    <w:rsid w:val="00AB2A67"/>
    <w:rsid w:val="00AB2DAB"/>
    <w:rsid w:val="00AB38CB"/>
    <w:rsid w:val="00AB3BEC"/>
    <w:rsid w:val="00AB44E4"/>
    <w:rsid w:val="00AB4AEB"/>
    <w:rsid w:val="00AB5352"/>
    <w:rsid w:val="00AB5447"/>
    <w:rsid w:val="00AB56AE"/>
    <w:rsid w:val="00AB62D5"/>
    <w:rsid w:val="00AB65B5"/>
    <w:rsid w:val="00AB69B3"/>
    <w:rsid w:val="00AB6DCD"/>
    <w:rsid w:val="00AB6EAF"/>
    <w:rsid w:val="00AB6EE0"/>
    <w:rsid w:val="00AB73AD"/>
    <w:rsid w:val="00AB759A"/>
    <w:rsid w:val="00AB7D91"/>
    <w:rsid w:val="00AC0701"/>
    <w:rsid w:val="00AC2DFD"/>
    <w:rsid w:val="00AC352D"/>
    <w:rsid w:val="00AC3615"/>
    <w:rsid w:val="00AC39B7"/>
    <w:rsid w:val="00AC40B7"/>
    <w:rsid w:val="00AC4D82"/>
    <w:rsid w:val="00AC5195"/>
    <w:rsid w:val="00AC531F"/>
    <w:rsid w:val="00AC6121"/>
    <w:rsid w:val="00AC626D"/>
    <w:rsid w:val="00AC6818"/>
    <w:rsid w:val="00AC6CB1"/>
    <w:rsid w:val="00AC6D5B"/>
    <w:rsid w:val="00AC73B5"/>
    <w:rsid w:val="00AC79BC"/>
    <w:rsid w:val="00AD0091"/>
    <w:rsid w:val="00AD061F"/>
    <w:rsid w:val="00AD1DF0"/>
    <w:rsid w:val="00AD20DA"/>
    <w:rsid w:val="00AD23D8"/>
    <w:rsid w:val="00AD23EF"/>
    <w:rsid w:val="00AD2464"/>
    <w:rsid w:val="00AD2E9E"/>
    <w:rsid w:val="00AD307B"/>
    <w:rsid w:val="00AD347A"/>
    <w:rsid w:val="00AD3BF5"/>
    <w:rsid w:val="00AD3CB7"/>
    <w:rsid w:val="00AD41B3"/>
    <w:rsid w:val="00AD4A88"/>
    <w:rsid w:val="00AD4C48"/>
    <w:rsid w:val="00AD57AF"/>
    <w:rsid w:val="00AD586F"/>
    <w:rsid w:val="00AD5CDE"/>
    <w:rsid w:val="00AD6267"/>
    <w:rsid w:val="00AD7317"/>
    <w:rsid w:val="00AD76D6"/>
    <w:rsid w:val="00AD7FF0"/>
    <w:rsid w:val="00AE01A8"/>
    <w:rsid w:val="00AE02BD"/>
    <w:rsid w:val="00AE08E5"/>
    <w:rsid w:val="00AE0A75"/>
    <w:rsid w:val="00AE0CBD"/>
    <w:rsid w:val="00AE1073"/>
    <w:rsid w:val="00AE123A"/>
    <w:rsid w:val="00AE158C"/>
    <w:rsid w:val="00AE15D6"/>
    <w:rsid w:val="00AE1A3B"/>
    <w:rsid w:val="00AE1C48"/>
    <w:rsid w:val="00AE28A7"/>
    <w:rsid w:val="00AE2B02"/>
    <w:rsid w:val="00AE33A6"/>
    <w:rsid w:val="00AE3446"/>
    <w:rsid w:val="00AE3715"/>
    <w:rsid w:val="00AE3729"/>
    <w:rsid w:val="00AE3960"/>
    <w:rsid w:val="00AE55B2"/>
    <w:rsid w:val="00AE5801"/>
    <w:rsid w:val="00AE5C6A"/>
    <w:rsid w:val="00AE65F7"/>
    <w:rsid w:val="00AE6751"/>
    <w:rsid w:val="00AE7280"/>
    <w:rsid w:val="00AF033A"/>
    <w:rsid w:val="00AF1699"/>
    <w:rsid w:val="00AF3472"/>
    <w:rsid w:val="00AF3896"/>
    <w:rsid w:val="00AF410A"/>
    <w:rsid w:val="00AF5D5E"/>
    <w:rsid w:val="00AF6C33"/>
    <w:rsid w:val="00AF6DF1"/>
    <w:rsid w:val="00B005F5"/>
    <w:rsid w:val="00B0098A"/>
    <w:rsid w:val="00B00A5F"/>
    <w:rsid w:val="00B00F65"/>
    <w:rsid w:val="00B0225F"/>
    <w:rsid w:val="00B029B8"/>
    <w:rsid w:val="00B02D7C"/>
    <w:rsid w:val="00B02F60"/>
    <w:rsid w:val="00B032B8"/>
    <w:rsid w:val="00B036D3"/>
    <w:rsid w:val="00B03738"/>
    <w:rsid w:val="00B0373D"/>
    <w:rsid w:val="00B03D81"/>
    <w:rsid w:val="00B04AFC"/>
    <w:rsid w:val="00B04B46"/>
    <w:rsid w:val="00B04C99"/>
    <w:rsid w:val="00B04D0A"/>
    <w:rsid w:val="00B0513C"/>
    <w:rsid w:val="00B0534D"/>
    <w:rsid w:val="00B0576A"/>
    <w:rsid w:val="00B06368"/>
    <w:rsid w:val="00B06FC6"/>
    <w:rsid w:val="00B07163"/>
    <w:rsid w:val="00B073F4"/>
    <w:rsid w:val="00B07429"/>
    <w:rsid w:val="00B0763F"/>
    <w:rsid w:val="00B07717"/>
    <w:rsid w:val="00B07D06"/>
    <w:rsid w:val="00B10DFD"/>
    <w:rsid w:val="00B11156"/>
    <w:rsid w:val="00B12FE6"/>
    <w:rsid w:val="00B1303F"/>
    <w:rsid w:val="00B13041"/>
    <w:rsid w:val="00B1364A"/>
    <w:rsid w:val="00B1364E"/>
    <w:rsid w:val="00B13D3C"/>
    <w:rsid w:val="00B140C6"/>
    <w:rsid w:val="00B141BF"/>
    <w:rsid w:val="00B1525C"/>
    <w:rsid w:val="00B1595D"/>
    <w:rsid w:val="00B16715"/>
    <w:rsid w:val="00B16B0A"/>
    <w:rsid w:val="00B16BDD"/>
    <w:rsid w:val="00B17090"/>
    <w:rsid w:val="00B1713A"/>
    <w:rsid w:val="00B171B4"/>
    <w:rsid w:val="00B17366"/>
    <w:rsid w:val="00B174A8"/>
    <w:rsid w:val="00B177B7"/>
    <w:rsid w:val="00B17889"/>
    <w:rsid w:val="00B17910"/>
    <w:rsid w:val="00B20061"/>
    <w:rsid w:val="00B20452"/>
    <w:rsid w:val="00B20F18"/>
    <w:rsid w:val="00B214A7"/>
    <w:rsid w:val="00B21516"/>
    <w:rsid w:val="00B222CC"/>
    <w:rsid w:val="00B225BA"/>
    <w:rsid w:val="00B22CCF"/>
    <w:rsid w:val="00B22CE0"/>
    <w:rsid w:val="00B234F2"/>
    <w:rsid w:val="00B23738"/>
    <w:rsid w:val="00B23BEF"/>
    <w:rsid w:val="00B247BB"/>
    <w:rsid w:val="00B25689"/>
    <w:rsid w:val="00B25806"/>
    <w:rsid w:val="00B25C11"/>
    <w:rsid w:val="00B25EDF"/>
    <w:rsid w:val="00B25EE6"/>
    <w:rsid w:val="00B2601A"/>
    <w:rsid w:val="00B26B53"/>
    <w:rsid w:val="00B26D84"/>
    <w:rsid w:val="00B270CB"/>
    <w:rsid w:val="00B27887"/>
    <w:rsid w:val="00B27AA0"/>
    <w:rsid w:val="00B27E36"/>
    <w:rsid w:val="00B3115A"/>
    <w:rsid w:val="00B31A5C"/>
    <w:rsid w:val="00B32097"/>
    <w:rsid w:val="00B327A8"/>
    <w:rsid w:val="00B32801"/>
    <w:rsid w:val="00B32EE0"/>
    <w:rsid w:val="00B33B4A"/>
    <w:rsid w:val="00B33C19"/>
    <w:rsid w:val="00B34861"/>
    <w:rsid w:val="00B34BBC"/>
    <w:rsid w:val="00B34C30"/>
    <w:rsid w:val="00B34CB7"/>
    <w:rsid w:val="00B34EEC"/>
    <w:rsid w:val="00B35BBE"/>
    <w:rsid w:val="00B35F6E"/>
    <w:rsid w:val="00B363BD"/>
    <w:rsid w:val="00B369F7"/>
    <w:rsid w:val="00B36A99"/>
    <w:rsid w:val="00B36CE3"/>
    <w:rsid w:val="00B37537"/>
    <w:rsid w:val="00B40C3C"/>
    <w:rsid w:val="00B40CBD"/>
    <w:rsid w:val="00B41234"/>
    <w:rsid w:val="00B41B81"/>
    <w:rsid w:val="00B4237C"/>
    <w:rsid w:val="00B42474"/>
    <w:rsid w:val="00B42980"/>
    <w:rsid w:val="00B42E86"/>
    <w:rsid w:val="00B434B2"/>
    <w:rsid w:val="00B434C7"/>
    <w:rsid w:val="00B4394F"/>
    <w:rsid w:val="00B43D45"/>
    <w:rsid w:val="00B43D9B"/>
    <w:rsid w:val="00B44771"/>
    <w:rsid w:val="00B45656"/>
    <w:rsid w:val="00B46414"/>
    <w:rsid w:val="00B4650E"/>
    <w:rsid w:val="00B468F2"/>
    <w:rsid w:val="00B46B45"/>
    <w:rsid w:val="00B46F6B"/>
    <w:rsid w:val="00B47286"/>
    <w:rsid w:val="00B4742D"/>
    <w:rsid w:val="00B4772A"/>
    <w:rsid w:val="00B47894"/>
    <w:rsid w:val="00B50234"/>
    <w:rsid w:val="00B51238"/>
    <w:rsid w:val="00B51794"/>
    <w:rsid w:val="00B51BF4"/>
    <w:rsid w:val="00B52062"/>
    <w:rsid w:val="00B52B1D"/>
    <w:rsid w:val="00B52C68"/>
    <w:rsid w:val="00B5300A"/>
    <w:rsid w:val="00B53575"/>
    <w:rsid w:val="00B53764"/>
    <w:rsid w:val="00B5416A"/>
    <w:rsid w:val="00B542FE"/>
    <w:rsid w:val="00B544CD"/>
    <w:rsid w:val="00B5543A"/>
    <w:rsid w:val="00B557A2"/>
    <w:rsid w:val="00B559C7"/>
    <w:rsid w:val="00B559E6"/>
    <w:rsid w:val="00B55A1B"/>
    <w:rsid w:val="00B55E4D"/>
    <w:rsid w:val="00B561DB"/>
    <w:rsid w:val="00B57494"/>
    <w:rsid w:val="00B578BD"/>
    <w:rsid w:val="00B601C2"/>
    <w:rsid w:val="00B602FF"/>
    <w:rsid w:val="00B60A3A"/>
    <w:rsid w:val="00B61DCE"/>
    <w:rsid w:val="00B62188"/>
    <w:rsid w:val="00B62467"/>
    <w:rsid w:val="00B62F79"/>
    <w:rsid w:val="00B62F82"/>
    <w:rsid w:val="00B6325B"/>
    <w:rsid w:val="00B648FA"/>
    <w:rsid w:val="00B65ADA"/>
    <w:rsid w:val="00B662FF"/>
    <w:rsid w:val="00B7070E"/>
    <w:rsid w:val="00B708A4"/>
    <w:rsid w:val="00B70FCD"/>
    <w:rsid w:val="00B72C80"/>
    <w:rsid w:val="00B72C9E"/>
    <w:rsid w:val="00B730B4"/>
    <w:rsid w:val="00B735C8"/>
    <w:rsid w:val="00B74340"/>
    <w:rsid w:val="00B744E0"/>
    <w:rsid w:val="00B7481A"/>
    <w:rsid w:val="00B74F2F"/>
    <w:rsid w:val="00B756FB"/>
    <w:rsid w:val="00B769BC"/>
    <w:rsid w:val="00B76B2F"/>
    <w:rsid w:val="00B76DEF"/>
    <w:rsid w:val="00B76F7F"/>
    <w:rsid w:val="00B77349"/>
    <w:rsid w:val="00B7761E"/>
    <w:rsid w:val="00B80093"/>
    <w:rsid w:val="00B80A37"/>
    <w:rsid w:val="00B80A3D"/>
    <w:rsid w:val="00B81E08"/>
    <w:rsid w:val="00B823E0"/>
    <w:rsid w:val="00B82674"/>
    <w:rsid w:val="00B82B78"/>
    <w:rsid w:val="00B83199"/>
    <w:rsid w:val="00B83E3C"/>
    <w:rsid w:val="00B840F1"/>
    <w:rsid w:val="00B84662"/>
    <w:rsid w:val="00B847A9"/>
    <w:rsid w:val="00B84825"/>
    <w:rsid w:val="00B84D16"/>
    <w:rsid w:val="00B85402"/>
    <w:rsid w:val="00B85C89"/>
    <w:rsid w:val="00B85E34"/>
    <w:rsid w:val="00B85ED5"/>
    <w:rsid w:val="00B862BB"/>
    <w:rsid w:val="00B864A3"/>
    <w:rsid w:val="00B86B16"/>
    <w:rsid w:val="00B86B8E"/>
    <w:rsid w:val="00B86C1F"/>
    <w:rsid w:val="00B86C2A"/>
    <w:rsid w:val="00B901E4"/>
    <w:rsid w:val="00B902A5"/>
    <w:rsid w:val="00B90420"/>
    <w:rsid w:val="00B913E4"/>
    <w:rsid w:val="00B91410"/>
    <w:rsid w:val="00B91DB9"/>
    <w:rsid w:val="00B91EEF"/>
    <w:rsid w:val="00B91F6B"/>
    <w:rsid w:val="00B93393"/>
    <w:rsid w:val="00B93ACE"/>
    <w:rsid w:val="00B93EF3"/>
    <w:rsid w:val="00B93EFE"/>
    <w:rsid w:val="00B94491"/>
    <w:rsid w:val="00B947DA"/>
    <w:rsid w:val="00B94956"/>
    <w:rsid w:val="00B94C7F"/>
    <w:rsid w:val="00B956B5"/>
    <w:rsid w:val="00B95904"/>
    <w:rsid w:val="00B95C3A"/>
    <w:rsid w:val="00B95FCE"/>
    <w:rsid w:val="00B9625F"/>
    <w:rsid w:val="00B9637A"/>
    <w:rsid w:val="00B965E2"/>
    <w:rsid w:val="00B96690"/>
    <w:rsid w:val="00B96C03"/>
    <w:rsid w:val="00BA0D44"/>
    <w:rsid w:val="00BA0E26"/>
    <w:rsid w:val="00BA166F"/>
    <w:rsid w:val="00BA2414"/>
    <w:rsid w:val="00BA31BF"/>
    <w:rsid w:val="00BA3B6D"/>
    <w:rsid w:val="00BA43FC"/>
    <w:rsid w:val="00BA4515"/>
    <w:rsid w:val="00BA478B"/>
    <w:rsid w:val="00BA5224"/>
    <w:rsid w:val="00BA5791"/>
    <w:rsid w:val="00BA705C"/>
    <w:rsid w:val="00BA710D"/>
    <w:rsid w:val="00BA7456"/>
    <w:rsid w:val="00BA7925"/>
    <w:rsid w:val="00BA7B27"/>
    <w:rsid w:val="00BA7E3B"/>
    <w:rsid w:val="00BB02A8"/>
    <w:rsid w:val="00BB079C"/>
    <w:rsid w:val="00BB1DEE"/>
    <w:rsid w:val="00BB1FCD"/>
    <w:rsid w:val="00BB2861"/>
    <w:rsid w:val="00BB2D69"/>
    <w:rsid w:val="00BB32A1"/>
    <w:rsid w:val="00BB336E"/>
    <w:rsid w:val="00BB39C1"/>
    <w:rsid w:val="00BB3F0C"/>
    <w:rsid w:val="00BB5542"/>
    <w:rsid w:val="00BB5555"/>
    <w:rsid w:val="00BB584C"/>
    <w:rsid w:val="00BB5D16"/>
    <w:rsid w:val="00BB617F"/>
    <w:rsid w:val="00BB6180"/>
    <w:rsid w:val="00BB651D"/>
    <w:rsid w:val="00BB68BC"/>
    <w:rsid w:val="00BB69E6"/>
    <w:rsid w:val="00BB6D25"/>
    <w:rsid w:val="00BB72D0"/>
    <w:rsid w:val="00BB750F"/>
    <w:rsid w:val="00BB7714"/>
    <w:rsid w:val="00BB7B3B"/>
    <w:rsid w:val="00BB7C7D"/>
    <w:rsid w:val="00BC0F22"/>
    <w:rsid w:val="00BC130E"/>
    <w:rsid w:val="00BC13E6"/>
    <w:rsid w:val="00BC17E7"/>
    <w:rsid w:val="00BC1B7A"/>
    <w:rsid w:val="00BC1DBE"/>
    <w:rsid w:val="00BC2BC7"/>
    <w:rsid w:val="00BC2C17"/>
    <w:rsid w:val="00BC3ACD"/>
    <w:rsid w:val="00BC3CDA"/>
    <w:rsid w:val="00BC5118"/>
    <w:rsid w:val="00BC5793"/>
    <w:rsid w:val="00BC5C09"/>
    <w:rsid w:val="00BC5C81"/>
    <w:rsid w:val="00BC6178"/>
    <w:rsid w:val="00BC6E30"/>
    <w:rsid w:val="00BC6E73"/>
    <w:rsid w:val="00BC70C5"/>
    <w:rsid w:val="00BC7AF2"/>
    <w:rsid w:val="00BD0014"/>
    <w:rsid w:val="00BD01D8"/>
    <w:rsid w:val="00BD0318"/>
    <w:rsid w:val="00BD15A1"/>
    <w:rsid w:val="00BD1674"/>
    <w:rsid w:val="00BD1B17"/>
    <w:rsid w:val="00BD1CA2"/>
    <w:rsid w:val="00BD1DB3"/>
    <w:rsid w:val="00BD1E75"/>
    <w:rsid w:val="00BD2512"/>
    <w:rsid w:val="00BD255F"/>
    <w:rsid w:val="00BD2651"/>
    <w:rsid w:val="00BD2D4E"/>
    <w:rsid w:val="00BD383D"/>
    <w:rsid w:val="00BD4236"/>
    <w:rsid w:val="00BD55F5"/>
    <w:rsid w:val="00BD5CCA"/>
    <w:rsid w:val="00BD5CD4"/>
    <w:rsid w:val="00BD5E62"/>
    <w:rsid w:val="00BD6EF9"/>
    <w:rsid w:val="00BD70E2"/>
    <w:rsid w:val="00BD77DD"/>
    <w:rsid w:val="00BE02E8"/>
    <w:rsid w:val="00BE0ACB"/>
    <w:rsid w:val="00BE171B"/>
    <w:rsid w:val="00BE19B7"/>
    <w:rsid w:val="00BE1A90"/>
    <w:rsid w:val="00BE2C0A"/>
    <w:rsid w:val="00BE2CD7"/>
    <w:rsid w:val="00BE3537"/>
    <w:rsid w:val="00BE360F"/>
    <w:rsid w:val="00BE37A6"/>
    <w:rsid w:val="00BE3874"/>
    <w:rsid w:val="00BE4387"/>
    <w:rsid w:val="00BE448F"/>
    <w:rsid w:val="00BE50FD"/>
    <w:rsid w:val="00BE51CA"/>
    <w:rsid w:val="00BE55AB"/>
    <w:rsid w:val="00BE5B17"/>
    <w:rsid w:val="00BE5D9F"/>
    <w:rsid w:val="00BE5DFC"/>
    <w:rsid w:val="00BE5E5A"/>
    <w:rsid w:val="00BE5EEE"/>
    <w:rsid w:val="00BE6CFC"/>
    <w:rsid w:val="00BE6D47"/>
    <w:rsid w:val="00BE7032"/>
    <w:rsid w:val="00BE70E3"/>
    <w:rsid w:val="00BE7330"/>
    <w:rsid w:val="00BE756A"/>
    <w:rsid w:val="00BE7DA0"/>
    <w:rsid w:val="00BF01C5"/>
    <w:rsid w:val="00BF045B"/>
    <w:rsid w:val="00BF066A"/>
    <w:rsid w:val="00BF13E2"/>
    <w:rsid w:val="00BF1571"/>
    <w:rsid w:val="00BF1BCE"/>
    <w:rsid w:val="00BF2D70"/>
    <w:rsid w:val="00BF361C"/>
    <w:rsid w:val="00BF3912"/>
    <w:rsid w:val="00BF3B23"/>
    <w:rsid w:val="00BF4342"/>
    <w:rsid w:val="00BF4AD9"/>
    <w:rsid w:val="00BF5050"/>
    <w:rsid w:val="00BF5422"/>
    <w:rsid w:val="00BF54CF"/>
    <w:rsid w:val="00BF59B1"/>
    <w:rsid w:val="00BF5AA1"/>
    <w:rsid w:val="00BF6330"/>
    <w:rsid w:val="00BF6A78"/>
    <w:rsid w:val="00BF6E19"/>
    <w:rsid w:val="00BF79B4"/>
    <w:rsid w:val="00C0022A"/>
    <w:rsid w:val="00C004D1"/>
    <w:rsid w:val="00C0050B"/>
    <w:rsid w:val="00C0099F"/>
    <w:rsid w:val="00C00DF4"/>
    <w:rsid w:val="00C01274"/>
    <w:rsid w:val="00C01427"/>
    <w:rsid w:val="00C016A1"/>
    <w:rsid w:val="00C016B4"/>
    <w:rsid w:val="00C0309C"/>
    <w:rsid w:val="00C030CA"/>
    <w:rsid w:val="00C03FC0"/>
    <w:rsid w:val="00C0464C"/>
    <w:rsid w:val="00C047AF"/>
    <w:rsid w:val="00C04AAB"/>
    <w:rsid w:val="00C056AD"/>
    <w:rsid w:val="00C058AF"/>
    <w:rsid w:val="00C06BEA"/>
    <w:rsid w:val="00C07436"/>
    <w:rsid w:val="00C10705"/>
    <w:rsid w:val="00C11630"/>
    <w:rsid w:val="00C124C1"/>
    <w:rsid w:val="00C124D9"/>
    <w:rsid w:val="00C12537"/>
    <w:rsid w:val="00C128AE"/>
    <w:rsid w:val="00C12C1D"/>
    <w:rsid w:val="00C13320"/>
    <w:rsid w:val="00C1337F"/>
    <w:rsid w:val="00C136D6"/>
    <w:rsid w:val="00C13D5B"/>
    <w:rsid w:val="00C1521B"/>
    <w:rsid w:val="00C15581"/>
    <w:rsid w:val="00C156EA"/>
    <w:rsid w:val="00C15CB5"/>
    <w:rsid w:val="00C16DDA"/>
    <w:rsid w:val="00C17AE2"/>
    <w:rsid w:val="00C20512"/>
    <w:rsid w:val="00C20E1A"/>
    <w:rsid w:val="00C20F27"/>
    <w:rsid w:val="00C214B5"/>
    <w:rsid w:val="00C215CF"/>
    <w:rsid w:val="00C21B78"/>
    <w:rsid w:val="00C21C72"/>
    <w:rsid w:val="00C2244B"/>
    <w:rsid w:val="00C2263D"/>
    <w:rsid w:val="00C22651"/>
    <w:rsid w:val="00C22B0D"/>
    <w:rsid w:val="00C22F55"/>
    <w:rsid w:val="00C237E3"/>
    <w:rsid w:val="00C23B52"/>
    <w:rsid w:val="00C240C1"/>
    <w:rsid w:val="00C24565"/>
    <w:rsid w:val="00C2484C"/>
    <w:rsid w:val="00C250D0"/>
    <w:rsid w:val="00C25170"/>
    <w:rsid w:val="00C252AC"/>
    <w:rsid w:val="00C255AB"/>
    <w:rsid w:val="00C258F7"/>
    <w:rsid w:val="00C26512"/>
    <w:rsid w:val="00C26E45"/>
    <w:rsid w:val="00C27214"/>
    <w:rsid w:val="00C27597"/>
    <w:rsid w:val="00C279BB"/>
    <w:rsid w:val="00C27D4F"/>
    <w:rsid w:val="00C30382"/>
    <w:rsid w:val="00C30902"/>
    <w:rsid w:val="00C30C12"/>
    <w:rsid w:val="00C30D6F"/>
    <w:rsid w:val="00C31063"/>
    <w:rsid w:val="00C31B7E"/>
    <w:rsid w:val="00C3242A"/>
    <w:rsid w:val="00C328E1"/>
    <w:rsid w:val="00C32AE2"/>
    <w:rsid w:val="00C33030"/>
    <w:rsid w:val="00C33201"/>
    <w:rsid w:val="00C332C4"/>
    <w:rsid w:val="00C34E1C"/>
    <w:rsid w:val="00C35785"/>
    <w:rsid w:val="00C3580C"/>
    <w:rsid w:val="00C35B33"/>
    <w:rsid w:val="00C35CDE"/>
    <w:rsid w:val="00C360B3"/>
    <w:rsid w:val="00C36363"/>
    <w:rsid w:val="00C3679B"/>
    <w:rsid w:val="00C36977"/>
    <w:rsid w:val="00C37027"/>
    <w:rsid w:val="00C37050"/>
    <w:rsid w:val="00C3778D"/>
    <w:rsid w:val="00C40237"/>
    <w:rsid w:val="00C405A3"/>
    <w:rsid w:val="00C41812"/>
    <w:rsid w:val="00C41A1C"/>
    <w:rsid w:val="00C41DC5"/>
    <w:rsid w:val="00C42752"/>
    <w:rsid w:val="00C42973"/>
    <w:rsid w:val="00C44081"/>
    <w:rsid w:val="00C447CB"/>
    <w:rsid w:val="00C44F9C"/>
    <w:rsid w:val="00C4695E"/>
    <w:rsid w:val="00C46D58"/>
    <w:rsid w:val="00C4730E"/>
    <w:rsid w:val="00C47A04"/>
    <w:rsid w:val="00C47C42"/>
    <w:rsid w:val="00C47EE9"/>
    <w:rsid w:val="00C50075"/>
    <w:rsid w:val="00C5019C"/>
    <w:rsid w:val="00C5034F"/>
    <w:rsid w:val="00C514D3"/>
    <w:rsid w:val="00C51A10"/>
    <w:rsid w:val="00C52479"/>
    <w:rsid w:val="00C5291F"/>
    <w:rsid w:val="00C52BC8"/>
    <w:rsid w:val="00C52C59"/>
    <w:rsid w:val="00C52E1C"/>
    <w:rsid w:val="00C5349E"/>
    <w:rsid w:val="00C5354B"/>
    <w:rsid w:val="00C53765"/>
    <w:rsid w:val="00C53915"/>
    <w:rsid w:val="00C54467"/>
    <w:rsid w:val="00C54C27"/>
    <w:rsid w:val="00C54D3D"/>
    <w:rsid w:val="00C55116"/>
    <w:rsid w:val="00C55326"/>
    <w:rsid w:val="00C55758"/>
    <w:rsid w:val="00C55A30"/>
    <w:rsid w:val="00C561B0"/>
    <w:rsid w:val="00C56A95"/>
    <w:rsid w:val="00C576A0"/>
    <w:rsid w:val="00C57C58"/>
    <w:rsid w:val="00C57F8B"/>
    <w:rsid w:val="00C6028F"/>
    <w:rsid w:val="00C602CF"/>
    <w:rsid w:val="00C6036D"/>
    <w:rsid w:val="00C604E0"/>
    <w:rsid w:val="00C608F1"/>
    <w:rsid w:val="00C62086"/>
    <w:rsid w:val="00C629F3"/>
    <w:rsid w:val="00C631E1"/>
    <w:rsid w:val="00C6389B"/>
    <w:rsid w:val="00C638D8"/>
    <w:rsid w:val="00C63AC4"/>
    <w:rsid w:val="00C63C84"/>
    <w:rsid w:val="00C63D26"/>
    <w:rsid w:val="00C63F2F"/>
    <w:rsid w:val="00C641EB"/>
    <w:rsid w:val="00C64857"/>
    <w:rsid w:val="00C65053"/>
    <w:rsid w:val="00C65617"/>
    <w:rsid w:val="00C65BD9"/>
    <w:rsid w:val="00C66061"/>
    <w:rsid w:val="00C661D6"/>
    <w:rsid w:val="00C6646C"/>
    <w:rsid w:val="00C665E0"/>
    <w:rsid w:val="00C66F43"/>
    <w:rsid w:val="00C66F69"/>
    <w:rsid w:val="00C6715D"/>
    <w:rsid w:val="00C67223"/>
    <w:rsid w:val="00C67369"/>
    <w:rsid w:val="00C67C03"/>
    <w:rsid w:val="00C67CFF"/>
    <w:rsid w:val="00C707B8"/>
    <w:rsid w:val="00C7084B"/>
    <w:rsid w:val="00C71B3A"/>
    <w:rsid w:val="00C71C15"/>
    <w:rsid w:val="00C71F3D"/>
    <w:rsid w:val="00C72F53"/>
    <w:rsid w:val="00C74035"/>
    <w:rsid w:val="00C7405D"/>
    <w:rsid w:val="00C744D0"/>
    <w:rsid w:val="00C74517"/>
    <w:rsid w:val="00C74F58"/>
    <w:rsid w:val="00C75264"/>
    <w:rsid w:val="00C760AF"/>
    <w:rsid w:val="00C76C62"/>
    <w:rsid w:val="00C76FF4"/>
    <w:rsid w:val="00C77818"/>
    <w:rsid w:val="00C77AE3"/>
    <w:rsid w:val="00C77FBF"/>
    <w:rsid w:val="00C8055E"/>
    <w:rsid w:val="00C8063F"/>
    <w:rsid w:val="00C80A3A"/>
    <w:rsid w:val="00C81549"/>
    <w:rsid w:val="00C821BA"/>
    <w:rsid w:val="00C829A1"/>
    <w:rsid w:val="00C83527"/>
    <w:rsid w:val="00C83B36"/>
    <w:rsid w:val="00C83BBE"/>
    <w:rsid w:val="00C83F4F"/>
    <w:rsid w:val="00C844B4"/>
    <w:rsid w:val="00C84997"/>
    <w:rsid w:val="00C84C54"/>
    <w:rsid w:val="00C84F8A"/>
    <w:rsid w:val="00C85209"/>
    <w:rsid w:val="00C85225"/>
    <w:rsid w:val="00C8618F"/>
    <w:rsid w:val="00C86B76"/>
    <w:rsid w:val="00C86EC7"/>
    <w:rsid w:val="00C87A5F"/>
    <w:rsid w:val="00C9005A"/>
    <w:rsid w:val="00C90372"/>
    <w:rsid w:val="00C9041F"/>
    <w:rsid w:val="00C91A45"/>
    <w:rsid w:val="00C91ED2"/>
    <w:rsid w:val="00C91FB4"/>
    <w:rsid w:val="00C92271"/>
    <w:rsid w:val="00C927C1"/>
    <w:rsid w:val="00C92E83"/>
    <w:rsid w:val="00C94646"/>
    <w:rsid w:val="00C94D41"/>
    <w:rsid w:val="00C95745"/>
    <w:rsid w:val="00C9605E"/>
    <w:rsid w:val="00C962E3"/>
    <w:rsid w:val="00C965BD"/>
    <w:rsid w:val="00C96717"/>
    <w:rsid w:val="00C96E63"/>
    <w:rsid w:val="00C97997"/>
    <w:rsid w:val="00CA06F3"/>
    <w:rsid w:val="00CA08FE"/>
    <w:rsid w:val="00CA09AA"/>
    <w:rsid w:val="00CA0FAC"/>
    <w:rsid w:val="00CA2513"/>
    <w:rsid w:val="00CA25C0"/>
    <w:rsid w:val="00CA3451"/>
    <w:rsid w:val="00CA4948"/>
    <w:rsid w:val="00CA4A4B"/>
    <w:rsid w:val="00CA4E58"/>
    <w:rsid w:val="00CA52F9"/>
    <w:rsid w:val="00CA568B"/>
    <w:rsid w:val="00CA59C2"/>
    <w:rsid w:val="00CA5E1C"/>
    <w:rsid w:val="00CA6705"/>
    <w:rsid w:val="00CA6DFA"/>
    <w:rsid w:val="00CA7500"/>
    <w:rsid w:val="00CA75F8"/>
    <w:rsid w:val="00CA767F"/>
    <w:rsid w:val="00CB0578"/>
    <w:rsid w:val="00CB0696"/>
    <w:rsid w:val="00CB0AF8"/>
    <w:rsid w:val="00CB1239"/>
    <w:rsid w:val="00CB19FE"/>
    <w:rsid w:val="00CB1C02"/>
    <w:rsid w:val="00CB2829"/>
    <w:rsid w:val="00CB2A78"/>
    <w:rsid w:val="00CB304C"/>
    <w:rsid w:val="00CB5218"/>
    <w:rsid w:val="00CB53E8"/>
    <w:rsid w:val="00CB594A"/>
    <w:rsid w:val="00CB5CB2"/>
    <w:rsid w:val="00CB608A"/>
    <w:rsid w:val="00CB67E3"/>
    <w:rsid w:val="00CB6979"/>
    <w:rsid w:val="00CB71D9"/>
    <w:rsid w:val="00CB785D"/>
    <w:rsid w:val="00CB7EC2"/>
    <w:rsid w:val="00CC04CA"/>
    <w:rsid w:val="00CC0A3D"/>
    <w:rsid w:val="00CC10A8"/>
    <w:rsid w:val="00CC13F2"/>
    <w:rsid w:val="00CC1B67"/>
    <w:rsid w:val="00CC1C28"/>
    <w:rsid w:val="00CC1ECD"/>
    <w:rsid w:val="00CC2362"/>
    <w:rsid w:val="00CC2373"/>
    <w:rsid w:val="00CC268D"/>
    <w:rsid w:val="00CC3D24"/>
    <w:rsid w:val="00CC3F91"/>
    <w:rsid w:val="00CC40B6"/>
    <w:rsid w:val="00CC449C"/>
    <w:rsid w:val="00CC4B0A"/>
    <w:rsid w:val="00CC544A"/>
    <w:rsid w:val="00CC57EA"/>
    <w:rsid w:val="00CC5954"/>
    <w:rsid w:val="00CC59F1"/>
    <w:rsid w:val="00CC602D"/>
    <w:rsid w:val="00CC6C4E"/>
    <w:rsid w:val="00CC6DD8"/>
    <w:rsid w:val="00CC70FC"/>
    <w:rsid w:val="00CC7259"/>
    <w:rsid w:val="00CC7305"/>
    <w:rsid w:val="00CC7962"/>
    <w:rsid w:val="00CD05A2"/>
    <w:rsid w:val="00CD0751"/>
    <w:rsid w:val="00CD0B92"/>
    <w:rsid w:val="00CD10A5"/>
    <w:rsid w:val="00CD19DA"/>
    <w:rsid w:val="00CD29D4"/>
    <w:rsid w:val="00CD2F0A"/>
    <w:rsid w:val="00CD30DE"/>
    <w:rsid w:val="00CD38F5"/>
    <w:rsid w:val="00CD437E"/>
    <w:rsid w:val="00CD4AE5"/>
    <w:rsid w:val="00CD554C"/>
    <w:rsid w:val="00CD5833"/>
    <w:rsid w:val="00CD59B3"/>
    <w:rsid w:val="00CD5A89"/>
    <w:rsid w:val="00CD5DAD"/>
    <w:rsid w:val="00CD601F"/>
    <w:rsid w:val="00CD6590"/>
    <w:rsid w:val="00CD6CBF"/>
    <w:rsid w:val="00CD72C5"/>
    <w:rsid w:val="00CD7573"/>
    <w:rsid w:val="00CD79A7"/>
    <w:rsid w:val="00CE02F9"/>
    <w:rsid w:val="00CE0789"/>
    <w:rsid w:val="00CE1A03"/>
    <w:rsid w:val="00CE1EF4"/>
    <w:rsid w:val="00CE22D2"/>
    <w:rsid w:val="00CE2346"/>
    <w:rsid w:val="00CE2859"/>
    <w:rsid w:val="00CE30D7"/>
    <w:rsid w:val="00CE3529"/>
    <w:rsid w:val="00CE35C8"/>
    <w:rsid w:val="00CE37C6"/>
    <w:rsid w:val="00CE3962"/>
    <w:rsid w:val="00CE3D7E"/>
    <w:rsid w:val="00CE4307"/>
    <w:rsid w:val="00CE5105"/>
    <w:rsid w:val="00CE56BD"/>
    <w:rsid w:val="00CE5954"/>
    <w:rsid w:val="00CE5EC0"/>
    <w:rsid w:val="00CE6064"/>
    <w:rsid w:val="00CE631F"/>
    <w:rsid w:val="00CE692D"/>
    <w:rsid w:val="00CE6B5D"/>
    <w:rsid w:val="00CE6F9F"/>
    <w:rsid w:val="00CE71F8"/>
    <w:rsid w:val="00CE773B"/>
    <w:rsid w:val="00CE781A"/>
    <w:rsid w:val="00CE79A5"/>
    <w:rsid w:val="00CF036E"/>
    <w:rsid w:val="00CF0DF0"/>
    <w:rsid w:val="00CF0F5B"/>
    <w:rsid w:val="00CF10FC"/>
    <w:rsid w:val="00CF1255"/>
    <w:rsid w:val="00CF12C9"/>
    <w:rsid w:val="00CF13F1"/>
    <w:rsid w:val="00CF1D74"/>
    <w:rsid w:val="00CF2413"/>
    <w:rsid w:val="00CF2BE2"/>
    <w:rsid w:val="00CF2FEB"/>
    <w:rsid w:val="00CF30BC"/>
    <w:rsid w:val="00CF3304"/>
    <w:rsid w:val="00CF3511"/>
    <w:rsid w:val="00CF3E2C"/>
    <w:rsid w:val="00CF40EC"/>
    <w:rsid w:val="00CF55F9"/>
    <w:rsid w:val="00CF5B1D"/>
    <w:rsid w:val="00CF5BAA"/>
    <w:rsid w:val="00CF5CE5"/>
    <w:rsid w:val="00CF6864"/>
    <w:rsid w:val="00CF71A6"/>
    <w:rsid w:val="00CF7495"/>
    <w:rsid w:val="00CF7671"/>
    <w:rsid w:val="00CF7C5B"/>
    <w:rsid w:val="00D01CF9"/>
    <w:rsid w:val="00D02246"/>
    <w:rsid w:val="00D0334D"/>
    <w:rsid w:val="00D0374D"/>
    <w:rsid w:val="00D03CD5"/>
    <w:rsid w:val="00D048FB"/>
    <w:rsid w:val="00D05A76"/>
    <w:rsid w:val="00D06055"/>
    <w:rsid w:val="00D06513"/>
    <w:rsid w:val="00D06531"/>
    <w:rsid w:val="00D06813"/>
    <w:rsid w:val="00D06C54"/>
    <w:rsid w:val="00D0779F"/>
    <w:rsid w:val="00D07BEF"/>
    <w:rsid w:val="00D07F1D"/>
    <w:rsid w:val="00D10558"/>
    <w:rsid w:val="00D111EA"/>
    <w:rsid w:val="00D1203E"/>
    <w:rsid w:val="00D1277D"/>
    <w:rsid w:val="00D12A24"/>
    <w:rsid w:val="00D12C5E"/>
    <w:rsid w:val="00D13E70"/>
    <w:rsid w:val="00D146BC"/>
    <w:rsid w:val="00D1541F"/>
    <w:rsid w:val="00D15A75"/>
    <w:rsid w:val="00D15CDA"/>
    <w:rsid w:val="00D1650F"/>
    <w:rsid w:val="00D165B0"/>
    <w:rsid w:val="00D16C58"/>
    <w:rsid w:val="00D17019"/>
    <w:rsid w:val="00D170C1"/>
    <w:rsid w:val="00D17617"/>
    <w:rsid w:val="00D178DE"/>
    <w:rsid w:val="00D17BFE"/>
    <w:rsid w:val="00D17C6E"/>
    <w:rsid w:val="00D17C9B"/>
    <w:rsid w:val="00D17E07"/>
    <w:rsid w:val="00D20065"/>
    <w:rsid w:val="00D21168"/>
    <w:rsid w:val="00D21444"/>
    <w:rsid w:val="00D2232E"/>
    <w:rsid w:val="00D2277C"/>
    <w:rsid w:val="00D22968"/>
    <w:rsid w:val="00D235C8"/>
    <w:rsid w:val="00D2384A"/>
    <w:rsid w:val="00D2438C"/>
    <w:rsid w:val="00D25ADE"/>
    <w:rsid w:val="00D261EE"/>
    <w:rsid w:val="00D26C3F"/>
    <w:rsid w:val="00D27185"/>
    <w:rsid w:val="00D273BF"/>
    <w:rsid w:val="00D2778B"/>
    <w:rsid w:val="00D27D1F"/>
    <w:rsid w:val="00D27F65"/>
    <w:rsid w:val="00D30651"/>
    <w:rsid w:val="00D30E35"/>
    <w:rsid w:val="00D31A87"/>
    <w:rsid w:val="00D31CA2"/>
    <w:rsid w:val="00D320A3"/>
    <w:rsid w:val="00D32810"/>
    <w:rsid w:val="00D32B84"/>
    <w:rsid w:val="00D32DCB"/>
    <w:rsid w:val="00D337AE"/>
    <w:rsid w:val="00D33AB3"/>
    <w:rsid w:val="00D33F24"/>
    <w:rsid w:val="00D346B7"/>
    <w:rsid w:val="00D346B8"/>
    <w:rsid w:val="00D348B1"/>
    <w:rsid w:val="00D35AC8"/>
    <w:rsid w:val="00D35D34"/>
    <w:rsid w:val="00D36F87"/>
    <w:rsid w:val="00D37E4B"/>
    <w:rsid w:val="00D37E4E"/>
    <w:rsid w:val="00D400ED"/>
    <w:rsid w:val="00D408C9"/>
    <w:rsid w:val="00D41366"/>
    <w:rsid w:val="00D422EE"/>
    <w:rsid w:val="00D4290B"/>
    <w:rsid w:val="00D42B76"/>
    <w:rsid w:val="00D42E6C"/>
    <w:rsid w:val="00D43218"/>
    <w:rsid w:val="00D43276"/>
    <w:rsid w:val="00D434A1"/>
    <w:rsid w:val="00D43B80"/>
    <w:rsid w:val="00D43D9E"/>
    <w:rsid w:val="00D44236"/>
    <w:rsid w:val="00D44338"/>
    <w:rsid w:val="00D44A1D"/>
    <w:rsid w:val="00D44AE2"/>
    <w:rsid w:val="00D45B1E"/>
    <w:rsid w:val="00D45BA4"/>
    <w:rsid w:val="00D46F56"/>
    <w:rsid w:val="00D471AF"/>
    <w:rsid w:val="00D4724F"/>
    <w:rsid w:val="00D47E18"/>
    <w:rsid w:val="00D50151"/>
    <w:rsid w:val="00D5045F"/>
    <w:rsid w:val="00D50519"/>
    <w:rsid w:val="00D508F5"/>
    <w:rsid w:val="00D513E7"/>
    <w:rsid w:val="00D516A5"/>
    <w:rsid w:val="00D5264C"/>
    <w:rsid w:val="00D5289A"/>
    <w:rsid w:val="00D537FE"/>
    <w:rsid w:val="00D538F0"/>
    <w:rsid w:val="00D53FFD"/>
    <w:rsid w:val="00D54A6A"/>
    <w:rsid w:val="00D54BF8"/>
    <w:rsid w:val="00D54D7C"/>
    <w:rsid w:val="00D54FE8"/>
    <w:rsid w:val="00D557EB"/>
    <w:rsid w:val="00D55951"/>
    <w:rsid w:val="00D55ED3"/>
    <w:rsid w:val="00D5641A"/>
    <w:rsid w:val="00D566A7"/>
    <w:rsid w:val="00D568B6"/>
    <w:rsid w:val="00D568E4"/>
    <w:rsid w:val="00D569C8"/>
    <w:rsid w:val="00D572BE"/>
    <w:rsid w:val="00D57EB6"/>
    <w:rsid w:val="00D57F9A"/>
    <w:rsid w:val="00D60ED7"/>
    <w:rsid w:val="00D61594"/>
    <w:rsid w:val="00D63586"/>
    <w:rsid w:val="00D636BD"/>
    <w:rsid w:val="00D63D21"/>
    <w:rsid w:val="00D64649"/>
    <w:rsid w:val="00D65538"/>
    <w:rsid w:val="00D65CDE"/>
    <w:rsid w:val="00D65F1A"/>
    <w:rsid w:val="00D664BF"/>
    <w:rsid w:val="00D66D7F"/>
    <w:rsid w:val="00D66D8B"/>
    <w:rsid w:val="00D67163"/>
    <w:rsid w:val="00D67A48"/>
    <w:rsid w:val="00D67EE4"/>
    <w:rsid w:val="00D67FD5"/>
    <w:rsid w:val="00D70252"/>
    <w:rsid w:val="00D72A1C"/>
    <w:rsid w:val="00D72ECE"/>
    <w:rsid w:val="00D73580"/>
    <w:rsid w:val="00D7379E"/>
    <w:rsid w:val="00D73802"/>
    <w:rsid w:val="00D73868"/>
    <w:rsid w:val="00D73AFA"/>
    <w:rsid w:val="00D73C2C"/>
    <w:rsid w:val="00D73C7A"/>
    <w:rsid w:val="00D73D52"/>
    <w:rsid w:val="00D73F95"/>
    <w:rsid w:val="00D74003"/>
    <w:rsid w:val="00D74042"/>
    <w:rsid w:val="00D7453F"/>
    <w:rsid w:val="00D745E7"/>
    <w:rsid w:val="00D74D33"/>
    <w:rsid w:val="00D76293"/>
    <w:rsid w:val="00D764EB"/>
    <w:rsid w:val="00D77495"/>
    <w:rsid w:val="00D774ED"/>
    <w:rsid w:val="00D777F6"/>
    <w:rsid w:val="00D77F88"/>
    <w:rsid w:val="00D8002D"/>
    <w:rsid w:val="00D802BC"/>
    <w:rsid w:val="00D8047C"/>
    <w:rsid w:val="00D808FC"/>
    <w:rsid w:val="00D81EAA"/>
    <w:rsid w:val="00D82038"/>
    <w:rsid w:val="00D8259F"/>
    <w:rsid w:val="00D825F2"/>
    <w:rsid w:val="00D8282E"/>
    <w:rsid w:val="00D828B1"/>
    <w:rsid w:val="00D82D70"/>
    <w:rsid w:val="00D83D93"/>
    <w:rsid w:val="00D84278"/>
    <w:rsid w:val="00D84C03"/>
    <w:rsid w:val="00D84F27"/>
    <w:rsid w:val="00D850D4"/>
    <w:rsid w:val="00D851BD"/>
    <w:rsid w:val="00D86280"/>
    <w:rsid w:val="00D862D1"/>
    <w:rsid w:val="00D873C6"/>
    <w:rsid w:val="00D87F36"/>
    <w:rsid w:val="00D91027"/>
    <w:rsid w:val="00D91557"/>
    <w:rsid w:val="00D916DA"/>
    <w:rsid w:val="00D9339C"/>
    <w:rsid w:val="00D94B08"/>
    <w:rsid w:val="00D94C49"/>
    <w:rsid w:val="00D94C7D"/>
    <w:rsid w:val="00D94CA4"/>
    <w:rsid w:val="00D94FB4"/>
    <w:rsid w:val="00D95230"/>
    <w:rsid w:val="00D9530C"/>
    <w:rsid w:val="00D95E99"/>
    <w:rsid w:val="00D960A8"/>
    <w:rsid w:val="00DA084B"/>
    <w:rsid w:val="00DA098C"/>
    <w:rsid w:val="00DA1953"/>
    <w:rsid w:val="00DA1A3A"/>
    <w:rsid w:val="00DA2712"/>
    <w:rsid w:val="00DA2A9A"/>
    <w:rsid w:val="00DA2C65"/>
    <w:rsid w:val="00DA2FE6"/>
    <w:rsid w:val="00DA395D"/>
    <w:rsid w:val="00DA3FB3"/>
    <w:rsid w:val="00DA55A0"/>
    <w:rsid w:val="00DA625B"/>
    <w:rsid w:val="00DA6506"/>
    <w:rsid w:val="00DA6987"/>
    <w:rsid w:val="00DA6D33"/>
    <w:rsid w:val="00DA727D"/>
    <w:rsid w:val="00DA7490"/>
    <w:rsid w:val="00DA74E8"/>
    <w:rsid w:val="00DB082D"/>
    <w:rsid w:val="00DB1331"/>
    <w:rsid w:val="00DB16B8"/>
    <w:rsid w:val="00DB1869"/>
    <w:rsid w:val="00DB1D52"/>
    <w:rsid w:val="00DB1F62"/>
    <w:rsid w:val="00DB2E03"/>
    <w:rsid w:val="00DB325A"/>
    <w:rsid w:val="00DB3369"/>
    <w:rsid w:val="00DB3742"/>
    <w:rsid w:val="00DB3F4B"/>
    <w:rsid w:val="00DB4306"/>
    <w:rsid w:val="00DB4750"/>
    <w:rsid w:val="00DB4A4F"/>
    <w:rsid w:val="00DB4AB5"/>
    <w:rsid w:val="00DB5780"/>
    <w:rsid w:val="00DB578E"/>
    <w:rsid w:val="00DB5C11"/>
    <w:rsid w:val="00DB5DB7"/>
    <w:rsid w:val="00DB61A4"/>
    <w:rsid w:val="00DB67C1"/>
    <w:rsid w:val="00DB70CD"/>
    <w:rsid w:val="00DB70F4"/>
    <w:rsid w:val="00DB7343"/>
    <w:rsid w:val="00DC1056"/>
    <w:rsid w:val="00DC1C96"/>
    <w:rsid w:val="00DC211E"/>
    <w:rsid w:val="00DC21D8"/>
    <w:rsid w:val="00DC282A"/>
    <w:rsid w:val="00DC2D13"/>
    <w:rsid w:val="00DC2D26"/>
    <w:rsid w:val="00DC3358"/>
    <w:rsid w:val="00DC34DC"/>
    <w:rsid w:val="00DC3CC6"/>
    <w:rsid w:val="00DC3D2B"/>
    <w:rsid w:val="00DC3FE8"/>
    <w:rsid w:val="00DC414B"/>
    <w:rsid w:val="00DC514A"/>
    <w:rsid w:val="00DC5742"/>
    <w:rsid w:val="00DC57DD"/>
    <w:rsid w:val="00DC5A98"/>
    <w:rsid w:val="00DC64EC"/>
    <w:rsid w:val="00DC67B1"/>
    <w:rsid w:val="00DC6EFC"/>
    <w:rsid w:val="00DC7833"/>
    <w:rsid w:val="00DC7A77"/>
    <w:rsid w:val="00DC7CE9"/>
    <w:rsid w:val="00DD0A6E"/>
    <w:rsid w:val="00DD132B"/>
    <w:rsid w:val="00DD1615"/>
    <w:rsid w:val="00DD1725"/>
    <w:rsid w:val="00DD1D7F"/>
    <w:rsid w:val="00DD2287"/>
    <w:rsid w:val="00DD2376"/>
    <w:rsid w:val="00DD2427"/>
    <w:rsid w:val="00DD28B5"/>
    <w:rsid w:val="00DD2A18"/>
    <w:rsid w:val="00DD36DA"/>
    <w:rsid w:val="00DD398E"/>
    <w:rsid w:val="00DD4485"/>
    <w:rsid w:val="00DD5B10"/>
    <w:rsid w:val="00DD5B1A"/>
    <w:rsid w:val="00DD61E8"/>
    <w:rsid w:val="00DD62C0"/>
    <w:rsid w:val="00DD7038"/>
    <w:rsid w:val="00DD748A"/>
    <w:rsid w:val="00DD7859"/>
    <w:rsid w:val="00DE03AC"/>
    <w:rsid w:val="00DE0702"/>
    <w:rsid w:val="00DE0A1D"/>
    <w:rsid w:val="00DE0D50"/>
    <w:rsid w:val="00DE10EF"/>
    <w:rsid w:val="00DE11D4"/>
    <w:rsid w:val="00DE1392"/>
    <w:rsid w:val="00DE15B2"/>
    <w:rsid w:val="00DE1A9A"/>
    <w:rsid w:val="00DE32BF"/>
    <w:rsid w:val="00DE3D2C"/>
    <w:rsid w:val="00DE3EE7"/>
    <w:rsid w:val="00DE454D"/>
    <w:rsid w:val="00DE4B20"/>
    <w:rsid w:val="00DE58C1"/>
    <w:rsid w:val="00DE59F8"/>
    <w:rsid w:val="00DE5E82"/>
    <w:rsid w:val="00DE5FA6"/>
    <w:rsid w:val="00DE6494"/>
    <w:rsid w:val="00DE666C"/>
    <w:rsid w:val="00DE6AA1"/>
    <w:rsid w:val="00DE74D7"/>
    <w:rsid w:val="00DE7EF7"/>
    <w:rsid w:val="00DF0D3F"/>
    <w:rsid w:val="00DF106A"/>
    <w:rsid w:val="00DF10A8"/>
    <w:rsid w:val="00DF1185"/>
    <w:rsid w:val="00DF1299"/>
    <w:rsid w:val="00DF1A70"/>
    <w:rsid w:val="00DF1C26"/>
    <w:rsid w:val="00DF1C5F"/>
    <w:rsid w:val="00DF221E"/>
    <w:rsid w:val="00DF23A8"/>
    <w:rsid w:val="00DF2F27"/>
    <w:rsid w:val="00DF4393"/>
    <w:rsid w:val="00DF4405"/>
    <w:rsid w:val="00DF4DEC"/>
    <w:rsid w:val="00DF4EEE"/>
    <w:rsid w:val="00DF5185"/>
    <w:rsid w:val="00DF55D5"/>
    <w:rsid w:val="00DF5C3B"/>
    <w:rsid w:val="00DF5C79"/>
    <w:rsid w:val="00DF6018"/>
    <w:rsid w:val="00DF68B0"/>
    <w:rsid w:val="00DF6CCC"/>
    <w:rsid w:val="00DF6D0C"/>
    <w:rsid w:val="00DF6DC2"/>
    <w:rsid w:val="00DF6F64"/>
    <w:rsid w:val="00DF721E"/>
    <w:rsid w:val="00DF77D7"/>
    <w:rsid w:val="00DF7C87"/>
    <w:rsid w:val="00E00404"/>
    <w:rsid w:val="00E009B0"/>
    <w:rsid w:val="00E0158B"/>
    <w:rsid w:val="00E01B73"/>
    <w:rsid w:val="00E01B86"/>
    <w:rsid w:val="00E02689"/>
    <w:rsid w:val="00E02840"/>
    <w:rsid w:val="00E02A1A"/>
    <w:rsid w:val="00E02CFF"/>
    <w:rsid w:val="00E031C0"/>
    <w:rsid w:val="00E032E9"/>
    <w:rsid w:val="00E03A71"/>
    <w:rsid w:val="00E03AFE"/>
    <w:rsid w:val="00E03C88"/>
    <w:rsid w:val="00E03D5C"/>
    <w:rsid w:val="00E03E23"/>
    <w:rsid w:val="00E043A7"/>
    <w:rsid w:val="00E046A9"/>
    <w:rsid w:val="00E04C0F"/>
    <w:rsid w:val="00E052A2"/>
    <w:rsid w:val="00E053C3"/>
    <w:rsid w:val="00E0570B"/>
    <w:rsid w:val="00E057B2"/>
    <w:rsid w:val="00E05996"/>
    <w:rsid w:val="00E068D9"/>
    <w:rsid w:val="00E10B87"/>
    <w:rsid w:val="00E10B99"/>
    <w:rsid w:val="00E10E25"/>
    <w:rsid w:val="00E10F80"/>
    <w:rsid w:val="00E1287C"/>
    <w:rsid w:val="00E12A9A"/>
    <w:rsid w:val="00E13138"/>
    <w:rsid w:val="00E132BB"/>
    <w:rsid w:val="00E141B3"/>
    <w:rsid w:val="00E1478B"/>
    <w:rsid w:val="00E14FAC"/>
    <w:rsid w:val="00E15007"/>
    <w:rsid w:val="00E15352"/>
    <w:rsid w:val="00E155B4"/>
    <w:rsid w:val="00E163AF"/>
    <w:rsid w:val="00E165CB"/>
    <w:rsid w:val="00E16EC7"/>
    <w:rsid w:val="00E1714F"/>
    <w:rsid w:val="00E17995"/>
    <w:rsid w:val="00E17B2A"/>
    <w:rsid w:val="00E2123B"/>
    <w:rsid w:val="00E21576"/>
    <w:rsid w:val="00E21801"/>
    <w:rsid w:val="00E219CE"/>
    <w:rsid w:val="00E22020"/>
    <w:rsid w:val="00E22504"/>
    <w:rsid w:val="00E22744"/>
    <w:rsid w:val="00E23816"/>
    <w:rsid w:val="00E23961"/>
    <w:rsid w:val="00E24071"/>
    <w:rsid w:val="00E24EBC"/>
    <w:rsid w:val="00E2522C"/>
    <w:rsid w:val="00E2599B"/>
    <w:rsid w:val="00E25AEF"/>
    <w:rsid w:val="00E269FC"/>
    <w:rsid w:val="00E27383"/>
    <w:rsid w:val="00E2793D"/>
    <w:rsid w:val="00E27988"/>
    <w:rsid w:val="00E27D2F"/>
    <w:rsid w:val="00E306A4"/>
    <w:rsid w:val="00E31053"/>
    <w:rsid w:val="00E311D1"/>
    <w:rsid w:val="00E316DB"/>
    <w:rsid w:val="00E31937"/>
    <w:rsid w:val="00E31AFA"/>
    <w:rsid w:val="00E31C43"/>
    <w:rsid w:val="00E32129"/>
    <w:rsid w:val="00E324EE"/>
    <w:rsid w:val="00E329D8"/>
    <w:rsid w:val="00E329F4"/>
    <w:rsid w:val="00E33D10"/>
    <w:rsid w:val="00E34942"/>
    <w:rsid w:val="00E35042"/>
    <w:rsid w:val="00E35439"/>
    <w:rsid w:val="00E359FF"/>
    <w:rsid w:val="00E36083"/>
    <w:rsid w:val="00E3614E"/>
    <w:rsid w:val="00E3616F"/>
    <w:rsid w:val="00E36AA7"/>
    <w:rsid w:val="00E36E39"/>
    <w:rsid w:val="00E3785B"/>
    <w:rsid w:val="00E379E7"/>
    <w:rsid w:val="00E37DD6"/>
    <w:rsid w:val="00E405F1"/>
    <w:rsid w:val="00E412FB"/>
    <w:rsid w:val="00E4153F"/>
    <w:rsid w:val="00E41EA6"/>
    <w:rsid w:val="00E43054"/>
    <w:rsid w:val="00E434C4"/>
    <w:rsid w:val="00E43CA0"/>
    <w:rsid w:val="00E448B7"/>
    <w:rsid w:val="00E44F5D"/>
    <w:rsid w:val="00E44FE4"/>
    <w:rsid w:val="00E45030"/>
    <w:rsid w:val="00E46013"/>
    <w:rsid w:val="00E46F85"/>
    <w:rsid w:val="00E471E4"/>
    <w:rsid w:val="00E477C3"/>
    <w:rsid w:val="00E47D2A"/>
    <w:rsid w:val="00E47F51"/>
    <w:rsid w:val="00E5048D"/>
    <w:rsid w:val="00E50AC4"/>
    <w:rsid w:val="00E50C62"/>
    <w:rsid w:val="00E51077"/>
    <w:rsid w:val="00E5132D"/>
    <w:rsid w:val="00E51672"/>
    <w:rsid w:val="00E51741"/>
    <w:rsid w:val="00E5193F"/>
    <w:rsid w:val="00E51E16"/>
    <w:rsid w:val="00E52151"/>
    <w:rsid w:val="00E53730"/>
    <w:rsid w:val="00E53C46"/>
    <w:rsid w:val="00E54221"/>
    <w:rsid w:val="00E54511"/>
    <w:rsid w:val="00E548BE"/>
    <w:rsid w:val="00E54978"/>
    <w:rsid w:val="00E54DFE"/>
    <w:rsid w:val="00E55926"/>
    <w:rsid w:val="00E55DC3"/>
    <w:rsid w:val="00E56075"/>
    <w:rsid w:val="00E563E9"/>
    <w:rsid w:val="00E5661B"/>
    <w:rsid w:val="00E57577"/>
    <w:rsid w:val="00E60047"/>
    <w:rsid w:val="00E60C06"/>
    <w:rsid w:val="00E614F3"/>
    <w:rsid w:val="00E62043"/>
    <w:rsid w:val="00E621FA"/>
    <w:rsid w:val="00E626B9"/>
    <w:rsid w:val="00E627C9"/>
    <w:rsid w:val="00E630F3"/>
    <w:rsid w:val="00E6320E"/>
    <w:rsid w:val="00E63663"/>
    <w:rsid w:val="00E63E3C"/>
    <w:rsid w:val="00E642BE"/>
    <w:rsid w:val="00E65198"/>
    <w:rsid w:val="00E65394"/>
    <w:rsid w:val="00E6585E"/>
    <w:rsid w:val="00E664FB"/>
    <w:rsid w:val="00E665F8"/>
    <w:rsid w:val="00E66F0D"/>
    <w:rsid w:val="00E67846"/>
    <w:rsid w:val="00E70615"/>
    <w:rsid w:val="00E710DE"/>
    <w:rsid w:val="00E71327"/>
    <w:rsid w:val="00E71A5E"/>
    <w:rsid w:val="00E7207B"/>
    <w:rsid w:val="00E7347A"/>
    <w:rsid w:val="00E73FA2"/>
    <w:rsid w:val="00E746F4"/>
    <w:rsid w:val="00E7480D"/>
    <w:rsid w:val="00E7486A"/>
    <w:rsid w:val="00E74E56"/>
    <w:rsid w:val="00E75261"/>
    <w:rsid w:val="00E75325"/>
    <w:rsid w:val="00E754F4"/>
    <w:rsid w:val="00E7558A"/>
    <w:rsid w:val="00E75A47"/>
    <w:rsid w:val="00E75D8C"/>
    <w:rsid w:val="00E75DC9"/>
    <w:rsid w:val="00E764A4"/>
    <w:rsid w:val="00E76D0B"/>
    <w:rsid w:val="00E77771"/>
    <w:rsid w:val="00E777F2"/>
    <w:rsid w:val="00E77965"/>
    <w:rsid w:val="00E779ED"/>
    <w:rsid w:val="00E802C9"/>
    <w:rsid w:val="00E80579"/>
    <w:rsid w:val="00E80EDD"/>
    <w:rsid w:val="00E80F0A"/>
    <w:rsid w:val="00E81A6A"/>
    <w:rsid w:val="00E824C3"/>
    <w:rsid w:val="00E828EA"/>
    <w:rsid w:val="00E8291B"/>
    <w:rsid w:val="00E8395F"/>
    <w:rsid w:val="00E83BAE"/>
    <w:rsid w:val="00E83E4C"/>
    <w:rsid w:val="00E8473F"/>
    <w:rsid w:val="00E857EB"/>
    <w:rsid w:val="00E85A7D"/>
    <w:rsid w:val="00E85E41"/>
    <w:rsid w:val="00E85EA1"/>
    <w:rsid w:val="00E860DF"/>
    <w:rsid w:val="00E8610B"/>
    <w:rsid w:val="00E8676B"/>
    <w:rsid w:val="00E86C86"/>
    <w:rsid w:val="00E86FED"/>
    <w:rsid w:val="00E905A4"/>
    <w:rsid w:val="00E90893"/>
    <w:rsid w:val="00E91044"/>
    <w:rsid w:val="00E910D3"/>
    <w:rsid w:val="00E9214B"/>
    <w:rsid w:val="00E923CF"/>
    <w:rsid w:val="00E93225"/>
    <w:rsid w:val="00E9335F"/>
    <w:rsid w:val="00E941DA"/>
    <w:rsid w:val="00E95111"/>
    <w:rsid w:val="00E95509"/>
    <w:rsid w:val="00E96C26"/>
    <w:rsid w:val="00E97B78"/>
    <w:rsid w:val="00E97C7C"/>
    <w:rsid w:val="00E97E4D"/>
    <w:rsid w:val="00EA061E"/>
    <w:rsid w:val="00EA1359"/>
    <w:rsid w:val="00EA14C8"/>
    <w:rsid w:val="00EA19D3"/>
    <w:rsid w:val="00EA2358"/>
    <w:rsid w:val="00EA2474"/>
    <w:rsid w:val="00EA2596"/>
    <w:rsid w:val="00EA2C7C"/>
    <w:rsid w:val="00EA2C8B"/>
    <w:rsid w:val="00EA3399"/>
    <w:rsid w:val="00EA3536"/>
    <w:rsid w:val="00EA3582"/>
    <w:rsid w:val="00EA4103"/>
    <w:rsid w:val="00EA55B6"/>
    <w:rsid w:val="00EA6649"/>
    <w:rsid w:val="00EA6ACC"/>
    <w:rsid w:val="00EB04D9"/>
    <w:rsid w:val="00EB05D0"/>
    <w:rsid w:val="00EB07C5"/>
    <w:rsid w:val="00EB107E"/>
    <w:rsid w:val="00EB1859"/>
    <w:rsid w:val="00EB1D49"/>
    <w:rsid w:val="00EB26DF"/>
    <w:rsid w:val="00EB31E8"/>
    <w:rsid w:val="00EB369B"/>
    <w:rsid w:val="00EB42DD"/>
    <w:rsid w:val="00EB4383"/>
    <w:rsid w:val="00EB5057"/>
    <w:rsid w:val="00EB5318"/>
    <w:rsid w:val="00EB559F"/>
    <w:rsid w:val="00EB565C"/>
    <w:rsid w:val="00EB5AB4"/>
    <w:rsid w:val="00EB5F3D"/>
    <w:rsid w:val="00EB6196"/>
    <w:rsid w:val="00EB6E57"/>
    <w:rsid w:val="00EB6EC2"/>
    <w:rsid w:val="00EB7A13"/>
    <w:rsid w:val="00EC0808"/>
    <w:rsid w:val="00EC0DCB"/>
    <w:rsid w:val="00EC1653"/>
    <w:rsid w:val="00EC1CEB"/>
    <w:rsid w:val="00EC2485"/>
    <w:rsid w:val="00EC268C"/>
    <w:rsid w:val="00EC354F"/>
    <w:rsid w:val="00EC3602"/>
    <w:rsid w:val="00EC364A"/>
    <w:rsid w:val="00EC3717"/>
    <w:rsid w:val="00EC3753"/>
    <w:rsid w:val="00EC376A"/>
    <w:rsid w:val="00EC3CB8"/>
    <w:rsid w:val="00EC3D46"/>
    <w:rsid w:val="00EC4E71"/>
    <w:rsid w:val="00EC569A"/>
    <w:rsid w:val="00EC583C"/>
    <w:rsid w:val="00EC65E1"/>
    <w:rsid w:val="00EC6667"/>
    <w:rsid w:val="00EC7326"/>
    <w:rsid w:val="00EC7451"/>
    <w:rsid w:val="00EC7531"/>
    <w:rsid w:val="00EC78B5"/>
    <w:rsid w:val="00ED0365"/>
    <w:rsid w:val="00ED0865"/>
    <w:rsid w:val="00ED094F"/>
    <w:rsid w:val="00ED16B6"/>
    <w:rsid w:val="00ED1C60"/>
    <w:rsid w:val="00ED1C7A"/>
    <w:rsid w:val="00ED1EAC"/>
    <w:rsid w:val="00ED2A3B"/>
    <w:rsid w:val="00ED2EB9"/>
    <w:rsid w:val="00ED33F8"/>
    <w:rsid w:val="00ED423D"/>
    <w:rsid w:val="00ED4469"/>
    <w:rsid w:val="00ED517E"/>
    <w:rsid w:val="00ED550D"/>
    <w:rsid w:val="00ED5F23"/>
    <w:rsid w:val="00ED625E"/>
    <w:rsid w:val="00ED6365"/>
    <w:rsid w:val="00ED6B7B"/>
    <w:rsid w:val="00ED6DC0"/>
    <w:rsid w:val="00ED79CE"/>
    <w:rsid w:val="00ED7A7A"/>
    <w:rsid w:val="00EE038C"/>
    <w:rsid w:val="00EE040B"/>
    <w:rsid w:val="00EE0A00"/>
    <w:rsid w:val="00EE17FB"/>
    <w:rsid w:val="00EE4339"/>
    <w:rsid w:val="00EE464E"/>
    <w:rsid w:val="00EE47C5"/>
    <w:rsid w:val="00EE490C"/>
    <w:rsid w:val="00EE4938"/>
    <w:rsid w:val="00EE4985"/>
    <w:rsid w:val="00EE4E02"/>
    <w:rsid w:val="00EE5489"/>
    <w:rsid w:val="00EE613B"/>
    <w:rsid w:val="00EE6DC9"/>
    <w:rsid w:val="00EE6EA2"/>
    <w:rsid w:val="00EE7E0F"/>
    <w:rsid w:val="00EE7E17"/>
    <w:rsid w:val="00EF05B5"/>
    <w:rsid w:val="00EF0913"/>
    <w:rsid w:val="00EF18A3"/>
    <w:rsid w:val="00EF2C8E"/>
    <w:rsid w:val="00EF314A"/>
    <w:rsid w:val="00EF367F"/>
    <w:rsid w:val="00EF3A0D"/>
    <w:rsid w:val="00EF3CEB"/>
    <w:rsid w:val="00EF41A8"/>
    <w:rsid w:val="00EF44FB"/>
    <w:rsid w:val="00EF4D3C"/>
    <w:rsid w:val="00EF5554"/>
    <w:rsid w:val="00EF5AD8"/>
    <w:rsid w:val="00EF5D2F"/>
    <w:rsid w:val="00EF63F5"/>
    <w:rsid w:val="00EF65AA"/>
    <w:rsid w:val="00EF6758"/>
    <w:rsid w:val="00EF6B90"/>
    <w:rsid w:val="00EF6F6F"/>
    <w:rsid w:val="00EF70AE"/>
    <w:rsid w:val="00EF79F7"/>
    <w:rsid w:val="00F003AC"/>
    <w:rsid w:val="00F00418"/>
    <w:rsid w:val="00F006C0"/>
    <w:rsid w:val="00F01061"/>
    <w:rsid w:val="00F019AA"/>
    <w:rsid w:val="00F02151"/>
    <w:rsid w:val="00F023E9"/>
    <w:rsid w:val="00F0267E"/>
    <w:rsid w:val="00F02686"/>
    <w:rsid w:val="00F02E53"/>
    <w:rsid w:val="00F03D5A"/>
    <w:rsid w:val="00F04247"/>
    <w:rsid w:val="00F0459B"/>
    <w:rsid w:val="00F04E15"/>
    <w:rsid w:val="00F05DF3"/>
    <w:rsid w:val="00F05FF3"/>
    <w:rsid w:val="00F0630D"/>
    <w:rsid w:val="00F0641B"/>
    <w:rsid w:val="00F069EA"/>
    <w:rsid w:val="00F06B0D"/>
    <w:rsid w:val="00F07281"/>
    <w:rsid w:val="00F0789C"/>
    <w:rsid w:val="00F07B6E"/>
    <w:rsid w:val="00F07D7A"/>
    <w:rsid w:val="00F07DF8"/>
    <w:rsid w:val="00F10A25"/>
    <w:rsid w:val="00F11461"/>
    <w:rsid w:val="00F11675"/>
    <w:rsid w:val="00F1182D"/>
    <w:rsid w:val="00F124D9"/>
    <w:rsid w:val="00F12557"/>
    <w:rsid w:val="00F12B04"/>
    <w:rsid w:val="00F13A8F"/>
    <w:rsid w:val="00F14047"/>
    <w:rsid w:val="00F1448E"/>
    <w:rsid w:val="00F144F8"/>
    <w:rsid w:val="00F149C6"/>
    <w:rsid w:val="00F14DF8"/>
    <w:rsid w:val="00F14E59"/>
    <w:rsid w:val="00F16041"/>
    <w:rsid w:val="00F164A3"/>
    <w:rsid w:val="00F17281"/>
    <w:rsid w:val="00F17AD9"/>
    <w:rsid w:val="00F17F74"/>
    <w:rsid w:val="00F202C2"/>
    <w:rsid w:val="00F20372"/>
    <w:rsid w:val="00F21327"/>
    <w:rsid w:val="00F21852"/>
    <w:rsid w:val="00F22756"/>
    <w:rsid w:val="00F227C8"/>
    <w:rsid w:val="00F2296F"/>
    <w:rsid w:val="00F22D05"/>
    <w:rsid w:val="00F23890"/>
    <w:rsid w:val="00F24479"/>
    <w:rsid w:val="00F2447A"/>
    <w:rsid w:val="00F24638"/>
    <w:rsid w:val="00F24BB6"/>
    <w:rsid w:val="00F24C6A"/>
    <w:rsid w:val="00F25036"/>
    <w:rsid w:val="00F2504D"/>
    <w:rsid w:val="00F250D6"/>
    <w:rsid w:val="00F257CA"/>
    <w:rsid w:val="00F2637F"/>
    <w:rsid w:val="00F263A8"/>
    <w:rsid w:val="00F268F7"/>
    <w:rsid w:val="00F27280"/>
    <w:rsid w:val="00F3053D"/>
    <w:rsid w:val="00F30908"/>
    <w:rsid w:val="00F30BDB"/>
    <w:rsid w:val="00F30CF8"/>
    <w:rsid w:val="00F30E11"/>
    <w:rsid w:val="00F317E3"/>
    <w:rsid w:val="00F31EDF"/>
    <w:rsid w:val="00F32CDE"/>
    <w:rsid w:val="00F32D4C"/>
    <w:rsid w:val="00F330C6"/>
    <w:rsid w:val="00F34024"/>
    <w:rsid w:val="00F34641"/>
    <w:rsid w:val="00F34811"/>
    <w:rsid w:val="00F34B14"/>
    <w:rsid w:val="00F35AD1"/>
    <w:rsid w:val="00F35D04"/>
    <w:rsid w:val="00F35F2A"/>
    <w:rsid w:val="00F366C6"/>
    <w:rsid w:val="00F3680C"/>
    <w:rsid w:val="00F36A6A"/>
    <w:rsid w:val="00F40101"/>
    <w:rsid w:val="00F40383"/>
    <w:rsid w:val="00F404F7"/>
    <w:rsid w:val="00F40CCA"/>
    <w:rsid w:val="00F40F77"/>
    <w:rsid w:val="00F40FFB"/>
    <w:rsid w:val="00F41521"/>
    <w:rsid w:val="00F41975"/>
    <w:rsid w:val="00F41C0E"/>
    <w:rsid w:val="00F423A3"/>
    <w:rsid w:val="00F425AF"/>
    <w:rsid w:val="00F42CE6"/>
    <w:rsid w:val="00F42D97"/>
    <w:rsid w:val="00F43F09"/>
    <w:rsid w:val="00F442B0"/>
    <w:rsid w:val="00F44D4C"/>
    <w:rsid w:val="00F45093"/>
    <w:rsid w:val="00F45A72"/>
    <w:rsid w:val="00F45EC0"/>
    <w:rsid w:val="00F45FB9"/>
    <w:rsid w:val="00F46723"/>
    <w:rsid w:val="00F46E37"/>
    <w:rsid w:val="00F47350"/>
    <w:rsid w:val="00F47435"/>
    <w:rsid w:val="00F4768C"/>
    <w:rsid w:val="00F476FF"/>
    <w:rsid w:val="00F47E0D"/>
    <w:rsid w:val="00F50016"/>
    <w:rsid w:val="00F50647"/>
    <w:rsid w:val="00F5118A"/>
    <w:rsid w:val="00F51A21"/>
    <w:rsid w:val="00F51EAD"/>
    <w:rsid w:val="00F5276E"/>
    <w:rsid w:val="00F529F9"/>
    <w:rsid w:val="00F52C03"/>
    <w:rsid w:val="00F52E9F"/>
    <w:rsid w:val="00F53304"/>
    <w:rsid w:val="00F53D40"/>
    <w:rsid w:val="00F545ED"/>
    <w:rsid w:val="00F55A6A"/>
    <w:rsid w:val="00F56720"/>
    <w:rsid w:val="00F5687F"/>
    <w:rsid w:val="00F575C7"/>
    <w:rsid w:val="00F57B03"/>
    <w:rsid w:val="00F60305"/>
    <w:rsid w:val="00F6055C"/>
    <w:rsid w:val="00F61B12"/>
    <w:rsid w:val="00F61CC5"/>
    <w:rsid w:val="00F620A8"/>
    <w:rsid w:val="00F62398"/>
    <w:rsid w:val="00F631E8"/>
    <w:rsid w:val="00F63223"/>
    <w:rsid w:val="00F63264"/>
    <w:rsid w:val="00F6379E"/>
    <w:rsid w:val="00F64142"/>
    <w:rsid w:val="00F64231"/>
    <w:rsid w:val="00F64555"/>
    <w:rsid w:val="00F64BB4"/>
    <w:rsid w:val="00F653BB"/>
    <w:rsid w:val="00F657E9"/>
    <w:rsid w:val="00F65DBC"/>
    <w:rsid w:val="00F66232"/>
    <w:rsid w:val="00F6650D"/>
    <w:rsid w:val="00F70799"/>
    <w:rsid w:val="00F70906"/>
    <w:rsid w:val="00F70A8B"/>
    <w:rsid w:val="00F70CA9"/>
    <w:rsid w:val="00F70D50"/>
    <w:rsid w:val="00F70F00"/>
    <w:rsid w:val="00F71E38"/>
    <w:rsid w:val="00F720A1"/>
    <w:rsid w:val="00F724FB"/>
    <w:rsid w:val="00F72578"/>
    <w:rsid w:val="00F72A26"/>
    <w:rsid w:val="00F733C3"/>
    <w:rsid w:val="00F735E4"/>
    <w:rsid w:val="00F73724"/>
    <w:rsid w:val="00F74C44"/>
    <w:rsid w:val="00F756DD"/>
    <w:rsid w:val="00F75763"/>
    <w:rsid w:val="00F75DB3"/>
    <w:rsid w:val="00F76780"/>
    <w:rsid w:val="00F76BCA"/>
    <w:rsid w:val="00F77E6A"/>
    <w:rsid w:val="00F80047"/>
    <w:rsid w:val="00F80A72"/>
    <w:rsid w:val="00F80DBE"/>
    <w:rsid w:val="00F8104D"/>
    <w:rsid w:val="00F8146B"/>
    <w:rsid w:val="00F81587"/>
    <w:rsid w:val="00F816BF"/>
    <w:rsid w:val="00F818E1"/>
    <w:rsid w:val="00F82571"/>
    <w:rsid w:val="00F84CAE"/>
    <w:rsid w:val="00F84D24"/>
    <w:rsid w:val="00F85B72"/>
    <w:rsid w:val="00F85C9A"/>
    <w:rsid w:val="00F86B6D"/>
    <w:rsid w:val="00F8766F"/>
    <w:rsid w:val="00F90215"/>
    <w:rsid w:val="00F90322"/>
    <w:rsid w:val="00F90A76"/>
    <w:rsid w:val="00F9104C"/>
    <w:rsid w:val="00F91082"/>
    <w:rsid w:val="00F910B8"/>
    <w:rsid w:val="00F91A9A"/>
    <w:rsid w:val="00F9212C"/>
    <w:rsid w:val="00F92B21"/>
    <w:rsid w:val="00F93ABB"/>
    <w:rsid w:val="00F93C0E"/>
    <w:rsid w:val="00F94D79"/>
    <w:rsid w:val="00F95525"/>
    <w:rsid w:val="00F95DD2"/>
    <w:rsid w:val="00F95F4B"/>
    <w:rsid w:val="00F960AC"/>
    <w:rsid w:val="00F96CCE"/>
    <w:rsid w:val="00F97714"/>
    <w:rsid w:val="00F978E8"/>
    <w:rsid w:val="00F97C03"/>
    <w:rsid w:val="00F97E7E"/>
    <w:rsid w:val="00FA118A"/>
    <w:rsid w:val="00FA1786"/>
    <w:rsid w:val="00FA2B4C"/>
    <w:rsid w:val="00FA31C7"/>
    <w:rsid w:val="00FA4580"/>
    <w:rsid w:val="00FA46FD"/>
    <w:rsid w:val="00FA470D"/>
    <w:rsid w:val="00FA472D"/>
    <w:rsid w:val="00FA65B5"/>
    <w:rsid w:val="00FA6665"/>
    <w:rsid w:val="00FA6D53"/>
    <w:rsid w:val="00FA7254"/>
    <w:rsid w:val="00FA7A62"/>
    <w:rsid w:val="00FB0214"/>
    <w:rsid w:val="00FB0503"/>
    <w:rsid w:val="00FB080C"/>
    <w:rsid w:val="00FB0FD9"/>
    <w:rsid w:val="00FB12BC"/>
    <w:rsid w:val="00FB18F6"/>
    <w:rsid w:val="00FB2A52"/>
    <w:rsid w:val="00FB2F13"/>
    <w:rsid w:val="00FB3674"/>
    <w:rsid w:val="00FB36B9"/>
    <w:rsid w:val="00FB3A46"/>
    <w:rsid w:val="00FB3AEB"/>
    <w:rsid w:val="00FB400D"/>
    <w:rsid w:val="00FB411B"/>
    <w:rsid w:val="00FB431B"/>
    <w:rsid w:val="00FB474B"/>
    <w:rsid w:val="00FB4803"/>
    <w:rsid w:val="00FB55D3"/>
    <w:rsid w:val="00FB6173"/>
    <w:rsid w:val="00FB68D3"/>
    <w:rsid w:val="00FB6E19"/>
    <w:rsid w:val="00FB71F6"/>
    <w:rsid w:val="00FB74E7"/>
    <w:rsid w:val="00FB7C09"/>
    <w:rsid w:val="00FC0B94"/>
    <w:rsid w:val="00FC10DE"/>
    <w:rsid w:val="00FC1483"/>
    <w:rsid w:val="00FC17AA"/>
    <w:rsid w:val="00FC1C47"/>
    <w:rsid w:val="00FC243A"/>
    <w:rsid w:val="00FC2A2B"/>
    <w:rsid w:val="00FC301B"/>
    <w:rsid w:val="00FC32AC"/>
    <w:rsid w:val="00FC39ED"/>
    <w:rsid w:val="00FC4419"/>
    <w:rsid w:val="00FC47E2"/>
    <w:rsid w:val="00FC4AA5"/>
    <w:rsid w:val="00FC4F97"/>
    <w:rsid w:val="00FC5148"/>
    <w:rsid w:val="00FC5528"/>
    <w:rsid w:val="00FC5873"/>
    <w:rsid w:val="00FC5FB9"/>
    <w:rsid w:val="00FC6F5B"/>
    <w:rsid w:val="00FC7275"/>
    <w:rsid w:val="00FC75AC"/>
    <w:rsid w:val="00FD01BF"/>
    <w:rsid w:val="00FD0525"/>
    <w:rsid w:val="00FD06F8"/>
    <w:rsid w:val="00FD073B"/>
    <w:rsid w:val="00FD0F7F"/>
    <w:rsid w:val="00FD14DE"/>
    <w:rsid w:val="00FD297D"/>
    <w:rsid w:val="00FD298C"/>
    <w:rsid w:val="00FD2D13"/>
    <w:rsid w:val="00FD3D26"/>
    <w:rsid w:val="00FD3D33"/>
    <w:rsid w:val="00FD4789"/>
    <w:rsid w:val="00FD4E61"/>
    <w:rsid w:val="00FD516D"/>
    <w:rsid w:val="00FD59FE"/>
    <w:rsid w:val="00FD6071"/>
    <w:rsid w:val="00FD7AD8"/>
    <w:rsid w:val="00FE0794"/>
    <w:rsid w:val="00FE1041"/>
    <w:rsid w:val="00FE1E6B"/>
    <w:rsid w:val="00FE24CB"/>
    <w:rsid w:val="00FE3166"/>
    <w:rsid w:val="00FE3228"/>
    <w:rsid w:val="00FE3320"/>
    <w:rsid w:val="00FE3473"/>
    <w:rsid w:val="00FE353B"/>
    <w:rsid w:val="00FE381A"/>
    <w:rsid w:val="00FE3E81"/>
    <w:rsid w:val="00FE4049"/>
    <w:rsid w:val="00FE4794"/>
    <w:rsid w:val="00FE4929"/>
    <w:rsid w:val="00FE4BBC"/>
    <w:rsid w:val="00FE5DF7"/>
    <w:rsid w:val="00FE5F72"/>
    <w:rsid w:val="00FE65F2"/>
    <w:rsid w:val="00FE69DB"/>
    <w:rsid w:val="00FE6CFC"/>
    <w:rsid w:val="00FF0231"/>
    <w:rsid w:val="00FF1C9B"/>
    <w:rsid w:val="00FF1D49"/>
    <w:rsid w:val="00FF2547"/>
    <w:rsid w:val="00FF2562"/>
    <w:rsid w:val="00FF2CE1"/>
    <w:rsid w:val="00FF2E3A"/>
    <w:rsid w:val="00FF32F2"/>
    <w:rsid w:val="00FF3A41"/>
    <w:rsid w:val="00FF3DA3"/>
    <w:rsid w:val="00FF3E5B"/>
    <w:rsid w:val="00FF4967"/>
    <w:rsid w:val="00FF4D58"/>
    <w:rsid w:val="00FF544F"/>
    <w:rsid w:val="00FF5644"/>
    <w:rsid w:val="00FF57E4"/>
    <w:rsid w:val="00FF6D28"/>
    <w:rsid w:val="00FF73B0"/>
    <w:rsid w:val="00FF75D9"/>
    <w:rsid w:val="00FF777A"/>
    <w:rsid w:val="00FF78E5"/>
    <w:rsid w:val="0148439F"/>
    <w:rsid w:val="0157499D"/>
    <w:rsid w:val="01607243"/>
    <w:rsid w:val="01AE0A54"/>
    <w:rsid w:val="01C454EB"/>
    <w:rsid w:val="021537FC"/>
    <w:rsid w:val="02175ABA"/>
    <w:rsid w:val="02511F9D"/>
    <w:rsid w:val="02852455"/>
    <w:rsid w:val="02FD2C3D"/>
    <w:rsid w:val="03056ED3"/>
    <w:rsid w:val="031A58C7"/>
    <w:rsid w:val="03511D3E"/>
    <w:rsid w:val="03551EBF"/>
    <w:rsid w:val="03A314B8"/>
    <w:rsid w:val="03D82B98"/>
    <w:rsid w:val="03F83E8B"/>
    <w:rsid w:val="040276DA"/>
    <w:rsid w:val="043D224C"/>
    <w:rsid w:val="04934A97"/>
    <w:rsid w:val="04B96D4E"/>
    <w:rsid w:val="050558D1"/>
    <w:rsid w:val="059C2407"/>
    <w:rsid w:val="05F55B88"/>
    <w:rsid w:val="06450013"/>
    <w:rsid w:val="067559E5"/>
    <w:rsid w:val="06AF1AA7"/>
    <w:rsid w:val="06CD0710"/>
    <w:rsid w:val="06EF90F6"/>
    <w:rsid w:val="07377B21"/>
    <w:rsid w:val="074849F2"/>
    <w:rsid w:val="07542F1D"/>
    <w:rsid w:val="076108F6"/>
    <w:rsid w:val="07635347"/>
    <w:rsid w:val="078E0E32"/>
    <w:rsid w:val="07B72767"/>
    <w:rsid w:val="07E409FF"/>
    <w:rsid w:val="08077E72"/>
    <w:rsid w:val="08082ABC"/>
    <w:rsid w:val="084D0205"/>
    <w:rsid w:val="086230FE"/>
    <w:rsid w:val="08D631A4"/>
    <w:rsid w:val="09270E73"/>
    <w:rsid w:val="09CC2AAC"/>
    <w:rsid w:val="09D820EE"/>
    <w:rsid w:val="0A45783E"/>
    <w:rsid w:val="0A4D7496"/>
    <w:rsid w:val="0A620161"/>
    <w:rsid w:val="0A652D3E"/>
    <w:rsid w:val="0A9F669C"/>
    <w:rsid w:val="0AA80665"/>
    <w:rsid w:val="0ABC6864"/>
    <w:rsid w:val="0B253A7F"/>
    <w:rsid w:val="0B3A48F0"/>
    <w:rsid w:val="0BF14061"/>
    <w:rsid w:val="0C0C21B7"/>
    <w:rsid w:val="0C1A7456"/>
    <w:rsid w:val="0C46302D"/>
    <w:rsid w:val="0C5B5583"/>
    <w:rsid w:val="0C7C397B"/>
    <w:rsid w:val="0C874EE1"/>
    <w:rsid w:val="0C8C215D"/>
    <w:rsid w:val="0C92213C"/>
    <w:rsid w:val="0CFE2027"/>
    <w:rsid w:val="0D123B1F"/>
    <w:rsid w:val="0D4F221D"/>
    <w:rsid w:val="0D84032B"/>
    <w:rsid w:val="0DB35805"/>
    <w:rsid w:val="0E4627C1"/>
    <w:rsid w:val="0E682AF0"/>
    <w:rsid w:val="0ED317E0"/>
    <w:rsid w:val="0EF06D29"/>
    <w:rsid w:val="0EFB7D6D"/>
    <w:rsid w:val="0F0A0484"/>
    <w:rsid w:val="0F1A576B"/>
    <w:rsid w:val="0F490B74"/>
    <w:rsid w:val="0F4A210C"/>
    <w:rsid w:val="0F5B5CA3"/>
    <w:rsid w:val="0FE62AFB"/>
    <w:rsid w:val="100365AF"/>
    <w:rsid w:val="10562B9F"/>
    <w:rsid w:val="109B7405"/>
    <w:rsid w:val="10A27F31"/>
    <w:rsid w:val="10AD7440"/>
    <w:rsid w:val="10CA487C"/>
    <w:rsid w:val="11927058"/>
    <w:rsid w:val="11A814B1"/>
    <w:rsid w:val="11F858C2"/>
    <w:rsid w:val="120B4E61"/>
    <w:rsid w:val="126537F7"/>
    <w:rsid w:val="12AA08CA"/>
    <w:rsid w:val="134A20EA"/>
    <w:rsid w:val="137B1FCF"/>
    <w:rsid w:val="13AF4F03"/>
    <w:rsid w:val="13D92713"/>
    <w:rsid w:val="13F47945"/>
    <w:rsid w:val="142D0E0E"/>
    <w:rsid w:val="142D568B"/>
    <w:rsid w:val="14355538"/>
    <w:rsid w:val="14736E66"/>
    <w:rsid w:val="149B6AC2"/>
    <w:rsid w:val="14A1343A"/>
    <w:rsid w:val="14A16D5C"/>
    <w:rsid w:val="150E46AA"/>
    <w:rsid w:val="15293653"/>
    <w:rsid w:val="1534169A"/>
    <w:rsid w:val="15C03E03"/>
    <w:rsid w:val="162A25EB"/>
    <w:rsid w:val="1636448C"/>
    <w:rsid w:val="1637733E"/>
    <w:rsid w:val="1674297A"/>
    <w:rsid w:val="16B10BEB"/>
    <w:rsid w:val="16FD2A55"/>
    <w:rsid w:val="17242EA0"/>
    <w:rsid w:val="17366761"/>
    <w:rsid w:val="17786B05"/>
    <w:rsid w:val="177C01F0"/>
    <w:rsid w:val="178057B9"/>
    <w:rsid w:val="17B22C3C"/>
    <w:rsid w:val="17CA7831"/>
    <w:rsid w:val="17CE6630"/>
    <w:rsid w:val="182A6618"/>
    <w:rsid w:val="192810DD"/>
    <w:rsid w:val="19282DAB"/>
    <w:rsid w:val="192C1E86"/>
    <w:rsid w:val="19820BA0"/>
    <w:rsid w:val="19D22FFA"/>
    <w:rsid w:val="19EF44B5"/>
    <w:rsid w:val="1A93116F"/>
    <w:rsid w:val="1AA9189B"/>
    <w:rsid w:val="1AFA16D5"/>
    <w:rsid w:val="1B4F19F8"/>
    <w:rsid w:val="1B510629"/>
    <w:rsid w:val="1BD92184"/>
    <w:rsid w:val="1C0F6CA1"/>
    <w:rsid w:val="1C1D2E57"/>
    <w:rsid w:val="1C5170A2"/>
    <w:rsid w:val="1C8D751A"/>
    <w:rsid w:val="1D4061A8"/>
    <w:rsid w:val="1D6628F1"/>
    <w:rsid w:val="1D736631"/>
    <w:rsid w:val="1DB33834"/>
    <w:rsid w:val="1E214ADD"/>
    <w:rsid w:val="1E9B4F4B"/>
    <w:rsid w:val="1EA469C8"/>
    <w:rsid w:val="1EAA34D4"/>
    <w:rsid w:val="1EEC67B8"/>
    <w:rsid w:val="1F063325"/>
    <w:rsid w:val="1F5A411E"/>
    <w:rsid w:val="1F8E3ECE"/>
    <w:rsid w:val="1FBC5DF5"/>
    <w:rsid w:val="1FC55574"/>
    <w:rsid w:val="1FC79196"/>
    <w:rsid w:val="20C90675"/>
    <w:rsid w:val="20D8456F"/>
    <w:rsid w:val="21155B27"/>
    <w:rsid w:val="212E2149"/>
    <w:rsid w:val="217A776E"/>
    <w:rsid w:val="21B83F86"/>
    <w:rsid w:val="21E55E66"/>
    <w:rsid w:val="21F7589F"/>
    <w:rsid w:val="221178A8"/>
    <w:rsid w:val="221213CF"/>
    <w:rsid w:val="221E3587"/>
    <w:rsid w:val="22327A92"/>
    <w:rsid w:val="22586C68"/>
    <w:rsid w:val="226F2C30"/>
    <w:rsid w:val="22965435"/>
    <w:rsid w:val="22BD6F35"/>
    <w:rsid w:val="22E65A67"/>
    <w:rsid w:val="231D53A2"/>
    <w:rsid w:val="23B7504C"/>
    <w:rsid w:val="23CD5F1F"/>
    <w:rsid w:val="243A0633"/>
    <w:rsid w:val="24571307"/>
    <w:rsid w:val="24BA2984"/>
    <w:rsid w:val="24DD5F51"/>
    <w:rsid w:val="25246333"/>
    <w:rsid w:val="25312B28"/>
    <w:rsid w:val="254D39C9"/>
    <w:rsid w:val="2572574F"/>
    <w:rsid w:val="25E2372E"/>
    <w:rsid w:val="26084C45"/>
    <w:rsid w:val="263F09D0"/>
    <w:rsid w:val="26446DE3"/>
    <w:rsid w:val="264D165B"/>
    <w:rsid w:val="265F50CC"/>
    <w:rsid w:val="26D7699F"/>
    <w:rsid w:val="274A5E17"/>
    <w:rsid w:val="277701AF"/>
    <w:rsid w:val="27A412E1"/>
    <w:rsid w:val="27CF3DFB"/>
    <w:rsid w:val="28A15980"/>
    <w:rsid w:val="29112183"/>
    <w:rsid w:val="29433616"/>
    <w:rsid w:val="29970C8B"/>
    <w:rsid w:val="29B1567A"/>
    <w:rsid w:val="29BA4A6D"/>
    <w:rsid w:val="29BE3561"/>
    <w:rsid w:val="29F9742E"/>
    <w:rsid w:val="2AFA091D"/>
    <w:rsid w:val="2B09065E"/>
    <w:rsid w:val="2B2524AF"/>
    <w:rsid w:val="2B4A7790"/>
    <w:rsid w:val="2B774624"/>
    <w:rsid w:val="2BC068DD"/>
    <w:rsid w:val="2C6B0DAC"/>
    <w:rsid w:val="2C7A72BE"/>
    <w:rsid w:val="2CA60AE6"/>
    <w:rsid w:val="2CAB0320"/>
    <w:rsid w:val="2CB618F7"/>
    <w:rsid w:val="2CC15D95"/>
    <w:rsid w:val="2CD73E3A"/>
    <w:rsid w:val="2CDD4252"/>
    <w:rsid w:val="2D3E1DC4"/>
    <w:rsid w:val="2DFB2B91"/>
    <w:rsid w:val="2E300912"/>
    <w:rsid w:val="2EE357F8"/>
    <w:rsid w:val="2F086D2E"/>
    <w:rsid w:val="2F401D3C"/>
    <w:rsid w:val="2F902C6A"/>
    <w:rsid w:val="2FA95C88"/>
    <w:rsid w:val="2FC56437"/>
    <w:rsid w:val="3041370F"/>
    <w:rsid w:val="30930421"/>
    <w:rsid w:val="30C9346B"/>
    <w:rsid w:val="31083A05"/>
    <w:rsid w:val="31EF095E"/>
    <w:rsid w:val="32453A27"/>
    <w:rsid w:val="3263064A"/>
    <w:rsid w:val="32A270EC"/>
    <w:rsid w:val="32AC0C06"/>
    <w:rsid w:val="32B81329"/>
    <w:rsid w:val="3319583A"/>
    <w:rsid w:val="332155C1"/>
    <w:rsid w:val="336B1DBC"/>
    <w:rsid w:val="33995376"/>
    <w:rsid w:val="33F5675D"/>
    <w:rsid w:val="34CC3592"/>
    <w:rsid w:val="35300A8B"/>
    <w:rsid w:val="3537750C"/>
    <w:rsid w:val="3537798C"/>
    <w:rsid w:val="355E4E09"/>
    <w:rsid w:val="35712691"/>
    <w:rsid w:val="357F7ED5"/>
    <w:rsid w:val="358A35D7"/>
    <w:rsid w:val="35C13FC9"/>
    <w:rsid w:val="362E6D87"/>
    <w:rsid w:val="364257B6"/>
    <w:rsid w:val="36440A25"/>
    <w:rsid w:val="36AF189B"/>
    <w:rsid w:val="36F834D1"/>
    <w:rsid w:val="374264D3"/>
    <w:rsid w:val="377B5129"/>
    <w:rsid w:val="37CA6031"/>
    <w:rsid w:val="37DB7874"/>
    <w:rsid w:val="37EA5922"/>
    <w:rsid w:val="38276B93"/>
    <w:rsid w:val="382B24F3"/>
    <w:rsid w:val="384B2B60"/>
    <w:rsid w:val="385F7BAD"/>
    <w:rsid w:val="389870B7"/>
    <w:rsid w:val="389F1F2B"/>
    <w:rsid w:val="38B47BE8"/>
    <w:rsid w:val="39052698"/>
    <w:rsid w:val="392B7A17"/>
    <w:rsid w:val="395123E3"/>
    <w:rsid w:val="398E3D8C"/>
    <w:rsid w:val="3A0B64A7"/>
    <w:rsid w:val="3A932E6A"/>
    <w:rsid w:val="3A970240"/>
    <w:rsid w:val="3AAC3BE1"/>
    <w:rsid w:val="3AF74C02"/>
    <w:rsid w:val="3B196D16"/>
    <w:rsid w:val="3B2A616C"/>
    <w:rsid w:val="3B4846E0"/>
    <w:rsid w:val="3B8A2723"/>
    <w:rsid w:val="3C0059A5"/>
    <w:rsid w:val="3C06627C"/>
    <w:rsid w:val="3C0C2277"/>
    <w:rsid w:val="3C134E78"/>
    <w:rsid w:val="3C465FE8"/>
    <w:rsid w:val="3CC745CB"/>
    <w:rsid w:val="3CC91BE1"/>
    <w:rsid w:val="3DF6345D"/>
    <w:rsid w:val="3E4F65FC"/>
    <w:rsid w:val="3E5A082D"/>
    <w:rsid w:val="3E5D6DBD"/>
    <w:rsid w:val="3EC357A9"/>
    <w:rsid w:val="3EE13701"/>
    <w:rsid w:val="3F1A4BB3"/>
    <w:rsid w:val="3F4F6E00"/>
    <w:rsid w:val="3F7E32FB"/>
    <w:rsid w:val="3FA441BB"/>
    <w:rsid w:val="3FFC922E"/>
    <w:rsid w:val="40192BA6"/>
    <w:rsid w:val="40280C3B"/>
    <w:rsid w:val="403800A5"/>
    <w:rsid w:val="40653202"/>
    <w:rsid w:val="418910F7"/>
    <w:rsid w:val="41CD173C"/>
    <w:rsid w:val="42550A18"/>
    <w:rsid w:val="42C6780A"/>
    <w:rsid w:val="42F473A1"/>
    <w:rsid w:val="43A31772"/>
    <w:rsid w:val="43D90638"/>
    <w:rsid w:val="441E62C0"/>
    <w:rsid w:val="44274ACD"/>
    <w:rsid w:val="44856D19"/>
    <w:rsid w:val="45050103"/>
    <w:rsid w:val="4519645D"/>
    <w:rsid w:val="453060EF"/>
    <w:rsid w:val="453C0FCD"/>
    <w:rsid w:val="45811C7C"/>
    <w:rsid w:val="45883C8A"/>
    <w:rsid w:val="45D363A4"/>
    <w:rsid w:val="46053138"/>
    <w:rsid w:val="462E5798"/>
    <w:rsid w:val="468B3EFB"/>
    <w:rsid w:val="470A6193"/>
    <w:rsid w:val="470C2B6D"/>
    <w:rsid w:val="472A1176"/>
    <w:rsid w:val="47857E97"/>
    <w:rsid w:val="47A60FD1"/>
    <w:rsid w:val="47DC4F5C"/>
    <w:rsid w:val="483C3354"/>
    <w:rsid w:val="483E416F"/>
    <w:rsid w:val="48AD2F65"/>
    <w:rsid w:val="48B40671"/>
    <w:rsid w:val="48CE1B06"/>
    <w:rsid w:val="490F161A"/>
    <w:rsid w:val="4923193C"/>
    <w:rsid w:val="499B5738"/>
    <w:rsid w:val="499F244D"/>
    <w:rsid w:val="49EB5B6D"/>
    <w:rsid w:val="4A131EB2"/>
    <w:rsid w:val="4A6511C2"/>
    <w:rsid w:val="4A8F58C2"/>
    <w:rsid w:val="4A9B460E"/>
    <w:rsid w:val="4AD02480"/>
    <w:rsid w:val="4ADA5263"/>
    <w:rsid w:val="4AF31588"/>
    <w:rsid w:val="4AF96BC7"/>
    <w:rsid w:val="4AFF58AA"/>
    <w:rsid w:val="4B550028"/>
    <w:rsid w:val="4B8F1CF9"/>
    <w:rsid w:val="4B9E3CCB"/>
    <w:rsid w:val="4BAB29C4"/>
    <w:rsid w:val="4BBF4A43"/>
    <w:rsid w:val="4BD60E52"/>
    <w:rsid w:val="4BFB4050"/>
    <w:rsid w:val="4C9956F4"/>
    <w:rsid w:val="4CEF36E2"/>
    <w:rsid w:val="4D195D1F"/>
    <w:rsid w:val="4D3B1120"/>
    <w:rsid w:val="4D491AAD"/>
    <w:rsid w:val="4DBC3CE3"/>
    <w:rsid w:val="4E190D4C"/>
    <w:rsid w:val="4E960F88"/>
    <w:rsid w:val="4F323738"/>
    <w:rsid w:val="4F372FFB"/>
    <w:rsid w:val="4F416B96"/>
    <w:rsid w:val="4FA76FA4"/>
    <w:rsid w:val="501F70B7"/>
    <w:rsid w:val="50377BE1"/>
    <w:rsid w:val="50EA09E2"/>
    <w:rsid w:val="511F28EF"/>
    <w:rsid w:val="513F391C"/>
    <w:rsid w:val="51564E44"/>
    <w:rsid w:val="517F788E"/>
    <w:rsid w:val="51F36455"/>
    <w:rsid w:val="528B7B6E"/>
    <w:rsid w:val="52C10D75"/>
    <w:rsid w:val="532678A1"/>
    <w:rsid w:val="540D0DE9"/>
    <w:rsid w:val="54464931"/>
    <w:rsid w:val="54866D6A"/>
    <w:rsid w:val="548811A0"/>
    <w:rsid w:val="54A65270"/>
    <w:rsid w:val="550C4BD7"/>
    <w:rsid w:val="551663CF"/>
    <w:rsid w:val="554C26EA"/>
    <w:rsid w:val="554F6EC6"/>
    <w:rsid w:val="55572986"/>
    <w:rsid w:val="56537644"/>
    <w:rsid w:val="56F2777F"/>
    <w:rsid w:val="576D4123"/>
    <w:rsid w:val="57FD17E8"/>
    <w:rsid w:val="58026005"/>
    <w:rsid w:val="584524BE"/>
    <w:rsid w:val="58555278"/>
    <w:rsid w:val="585D4240"/>
    <w:rsid w:val="58DC7930"/>
    <w:rsid w:val="58FC484E"/>
    <w:rsid w:val="597A4752"/>
    <w:rsid w:val="5A256430"/>
    <w:rsid w:val="5A4F449D"/>
    <w:rsid w:val="5A913874"/>
    <w:rsid w:val="5A957D93"/>
    <w:rsid w:val="5B3760D9"/>
    <w:rsid w:val="5B525F18"/>
    <w:rsid w:val="5BCF326D"/>
    <w:rsid w:val="5BD2403C"/>
    <w:rsid w:val="5BED775E"/>
    <w:rsid w:val="5C3B767F"/>
    <w:rsid w:val="5C990788"/>
    <w:rsid w:val="5CE0402E"/>
    <w:rsid w:val="5D2317D1"/>
    <w:rsid w:val="5D5C2DED"/>
    <w:rsid w:val="5E677E16"/>
    <w:rsid w:val="5E7E788C"/>
    <w:rsid w:val="5E9E9DE1"/>
    <w:rsid w:val="5EB917DE"/>
    <w:rsid w:val="5F19665E"/>
    <w:rsid w:val="5F261AF2"/>
    <w:rsid w:val="5F496E60"/>
    <w:rsid w:val="5F4B7FF6"/>
    <w:rsid w:val="5F4C7F36"/>
    <w:rsid w:val="5F80710D"/>
    <w:rsid w:val="5FA669D2"/>
    <w:rsid w:val="5FCE3740"/>
    <w:rsid w:val="5FEDC0D3"/>
    <w:rsid w:val="600450EA"/>
    <w:rsid w:val="60524B81"/>
    <w:rsid w:val="606007BB"/>
    <w:rsid w:val="60AC7F66"/>
    <w:rsid w:val="60EF46F9"/>
    <w:rsid w:val="6117688E"/>
    <w:rsid w:val="611B57A3"/>
    <w:rsid w:val="614E21B2"/>
    <w:rsid w:val="616C6B1B"/>
    <w:rsid w:val="617B2C18"/>
    <w:rsid w:val="618835DC"/>
    <w:rsid w:val="61A97E53"/>
    <w:rsid w:val="61B315EC"/>
    <w:rsid w:val="61B45D18"/>
    <w:rsid w:val="61BF10D9"/>
    <w:rsid w:val="61FC00AF"/>
    <w:rsid w:val="621934B2"/>
    <w:rsid w:val="6221163C"/>
    <w:rsid w:val="62693A23"/>
    <w:rsid w:val="629F7BDB"/>
    <w:rsid w:val="62AB7839"/>
    <w:rsid w:val="62C60707"/>
    <w:rsid w:val="632632D6"/>
    <w:rsid w:val="63BF2F8B"/>
    <w:rsid w:val="640C7C21"/>
    <w:rsid w:val="643F0D73"/>
    <w:rsid w:val="64422EE1"/>
    <w:rsid w:val="649E64A2"/>
    <w:rsid w:val="64E45EF7"/>
    <w:rsid w:val="65B55790"/>
    <w:rsid w:val="65F954B8"/>
    <w:rsid w:val="662E6454"/>
    <w:rsid w:val="6674153C"/>
    <w:rsid w:val="667562B7"/>
    <w:rsid w:val="66A57729"/>
    <w:rsid w:val="66CA7019"/>
    <w:rsid w:val="677435B2"/>
    <w:rsid w:val="677D6103"/>
    <w:rsid w:val="67D17294"/>
    <w:rsid w:val="67D55C76"/>
    <w:rsid w:val="67E47ECF"/>
    <w:rsid w:val="67ED2B7D"/>
    <w:rsid w:val="67EF75F1"/>
    <w:rsid w:val="68705B53"/>
    <w:rsid w:val="68CA04BB"/>
    <w:rsid w:val="69124F16"/>
    <w:rsid w:val="692160D5"/>
    <w:rsid w:val="693E5A9D"/>
    <w:rsid w:val="694926E6"/>
    <w:rsid w:val="69670FFD"/>
    <w:rsid w:val="699530B2"/>
    <w:rsid w:val="69975FB2"/>
    <w:rsid w:val="69C64B0E"/>
    <w:rsid w:val="69CD5C14"/>
    <w:rsid w:val="69CF0D33"/>
    <w:rsid w:val="6A1A43E1"/>
    <w:rsid w:val="6A2C3962"/>
    <w:rsid w:val="6A981871"/>
    <w:rsid w:val="6AB24495"/>
    <w:rsid w:val="6AB53CD9"/>
    <w:rsid w:val="6B11480E"/>
    <w:rsid w:val="6B3307A3"/>
    <w:rsid w:val="6B745664"/>
    <w:rsid w:val="6B9946B3"/>
    <w:rsid w:val="6BEB3647"/>
    <w:rsid w:val="6C0202C4"/>
    <w:rsid w:val="6C5A01F2"/>
    <w:rsid w:val="6CA11ECA"/>
    <w:rsid w:val="6D1837C6"/>
    <w:rsid w:val="6D2D1D17"/>
    <w:rsid w:val="6D6F7CBB"/>
    <w:rsid w:val="6D8F23D7"/>
    <w:rsid w:val="6D915BF8"/>
    <w:rsid w:val="6DE76850"/>
    <w:rsid w:val="6E3A0F28"/>
    <w:rsid w:val="6E3A6917"/>
    <w:rsid w:val="6E9A1018"/>
    <w:rsid w:val="6ED3236C"/>
    <w:rsid w:val="6EE60872"/>
    <w:rsid w:val="6F3F744C"/>
    <w:rsid w:val="6F5E28AC"/>
    <w:rsid w:val="6F6E34E9"/>
    <w:rsid w:val="6F745693"/>
    <w:rsid w:val="6F815E7A"/>
    <w:rsid w:val="6F956EEE"/>
    <w:rsid w:val="6FB20BD4"/>
    <w:rsid w:val="6FBA59BE"/>
    <w:rsid w:val="6FF3284C"/>
    <w:rsid w:val="6FF834F4"/>
    <w:rsid w:val="70296B3E"/>
    <w:rsid w:val="70611204"/>
    <w:rsid w:val="70AD687B"/>
    <w:rsid w:val="70BF1388"/>
    <w:rsid w:val="70E229E5"/>
    <w:rsid w:val="70FA19B0"/>
    <w:rsid w:val="71E77934"/>
    <w:rsid w:val="71EF1778"/>
    <w:rsid w:val="72113330"/>
    <w:rsid w:val="7234593E"/>
    <w:rsid w:val="724235D1"/>
    <w:rsid w:val="72A76461"/>
    <w:rsid w:val="72B1092C"/>
    <w:rsid w:val="72EF4CB6"/>
    <w:rsid w:val="73117D7E"/>
    <w:rsid w:val="73FC27DC"/>
    <w:rsid w:val="743D2717"/>
    <w:rsid w:val="744E63F4"/>
    <w:rsid w:val="74813919"/>
    <w:rsid w:val="748A6123"/>
    <w:rsid w:val="74FA2C30"/>
    <w:rsid w:val="74FB2A94"/>
    <w:rsid w:val="75220020"/>
    <w:rsid w:val="755E4069"/>
    <w:rsid w:val="75BF1955"/>
    <w:rsid w:val="75C23793"/>
    <w:rsid w:val="763F7E5C"/>
    <w:rsid w:val="76556C84"/>
    <w:rsid w:val="76BC49EB"/>
    <w:rsid w:val="76C428AA"/>
    <w:rsid w:val="76F8AFAF"/>
    <w:rsid w:val="77000DA2"/>
    <w:rsid w:val="776F7ED6"/>
    <w:rsid w:val="77BF3FB4"/>
    <w:rsid w:val="78064B19"/>
    <w:rsid w:val="781A4199"/>
    <w:rsid w:val="781E69D1"/>
    <w:rsid w:val="78340059"/>
    <w:rsid w:val="787D213D"/>
    <w:rsid w:val="7888162B"/>
    <w:rsid w:val="79370ECB"/>
    <w:rsid w:val="79D044EF"/>
    <w:rsid w:val="79EA2B45"/>
    <w:rsid w:val="7A3A405E"/>
    <w:rsid w:val="7ADD0453"/>
    <w:rsid w:val="7AF46346"/>
    <w:rsid w:val="7B0F5EBF"/>
    <w:rsid w:val="7B130FB9"/>
    <w:rsid w:val="7B332F87"/>
    <w:rsid w:val="7B836E21"/>
    <w:rsid w:val="7BDE0625"/>
    <w:rsid w:val="7BF64EDE"/>
    <w:rsid w:val="7C400C1E"/>
    <w:rsid w:val="7CE21BD1"/>
    <w:rsid w:val="7CFF7898"/>
    <w:rsid w:val="7D6F68C2"/>
    <w:rsid w:val="7DD11708"/>
    <w:rsid w:val="7E3E606D"/>
    <w:rsid w:val="7EBC46EA"/>
    <w:rsid w:val="7EC167BD"/>
    <w:rsid w:val="7F10471A"/>
    <w:rsid w:val="7FA2647C"/>
    <w:rsid w:val="7FDB5D4A"/>
    <w:rsid w:val="7FEE5D88"/>
    <w:rsid w:val="7FF82C26"/>
    <w:rsid w:val="7FFD3813"/>
    <w:rsid w:val="8C6FE8DB"/>
    <w:rsid w:val="A7FFE0B9"/>
    <w:rsid w:val="A97EE348"/>
    <w:rsid w:val="BEDF3BFE"/>
    <w:rsid w:val="BFEF7F9F"/>
    <w:rsid w:val="CFF67668"/>
    <w:rsid w:val="D7971B23"/>
    <w:rsid w:val="DCF79B12"/>
    <w:rsid w:val="DF1F232A"/>
    <w:rsid w:val="E76FCF96"/>
    <w:rsid w:val="E7D7E32E"/>
    <w:rsid w:val="EAFEC61E"/>
    <w:rsid w:val="EFDEFE3D"/>
    <w:rsid w:val="F7FD8AAB"/>
    <w:rsid w:val="FAE7F7A2"/>
    <w:rsid w:val="FBCB6647"/>
    <w:rsid w:val="FE1F79BF"/>
    <w:rsid w:val="FF5CEA37"/>
    <w:rsid w:val="FFEE2F4B"/>
    <w:rsid w:val="FFEFF934"/>
    <w:rsid w:val="FFF7A6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3"/>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semiHidden/>
    <w:unhideWhenUsed/>
    <w:qFormat/>
    <w:uiPriority w:val="9"/>
    <w:pPr>
      <w:spacing w:beforeAutospacing="1" w:afterAutospacing="1"/>
      <w:jc w:val="left"/>
      <w:outlineLvl w:val="2"/>
    </w:pPr>
    <w:rPr>
      <w:rFonts w:hint="eastAsia" w:ascii="宋体" w:hAnsi="宋体"/>
      <w:b/>
      <w:bCs/>
      <w:kern w:val="0"/>
      <w:sz w:val="27"/>
      <w:szCs w:val="27"/>
    </w:rPr>
  </w:style>
  <w:style w:type="paragraph" w:styleId="5">
    <w:name w:val="heading 4"/>
    <w:basedOn w:val="1"/>
    <w:next w:val="1"/>
    <w:link w:val="34"/>
    <w:qFormat/>
    <w:uiPriority w:val="9"/>
    <w:pPr>
      <w:keepNext/>
      <w:keepLines/>
      <w:spacing w:before="280" w:after="290" w:line="376" w:lineRule="auto"/>
      <w:outlineLvl w:val="3"/>
    </w:pPr>
    <w:rPr>
      <w:rFonts w:ascii="Cambria" w:hAnsi="Cambria"/>
      <w:b/>
      <w:bCs/>
      <w:sz w:val="28"/>
      <w:szCs w:val="28"/>
    </w:rPr>
  </w:style>
  <w:style w:type="paragraph" w:styleId="6">
    <w:name w:val="heading 5"/>
    <w:basedOn w:val="1"/>
    <w:next w:val="1"/>
    <w:link w:val="35"/>
    <w:qFormat/>
    <w:uiPriority w:val="9"/>
    <w:pPr>
      <w:keepNext/>
      <w:keepLines/>
      <w:spacing w:before="280" w:after="290" w:line="376" w:lineRule="auto"/>
      <w:outlineLvl w:val="4"/>
    </w:pPr>
    <w:rPr>
      <w:b/>
      <w:bCs/>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7">
    <w:name w:val="table of authorities"/>
    <w:basedOn w:val="1"/>
    <w:next w:val="1"/>
    <w:qFormat/>
    <w:uiPriority w:val="0"/>
    <w:rPr>
      <w:szCs w:val="22"/>
    </w:rPr>
  </w:style>
  <w:style w:type="paragraph" w:styleId="8">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9">
    <w:name w:val="Normal Indent"/>
    <w:basedOn w:val="1"/>
    <w:qFormat/>
    <w:uiPriority w:val="0"/>
    <w:pPr>
      <w:ind w:firstLine="420"/>
    </w:pPr>
    <w:rPr>
      <w:szCs w:val="20"/>
    </w:rPr>
  </w:style>
  <w:style w:type="paragraph" w:styleId="10">
    <w:name w:val="annotation text"/>
    <w:basedOn w:val="1"/>
    <w:link w:val="36"/>
    <w:qFormat/>
    <w:uiPriority w:val="0"/>
    <w:pPr>
      <w:jc w:val="left"/>
    </w:pPr>
  </w:style>
  <w:style w:type="paragraph" w:styleId="11">
    <w:name w:val="Body Text 3"/>
    <w:basedOn w:val="1"/>
    <w:link w:val="37"/>
    <w:unhideWhenUsed/>
    <w:qFormat/>
    <w:uiPriority w:val="99"/>
    <w:pPr>
      <w:spacing w:after="120"/>
    </w:pPr>
    <w:rPr>
      <w:sz w:val="16"/>
      <w:szCs w:val="16"/>
    </w:rPr>
  </w:style>
  <w:style w:type="paragraph" w:styleId="12">
    <w:name w:val="Body Text"/>
    <w:basedOn w:val="1"/>
    <w:link w:val="38"/>
    <w:unhideWhenUsed/>
    <w:qFormat/>
    <w:uiPriority w:val="99"/>
    <w:pPr>
      <w:spacing w:after="120"/>
    </w:pPr>
  </w:style>
  <w:style w:type="paragraph" w:styleId="13">
    <w:name w:val="Body Text Indent"/>
    <w:basedOn w:val="1"/>
    <w:link w:val="39"/>
    <w:qFormat/>
    <w:uiPriority w:val="0"/>
    <w:pPr>
      <w:ind w:firstLine="830" w:firstLineChars="352"/>
    </w:pPr>
    <w:rPr>
      <w:rFonts w:ascii="仿宋_GB2312" w:eastAsia="仿宋_GB2312"/>
      <w:kern w:val="0"/>
      <w:sz w:val="32"/>
      <w:szCs w:val="20"/>
    </w:rPr>
  </w:style>
  <w:style w:type="paragraph" w:styleId="14">
    <w:name w:val="List 2"/>
    <w:basedOn w:val="1"/>
    <w:unhideWhenUsed/>
    <w:qFormat/>
    <w:uiPriority w:val="99"/>
    <w:pPr>
      <w:ind w:left="100" w:leftChars="200" w:hanging="200" w:hangingChars="200"/>
      <w:contextualSpacing/>
    </w:pPr>
  </w:style>
  <w:style w:type="paragraph" w:styleId="15">
    <w:name w:val="Block Text"/>
    <w:basedOn w:val="1"/>
    <w:qFormat/>
    <w:uiPriority w:val="0"/>
    <w:pPr>
      <w:adjustRightInd w:val="0"/>
      <w:ind w:left="420" w:right="33"/>
      <w:jc w:val="left"/>
      <w:textAlignment w:val="baseline"/>
    </w:pPr>
    <w:rPr>
      <w:kern w:val="0"/>
      <w:szCs w:val="20"/>
    </w:rPr>
  </w:style>
  <w:style w:type="paragraph" w:styleId="16">
    <w:name w:val="Plain Text"/>
    <w:basedOn w:val="1"/>
    <w:link w:val="40"/>
    <w:qFormat/>
    <w:uiPriority w:val="0"/>
    <w:rPr>
      <w:rFonts w:ascii="宋体" w:hAnsi="Courier New"/>
      <w:kern w:val="0"/>
      <w:sz w:val="20"/>
      <w:szCs w:val="21"/>
    </w:rPr>
  </w:style>
  <w:style w:type="paragraph" w:styleId="17">
    <w:name w:val="Date"/>
    <w:basedOn w:val="1"/>
    <w:next w:val="1"/>
    <w:link w:val="41"/>
    <w:unhideWhenUsed/>
    <w:qFormat/>
    <w:uiPriority w:val="99"/>
    <w:pPr>
      <w:ind w:left="100" w:leftChars="2500"/>
    </w:pPr>
  </w:style>
  <w:style w:type="paragraph" w:styleId="18">
    <w:name w:val="Balloon Text"/>
    <w:basedOn w:val="1"/>
    <w:link w:val="42"/>
    <w:semiHidden/>
    <w:qFormat/>
    <w:uiPriority w:val="99"/>
    <w:rPr>
      <w:sz w:val="18"/>
      <w:szCs w:val="18"/>
    </w:rPr>
  </w:style>
  <w:style w:type="paragraph" w:styleId="19">
    <w:name w:val="footer"/>
    <w:basedOn w:val="1"/>
    <w:link w:val="43"/>
    <w:unhideWhenUsed/>
    <w:qFormat/>
    <w:uiPriority w:val="99"/>
    <w:pPr>
      <w:tabs>
        <w:tab w:val="center" w:pos="4153"/>
        <w:tab w:val="right" w:pos="8306"/>
      </w:tabs>
      <w:snapToGrid w:val="0"/>
      <w:jc w:val="left"/>
    </w:pPr>
    <w:rPr>
      <w:kern w:val="0"/>
      <w:sz w:val="18"/>
      <w:szCs w:val="18"/>
    </w:rPr>
  </w:style>
  <w:style w:type="paragraph" w:styleId="20">
    <w:name w:val="header"/>
    <w:basedOn w:val="1"/>
    <w:link w:val="44"/>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1">
    <w:name w:val="toc 1"/>
    <w:basedOn w:val="1"/>
    <w:next w:val="1"/>
    <w:unhideWhenUsed/>
    <w:qFormat/>
    <w:uiPriority w:val="39"/>
  </w:style>
  <w:style w:type="paragraph" w:styleId="22">
    <w:name w:val="toc 2"/>
    <w:basedOn w:val="1"/>
    <w:next w:val="1"/>
    <w:unhideWhenUsed/>
    <w:qFormat/>
    <w:uiPriority w:val="39"/>
    <w:pPr>
      <w:tabs>
        <w:tab w:val="right" w:leader="dot" w:pos="8296"/>
      </w:tabs>
      <w:ind w:left="420" w:leftChars="200"/>
    </w:pPr>
  </w:style>
  <w:style w:type="paragraph" w:styleId="23">
    <w:name w:val="Normal (Web)"/>
    <w:basedOn w:val="1"/>
    <w:unhideWhenUsed/>
    <w:qFormat/>
    <w:uiPriority w:val="99"/>
    <w:rPr>
      <w:rFonts w:ascii="Calibri" w:hAnsi="Calibri"/>
      <w:kern w:val="0"/>
      <w:sz w:val="24"/>
    </w:rPr>
  </w:style>
  <w:style w:type="paragraph" w:styleId="24">
    <w:name w:val="Title"/>
    <w:basedOn w:val="1"/>
    <w:next w:val="1"/>
    <w:link w:val="45"/>
    <w:qFormat/>
    <w:uiPriority w:val="10"/>
    <w:pPr>
      <w:spacing w:before="240" w:after="60"/>
      <w:jc w:val="center"/>
      <w:outlineLvl w:val="0"/>
    </w:pPr>
    <w:rPr>
      <w:rFonts w:ascii="Cambria" w:hAnsi="Cambria"/>
      <w:b/>
      <w:bCs/>
      <w:sz w:val="32"/>
      <w:szCs w:val="32"/>
    </w:rPr>
  </w:style>
  <w:style w:type="paragraph" w:styleId="25">
    <w:name w:val="annotation subject"/>
    <w:basedOn w:val="10"/>
    <w:next w:val="10"/>
    <w:link w:val="46"/>
    <w:qFormat/>
    <w:uiPriority w:val="99"/>
    <w:rPr>
      <w:b/>
      <w:bCs/>
    </w:rPr>
  </w:style>
  <w:style w:type="table" w:styleId="27">
    <w:name w:val="Table Grid"/>
    <w:basedOn w:val="26"/>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9">
    <w:name w:val="Strong"/>
    <w:basedOn w:val="28"/>
    <w:qFormat/>
    <w:uiPriority w:val="22"/>
    <w:rPr>
      <w:b/>
      <w:bCs/>
    </w:rPr>
  </w:style>
  <w:style w:type="character" w:styleId="30">
    <w:name w:val="Hyperlink"/>
    <w:unhideWhenUsed/>
    <w:qFormat/>
    <w:uiPriority w:val="99"/>
    <w:rPr>
      <w:color w:val="0000FF"/>
      <w:u w:val="single"/>
    </w:rPr>
  </w:style>
  <w:style w:type="character" w:styleId="31">
    <w:name w:val="annotation reference"/>
    <w:qFormat/>
    <w:uiPriority w:val="99"/>
    <w:rPr>
      <w:sz w:val="21"/>
      <w:szCs w:val="21"/>
    </w:rPr>
  </w:style>
  <w:style w:type="character" w:customStyle="1" w:styleId="32">
    <w:name w:val="标题 1 Char"/>
    <w:link w:val="2"/>
    <w:qFormat/>
    <w:uiPriority w:val="9"/>
    <w:rPr>
      <w:b/>
      <w:bCs/>
      <w:kern w:val="44"/>
      <w:sz w:val="44"/>
      <w:szCs w:val="44"/>
    </w:rPr>
  </w:style>
  <w:style w:type="character" w:customStyle="1" w:styleId="33">
    <w:name w:val="标题 2 Char"/>
    <w:link w:val="3"/>
    <w:qFormat/>
    <w:uiPriority w:val="9"/>
    <w:rPr>
      <w:rFonts w:ascii="Cambria" w:hAnsi="Cambria" w:eastAsia="宋体" w:cs="Times New Roman"/>
      <w:b/>
      <w:bCs/>
      <w:kern w:val="2"/>
      <w:sz w:val="32"/>
      <w:szCs w:val="32"/>
    </w:rPr>
  </w:style>
  <w:style w:type="character" w:customStyle="1" w:styleId="34">
    <w:name w:val="标题 4 Char"/>
    <w:link w:val="5"/>
    <w:qFormat/>
    <w:uiPriority w:val="9"/>
    <w:rPr>
      <w:rFonts w:ascii="Cambria" w:hAnsi="Cambria" w:eastAsia="宋体" w:cs="Times New Roman"/>
      <w:b/>
      <w:bCs/>
      <w:kern w:val="2"/>
      <w:sz w:val="28"/>
      <w:szCs w:val="28"/>
    </w:rPr>
  </w:style>
  <w:style w:type="character" w:customStyle="1" w:styleId="35">
    <w:name w:val="标题 5 Char"/>
    <w:link w:val="6"/>
    <w:qFormat/>
    <w:uiPriority w:val="9"/>
    <w:rPr>
      <w:rFonts w:ascii="Times New Roman" w:hAnsi="Times New Roman"/>
      <w:b/>
      <w:bCs/>
      <w:kern w:val="2"/>
      <w:sz w:val="28"/>
      <w:szCs w:val="28"/>
    </w:rPr>
  </w:style>
  <w:style w:type="character" w:customStyle="1" w:styleId="36">
    <w:name w:val="批注文字 Char"/>
    <w:link w:val="10"/>
    <w:qFormat/>
    <w:uiPriority w:val="0"/>
    <w:rPr>
      <w:rFonts w:ascii="Times New Roman" w:hAnsi="Times New Roman"/>
      <w:kern w:val="2"/>
      <w:sz w:val="21"/>
      <w:szCs w:val="24"/>
    </w:rPr>
  </w:style>
  <w:style w:type="character" w:customStyle="1" w:styleId="37">
    <w:name w:val="正文文本 3 Char"/>
    <w:link w:val="11"/>
    <w:qFormat/>
    <w:uiPriority w:val="99"/>
    <w:rPr>
      <w:rFonts w:ascii="Times New Roman" w:hAnsi="Times New Roman"/>
      <w:kern w:val="2"/>
      <w:sz w:val="16"/>
      <w:szCs w:val="16"/>
    </w:rPr>
  </w:style>
  <w:style w:type="character" w:customStyle="1" w:styleId="38">
    <w:name w:val="正文文本 Char"/>
    <w:link w:val="12"/>
    <w:qFormat/>
    <w:uiPriority w:val="99"/>
    <w:rPr>
      <w:rFonts w:ascii="Times New Roman" w:hAnsi="Times New Roman"/>
      <w:kern w:val="2"/>
      <w:sz w:val="21"/>
      <w:szCs w:val="24"/>
    </w:rPr>
  </w:style>
  <w:style w:type="character" w:customStyle="1" w:styleId="39">
    <w:name w:val="正文文本缩进 Char"/>
    <w:link w:val="13"/>
    <w:qFormat/>
    <w:uiPriority w:val="0"/>
    <w:rPr>
      <w:rFonts w:ascii="仿宋_GB2312" w:hAnsi="Times New Roman" w:eastAsia="仿宋_GB2312" w:cs="Times New Roman"/>
      <w:sz w:val="32"/>
      <w:szCs w:val="20"/>
    </w:rPr>
  </w:style>
  <w:style w:type="character" w:customStyle="1" w:styleId="40">
    <w:name w:val="纯文本 Char"/>
    <w:link w:val="16"/>
    <w:qFormat/>
    <w:uiPriority w:val="0"/>
    <w:rPr>
      <w:rFonts w:ascii="宋体" w:hAnsi="Courier New" w:eastAsia="宋体" w:cs="Courier New"/>
      <w:szCs w:val="21"/>
    </w:rPr>
  </w:style>
  <w:style w:type="character" w:customStyle="1" w:styleId="41">
    <w:name w:val="日期 Char"/>
    <w:link w:val="17"/>
    <w:qFormat/>
    <w:uiPriority w:val="99"/>
    <w:rPr>
      <w:rFonts w:ascii="Times New Roman" w:hAnsi="Times New Roman"/>
      <w:kern w:val="2"/>
      <w:sz w:val="21"/>
      <w:szCs w:val="24"/>
    </w:rPr>
  </w:style>
  <w:style w:type="character" w:customStyle="1" w:styleId="42">
    <w:name w:val="批注框文本 Char"/>
    <w:link w:val="18"/>
    <w:semiHidden/>
    <w:qFormat/>
    <w:uiPriority w:val="99"/>
    <w:rPr>
      <w:kern w:val="2"/>
      <w:sz w:val="18"/>
      <w:szCs w:val="18"/>
    </w:rPr>
  </w:style>
  <w:style w:type="character" w:customStyle="1" w:styleId="43">
    <w:name w:val="页脚 Char1"/>
    <w:link w:val="19"/>
    <w:qFormat/>
    <w:uiPriority w:val="99"/>
    <w:rPr>
      <w:sz w:val="18"/>
      <w:szCs w:val="18"/>
    </w:rPr>
  </w:style>
  <w:style w:type="character" w:customStyle="1" w:styleId="44">
    <w:name w:val="页眉 Char"/>
    <w:link w:val="20"/>
    <w:qFormat/>
    <w:uiPriority w:val="99"/>
    <w:rPr>
      <w:sz w:val="18"/>
      <w:szCs w:val="18"/>
    </w:rPr>
  </w:style>
  <w:style w:type="character" w:customStyle="1" w:styleId="45">
    <w:name w:val="标题 Char"/>
    <w:link w:val="24"/>
    <w:qFormat/>
    <w:uiPriority w:val="10"/>
    <w:rPr>
      <w:rFonts w:ascii="Cambria" w:hAnsi="Cambria"/>
      <w:b/>
      <w:bCs/>
      <w:kern w:val="2"/>
      <w:sz w:val="32"/>
      <w:szCs w:val="32"/>
    </w:rPr>
  </w:style>
  <w:style w:type="character" w:customStyle="1" w:styleId="46">
    <w:name w:val="批注主题 Char"/>
    <w:link w:val="25"/>
    <w:qFormat/>
    <w:uiPriority w:val="99"/>
    <w:rPr>
      <w:rFonts w:ascii="Times New Roman" w:hAnsi="Times New Roman"/>
      <w:b/>
      <w:bCs/>
      <w:kern w:val="2"/>
      <w:sz w:val="21"/>
      <w:szCs w:val="24"/>
    </w:rPr>
  </w:style>
  <w:style w:type="character" w:customStyle="1" w:styleId="47">
    <w:name w:val="正文文本缩进 字符1"/>
    <w:qFormat/>
    <w:uiPriority w:val="0"/>
    <w:rPr>
      <w:rFonts w:ascii="仿宋_GB2312" w:hAnsi="Times New Roman" w:eastAsia="仿宋_GB2312" w:cs="Times New Roman"/>
      <w:sz w:val="32"/>
      <w:szCs w:val="20"/>
    </w:rPr>
  </w:style>
  <w:style w:type="character" w:customStyle="1" w:styleId="48">
    <w:name w:val="apple-style-span"/>
    <w:qFormat/>
    <w:uiPriority w:val="0"/>
  </w:style>
  <w:style w:type="character" w:customStyle="1" w:styleId="49">
    <w:name w:val="标题 1 字符"/>
    <w:qFormat/>
    <w:uiPriority w:val="9"/>
    <w:rPr>
      <w:b/>
      <w:bCs/>
      <w:kern w:val="44"/>
      <w:sz w:val="44"/>
      <w:szCs w:val="44"/>
    </w:rPr>
  </w:style>
  <w:style w:type="character" w:customStyle="1" w:styleId="50">
    <w:name w:val="textcontents"/>
    <w:qFormat/>
    <w:uiPriority w:val="0"/>
  </w:style>
  <w:style w:type="character" w:customStyle="1" w:styleId="51">
    <w:name w:val="纯文本 字符1"/>
    <w:qFormat/>
    <w:uiPriority w:val="0"/>
    <w:rPr>
      <w:rFonts w:ascii="宋体" w:hAnsi="Courier New"/>
    </w:rPr>
  </w:style>
  <w:style w:type="character" w:customStyle="1" w:styleId="52">
    <w:name w:val="批注文字 字符1"/>
    <w:qFormat/>
    <w:uiPriority w:val="0"/>
    <w:rPr>
      <w:kern w:val="2"/>
      <w:sz w:val="21"/>
      <w:szCs w:val="24"/>
    </w:rPr>
  </w:style>
  <w:style w:type="character" w:customStyle="1" w:styleId="53">
    <w:name w:val="纯文本 字符2"/>
    <w:qFormat/>
    <w:uiPriority w:val="0"/>
    <w:rPr>
      <w:rFonts w:ascii="宋体" w:hAnsi="Courier New" w:eastAsia="宋体" w:cs="Courier New"/>
      <w:szCs w:val="21"/>
    </w:rPr>
  </w:style>
  <w:style w:type="character" w:customStyle="1" w:styleId="54">
    <w:name w:val="页脚 Char"/>
    <w:qFormat/>
    <w:uiPriority w:val="99"/>
    <w:rPr>
      <w:lang w:eastAsia="zh-CN"/>
    </w:rPr>
  </w:style>
  <w:style w:type="paragraph" w:customStyle="1" w:styleId="55">
    <w:name w:val="默认段落字体 Para Char Char Char Char Char Char Char Char Char1 Char Char Char Char"/>
    <w:basedOn w:val="1"/>
    <w:qFormat/>
    <w:uiPriority w:val="0"/>
    <w:rPr>
      <w:rFonts w:ascii="Tahoma" w:hAnsi="Tahoma"/>
      <w:sz w:val="24"/>
      <w:szCs w:val="20"/>
    </w:rPr>
  </w:style>
  <w:style w:type="paragraph" w:customStyle="1" w:styleId="56">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styleId="57">
    <w:name w:val="List Paragraph"/>
    <w:basedOn w:val="1"/>
    <w:qFormat/>
    <w:uiPriority w:val="34"/>
    <w:pPr>
      <w:ind w:firstLine="420" w:firstLineChars="200"/>
    </w:pPr>
  </w:style>
  <w:style w:type="paragraph" w:customStyle="1" w:styleId="58">
    <w:name w:val="Table Paragraph"/>
    <w:basedOn w:val="1"/>
    <w:qFormat/>
    <w:uiPriority w:val="99"/>
    <w:pPr>
      <w:jc w:val="left"/>
    </w:pPr>
    <w:rPr>
      <w:rFonts w:ascii="Calibri" w:hAnsi="Calibri"/>
      <w:kern w:val="0"/>
      <w:sz w:val="22"/>
      <w:szCs w:val="22"/>
      <w:lang w:eastAsia="en-US"/>
    </w:rPr>
  </w:style>
  <w:style w:type="character" w:customStyle="1" w:styleId="59">
    <w:name w:val="批注文字 Char1"/>
    <w:qFormat/>
    <w:uiPriority w:val="0"/>
    <w:rPr>
      <w:rFonts w:ascii="Times New Roman" w:hAnsi="Times New Roman"/>
      <w:kern w:val="2"/>
      <w:sz w:val="21"/>
      <w:szCs w:val="24"/>
    </w:rPr>
  </w:style>
  <w:style w:type="character" w:customStyle="1" w:styleId="60">
    <w:name w:val="批注文字 字符2"/>
    <w:qFormat/>
    <w:uiPriority w:val="0"/>
    <w:rPr>
      <w:rFonts w:ascii="Times New Roman" w:hAnsi="Times New Roman"/>
      <w:kern w:val="2"/>
      <w:sz w:val="21"/>
      <w:szCs w:val="24"/>
    </w:rPr>
  </w:style>
  <w:style w:type="character" w:customStyle="1" w:styleId="61">
    <w:name w:val="正文文本 (26) + 间距 0 pt"/>
    <w:qFormat/>
    <w:uiPriority w:val="0"/>
    <w:rPr>
      <w:rFonts w:hint="eastAsia" w:ascii="宋体" w:hAnsi="宋体" w:eastAsia="宋体" w:cs="宋体"/>
      <w:color w:val="000000"/>
      <w:spacing w:val="0"/>
      <w:w w:val="100"/>
      <w:position w:val="0"/>
      <w:sz w:val="22"/>
      <w:szCs w:val="22"/>
      <w:u w:val="none"/>
      <w:lang w:val="zh-CN" w:eastAsia="zh-CN" w:bidi="zh-CN"/>
    </w:rPr>
  </w:style>
  <w:style w:type="character" w:customStyle="1" w:styleId="62">
    <w:name w:val="纯文本 Char1"/>
    <w:qFormat/>
    <w:uiPriority w:val="0"/>
    <w:rPr>
      <w:rFonts w:ascii="宋体" w:hAnsi="Courier New" w:eastAsia="宋体" w:cs="Courier New"/>
      <w:szCs w:val="21"/>
    </w:rPr>
  </w:style>
  <w:style w:type="character" w:customStyle="1" w:styleId="63">
    <w:name w:val="批注文字 Char2"/>
    <w:qFormat/>
    <w:uiPriority w:val="0"/>
    <w:rPr>
      <w:rFonts w:ascii="Times New Roman" w:hAnsi="Times New Roman"/>
      <w:kern w:val="2"/>
      <w:sz w:val="21"/>
      <w:szCs w:val="24"/>
    </w:rPr>
  </w:style>
  <w:style w:type="character" w:customStyle="1" w:styleId="64">
    <w:name w:val="正文2 Char Char"/>
    <w:link w:val="65"/>
    <w:qFormat/>
    <w:uiPriority w:val="0"/>
    <w:rPr>
      <w:kern w:val="2"/>
      <w:sz w:val="24"/>
    </w:rPr>
  </w:style>
  <w:style w:type="paragraph" w:customStyle="1" w:styleId="65">
    <w:name w:val="正文2"/>
    <w:basedOn w:val="1"/>
    <w:link w:val="64"/>
    <w:qFormat/>
    <w:uiPriority w:val="0"/>
    <w:pPr>
      <w:adjustRightInd w:val="0"/>
      <w:spacing w:before="156" w:line="360" w:lineRule="auto"/>
      <w:ind w:firstLine="510" w:firstLineChars="200"/>
    </w:pPr>
    <w:rPr>
      <w:sz w:val="24"/>
      <w:szCs w:val="20"/>
    </w:rPr>
  </w:style>
  <w:style w:type="character" w:customStyle="1" w:styleId="66">
    <w:name w:val="NormalCharacter"/>
    <w:qFormat/>
    <w:uiPriority w:val="0"/>
  </w:style>
  <w:style w:type="paragraph" w:customStyle="1" w:styleId="67">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68">
    <w:name w:val="纯文本 字符"/>
    <w:qFormat/>
    <w:uiPriority w:val="0"/>
    <w:rPr>
      <w:rFonts w:ascii="宋体" w:hAnsi="Courier New" w:eastAsia="宋体" w:cs="Times New Roman"/>
      <w:kern w:val="2"/>
      <w:sz w:val="21"/>
      <w:lang w:val="en-US" w:eastAsia="zh-CN" w:bidi="ar-SA"/>
    </w:rPr>
  </w:style>
  <w:style w:type="character" w:customStyle="1" w:styleId="69">
    <w:name w:val="纯文本 Char3"/>
    <w:qFormat/>
    <w:uiPriority w:val="0"/>
    <w:rPr>
      <w:rFonts w:ascii="宋体" w:hAnsi="Courier New" w:eastAsia="宋体" w:cs="Courier New"/>
      <w:szCs w:val="21"/>
    </w:rPr>
  </w:style>
  <w:style w:type="paragraph" w:customStyle="1" w:styleId="70">
    <w:name w:val="PlainText"/>
    <w:basedOn w:val="1"/>
    <w:qFormat/>
    <w:uiPriority w:val="0"/>
    <w:rPr>
      <w:rFonts w:ascii="宋体" w:hAnsi="Courier New"/>
      <w:szCs w:val="21"/>
    </w:rPr>
  </w:style>
  <w:style w:type="paragraph" w:customStyle="1" w:styleId="71">
    <w:name w:val="样式 10 磅3111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
    <w:name w:val="无间隔1"/>
    <w:basedOn w:val="1"/>
    <w:qFormat/>
    <w:uiPriority w:val="1"/>
    <w:pPr>
      <w:spacing w:line="400" w:lineRule="exact"/>
    </w:pPr>
    <w:rPr>
      <w:sz w:val="24"/>
    </w:rPr>
  </w:style>
  <w:style w:type="paragraph" w:customStyle="1" w:styleId="73">
    <w:name w:val="Table Text"/>
    <w:basedOn w:val="1"/>
    <w:qFormat/>
    <w:uiPriority w:val="0"/>
    <w:pPr>
      <w:widowControl/>
      <w:spacing w:before="40" w:after="40"/>
      <w:jc w:val="left"/>
    </w:pPr>
    <w:rPr>
      <w:color w:val="7E7E7E"/>
      <w:kern w:val="0"/>
      <w:sz w:val="16"/>
      <w:szCs w:val="16"/>
      <w:lang w:eastAsia="en-US"/>
    </w:rPr>
  </w:style>
  <w:style w:type="character" w:customStyle="1" w:styleId="74">
    <w:name w:val="正文文本 字符1"/>
    <w:semiHidden/>
    <w:qFormat/>
    <w:locked/>
    <w:uiPriority w:val="99"/>
    <w:rPr>
      <w:kern w:val="2"/>
      <w:sz w:val="21"/>
      <w:szCs w:val="24"/>
    </w:rPr>
  </w:style>
  <w:style w:type="character" w:customStyle="1" w:styleId="75">
    <w:name w:val="标题 2 字符"/>
    <w:semiHidden/>
    <w:qFormat/>
    <w:uiPriority w:val="9"/>
    <w:rPr>
      <w:rFonts w:ascii="等线 Light" w:hAnsi="等线 Light" w:eastAsia="等线 Light" w:cs="Times New Roman"/>
      <w:b/>
      <w:bCs/>
      <w:kern w:val="2"/>
      <w:sz w:val="32"/>
      <w:szCs w:val="32"/>
    </w:rPr>
  </w:style>
  <w:style w:type="character" w:customStyle="1" w:styleId="76">
    <w:name w:val="标题 4 字符"/>
    <w:semiHidden/>
    <w:qFormat/>
    <w:uiPriority w:val="9"/>
    <w:rPr>
      <w:rFonts w:ascii="等线 Light" w:hAnsi="等线 Light" w:eastAsia="等线 Light" w:cs="Times New Roman"/>
      <w:b/>
      <w:bCs/>
      <w:kern w:val="2"/>
      <w:sz w:val="28"/>
      <w:szCs w:val="28"/>
    </w:rPr>
  </w:style>
  <w:style w:type="character" w:customStyle="1" w:styleId="77">
    <w:name w:val="标题 5 字符"/>
    <w:semiHidden/>
    <w:qFormat/>
    <w:uiPriority w:val="9"/>
    <w:rPr>
      <w:b/>
      <w:bCs/>
      <w:kern w:val="2"/>
      <w:sz w:val="28"/>
      <w:szCs w:val="28"/>
    </w:rPr>
  </w:style>
  <w:style w:type="character" w:customStyle="1" w:styleId="78">
    <w:name w:val="批注文字 字符"/>
    <w:semiHidden/>
    <w:qFormat/>
    <w:uiPriority w:val="99"/>
    <w:rPr>
      <w:kern w:val="2"/>
      <w:sz w:val="21"/>
      <w:szCs w:val="24"/>
    </w:rPr>
  </w:style>
  <w:style w:type="character" w:customStyle="1" w:styleId="79">
    <w:name w:val="正文文本 3 字符"/>
    <w:semiHidden/>
    <w:qFormat/>
    <w:uiPriority w:val="99"/>
    <w:rPr>
      <w:kern w:val="2"/>
      <w:sz w:val="16"/>
      <w:szCs w:val="16"/>
    </w:rPr>
  </w:style>
  <w:style w:type="character" w:customStyle="1" w:styleId="80">
    <w:name w:val="正文文本 字符"/>
    <w:semiHidden/>
    <w:qFormat/>
    <w:uiPriority w:val="99"/>
    <w:rPr>
      <w:kern w:val="2"/>
      <w:sz w:val="21"/>
      <w:szCs w:val="24"/>
    </w:rPr>
  </w:style>
  <w:style w:type="character" w:customStyle="1" w:styleId="81">
    <w:name w:val="正文文本缩进 字符"/>
    <w:semiHidden/>
    <w:qFormat/>
    <w:uiPriority w:val="99"/>
    <w:rPr>
      <w:kern w:val="2"/>
      <w:sz w:val="21"/>
      <w:szCs w:val="24"/>
    </w:rPr>
  </w:style>
  <w:style w:type="character" w:customStyle="1" w:styleId="82">
    <w:name w:val="日期 字符"/>
    <w:semiHidden/>
    <w:qFormat/>
    <w:uiPriority w:val="99"/>
    <w:rPr>
      <w:kern w:val="2"/>
      <w:sz w:val="21"/>
      <w:szCs w:val="24"/>
    </w:rPr>
  </w:style>
  <w:style w:type="character" w:customStyle="1" w:styleId="83">
    <w:name w:val="批注框文本 字符"/>
    <w:semiHidden/>
    <w:qFormat/>
    <w:uiPriority w:val="99"/>
    <w:rPr>
      <w:kern w:val="2"/>
      <w:sz w:val="18"/>
      <w:szCs w:val="18"/>
    </w:rPr>
  </w:style>
  <w:style w:type="character" w:customStyle="1" w:styleId="84">
    <w:name w:val="页脚 字符"/>
    <w:qFormat/>
    <w:uiPriority w:val="99"/>
    <w:rPr>
      <w:kern w:val="2"/>
      <w:sz w:val="18"/>
      <w:szCs w:val="18"/>
    </w:rPr>
  </w:style>
  <w:style w:type="character" w:customStyle="1" w:styleId="85">
    <w:name w:val="页眉 字符"/>
    <w:semiHidden/>
    <w:qFormat/>
    <w:uiPriority w:val="99"/>
    <w:rPr>
      <w:kern w:val="2"/>
      <w:sz w:val="18"/>
      <w:szCs w:val="18"/>
    </w:rPr>
  </w:style>
  <w:style w:type="character" w:customStyle="1" w:styleId="86">
    <w:name w:val="批注主题 字符"/>
    <w:semiHidden/>
    <w:qFormat/>
    <w:uiPriority w:val="99"/>
    <w:rPr>
      <w:b/>
      <w:bCs/>
      <w:kern w:val="2"/>
      <w:sz w:val="21"/>
      <w:szCs w:val="24"/>
    </w:rPr>
  </w:style>
  <w:style w:type="paragraph" w:customStyle="1" w:styleId="87">
    <w:name w:val="_Style 85"/>
    <w:unhideWhenUsed/>
    <w:qFormat/>
    <w:uiPriority w:val="99"/>
    <w:rPr>
      <w:rFonts w:ascii="Times New Roman" w:hAnsi="Times New Roman" w:eastAsia="宋体" w:cs="Times New Roman"/>
      <w:kern w:val="2"/>
      <w:sz w:val="21"/>
      <w:szCs w:val="24"/>
      <w:lang w:val="en-US" w:eastAsia="zh-CN" w:bidi="ar-SA"/>
    </w:rPr>
  </w:style>
  <w:style w:type="paragraph" w:customStyle="1" w:styleId="88">
    <w:name w:val="List Paragraph1"/>
    <w:basedOn w:val="1"/>
    <w:qFormat/>
    <w:uiPriority w:val="0"/>
    <w:pPr>
      <w:ind w:firstLine="420" w:firstLineChars="200"/>
    </w:pPr>
    <w:rPr>
      <w:rFonts w:ascii="Calibri" w:hAnsi="Calibri"/>
      <w:szCs w:val="21"/>
    </w:rPr>
  </w:style>
  <w:style w:type="character" w:customStyle="1" w:styleId="89">
    <w:name w:val="_Style 87"/>
    <w:unhideWhenUsed/>
    <w:qFormat/>
    <w:uiPriority w:val="99"/>
    <w:rPr>
      <w:color w:val="605E5C"/>
      <w:shd w:val="clear" w:color="auto" w:fill="E1DFDD"/>
    </w:rPr>
  </w:style>
  <w:style w:type="character" w:customStyle="1" w:styleId="90">
    <w:name w:val="font61"/>
    <w:qFormat/>
    <w:uiPriority w:val="0"/>
    <w:rPr>
      <w:rFonts w:hint="eastAsia" w:ascii="宋体" w:hAnsi="宋体" w:eastAsia="宋体" w:cs="宋体"/>
      <w:color w:val="000000"/>
      <w:sz w:val="20"/>
      <w:szCs w:val="20"/>
      <w:u w:val="none"/>
    </w:rPr>
  </w:style>
  <w:style w:type="character" w:customStyle="1" w:styleId="91">
    <w:name w:val="font101"/>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https://www.gov.cn/zhengce/content/202509/W020250930645245947614.png" TargetMode="Externa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bd5bb77d-8af5-40c0-81fd-65529e9511aa</errorID>
      <errorWord>[2026]</errorWord>
      <group>L1_Punc</group>
      <groupName>标点问题</groupName>
      <ability>L2_Punc_CN</ability>
      <abilityName>标点符号问题</abilityName>
      <candidateList>
        <item>〔2026〕</item>
      </candidateList>
      <explain/>
      <paraID>3C3D40F8</paraID>
      <start>13</start>
      <end>19</end>
      <status>unmodified</status>
      <modifiedWord/>
      <trackRevisions>false</trackRevisions>
    </reviewItem>
    <reviewItem>
      <errorID>782e50b5-a9ff-43d7-85f5-f42653cd8c6e</errorID>
      <errorWord>标的的</errorWord>
      <group>L1_Word</group>
      <groupName>字词问题</groupName>
      <ability>L2_Typo</ability>
      <abilityName>字词错误</abilityName>
      <candidateList>
        <item>标的</item>
      </candidateList>
      <explain/>
      <paraID>27EFC804</paraID>
      <start>0</start>
      <end>3</end>
      <status>unmodified</status>
      <modifiedWord/>
      <trackRevisions>false</trackRevisions>
    </reviewItem>
    <reviewItem>
      <errorID>7793d1f5-7b38-40e4-8bad-de192e9d6b74</errorID>
      <errorWord>日至2026年</errorWord>
      <group>L1_Word</group>
      <groupName>字词问题</groupName>
      <ability>L2_Typo</ability>
      <abilityName>字词错误</abilityName>
      <candidateList>
        <item>日起至2026年</item>
      </candidateList>
      <explain/>
      <paraID>340C4923</paraID>
      <start>13</start>
      <end>20</end>
      <status>unmodified</status>
      <modifiedWord/>
      <trackRevisions>false</trackRevisions>
    </reviewItem>
    <reviewItem>
      <errorID>0e2ea019-de7b-4a2a-ac8c-6c698937e016</errorID>
      <errorWord>：</errorWord>
      <group>L1_Format</group>
      <groupName>格式问题</groupName>
      <ability>L2_HalfPunc_CN</ability>
      <abilityName>全半角问题</abilityName>
      <candidateList>
        <item>:</item>
      </candidateList>
      <explain>文本全半角错误。</explain>
      <paraID>340C4923</paraID>
      <start>31</start>
      <end>32</end>
      <status>unmodified</status>
      <modifiedWord/>
      <trackRevisions>false</trackRevisions>
    </reviewItem>
    <reviewItem>
      <errorID>0723235f-ebaf-44a6-8688-476d401a3974</errorID>
      <errorWord>：</errorWord>
      <group>L1_Format</group>
      <groupName>格式问题</groupName>
      <ability>L2_HalfPunc_CN</ability>
      <abilityName>全半角问题</abilityName>
      <candidateList>
        <item>:</item>
      </candidateList>
      <explain>文本全半角错误。</explain>
      <paraID>340C4923</paraID>
      <start>37</start>
      <end>38</end>
      <status>unmodified</status>
      <modifiedWord/>
      <trackRevisions>false</trackRevisions>
    </reviewItem>
    <reviewItem>
      <errorID>0c00feb5-c8a3-4dc6-bd0f-9c922d1d6fe8</errorID>
      <errorWord>：</errorWord>
      <group>L1_Format</group>
      <groupName>格式问题</groupName>
      <ability>L2_HalfPunc_CN</ability>
      <abilityName>全半角问题</abilityName>
      <candidateList>
        <item>:</item>
      </candidateList>
      <explain>文本全半角错误。</explain>
      <paraID>340C4923</paraID>
      <start>43</start>
      <end>44</end>
      <status>unmodified</status>
      <modifiedWord/>
      <trackRevisions>false</trackRevisions>
    </reviewItem>
    <reviewItem>
      <errorID>57231cb7-fa4f-4cfe-b5ef-1e3c39a5ed21</errorID>
      <errorWord>：</errorWord>
      <group>L1_Format</group>
      <groupName>格式问题</groupName>
      <ability>L2_HalfPunc_CN</ability>
      <abilityName>全半角问题</abilityName>
      <candidateList>
        <item>:</item>
      </candidateList>
      <explain>文本全半角错误。</explain>
      <paraID>340C4923</paraID>
      <start>49</start>
      <end>50</end>
      <status>unmodified</status>
      <modifiedWord/>
      <trackRevisions>false</trackRevisions>
    </reviewItem>
    <reviewItem>
      <errorID>9dcdb8f0-319b-4303-b1ef-231e2d6d6fcd</errorID>
      <errorWord>-</errorWord>
      <group>L1_Format</group>
      <groupName>格式问题</groupName>
      <ability>L2_HalfPunc_CN</ability>
      <abilityName>全半角问题</abilityName>
      <candidateList>
        <item>－</item>
      </candidateList>
      <explain>文本全半角错误。</explain>
      <paraID>15DBFE50</paraID>
      <start>221</start>
      <end>222</end>
      <status>unmodified</status>
      <modifiedWord/>
      <trackRevisions>false</trackRevisions>
    </reviewItem>
    <reviewItem>
      <errorID>1fdd0cac-36e6-4e24-ab9a-5a75f10ffbfc</errorID>
      <errorWord>-</errorWord>
      <group>L1_Format</group>
      <groupName>格式问题</groupName>
      <ability>L2_HalfPunc_CN</ability>
      <abilityName>全半角问题</abilityName>
      <candidateList>
        <item>－</item>
      </candidateList>
      <explain>文本全半角错误。</explain>
      <paraID>15DBFE50</paraID>
      <start>226</start>
      <end>227</end>
      <status>unmodified</status>
      <modifiedWord/>
      <trackRevisions>false</trackRevisions>
    </reviewItem>
    <reviewItem>
      <errorID>23095317-8add-4801-b687-05d31669a43b</errorID>
      <errorWord>-</errorWord>
      <group>L1_Format</group>
      <groupName>格式问题</groupName>
      <ability>L2_HalfPunc_CN</ability>
      <abilityName>全半角问题</abilityName>
      <candidateList>
        <item>－</item>
      </candidateList>
      <explain>文本全半角错误。</explain>
      <paraID>15DBFE50</paraID>
      <start>231</start>
      <end>232</end>
      <status>unmodified</status>
      <modifiedWord/>
      <trackRevisions>false</trackRevisions>
    </reviewItem>
    <reviewItem>
      <errorID>3fe7ca57-ec6d-45d9-9835-4a1db11a38df</errorID>
      <errorWord>-</errorWord>
      <group>L1_Format</group>
      <groupName>格式问题</groupName>
      <ability>L2_HalfPunc_CN</ability>
      <abilityName>全半角问题</abilityName>
      <candidateList>
        <item>－</item>
      </candidateList>
      <explain>文本全半角错误。</explain>
      <paraID>15DBFE50</paraID>
      <start>237</start>
      <end>238</end>
      <status>unmodified</status>
      <modifiedWord/>
      <trackRevisions>false</trackRevisions>
    </reviewItem>
    <reviewItem>
      <errorID>62bbaf78-2aec-48b2-b95d-04ffb05f0332</errorID>
      <errorWord>-</errorWord>
      <group>L1_Format</group>
      <groupName>格式问题</groupName>
      <ability>L2_HalfPunc_CN</ability>
      <abilityName>全半角问题</abilityName>
      <candidateList>
        <item>－</item>
      </candidateList>
      <explain>文本全半角错误。</explain>
      <paraID>15DBFE50</paraID>
      <start>254</start>
      <end>255</end>
      <status>unmodified</status>
      <modifiedWord/>
      <trackRevisions>false</trackRevisions>
    </reviewItem>
    <reviewItem>
      <errorID>72dd5ed0-af53-4e19-be34-65295fd9d35e</errorID>
      <errorWord>-</errorWord>
      <group>L1_Format</group>
      <groupName>格式问题</groupName>
      <ability>L2_HalfPunc_CN</ability>
      <abilityName>全半角问题</abilityName>
      <candidateList>
        <item>－</item>
      </candidateList>
      <explain>文本全半角错误。</explain>
      <paraID>2F51A4E8</paraID>
      <start>112</start>
      <end>113</end>
      <status>unmodified</status>
      <modifiedWord/>
      <trackRevisions>false</trackRevisions>
    </reviewItem>
    <reviewItem>
      <errorID>1cbe70dd-759b-48be-8f9c-a18f94fa46a6</errorID>
      <errorWord>-</errorWord>
      <group>L1_Format</group>
      <groupName>格式问题</groupName>
      <ability>L2_HalfPunc_CN</ability>
      <abilityName>全半角问题</abilityName>
      <candidateList>
        <item>－</item>
      </candidateList>
      <explain>文本全半角错误。</explain>
      <paraID>2F51A4E8</paraID>
      <start>141</start>
      <end>142</end>
      <status>unmodified</status>
      <modifiedWord/>
      <trackRevisions>false</trackRevisions>
    </reviewItem>
    <reviewItem>
      <errorID>7fb6f210-da41-48c1-a34d-6a68d11fb3b9</errorID>
      <errorWord>操作合</errorWord>
      <group>L1_Word</group>
      <groupName>字词问题</groupName>
      <ability>L2_Typo</ability>
      <abilityName>字词错误</abilityName>
      <candidateList>
        <item>操作台</item>
      </candidateList>
      <explain/>
      <paraID>4315C404</paraID>
      <start>9</start>
      <end>12</end>
      <status>unmodified</status>
      <modifiedWord/>
      <trackRevisions>false</trackRevisions>
    </reviewItem>
    <reviewItem>
      <errorID>bf8d9922-5631-4021-9fc8-aa9674c1a765</errorID>
      <errorWord>，</errorWord>
      <group>L1_Word</group>
      <groupName>字词问题</groupName>
      <ability>L2_Typo</ability>
      <abilityName>字词错误</abilityName>
      <candidateList>
        <item>，在</item>
      </candidateList>
      <explain/>
      <paraID>4315C404</paraID>
      <start>120</start>
      <end>121</end>
      <status>unmodified</status>
      <modifiedWord/>
      <trackRevisions>false</trackRevisions>
    </reviewItem>
    <reviewItem>
      <errorID>75c1608c-5b9e-4a7b-ac0a-2fc614feabd3</errorID>
      <errorWord>具备有</errorWord>
      <group>L1_Word</group>
      <groupName>字词问题</groupName>
      <ability>L2_Typo</ability>
      <abilityName>字词错误</abilityName>
      <candidateList>
        <item>具备</item>
      </candidateList>
      <explain/>
      <paraID>39A1E8C4</paraID>
      <start>6</start>
      <end>9</end>
      <status>unmodified</status>
      <modifiedWord/>
      <trackRevisions>false</trackRevisions>
    </reviewItem>
    <reviewItem>
      <errorID>1fd1a9ca-d692-4c86-8c78-0ae5604e2da0</errorID>
      <errorWord>(</errorWord>
      <group>L1_Format</group>
      <groupName>格式问题</groupName>
      <ability>L2_HalfPunc_CN</ability>
      <abilityName>全半角问题</abilityName>
      <candidateList>
        <item>（</item>
      </candidateList>
      <explain>文本全半角错误。</explain>
      <paraID>4CE9C060</paraID>
      <start>67</start>
      <end>68</end>
      <status>unmodified</status>
      <modifiedWord/>
      <trackRevisions>false</trackRevisions>
    </reviewItem>
    <reviewItem>
      <errorID>371e9dc7-5de6-43f0-a0f2-1a3f7744b060</errorID>
      <errorWord>)</errorWord>
      <group>L1_Format</group>
      <groupName>格式问题</groupName>
      <ability>L2_HalfPunc_CN</ability>
      <abilityName>全半角问题</abilityName>
      <candidateList>
        <item>）</item>
      </candidateList>
      <explain>文本全半角错误。</explain>
      <paraID>4CE9C060</paraID>
      <start>71</start>
      <end>72</end>
      <status>unmodified</status>
      <modifiedWord/>
      <trackRevisions>false</trackRevisions>
    </reviewItem>
    <reviewItem>
      <errorID>25910062-0c9e-4674-969a-296d0fc767c3</errorID>
      <errorWord>)</errorWord>
      <group>L1_Format</group>
      <groupName>格式问题</groupName>
      <ability>L2_HalfPunc_CN</ability>
      <abilityName>全半角问题</abilityName>
      <candidateList>
        <item>）</item>
      </candidateList>
      <explain>文本全半角错误。</explain>
      <paraID>63995A0A</paraID>
      <start>107</start>
      <end>108</end>
      <status>unmodified</status>
      <modifiedWord/>
      <trackRevisions>false</trackRevisions>
    </reviewItem>
    <reviewItem>
      <errorID>535e61e6-541e-4a2e-bb50-907421aa7c14</errorID>
      <errorWord>(</errorWord>
      <group>L1_Format</group>
      <groupName>格式问题</groupName>
      <ability>L2_HalfPunc_CN</ability>
      <abilityName>全半角问题</abilityName>
      <candidateList>
        <item>（</item>
      </candidateList>
      <explain>文本全半角错误。</explain>
      <paraID>7E721541</paraID>
      <start>18</start>
      <end>19</end>
      <status>unmodified</status>
      <modifiedWord/>
      <trackRevisions>false</trackRevisions>
    </reviewItem>
    <reviewItem>
      <errorID>ccb8f82c-aeaa-4e8a-9081-f3fddaa1f291</errorID>
      <errorWord>)</errorWord>
      <group>L1_Format</group>
      <groupName>格式问题</groupName>
      <ability>L2_HalfPunc_CN</ability>
      <abilityName>全半角问题</abilityName>
      <candidateList>
        <item>）</item>
      </candidateList>
      <explain>文本全半角错误。</explain>
      <paraID>7E721541</paraID>
      <start>28</start>
      <end>29</end>
      <status>unmodified</status>
      <modifiedWord/>
      <trackRevisions>false</trackRevisions>
    </reviewItem>
    <reviewItem>
      <errorID>23a7293e-f480-49d5-9637-1d0048ea3a18</errorID>
      <errorWord>(</errorWord>
      <group>L1_Format</group>
      <groupName>格式问题</groupName>
      <ability>L2_HalfPunc_CN</ability>
      <abilityName>全半角问题</abilityName>
      <candidateList>
        <item>（</item>
      </candidateList>
      <explain>文本全半角错误。</explain>
      <paraID>35940AB9</paraID>
      <start>66</start>
      <end>67</end>
      <status>unmodified</status>
      <modifiedWord/>
      <trackRevisions>false</trackRevisions>
    </reviewItem>
    <reviewItem>
      <errorID>48d45b77-7fe3-4afe-a0e4-bdee3608fe3f</errorID>
      <errorWord>)</errorWord>
      <group>L1_Format</group>
      <groupName>格式问题</groupName>
      <ability>L2_HalfPunc_CN</ability>
      <abilityName>全半角问题</abilityName>
      <candidateList>
        <item>）</item>
      </candidateList>
      <explain>文本全半角错误。</explain>
      <paraID>35940AB9</paraID>
      <start>76</start>
      <end>77</end>
      <status>unmodified</status>
      <modifiedWord/>
      <trackRevisions>false</trackRevisions>
    </reviewItem>
    <reviewItem>
      <errorID>7fb5c73a-011f-441e-9316-fd5bcf8106c2</errorID>
      <errorWord>限</errorWord>
      <group>L1_Word</group>
      <groupName>字词问题</groupName>
      <ability>L2_Typo</ability>
      <abilityName>字词错误</abilityName>
      <candidateList>
        <item>限内</item>
      </candidateList>
      <explain/>
      <paraID>421C91F7</paraID>
      <start>49</start>
      <end>50</end>
      <status>unmodified</status>
      <modifiedWord/>
      <trackRevisions>false</trackRevisions>
    </reviewItem>
    <reviewItem>
      <errorID>b0ee3fbb-2cdd-4e9a-ac35-93abfa4cac2f</errorID>
      <errorWord>管理规定，用供应商</errorWord>
      <group>L1_Word</group>
      <groupName>字词问题</groupName>
      <ability>L2_Typo</ability>
      <abilityName>字词错误</abilityName>
      <candidateList>
        <item>管理规定，使用供应商</item>
      </candidateList>
      <explain/>
      <paraID>475A65A5</paraID>
      <start>28</start>
      <end>38</end>
      <status>modified</status>
      <modifiedWord>管理规定，使用供应商</modifiedWord>
      <trackRevisions>false</trackRevisions>
    </reviewItem>
    <reviewItem>
      <errorID>25015495-1c27-46f4-8059-c01fa9ee0fe3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63A5170F</paraID>
      <start>15</start>
      <end>18</end>
      <status>unmodified</status>
      <modifiedWord/>
      <trackRevisions>false</trackRevisions>
    </reviewItem>
    <reviewItem>
      <errorID>691ce8a8-4fb9-479d-a8a7-374087ce2327</errorID>
      <errorWord>法律、法规</errorWord>
      <group>L1_Word</group>
      <groupName>字词问题</groupName>
      <ability>L2_Typo</ability>
      <abilityName>字词错误</abilityName>
      <candidateList>
        <item>法律法规</item>
      </candidateList>
      <explain/>
      <paraID>64D3B834</paraID>
      <start>38</start>
      <end>43</end>
      <status>unmodified</status>
      <modifiedWord/>
      <trackRevisions>false</trackRevisions>
    </reviewItem>
    <reviewItem>
      <errorID>4d829eb5-5f95-46f4-92ae-853bb59e1b02</errorID>
      <errorWord>式</errorWord>
      <group>L1_Word</group>
      <groupName>字词问题</groupName>
      <ability>L2_Typo</ability>
      <abilityName>字词错误</abilityName>
      <candidateList>
        <item>式向</item>
      </candidateList>
      <explain/>
      <paraID>66F4A78C</paraID>
      <start>30</start>
      <end>31</end>
      <status>unmodified</status>
      <modifiedWord/>
      <trackRevisions>false</trackRevisions>
    </reviewItem>
    <reviewItem>
      <errorID>a66dee2c-8d73-4006-b9a3-83fa2f9ec75d</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7D30AF2D</paraID>
      <start>203</start>
      <end>208</end>
      <status>unmodified</status>
      <modifiedWord/>
      <trackRevisions>false</trackRevisions>
    </reviewItem>
    <reviewItem>
      <errorID>e74065be-a233-4115-be2e-5348934a0e42</errorID>
      <errorWord>操作合</errorWord>
      <group>L1_Word</group>
      <groupName>字词问题</groupName>
      <ability>L2_Typo</ability>
      <abilityName>字词错误</abilityName>
      <candidateList>
        <item>操作台</item>
      </candidateList>
      <explain/>
      <paraID>3A9F37BE</paraID>
      <start>9</start>
      <end>12</end>
      <status>unmodified</status>
      <modifiedWord/>
      <trackRevisions>false</trackRevisions>
    </reviewItem>
    <reviewItem>
      <errorID>f34f0b05-bef8-4190-919d-ed28fe44722a</errorID>
      <errorWord>接受</errorWord>
      <group>L1_Word</group>
      <groupName>字词问题</groupName>
      <ability>L2_Typo</ability>
      <abilityName>字词错误</abilityName>
      <candidateList>
        <item>接收</item>
      </candidateList>
      <explain>存在发音相同字词的误用。</explain>
      <paraID>2557B557</paraID>
      <start>35</start>
      <end>37</end>
      <status>unmodified</status>
      <modifiedWord/>
      <trackRevisions>false</trackRevisions>
    </reviewItem>
    <reviewItem>
      <errorID>1983da98-5280-4cc1-a009-441072737fc6</errorID>
      <errorWord>，</errorWord>
      <group>L1_Word</group>
      <groupName>字词问题</groupName>
      <ability>L2_Typo</ability>
      <abilityName>字词错误</abilityName>
      <candidateList>
        <item>，在</item>
      </candidateList>
      <explain/>
      <paraID>70FA5F04</paraID>
      <start>36</start>
      <end>37</end>
      <status>unmodified</status>
      <modifiedWord/>
      <trackRevisions>false</trackRevisions>
    </reviewItem>
    <reviewItem>
      <errorID>d26c4888-6259-46d4-b467-cec6a7ec36ee</errorID>
      <errorWord>”中</errorWord>
      <group>L1_Word</group>
      <groupName>字词问题</groupName>
      <ability>L2_Typo</ability>
      <abilityName>字词错误</abilityName>
      <candidateList>
        <item>”</item>
      </candidateList>
      <explain/>
      <paraID>70FA5F04</paraID>
      <start>205</start>
      <end>207</end>
      <status>unmodified</status>
      <modifiedWord/>
      <trackRevisions>false</trackRevisions>
    </reviewItem>
    <reviewItem>
      <errorID>2077a40a-10d3-453a-b4a1-caeaf40941ea</errorID>
      <errorWord>间</errorWord>
      <group>L1_Word</group>
      <groupName>字词问题</groupName>
      <ability>L2_Typo</ability>
      <abilityName>字词错误</abilityName>
      <candidateList>
        <item>间之</item>
      </candidateList>
      <explain/>
      <paraID>5EFBA702</paraID>
      <start>14</start>
      <end>15</end>
      <status>unmodified</status>
      <modifiedWord/>
      <trackRevisions>false</trackRevisions>
    </reviewItem>
    <reviewItem>
      <errorID>a74b26eb-7773-4894-8a0e-c5662e4f4679</errorID>
      <errorWord>原则做出结论</errorWord>
      <group>L1_Word</group>
      <groupName>字词问题</groupName>
      <ability>L2_Typo</ability>
      <abilityName>字词错误</abilityName>
      <candidateList>
        <item>原则作出结论</item>
      </candidateList>
      <explain/>
      <paraID>4B4A7F64</paraID>
      <start>62</start>
      <end>68</end>
      <status>unmodified</status>
      <modifiedWord/>
      <trackRevisions>false</trackRevisions>
    </reviewItem>
    <reviewItem>
      <errorID>d74b46ad-44e6-41ff-b478-ed37b2d3f037</errorID>
      <errorWord>亿</errorWord>
      <group>L1_Word</group>
      <groupName>字词问题</groupName>
      <ability>L2_Typo</ability>
      <abilityName>字词错误</abilityName>
      <candidateList>
        <item>亿元</item>
      </candidateList>
      <explain/>
      <paraID>73AC702D</paraID>
      <start>3</start>
      <end>4</end>
      <status>unmodified</status>
      <modifiedWord/>
      <trackRevisions>false</trackRevisions>
    </reviewItem>
    <reviewItem>
      <errorID>e9beaee2-47b6-4d26-9822-92019136df92</errorID>
      <errorWord>[2014]68号</errorWord>
      <group>L1_Knowledge</group>
      <groupName>知识性问题</groupName>
      <ability>L2_Knowledge</ability>
      <abilityName>其他知识</abilityName>
      <candidateList>
        <item>〔2014〕68号</item>
      </candidateList>
      <explain>发文字号格式错误。</explain>
      <paraID>22ACD261</paraID>
      <start>36</start>
      <end>45</end>
      <status>unmodified</status>
      <modifiedWord/>
      <trackRevisions>false</trackRevisions>
    </reviewItem>
    <reviewItem>
      <errorID>b061b6c7-249d-4811-b6a6-37ce6de87c91</errorID>
      <errorWord>中的</errorWord>
      <group>L1_Word</group>
      <groupName>字词问题</groupName>
      <ability>L2_Typo</ability>
      <abilityName>字词错误</abilityName>
      <candidateList>
        <item>中</item>
      </candidateList>
      <explain/>
      <paraID>27C5C048</paraID>
      <start>304</start>
      <end>306</end>
      <status>unmodified</status>
      <modifiedWord/>
      <trackRevisions>false</trackRevisions>
    </reviewItem>
    <reviewItem>
      <errorID>03ad481d-0d78-48d5-8276-cd176e119c00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66DE9FCF</paraID>
      <start>0</start>
      <end>2</end>
      <status>modified</status>
      <modifiedWord>1.</modifiedWord>
      <trackRevisions>false</trackRevisions>
    </reviewItem>
    <reviewItem>
      <errorID>13ea1e3c-7123-4d23-91c6-96e4fefec482</errorID>
      <errorWord>45千</errorWord>
      <group>L1_Knowledge</group>
      <groupName>知识性问题</groupName>
      <ability>L2_Knowledge</ability>
      <abilityName>其他知识</abilityName>
      <candidateList>
        <item>45000</item>
      </candidateList>
      <explain>根据GB/T 15835-2011规定，只有“万”、“亿可以与阿拉伯数字混用，例如：“4万”、“4亿”、“4万亿”等。其他情况应统一使用阿拉伯数字。</explain>
      <paraID>66836F30</paraID>
      <start>73</start>
      <end>76</end>
      <status>unmodified</status>
      <modifiedWord/>
      <trackRevisions>false</trackRevisions>
    </reviewItem>
    <reviewItem>
      <errorID>0b41ac00-40a0-4e43-823c-b1c4ef4a36c5</errorID>
      <errorWord>长</errorWord>
      <group>L1_Word</group>
      <groupName>字词问题</groupName>
      <ability>L2_Typo</ability>
      <abilityName>字词错误</abilityName>
      <candidateList>
        <item>长度</item>
      </candidateList>
      <explain/>
      <paraID>65F3351D</paraID>
      <start>49</start>
      <end>50</end>
      <status>unmodified</status>
      <modifiedWord/>
      <trackRevisions>false</trackRevisions>
    </reviewItem>
    <reviewItem>
      <errorID>07392c4f-5911-4c1c-9742-03636d4f3d8e</errorID>
      <errorWord>(</errorWord>
      <group>L1_Format</group>
      <groupName>格式问题</groupName>
      <ability>L2_HalfPunc_CN</ability>
      <abilityName>全半角问题</abilityName>
      <candidateList>
        <item>（</item>
      </candidateList>
      <explain>文本全半角错误。</explain>
      <paraID>47CE5FC0</paraID>
      <start>17</start>
      <end>18</end>
      <status>unmodified</status>
      <modifiedWord/>
      <trackRevisions>false</trackRevisions>
    </reviewItem>
    <reviewItem>
      <errorID>a7b85391-4c02-45db-a65c-2d9b894546e3</errorID>
      <errorWord>)</errorWord>
      <group>L1_Format</group>
      <groupName>格式问题</groupName>
      <ability>L2_HalfPunc_CN</ability>
      <abilityName>全半角问题</abilityName>
      <candidateList>
        <item>）</item>
      </candidateList>
      <explain>文本全半角错误。</explain>
      <paraID>522C7C98</paraID>
      <start>22</start>
      <end>23</end>
      <status>unmodified</status>
      <modifiedWord/>
      <trackRevisions>false</trackRevisions>
    </reviewItem>
    <reviewItem>
      <errorID>884e9885-8b29-4e55-bbbe-43ab2c8e255b</errorID>
      <errorWord>）</errorWord>
      <group>L1_Format</group>
      <groupName>格式问题</groupName>
      <ability>L2_HalfPunc_CN</ability>
      <abilityName>全半角问题</abilityName>
      <candidateList>
        <item>)</item>
      </candidateList>
      <explain>文本全半角错误。</explain>
      <paraID>43DEE69B</paraID>
      <start>31</start>
      <end>32</end>
      <status>unmodified</status>
      <modifiedWord/>
      <trackRevisions>false</trackRevisions>
    </reviewItem>
    <reviewItem>
      <errorID>a872ec97-d38b-4771-9328-2d89c2c81980</errorID>
      <errorWord>。</errorWord>
      <group>L1_Format</group>
      <groupName>格式问题</groupName>
      <ability>L2_HalfPunc_CN</ability>
      <abilityName>全半角问题</abilityName>
      <candidateList>
        <item>.</item>
      </candidateList>
      <explain>文本全半角错误。</explain>
      <paraID> 2BB4F32</paraID>
      <start>9</start>
      <end>10</end>
      <status>unmodified</status>
      <modifiedWord/>
      <trackRevisions>false</trackRevisions>
    </reviewItem>
    <reviewItem>
      <errorID>027fc638-20ea-40e5-9fa3-d284a59722be</errorID>
      <errorWord>。</errorWord>
      <group>L1_Format</group>
      <groupName>格式问题</groupName>
      <ability>L2_HalfPunc_CN</ability>
      <abilityName>全半角问题</abilityName>
      <candidateList>
        <item>.</item>
      </candidateList>
      <explain>文本全半角错误。</explain>
      <paraID>2D93CCC4</paraID>
      <start>24</start>
      <end>25</end>
      <status>unmodified</status>
      <modifiedWord/>
      <trackRevisions>false</trackRevisions>
    </reviewItem>
    <reviewItem>
      <errorID>f883c5f9-798e-4b9a-a525-8e0d5b9dc840</errorID>
      <errorWord>(</errorWord>
      <group>L1_Format</group>
      <groupName>格式问题</groupName>
      <ability>L2_HalfPunc_CN</ability>
      <abilityName>全半角问题</abilityName>
      <candidateList>
        <item>（</item>
      </candidateList>
      <explain>文本全半角错误。</explain>
      <paraID>5948B127</paraID>
      <start>14</start>
      <end>15</end>
      <status>unmodified</status>
      <modifiedWord/>
      <trackRevisions>false</trackRevisions>
    </reviewItem>
    <reviewItem>
      <errorID>ff01c1df-462b-40e7-9786-4651fc2cb792</errorID>
      <errorWord>链接</errorWord>
      <group>L1_Word</group>
      <groupName>字词问题</groupName>
      <ability>L2_Typo</ability>
      <abilityName>字词错误</abilityName>
      <candidateList>
        <item>连接</item>
      </candidateList>
      <explain>存在发音相同字词的误用。</explain>
      <paraID>529824CA</paraID>
      <start>5</start>
      <end>7</end>
      <status>unmodified</status>
      <modifiedWord/>
      <trackRevisions>false</trackRevisions>
    </reviewItem>
    <reviewItem>
      <errorID>3d994891-757b-448d-8ccc-d0cedcc4d32a</errorID>
      <errorWord>链接</errorWord>
      <group>L1_Word</group>
      <groupName>字词问题</groupName>
      <ability>L2_Typo</ability>
      <abilityName>字词错误</abilityName>
      <candidateList>
        <item>连接</item>
      </candidateList>
      <explain>存在发音相同字词的误用。</explain>
      <paraID> 400CDA0</paraID>
      <start>5</start>
      <end>7</end>
      <status>unmodified</status>
      <modifiedWord/>
      <trackRevisions>false</trackRevisions>
    </reviewItem>
    <reviewItem>
      <errorID>071dd144-0f86-46cd-85c8-f12d55903361</errorID>
      <errorWord>链接</errorWord>
      <group>L1_Word</group>
      <groupName>字词问题</groupName>
      <ability>L2_Typo</ability>
      <abilityName>字词错误</abilityName>
      <candidateList>
        <item>连接</item>
      </candidateList>
      <explain>存在发音相同字词的误用。</explain>
      <paraID> 400CDA0</paraID>
      <start>25</start>
      <end>27</end>
      <status>unmodified</status>
      <modifiedWord/>
      <trackRevisions>false</trackRevisions>
    </reviewItem>
    <reviewItem>
      <errorID>370ae8c6-7d52-49d3-a3d0-06d564fff267</errorID>
      <errorWord>）</errorWord>
      <group>L1_Format</group>
      <groupName>格式问题</groupName>
      <ability>L2_HalfPunc_CN</ability>
      <abilityName>全半角问题</abilityName>
      <candidateList>
        <item>)</item>
      </candidateList>
      <explain>文本全半角错误。</explain>
      <paraID>331B0FB6</paraID>
      <start>22</start>
      <end>23</end>
      <status>unmodified</status>
      <modifiedWord/>
      <trackRevisions>false</trackRevisions>
    </reviewItem>
    <reviewItem>
      <errorID>40cbc2ff-9d2c-4773-aba3-281776ddf0a3</errorID>
      <errorWord>。</errorWord>
      <group>L1_Format</group>
      <groupName>格式问题</groupName>
      <ability>L2_HalfPunc_CN</ability>
      <abilityName>全半角问题</abilityName>
      <candidateList>
        <item>.</item>
      </candidateList>
      <explain>文本全半角错误。</explain>
      <paraID>283A0286</paraID>
      <start>9</start>
      <end>10</end>
      <status>unmodified</status>
      <modifiedWord/>
      <trackRevisions>false</trackRevisions>
    </reviewItem>
    <reviewItem>
      <errorID>22357b21-c814-47bd-a8df-9cea8c89ff0a</errorID>
      <errorWord>。</errorWord>
      <group>L1_Format</group>
      <groupName>格式问题</groupName>
      <ability>L2_HalfPunc_CN</ability>
      <abilityName>全半角问题</abilityName>
      <candidateList>
        <item>.</item>
      </candidateList>
      <explain>文本全半角错误。</explain>
      <paraID>73C96E8A</paraID>
      <start>25</start>
      <end>26</end>
      <status>unmodified</status>
      <modifiedWord/>
      <trackRevisions>false</trackRevisions>
    </reviewItem>
    <reviewItem>
      <errorID>9f5cf084-acc1-490d-927f-ec87e260ee7a</errorID>
      <errorWord>无极</errorWord>
      <group>L1_Word</group>
      <groupName>字词问题</groupName>
      <ability>L2_Typo</ability>
      <abilityName>字词错误</abilityName>
      <candidateList>
        <item>无级</item>
      </candidateList>
      <explain/>
      <paraID>6A677B5F</paraID>
      <start>15</start>
      <end>17</end>
      <status>unmodified</status>
      <modifiedWord/>
      <trackRevisions>false</trackRevisions>
    </reviewItem>
    <reviewItem>
      <errorID>93b285f4-0337-47ef-b558-5c64282b960f</errorID>
      <errorWord>~</errorWord>
      <group>L1_Format</group>
      <groupName>格式问题</groupName>
      <ability>L2_HalfPunc_CN</ability>
      <abilityName>全半角问题</abilityName>
      <candidateList>
        <item>～</item>
      </candidateList>
      <explain>文本全半角错误。</explain>
      <paraID>51383CD4</paraID>
      <start>238</start>
      <end>239</end>
      <status>unmodified</status>
      <modifiedWord/>
      <trackRevisions>false</trackRevisions>
    </reviewItem>
    <reviewItem>
      <errorID>fb92c42b-4a62-469d-a795-73a759b8464f</errorID>
      <errorWord>~</errorWord>
      <group>L1_Format</group>
      <groupName>格式问题</groupName>
      <ability>L2_HalfPunc_CN</ability>
      <abilityName>全半角问题</abilityName>
      <candidateList>
        <item>～</item>
      </candidateList>
      <explain>文本全半角错误。</explain>
      <paraID>65447248</paraID>
      <start>10</start>
      <end>11</end>
      <status>unmodified</status>
      <modifiedWord/>
      <trackRevisions>false</trackRevisions>
    </reviewItem>
    <reviewItem>
      <errorID>0a032dca-63f9-4b80-a928-f0b5af3d40f8</errorID>
      <errorWord>光影变换</errorWord>
      <group>L1_Word</group>
      <groupName>字词问题</groupName>
      <ability>L2_Typo</ability>
      <abilityName>字词错误</abilityName>
      <candidateList>
        <item>光影变幻</item>
      </candidateList>
      <explain/>
      <paraID> 67DDAD4</paraID>
      <start>93</start>
      <end>97</end>
      <status>modified</status>
      <modifiedWord>光影变幻</modifiedWord>
      <trackRevisions>false</trackRevisions>
    </reviewItem>
    <reviewItem>
      <errorID>d21aebc9-5ec0-406c-9be3-b84b1a075069</errorID>
      <errorWord>导入到</errorWord>
      <group>L1_Word</group>
      <groupName>字词问题</groupName>
      <ability>L2_Typo</ability>
      <abilityName>字词错误</abilityName>
      <candidateList>
        <item>导入</item>
      </candidateList>
      <explain/>
      <paraID>31BC4D22</paraID>
      <start>133</start>
      <end>136</end>
      <status>unmodified</status>
      <modifiedWord/>
      <trackRevisions>false</trackRevisions>
    </reviewItem>
    <reviewItem>
      <errorID>87a468b8-006c-4e76-8ae2-a0d5cb82bdc8</errorID>
      <errorWord>(</errorWord>
      <group>L1_Format</group>
      <groupName>格式问题</groupName>
      <ability>L2_HalfPunc_CN</ability>
      <abilityName>全半角问题</abilityName>
      <candidateList>
        <item>（</item>
      </candidateList>
      <explain>文本全半角错误。</explain>
      <paraID>62728F40</paraID>
      <start>39</start>
      <end>40</end>
      <status>unmodified</status>
      <modifiedWord/>
      <trackRevisions>false</trackRevisions>
    </reviewItem>
    <reviewItem>
      <errorID>8de656ed-74df-45cb-987c-956d5fc5e355</errorID>
      <errorWord>;</errorWord>
      <group>L1_Format</group>
      <groupName>格式问题</groupName>
      <ability>L2_HalfPunc_CN</ability>
      <abilityName>全半角问题</abilityName>
      <candidateList>
        <item>；</item>
      </candidateList>
      <explain>文本全半角错误。</explain>
      <paraID>519D620A</paraID>
      <start>46</start>
      <end>47</end>
      <status>unmodified</status>
      <modifiedWord/>
      <trackRevisions>false</trackRevisions>
    </reviewItem>
    <reviewItem>
      <errorID>ce0db6c7-74e2-4854-9d82-5248edd68fa1</errorID>
      <errorWord>,</errorWord>
      <group>L1_Format</group>
      <groupName>格式问题</groupName>
      <ability>L2_HalfPunc_CN</ability>
      <abilityName>全半角问题</abilityName>
      <candidateList>
        <item>，</item>
      </candidateList>
      <explain>文本全半角错误。</explain>
      <paraID>519D620A</paraID>
      <start>61</start>
      <end>62</end>
      <status>unmodified</status>
      <modifiedWord/>
      <trackRevisions>false</trackRevisions>
    </reviewItem>
    <reviewItem>
      <errorID>553bf0cf-cd5c-467f-b2cb-76d568a3b62c</errorID>
      <errorWord>)</errorWord>
      <group>L1_Format</group>
      <groupName>格式问题</groupName>
      <ability>L2_HalfPunc_CN</ability>
      <abilityName>全半角问题</abilityName>
      <candidateList>
        <item>）</item>
      </candidateList>
      <explain>文本全半角错误。</explain>
      <paraID>7F556195</paraID>
      <start>15</start>
      <end>16</end>
      <status>unmodified</status>
      <modifiedWord/>
      <trackRevisions>false</trackRevisions>
    </reviewItem>
    <reviewItem>
      <errorID>a6ca0aea-65fb-4d5c-9ca3-0cec039b4b49</errorID>
      <errorWord>。</errorWord>
      <group>L1_Format</group>
      <groupName>格式问题</groupName>
      <ability>L2_HalfPunc_CN</ability>
      <abilityName>全半角问题</abilityName>
      <candidateList>
        <item>.</item>
      </candidateList>
      <explain>文本全半角错误。</explain>
      <paraID>7F556195</paraID>
      <start>16</start>
      <end>17</end>
      <status>unmodified</status>
      <modifiedWord/>
      <trackRevisions>false</trackRevisions>
    </reviewItem>
    <reviewItem>
      <errorID>48f846ec-73b2-40c3-b347-c463bd988a35</errorID>
      <errorWord>：</errorWord>
      <group>L1_Format</group>
      <groupName>格式问题</groupName>
      <ability>L2_HalfPunc_CN</ability>
      <abilityName>全半角问题</abilityName>
      <candidateList>
        <item>:</item>
      </candidateList>
      <explain>文本全半角错误。</explain>
      <paraID>2AF5DCE6</paraID>
      <start>95</start>
      <end>96</end>
      <status>unmodified</status>
      <modifiedWord/>
      <trackRevisions>false</trackRevisions>
    </reviewItem>
    <reviewItem>
      <errorID>2331fc79-4d7a-4fa6-83ce-61646a8f422e</errorID>
      <errorWord>。</errorWord>
      <group>L1_Format</group>
      <groupName>格式问题</groupName>
      <ability>L2_HalfPunc_CN</ability>
      <abilityName>全半角问题</abilityName>
      <candidateList>
        <item>.</item>
      </candidateList>
      <explain>文本全半角错误。</explain>
      <paraID>2AF5DCE6</paraID>
      <start>105</start>
      <end>106</end>
      <status>unmodified</status>
      <modifiedWord/>
      <trackRevisions>false</trackRevisions>
    </reviewItem>
    <reviewItem>
      <errorID>3c249ecc-70d1-462f-868a-488a9236f6e1</errorID>
      <errorWord>，。</errorWord>
      <group>L1_Punc</group>
      <groupName>标点问题</groupName>
      <ability>L2_Punc_CN</ability>
      <abilityName>标点符号问题</abilityName>
      <candidateList>
        <item>，</item>
      </candidateList>
      <explain/>
      <paraID>79E5EF77</paraID>
      <start>224</start>
      <end>226</end>
      <status>unmodified</status>
      <modifiedWord/>
      <trackRevisions>false</trackRevisions>
    </reviewItem>
    <reviewItem>
      <errorID>44a5a736-9fb8-4108-a5a4-86c0473aafd1</errorID>
      <errorWord>导入到</errorWord>
      <group>L1_Word</group>
      <groupName>字词问题</groupName>
      <ability>L2_Typo</ability>
      <abilityName>字词错误</abilityName>
      <candidateList>
        <item>导入</item>
      </candidateList>
      <explain/>
      <paraID>79E5EF77</paraID>
      <start>260</start>
      <end>263</end>
      <status>unmodified</status>
      <modifiedWord/>
      <trackRevisions>false</trackRevisions>
    </reviewItem>
    <reviewItem>
      <errorID>03844070-6ad0-4366-b972-eaac83e23010</errorID>
      <errorWord>)</errorWord>
      <group>L1_Format</group>
      <groupName>格式问题</groupName>
      <ability>L2_HalfPunc_CN</ability>
      <abilityName>全半角问题</abilityName>
      <candidateList>
        <item>）</item>
      </candidateList>
      <explain>文本全半角错误。</explain>
      <paraID>468ECE39</paraID>
      <start>24</start>
      <end>25</end>
      <status>unmodified</status>
      <modifiedWord/>
      <trackRevisions>false</trackRevisions>
    </reviewItem>
    <reviewItem>
      <errorID>ae38c124-6f4d-4a88-b8e3-cad3f49312f0</errorID>
      <errorWord>(</errorWord>
      <group>L1_Format</group>
      <groupName>格式问题</groupName>
      <ability>L2_HalfPunc_CN</ability>
      <abilityName>全半角问题</abilityName>
      <candidateList>
        <item>（</item>
      </candidateList>
      <explain>文本全半角错误。</explain>
      <paraID>41C4DD6E</paraID>
      <start>12</start>
      <end>13</end>
      <status>unmodified</status>
      <modifiedWord/>
      <trackRevisions>false</trackRevisions>
    </reviewItem>
    <reviewItem>
      <errorID>6d3da957-9f85-4e3f-871b-2a34dd8aef0d</errorID>
      <errorWord>项号</errorWord>
      <group>L1_Word</group>
      <groupName>字词问题</groupName>
      <ability>L2_Typo</ability>
      <abilityName>字词错误</abilityName>
      <candidateList>
        <item>项目</item>
      </candidateList>
      <explain>存在字形相近字词的误用。</explain>
      <paraID>41F8FEB5</paraID>
      <start>8</start>
      <end>10</end>
      <status>unmodified</status>
      <modifiedWord/>
      <trackRevisions>false</trackRevisions>
    </reviewItem>
    <reviewItem>
      <errorID>14a467ed-4b0f-4fff-9b41-038e28b3329b</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 154D4D5</paraID>
      <start>14</start>
      <end>17</end>
      <status>unmodified</status>
      <modifiedWord/>
      <trackRevisions>false</trackRevisions>
    </reviewItem>
    <reviewItem>
      <errorID>9d98082b-0690-4b3a-bd07-d851b80327c2</errorID>
      <errorWord>（</errorWord>
      <group>L1_Format</group>
      <groupName>格式问题</groupName>
      <ability>L2_HalfPunc_CN</ability>
      <abilityName>全半角问题</abilityName>
      <candidateList>
        <item>(</item>
      </candidateList>
      <explain>文本全半角错误。</explain>
      <paraID>3BC25AAB</paraID>
      <start>0</start>
      <end>1</end>
      <status>unmodified</status>
      <modifiedWord/>
      <trackRevisions>false</trackRevisions>
    </reviewItem>
    <reviewItem>
      <errorID>4a1eb512-6610-4b73-8d14-29b8c5f5377d</errorID>
      <errorWord>）</errorWord>
      <group>L1_Format</group>
      <groupName>格式问题</groupName>
      <ability>L2_HalfPunc_CN</ability>
      <abilityName>全半角问题</abilityName>
      <candidateList>
        <item>)</item>
      </candidateList>
      <explain>文本全半角错误。</explain>
      <paraID>3BC25AAB</paraID>
      <start>8</start>
      <end>9</end>
      <status>unmodified</status>
      <modifiedWord/>
      <trackRevisions>false</trackRevisions>
    </reviewItem>
    <reviewItem>
      <errorID>b52b31ee-729b-40df-a9c9-9b53f86c5a81</errorID>
      <errorWord>(</errorWord>
      <group>L1_Format</group>
      <groupName>格式问题</groupName>
      <ability>L2_HalfPunc_CN</ability>
      <abilityName>全半角问题</abilityName>
      <candidateList>
        <item>（</item>
      </candidateList>
      <explain>文本全半角错误。</explain>
      <paraID> FD443D9</paraID>
      <start>44</start>
      <end>45</end>
      <status>unmodified</status>
      <modifiedWord/>
      <trackRevisions>false</trackRevisions>
    </reviewItem>
    <reviewItem>
      <errorID>dbfb0acd-65c8-4fb1-a3b7-33dc7c830bf3</errorID>
      <errorWord>)</errorWord>
      <group>L1_Format</group>
      <groupName>格式问题</groupName>
      <ability>L2_HalfPunc_CN</ability>
      <abilityName>全半角问题</abilityName>
      <candidateList>
        <item>）</item>
      </candidateList>
      <explain>文本全半角错误。</explain>
      <paraID> FD443D9</paraID>
      <start>56</start>
      <end>57</end>
      <status>unmodified</status>
      <modifiedWord/>
      <trackRevisions>false</trackRevisions>
    </reviewItem>
    <reviewItem>
      <errorID>4265bc43-4885-4001-aca2-4e91e8526365</errorID>
      <errorWord>(</errorWord>
      <group>L1_Format</group>
      <groupName>格式问题</groupName>
      <ability>L2_HalfPunc_CN</ability>
      <abilityName>全半角问题</abilityName>
      <candidateList>
        <item>（</item>
      </candidateList>
      <explain>文本全半角错误。</explain>
      <paraID>5F34EB66</paraID>
      <start>25</start>
      <end>26</end>
      <status>unmodified</status>
      <modifiedWord/>
      <trackRevisions>false</trackRevisions>
    </reviewItem>
    <reviewItem>
      <errorID>bdb201c8-7d71-4a43-8d70-22c7fd256c35</errorID>
      <errorWord>)</errorWord>
      <group>L1_Format</group>
      <groupName>格式问题</groupName>
      <ability>L2_HalfPunc_CN</ability>
      <abilityName>全半角问题</abilityName>
      <candidateList>
        <item>）</item>
      </candidateList>
      <explain>文本全半角错误。</explain>
      <paraID>5F34EB66</paraID>
      <start>48</start>
      <end>49</end>
      <status>unmodified</status>
      <modifiedWord/>
      <trackRevisions>false</trackRevisions>
    </reviewItem>
    <reviewItem>
      <errorID>2e844b33-d332-4c02-87c8-c5992ab9fc4b</errorID>
      <errorWord>(</errorWord>
      <group>L1_Format</group>
      <groupName>格式问题</groupName>
      <ability>L2_HalfPunc_CN</ability>
      <abilityName>全半角问题</abilityName>
      <candidateList>
        <item>（</item>
      </candidateList>
      <explain>文本全半角错误。</explain>
      <paraID>5F34EB66</paraID>
      <start>57</start>
      <end>58</end>
      <status>unmodified</status>
      <modifiedWord/>
      <trackRevisions>false</trackRevisions>
    </reviewItem>
    <reviewItem>
      <errorID>cccfdd52-8f5b-4af9-a17d-39df826eb67e</errorID>
      <errorWord>)</errorWord>
      <group>L1_Format</group>
      <groupName>格式问题</groupName>
      <ability>L2_HalfPunc_CN</ability>
      <abilityName>全半角问题</abilityName>
      <candidateList>
        <item>）</item>
      </candidateList>
      <explain>文本全半角错误。</explain>
      <paraID>5F34EB66</paraID>
      <start>73</start>
      <end>74</end>
      <status>unmodified</status>
      <modifiedWord/>
      <trackRevisions>false</trackRevisions>
    </reviewItem>
    <reviewItem>
      <errorID>7d6c4c08-3b8e-4c0c-913e-8bff4029b2f1</errorID>
      <errorWord>相应</errorWord>
      <group>L1_Word</group>
      <groupName>字词问题</groupName>
      <ability>L2_Typo</ability>
      <abilityName>字词错误</abilityName>
      <candidateList>
        <item>响应</item>
      </candidateList>
      <explain/>
      <paraID>3A678E19</paraID>
      <start>19</start>
      <end>21</end>
      <status>unmodified</status>
      <modifiedWord/>
      <trackRevisions>false</trackRevisions>
    </reviewItem>
    <reviewItem>
      <errorID>54b251db-34da-457c-af4d-2cceafc3c9b7</errorID>
      <errorWord>-</errorWord>
      <group>L1_Format</group>
      <groupName>格式问题</groupName>
      <ability>L2_HalfPunc_CN</ability>
      <abilityName>全半角问题</abilityName>
      <candidateList>
        <item>－</item>
      </candidateList>
      <explain>文本全半角错误。</explain>
      <paraID>6683D7FC</paraID>
      <start>20</start>
      <end>21</end>
      <status>unmodified</status>
      <modifiedWord/>
      <trackRevisions>false</trackRevisions>
    </reviewItem>
    <reviewItem>
      <errorID>4f09ce25-ee75-4654-b26f-07dd19aafae8</errorID>
      <errorWord>法律、法规</errorWord>
      <group>L1_Word</group>
      <groupName>字词问题</groupName>
      <ability>L2_Typo</ability>
      <abilityName>字词错误</abilityName>
      <candidateList>
        <item>法律法规</item>
      </candidateList>
      <explain/>
      <paraID>10A1C604</paraID>
      <start>3</start>
      <end>8</end>
      <status>unmodified</status>
      <modifiedWord/>
      <trackRevisions>false</trackRevisions>
    </reviewItem>
    <reviewItem>
      <errorID>9e313ea5-80b0-4ec2-ba14-1772e0929298</errorID>
      <errorWord>，</errorWord>
      <group>L1_Word</group>
      <groupName>字词问题</groupName>
      <ability>L2_Typo</ability>
      <abilityName>字词错误</abilityName>
      <candidateList>
        <item>，并</item>
      </candidateList>
      <explain/>
      <paraID>6CDCDCBC</paraID>
      <start>63</start>
      <end>65</end>
      <status>modified</status>
      <modifiedWord>，并</modifiedWord>
      <trackRevisions>false</trackRevisions>
    </reviewItem>
    <reviewItem>
      <errorID>23ea3d7c-3c60-48e9-aefc-de162f32d927</errorID>
      <errorWord>股东大会</errorWord>
      <group>L1_Word</group>
      <groupName>字词问题</groupName>
      <ability>L2_Typo</ability>
      <abilityName>字词错误</abilityName>
      <candidateList>
        <item>股东会</item>
      </candidateList>
      <explain/>
      <paraID>629C1DB6</paraID>
      <start>113</start>
      <end>117</end>
      <status>unmodified</status>
      <modifiedWord/>
      <trackRevisions>false</trackRevisions>
    </reviewItem>
    <reviewItem>
      <errorID>4420f9a9-fe13-43ab-b5eb-4483eb7c5cd3</errorID>
      <errorWord>：；</errorWord>
      <group>L1_Punc</group>
      <groupName>标点问题</groupName>
      <ability>L2_Punc_CN</ability>
      <abilityName>标点符号问题</abilityName>
      <candidateList>
        <item>：</item>
      </candidateList>
      <explain/>
      <paraID>256CC1AF</paraID>
      <start>19</start>
      <end>21</end>
      <status>unmodified</status>
      <modifiedWord/>
      <trackRevisions>false</trackRevisions>
    </reviewItem>
    <reviewItem>
      <errorID>880617d7-40e4-4986-adc5-b674323f58be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42F75833</paraID>
      <start>36</start>
      <end>39</end>
      <status>unmodified</status>
      <modifiedWord/>
      <trackRevisions>false</trackRevisions>
    </reviewItem>
    <reviewItem>
      <errorID>c9fee57d-f352-40fd-a68a-1b052a0600c5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631AF4</paraID>
      <start>41</start>
      <end>44</end>
      <status>unmodified</status>
      <modifiedWord/>
      <trackRevisions>false</trackRevisions>
    </reviewItem>
    <reviewItem>
      <errorID>7326baac-6f68-42fb-bd29-fa80053072ba</errorID>
      <errorWord>:</errorWord>
      <group>L1_Format</group>
      <groupName>格式问题</groupName>
      <ability>L2_HalfPunc_CN</ability>
      <abilityName>全半角问题</abilityName>
      <candidateList>
        <item>：</item>
      </candidateList>
      <explain>文本全半角错误。</explain>
      <paraID>2023E1B6</paraID>
      <start>9</start>
      <end>10</end>
      <status>unmodified</status>
      <modifiedWord/>
      <trackRevisions>false</trackRevisions>
    </reviewItem>
    <reviewItem>
      <errorID>36b17871-ccef-43f3-afaf-d1066f4b8b98</errorID>
      <errorWord>:</errorWord>
      <group>L1_Format</group>
      <groupName>格式问题</groupName>
      <ability>L2_HalfPunc_CN</ability>
      <abilityName>全半角问题</abilityName>
      <candidateList>
        <item>：</item>
      </candidateList>
      <explain>文本全半角错误。</explain>
      <paraID>7CCD48EE</paraID>
      <start>9</start>
      <end>10</end>
      <status>unmodified</status>
      <modifiedWord/>
      <trackRevisions>false</trackRevisions>
    </reviewItem>
    <reviewItem>
      <errorID>7dbc35eb-4015-4e28-8802-d48ec903732a</errorID>
      <errorWord>(</errorWord>
      <group>L1_Format</group>
      <groupName>格式问题</groupName>
      <ability>L2_HalfPunc_CN</ability>
      <abilityName>全半角问题</abilityName>
      <candidateList>
        <item>（</item>
      </candidateList>
      <explain>文本全半角错误。</explain>
      <paraID>2F82E45D</paraID>
      <start>0</start>
      <end>1</end>
      <status>unmodified</status>
      <modifiedWord/>
      <trackRevisions>false</trackRevisions>
    </reviewItem>
    <reviewItem>
      <errorID>5d6d54f0-a649-488f-b5aa-d36bc1600fc9</errorID>
      <errorWord>(</errorWord>
      <group>L1_Format</group>
      <groupName>格式问题</groupName>
      <ability>L2_HalfPunc_CN</ability>
      <abilityName>全半角问题</abilityName>
      <candidateList>
        <item>（</item>
      </candidateList>
      <explain>文本全半角错误。</explain>
      <paraID>12857718</paraID>
      <start>4</start>
      <end>5</end>
      <status>unmodified</status>
      <modifiedWord/>
      <trackRevisions>false</trackRevisions>
    </reviewItem>
    <reviewItem>
      <errorID>6d2734f0-29f3-4d93-8486-0dd22e5e5ea4</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3BB81DC9</paraID>
      <start>53</start>
      <end>57</end>
      <status>unmodified</status>
      <modifiedWord/>
      <trackRevisions>false</trackRevisions>
    </reviewItem>
    <reviewItem>
      <errorID>087b1cc2-47e8-4ead-9632-f8d1e72b592d</errorID>
      <errorWord>[2026]</errorWord>
      <group>L1_Punc</group>
      <groupName>标点问题</groupName>
      <ability>L2_Punc_CN</ability>
      <abilityName>标点符号问题</abilityName>
      <candidateList>
        <item>〔2026〕</item>
      </candidateList>
      <explain/>
      <paraID>66010E81</paraID>
      <start>31</start>
      <end>37</end>
      <status>unmodified</status>
      <modifiedWord/>
      <trackRevisions>false</trackRevisions>
    </reviewItem>
    <reviewItem>
      <errorID>a4eeda1f-0342-4f7e-96a6-f5af648f50c9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D7375F8</paraID>
      <start>15</start>
      <end>18</end>
      <status>unmodified</status>
      <modifiedWord/>
      <trackRevisions>false</trackRevisions>
    </reviewItem>
    <reviewItem>
      <errorID>3028435b-08f5-4090-a125-b60de07bf07b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D7375F8</paraID>
      <start>34</start>
      <end>37</end>
      <status>unmodified</status>
      <modifiedWord/>
      <trackRevisions>false</trackRevisions>
    </reviewItem>
    <reviewItem>
      <errorID>8d9fd9db-d8ca-49f2-b021-cc1a8d3950e6</errorID>
      <errorWord>法律、法规</errorWord>
      <group>L1_Word</group>
      <groupName>字词问题</groupName>
      <ability>L2_Typo</ability>
      <abilityName>字词错误</abilityName>
      <candidateList>
        <item>法律法规</item>
      </candidateList>
      <explain/>
      <paraID> D7375F8</paraID>
      <start>49</start>
      <end>54</end>
      <status>unmodified</status>
      <modifiedWord/>
      <trackRevisions>false</trackRevisions>
    </reviewItem>
    <reviewItem>
      <errorID>8b62f2cf-e61d-4da1-ba18-e0f476bb98a2</errorID>
      <errorWord>(</errorWord>
      <group>L1_Format</group>
      <groupName>格式问题</groupName>
      <ability>L2_HalfPunc_CN</ability>
      <abilityName>全半角问题</abilityName>
      <candidateList>
        <item>（</item>
      </candidateList>
      <explain>文本全半角错误。</explain>
      <paraID> D7375F8</paraID>
      <start>66</start>
      <end>67</end>
      <status>unmodified</status>
      <modifiedWord/>
      <trackRevisions>false</trackRevisions>
    </reviewItem>
    <reviewItem>
      <errorID>e7042966-381c-4385-b63c-c2d25a33414d</errorID>
      <errorWord>)</errorWord>
      <group>L1_Format</group>
      <groupName>格式问题</groupName>
      <ability>L2_HalfPunc_CN</ability>
      <abilityName>全半角问题</abilityName>
      <candidateList>
        <item>）</item>
      </candidateList>
      <explain>文本全半角错误。</explain>
      <paraID> D7375F8</paraID>
      <start>75</start>
      <end>76</end>
      <status>unmodified</status>
      <modifiedWord/>
      <trackRevisions>false</trackRevisions>
    </reviewItem>
    <reviewItem>
      <errorID>b65fba61-e8c1-44a4-ab65-17ece24ab9d7</errorID>
      <errorWord>＝</errorWord>
      <group>L1_Format</group>
      <groupName>格式问题</groupName>
      <ability>L2_HalfPunc_CN</ability>
      <abilityName>全半角问题</abilityName>
      <candidateList>
        <item>=</item>
      </candidateList>
      <explain>文本全半角错误。</explain>
      <paraID>36A20072</paraID>
      <start>1</start>
      <end>2</end>
      <status>unmodified</status>
      <modifiedWord/>
      <trackRevisions>false</trackRevisions>
    </reviewItem>
    <reviewItem>
      <errorID>e52b0448-dff7-49d5-964f-9603a9f55b01</errorID>
      <errorWord>完</errorWord>
      <group>L1_Word</group>
      <groupName>字词问题</groupName>
      <ability>L2_Typo</ability>
      <abilityName>字词错误</abilityName>
      <candidateList>
        <item>完成</item>
      </candidateList>
      <explain/>
      <paraID>4971D09B</paraID>
      <start>15</start>
      <end>17</end>
      <status>modified</status>
      <modifiedWord>完成</modifiedWord>
      <trackRevisions>false</trackRevisions>
    </reviewItem>
    <reviewItem>
      <errorID>c0bcc8d4-135f-4ebf-8899-622ceda21658</errorID>
      <errorWord>由乙方负责承担</errorWord>
      <group>L1_Word</group>
      <groupName>字词问题</groupName>
      <ability>L2_Typo</ability>
      <abilityName>字词错误</abilityName>
      <candidateList>
        <item>由乙方承担</item>
      </candidateList>
      <explain/>
      <paraID>3951598E</paraID>
      <start>146</start>
      <end>151</end>
      <status>modified</status>
      <modifiedWord>由乙方承担</modifiedWord>
      <trackRevisions>false</trackRevisions>
    </reviewItem>
    <reviewItem>
      <errorID>308f5a47-f836-4f3b-b0e0-68c5e15428b6</errorID>
      <errorWord>上述的</errorWord>
      <group>L1_Word</group>
      <groupName>字词问题</groupName>
      <ability>L2_Typo</ability>
      <abilityName>字词错误</abilityName>
      <candidateList>
        <item>上述</item>
      </candidateList>
      <explain/>
      <paraID>540AA60E</paraID>
      <start>2</start>
      <end>5</end>
      <status>unmodified</status>
      <modifiedWord/>
      <trackRevisions>false</trackRevisions>
    </reviewItem>
    <reviewItem>
      <errorID>77c5043e-6b36-4175-b522-ed47f2eb08ad</errorID>
      <errorWord>由乙方负责承担</errorWord>
      <group>L1_Word</group>
      <groupName>字词问题</groupName>
      <ability>L2_Typo</ability>
      <abilityName>字词错误</abilityName>
      <candidateList>
        <item>由乙方承担</item>
      </candidateList>
      <explain/>
      <paraID>39FC538A</paraID>
      <start>219</start>
      <end>224</end>
      <status>modified</status>
      <modifiedWord>由乙方承担</modifiedWord>
      <trackRevisions>false</trackRevisions>
    </reviewItem>
    <reviewItem>
      <errorID>cb93dc95-a882-4fea-83fb-f75e8a4c96ce</errorID>
      <errorWord>签</errorWord>
      <group>L1_Word</group>
      <groupName>字词问题</groupName>
      <ability>L2_Typo</ability>
      <abilityName>字词错误</abilityName>
      <candidateList>
        <item>签订</item>
      </candidateList>
      <explain/>
      <paraID>6F98C924</paraID>
      <start>35</start>
      <end>37</end>
      <status>modified</status>
      <modifiedWord>签订</modifiedWord>
      <trackRevisions>false</trackRevisions>
    </reviewItem>
    <reviewItem>
      <errorID>d8ddd513-b57d-42ad-abc9-7544a00b2d0d</errorID>
      <errorWord>甲方二份，乙方一份</errorWord>
      <group>L1_Word</group>
      <groupName>字词问题</groupName>
      <ability>L2_Typo</ability>
      <abilityName>字词错误</abilityName>
      <candidateList>
        <item>甲方两份，乙方一份</item>
      </candidateList>
      <explain/>
      <paraID> 8F9236E</paraID>
      <start>23</start>
      <end>32</end>
      <status>modified</status>
      <modifiedWord>甲方两份，乙方一份</modifiedWord>
      <trackRevisions>false</trackRevisions>
    </reviewItem>
    <reviewItem>
      <errorID>2b35b599-c749-4ab5-bee9-1b97e09ee3c7</errorID>
      <errorWord>另</errorWord>
      <group>L1_Word</group>
      <groupName>字词问题</groupName>
      <ability>L2_Typo</ability>
      <abilityName>字词错误</abilityName>
      <candidateList>
        <item>另行</item>
      </candidateList>
      <explain/>
      <paraID> 8F9236E</paraID>
      <start>47</start>
      <end>49</end>
      <status>modified</status>
      <modifiedWord>另行</modifiedWord>
      <trackRevisions>false</trackRevisions>
    </reviewItem>
    <reviewItem>
      <errorID>e9e65f20-ecc2-4394-bb27-a21a0c405271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51B02541</paraID>
      <start>0</start>
      <end>2</end>
      <status>modified</status>
      <modifiedWord>1.</modifiedWord>
      <trackRevisions>false</trackRevisions>
    </reviewItem>
    <reviewItem>
      <errorID>c6daec2e-8f71-4dd2-9991-9b1211a0957a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F0BFDDF</paraID>
      <start>0</start>
      <end>2</end>
      <status>modified</status>
      <modifiedWord>2.</modifiedWord>
      <trackRevisions>false</trackRevisions>
    </reviewItem>
    <reviewItem>
      <errorID>3325329a-4f29-44ce-abb4-7c012e6837a4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35C32F3B</paraID>
      <start>0</start>
      <end>2</end>
      <status>modified</status>
      <modifiedWord>3.</modifiedWord>
      <trackRevisions>false</trackRevisions>
    </reviewItem>
    <reviewItem>
      <errorID>7d79e500-0052-4649-980c-b40029cb6f93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3DB66946</paraID>
      <start>0</start>
      <end>2</end>
      <status>modified</status>
      <modifiedWord>4.</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110FBE2-A1B7-4C21-B1C8-D40AD5DEC457}">
  <ds:schemaRefs/>
</ds:datastoreItem>
</file>

<file path=docProps/app.xml><?xml version="1.0" encoding="utf-8"?>
<Properties xmlns="http://schemas.openxmlformats.org/officeDocument/2006/extended-properties" xmlns:vt="http://schemas.openxmlformats.org/officeDocument/2006/docPropsVTypes">
  <Template>Normal</Template>
  <Pages>107</Pages>
  <Words>15421</Words>
  <Characters>16336</Characters>
  <Lines>557</Lines>
  <Paragraphs>156</Paragraphs>
  <TotalTime>18</TotalTime>
  <ScaleCrop>false</ScaleCrop>
  <LinksUpToDate>false</LinksUpToDate>
  <CharactersWithSpaces>16443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2023-12-21T10:22:00Z</dcterms:created>
  <cp:lastPrinted>2026-08-03T20:39:00Z</cp:lastPrinted>
  <dcterms:modified xsi:type="dcterms:W3CDTF">2026-08-06T08:41:55Z</dcterms:modified>
  <dc:title>模版</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3E079FA015BC6288A65C716A611F1071_43</vt:lpwstr>
  </property>
  <property fmtid="{D5CDD505-2E9C-101B-9397-08002B2CF9AE}" pid="4" name="KSOTemplateDocerSaveRecord">
    <vt:lpwstr>eyJoZGlkIjoiNzI5OWM3OGY1NTAzMjZjNjUxMTAzMDE0ZGZiNTY1MWMiLCJ1c2VySWQiOiI4MDU1NDc2MDIifQ==</vt:lpwstr>
  </property>
</Properties>
</file>