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E5102">
      <w:pPr>
        <w:spacing w:line="360" w:lineRule="auto"/>
        <w:jc w:val="center"/>
        <w:rPr>
          <w:rFonts w:hint="eastAsia" w:ascii="方正小标宋简体" w:hAnsi="宋体" w:eastAsia="方正小标宋简体"/>
          <w:color w:val="auto"/>
          <w:sz w:val="52"/>
          <w:szCs w:val="52"/>
          <w:highlight w:val="none"/>
        </w:rPr>
      </w:pPr>
    </w:p>
    <w:p w14:paraId="4876833B">
      <w:pPr>
        <w:spacing w:line="360" w:lineRule="auto"/>
        <w:jc w:val="center"/>
        <w:rPr>
          <w:rFonts w:hint="eastAsia" w:ascii="方正小标宋_GBK" w:hAnsi="方正小标宋_GBK" w:eastAsia="方正小标宋_GBK" w:cs="方正小标宋_GBK"/>
          <w:color w:val="auto"/>
          <w:sz w:val="52"/>
          <w:szCs w:val="52"/>
          <w:highlight w:val="none"/>
        </w:rPr>
      </w:pPr>
      <w:r>
        <w:rPr>
          <w:rFonts w:hint="eastAsia" w:ascii="方正小标宋_GBK" w:hAnsi="方正小标宋_GBK" w:eastAsia="方正小标宋_GBK" w:cs="方正小标宋_GBK"/>
          <w:color w:val="auto"/>
          <w:sz w:val="52"/>
          <w:szCs w:val="52"/>
          <w:highlight w:val="none"/>
        </w:rPr>
        <w:t>云之龙咨询集团有限公司</w:t>
      </w:r>
    </w:p>
    <w:p w14:paraId="05954F8B">
      <w:pPr>
        <w:spacing w:before="120" w:line="360" w:lineRule="auto"/>
        <w:jc w:val="center"/>
        <w:rPr>
          <w:rFonts w:ascii="宋体" w:hAnsi="宋体"/>
          <w:color w:val="auto"/>
          <w:sz w:val="52"/>
          <w:szCs w:val="52"/>
          <w:highlight w:val="none"/>
        </w:rPr>
      </w:pPr>
    </w:p>
    <w:p w14:paraId="4C194A8E">
      <w:pPr>
        <w:spacing w:line="360" w:lineRule="auto"/>
        <w:rPr>
          <w:rFonts w:ascii="仿宋_GB2312" w:hAnsi="宋体" w:eastAsia="仿宋_GB2312"/>
          <w:b/>
          <w:color w:val="auto"/>
          <w:sz w:val="48"/>
          <w:szCs w:val="48"/>
          <w:highlight w:val="none"/>
        </w:rPr>
      </w:pPr>
    </w:p>
    <w:p w14:paraId="014E193C">
      <w:pPr>
        <w:spacing w:before="120" w:line="360" w:lineRule="auto"/>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招 标 文 件</w:t>
      </w:r>
    </w:p>
    <w:p w14:paraId="2C2AB8A3">
      <w:pPr>
        <w:spacing w:before="120" w:line="360" w:lineRule="auto"/>
        <w:jc w:val="center"/>
        <w:rPr>
          <w:rFonts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（全流程电子化采购-远程异地评标）</w:t>
      </w:r>
    </w:p>
    <w:p w14:paraId="7DFA14A3">
      <w:pPr>
        <w:spacing w:line="360" w:lineRule="auto"/>
        <w:rPr>
          <w:rFonts w:ascii="仿宋_GB2312" w:hAnsi="宋体" w:eastAsia="仿宋_GB2312"/>
          <w:color w:val="auto"/>
          <w:sz w:val="30"/>
          <w:szCs w:val="72"/>
          <w:highlight w:val="none"/>
        </w:rPr>
      </w:pPr>
    </w:p>
    <w:p w14:paraId="7DF6AB3B">
      <w:pPr>
        <w:spacing w:line="360" w:lineRule="auto"/>
        <w:ind w:firstLine="1145"/>
        <w:rPr>
          <w:rFonts w:ascii="仿宋_GB2312" w:hAnsi="宋体" w:eastAsia="仿宋_GB2312" w:cs="Courier New"/>
          <w:b/>
          <w:bCs/>
          <w:color w:val="auto"/>
          <w:sz w:val="30"/>
          <w:szCs w:val="30"/>
          <w:highlight w:val="none"/>
        </w:rPr>
      </w:pPr>
      <w:r>
        <w:rPr>
          <w:rFonts w:hint="eastAsia" w:ascii="仿宋_GB2312" w:hAnsi="宋体" w:eastAsia="仿宋_GB2312" w:cs="Courier New"/>
          <w:b/>
          <w:bCs/>
          <w:color w:val="auto"/>
          <w:sz w:val="30"/>
          <w:szCs w:val="30"/>
          <w:highlight w:val="none"/>
        </w:rPr>
        <w:t>项目名称：高端真丝面料生产线设备及配套项目</w:t>
      </w:r>
    </w:p>
    <w:p w14:paraId="7B140252">
      <w:pPr>
        <w:spacing w:line="360" w:lineRule="auto"/>
        <w:ind w:firstLine="1145"/>
        <w:rPr>
          <w:rFonts w:ascii="仿宋_GB2312" w:hAnsi="宋体" w:eastAsia="仿宋_GB2312"/>
          <w:color w:val="auto"/>
          <w:sz w:val="30"/>
          <w:szCs w:val="72"/>
          <w:highlight w:val="none"/>
        </w:rPr>
      </w:pPr>
      <w:r>
        <w:rPr>
          <w:rFonts w:hint="eastAsia" w:ascii="仿宋_GB2312" w:hAnsi="宋体" w:eastAsia="仿宋_GB2312" w:cs="Courier New"/>
          <w:b/>
          <w:bCs/>
          <w:color w:val="auto"/>
          <w:sz w:val="30"/>
          <w:szCs w:val="30"/>
          <w:highlight w:val="none"/>
        </w:rPr>
        <w:t xml:space="preserve">项目编号： </w:t>
      </w:r>
      <w:r>
        <w:rPr>
          <w:rFonts w:hint="eastAsia" w:ascii="仿宋_GB2312" w:hAnsi="宋体" w:eastAsia="仿宋_GB2312" w:cs="Courier New"/>
          <w:b/>
          <w:bCs/>
          <w:color w:val="auto"/>
          <w:sz w:val="30"/>
          <w:szCs w:val="30"/>
          <w:highlight w:val="none"/>
          <w:lang w:eastAsia="zh-CN"/>
        </w:rPr>
        <w:t>WZZC2026-G1-230034-YZLZ</w:t>
      </w:r>
      <w:r>
        <w:rPr>
          <w:rFonts w:hint="eastAsia" w:ascii="仿宋_GB2312" w:hAnsi="宋体" w:eastAsia="仿宋_GB2312"/>
          <w:b/>
          <w:color w:val="auto"/>
          <w:sz w:val="30"/>
          <w:szCs w:val="48"/>
          <w:highlight w:val="none"/>
        </w:rPr>
        <w:t xml:space="preserve"> </w:t>
      </w:r>
    </w:p>
    <w:p w14:paraId="49AA08C9">
      <w:pPr>
        <w:pStyle w:val="26"/>
        <w:spacing w:line="360" w:lineRule="auto"/>
        <w:ind w:firstLine="112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 购 人：蒙山县生态移民发展中心</w:t>
      </w:r>
    </w:p>
    <w:p w14:paraId="1B1FF0BF">
      <w:pPr>
        <w:pStyle w:val="26"/>
        <w:spacing w:line="360" w:lineRule="auto"/>
        <w:ind w:firstLine="112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33638E2D">
      <w:pPr>
        <w:pStyle w:val="26"/>
        <w:spacing w:line="360" w:lineRule="auto"/>
        <w:ind w:firstLine="1125"/>
        <w:rPr>
          <w:rFonts w:ascii="仿宋_GB2312" w:hAnsi="宋体" w:eastAsia="仿宋_GB2312"/>
          <w:b/>
          <w:bCs/>
          <w:color w:val="auto"/>
          <w:sz w:val="30"/>
          <w:szCs w:val="30"/>
          <w:highlight w:val="none"/>
        </w:rPr>
      </w:pPr>
    </w:p>
    <w:p w14:paraId="0D52366F">
      <w:pPr>
        <w:pStyle w:val="26"/>
        <w:spacing w:line="360" w:lineRule="auto"/>
        <w:ind w:firstLine="1125"/>
        <w:rPr>
          <w:rFonts w:ascii="仿宋_GB2312" w:hAnsi="宋体" w:eastAsia="仿宋_GB2312"/>
          <w:b/>
          <w:bCs/>
          <w:color w:val="auto"/>
          <w:sz w:val="30"/>
          <w:szCs w:val="30"/>
          <w:highlight w:val="none"/>
        </w:rPr>
      </w:pPr>
    </w:p>
    <w:p w14:paraId="25FEEAE3">
      <w:pPr>
        <w:pStyle w:val="26"/>
        <w:spacing w:line="360" w:lineRule="auto"/>
        <w:ind w:firstLine="841"/>
        <w:rPr>
          <w:rFonts w:ascii="仿宋_GB2312" w:eastAsia="仿宋_GB2312"/>
          <w:color w:val="auto"/>
          <w:szCs w:val="20"/>
          <w:highlight w:val="none"/>
        </w:rPr>
      </w:pPr>
      <w:r>
        <w:rPr>
          <w:rFonts w:hint="eastAsia" w:ascii="仿宋_GB2312" w:hAnsi="宋体" w:eastAsia="仿宋_GB2312"/>
          <w:b/>
          <w:bCs/>
          <w:color w:val="auto"/>
          <w:sz w:val="30"/>
          <w:szCs w:val="30"/>
          <w:highlight w:val="none"/>
        </w:rPr>
        <w:t xml:space="preserve">               2026年7月</w:t>
      </w:r>
      <w:r>
        <w:rPr>
          <w:rFonts w:hint="eastAsia" w:ascii="仿宋_GB2312" w:hAnsi="宋体" w:eastAsia="仿宋_GB2312"/>
          <w:b/>
          <w:bCs/>
          <w:color w:val="auto"/>
          <w:sz w:val="30"/>
          <w:szCs w:val="30"/>
          <w:highlight w:val="none"/>
          <w:lang w:val="en-US" w:eastAsia="zh-CN"/>
        </w:rPr>
        <w:t>8</w:t>
      </w:r>
      <w:r>
        <w:rPr>
          <w:rFonts w:hint="eastAsia" w:ascii="仿宋_GB2312" w:hAnsi="宋体" w:eastAsia="仿宋_GB2312"/>
          <w:b/>
          <w:bCs/>
          <w:color w:val="auto"/>
          <w:sz w:val="30"/>
          <w:szCs w:val="30"/>
          <w:highlight w:val="none"/>
        </w:rPr>
        <w:t>日</w:t>
      </w:r>
    </w:p>
    <w:p w14:paraId="3F85C089">
      <w:pPr>
        <w:pStyle w:val="16"/>
        <w:ind w:firstLine="803"/>
        <w:jc w:val="center"/>
        <w:rPr>
          <w:rFonts w:ascii="仿宋_GB2312" w:hAnsi="宋体" w:eastAsia="仿宋_GB2312"/>
          <w:color w:val="auto"/>
          <w:highlight w:val="none"/>
        </w:rPr>
      </w:pPr>
      <w:r>
        <w:rPr>
          <w:rFonts w:ascii="Arial" w:hAnsi="Arial" w:eastAsia="黑体"/>
          <w:bCs/>
          <w:color w:val="auto"/>
          <w:sz w:val="32"/>
          <w:szCs w:val="32"/>
          <w:highlight w:val="none"/>
        </w:rPr>
        <w:br w:type="page" w:clear="all"/>
      </w:r>
    </w:p>
    <w:p w14:paraId="093818D8">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481DDE7A">
      <w:pPr>
        <w:pStyle w:val="34"/>
        <w:rPr>
          <w:rFonts w:ascii="Calibri" w:hAnsi="Calibri"/>
          <w:b w:val="0"/>
          <w:bCs w:val="0"/>
          <w:caps w:val="0"/>
          <w:color w:val="auto"/>
          <w:sz w:val="21"/>
          <w:szCs w:val="22"/>
          <w:highlight w:val="none"/>
        </w:rPr>
      </w:pPr>
      <w:r>
        <w:rPr>
          <w:rFonts w:ascii="仿宋_GB2312" w:eastAsia="仿宋_GB2312"/>
          <w:b w:val="0"/>
          <w:color w:val="auto"/>
          <w:highlight w:val="none"/>
        </w:rPr>
        <w:fldChar w:fldCharType="begin"/>
      </w:r>
      <w:r>
        <w:rPr>
          <w:rFonts w:ascii="仿宋_GB2312" w:eastAsia="仿宋_GB2312"/>
          <w:b w:val="0"/>
          <w:color w:val="auto"/>
          <w:highlight w:val="none"/>
        </w:rPr>
        <w:instrText xml:space="preserve"> </w:instrText>
      </w:r>
      <w:r>
        <w:rPr>
          <w:rFonts w:hint="eastAsia" w:ascii="仿宋_GB2312" w:eastAsia="仿宋_GB2312"/>
          <w:b w:val="0"/>
          <w:color w:val="auto"/>
          <w:highlight w:val="none"/>
        </w:rPr>
        <w:instrText xml:space="preserve">TOC \o "1-2" \h \z \u</w:instrText>
      </w:r>
      <w:r>
        <w:rPr>
          <w:rFonts w:ascii="仿宋_GB2312" w:eastAsia="仿宋_GB2312"/>
          <w:b w:val="0"/>
          <w:color w:val="auto"/>
          <w:highlight w:val="none"/>
        </w:rPr>
        <w:instrText xml:space="preserve"> </w:instrText>
      </w:r>
      <w:r>
        <w:rPr>
          <w:rFonts w:ascii="仿宋_GB2312" w:eastAsia="仿宋_GB2312"/>
          <w:b w:val="0"/>
          <w:color w:val="auto"/>
          <w:highlight w:val="none"/>
        </w:rPr>
        <w:fldChar w:fldCharType="separate"/>
      </w:r>
      <w:r>
        <w:rPr>
          <w:color w:val="auto"/>
          <w:highlight w:val="none"/>
        </w:rPr>
        <w:fldChar w:fldCharType="begin"/>
      </w:r>
      <w:r>
        <w:rPr>
          <w:color w:val="auto"/>
          <w:highlight w:val="none"/>
        </w:rPr>
        <w:instrText xml:space="preserve"> HYPERLINK \l "_Toc74320800" </w:instrText>
      </w:r>
      <w:r>
        <w:rPr>
          <w:color w:val="auto"/>
          <w:highlight w:val="none"/>
        </w:rPr>
        <w:fldChar w:fldCharType="separate"/>
      </w:r>
      <w:r>
        <w:rPr>
          <w:rStyle w:val="60"/>
          <w:rFonts w:hint="eastAsia"/>
          <w:color w:val="auto"/>
          <w:highlight w:val="none"/>
        </w:rPr>
        <w:t>第一章</w:t>
      </w:r>
      <w:r>
        <w:rPr>
          <w:rStyle w:val="60"/>
          <w:color w:val="auto"/>
          <w:highlight w:val="none"/>
        </w:rPr>
        <w:t xml:space="preserve"> </w:t>
      </w:r>
      <w:r>
        <w:rPr>
          <w:rStyle w:val="60"/>
          <w:rFonts w:hint="eastAsia"/>
          <w:color w:val="auto"/>
          <w:highlight w:val="none"/>
        </w:rPr>
        <w:t xml:space="preserve"> 招标公告</w:t>
      </w:r>
      <w:r>
        <w:rPr>
          <w:color w:val="auto"/>
          <w:highlight w:val="none"/>
        </w:rPr>
        <w:tab/>
      </w:r>
      <w:r>
        <w:rPr>
          <w:color w:val="auto"/>
          <w:highlight w:val="none"/>
        </w:rPr>
        <w:fldChar w:fldCharType="begin"/>
      </w:r>
      <w:r>
        <w:rPr>
          <w:color w:val="auto"/>
          <w:highlight w:val="none"/>
        </w:rPr>
        <w:instrText xml:space="preserve"> PAGEREF _Toc74320800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3CECB727">
      <w:pPr>
        <w:pStyle w:val="34"/>
        <w:ind w:firstLine="241"/>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"_Toc74320801" </w:instrText>
      </w:r>
      <w:r>
        <w:rPr>
          <w:color w:val="auto"/>
          <w:highlight w:val="none"/>
        </w:rPr>
        <w:fldChar w:fldCharType="separate"/>
      </w:r>
      <w:r>
        <w:rPr>
          <w:rStyle w:val="60"/>
          <w:rFonts w:hint="eastAsia"/>
          <w:color w:val="auto"/>
          <w:highlight w:val="none"/>
        </w:rPr>
        <w:t>第二章</w:t>
      </w:r>
      <w:r>
        <w:rPr>
          <w:rStyle w:val="60"/>
          <w:color w:val="auto"/>
          <w:highlight w:val="none"/>
        </w:rPr>
        <w:t xml:space="preserve">  </w:t>
      </w:r>
      <w:r>
        <w:rPr>
          <w:rStyle w:val="60"/>
          <w:rFonts w:hint="eastAsia"/>
          <w:color w:val="auto"/>
          <w:highlight w:val="none"/>
        </w:rPr>
        <w:t>采购需求</w:t>
      </w:r>
      <w:bookmarkStart w:id="0" w:name="_Hlt167096761"/>
      <w:r>
        <w:rPr>
          <w:color w:val="auto"/>
          <w:highlight w:val="none"/>
        </w:rPr>
        <w:tab/>
      </w:r>
      <w:bookmarkEnd w:id="0"/>
      <w:r>
        <w:rPr>
          <w:color w:val="auto"/>
          <w:highlight w:val="none"/>
        </w:rPr>
        <w:fldChar w:fldCharType="begin"/>
      </w:r>
      <w:r>
        <w:rPr>
          <w:color w:val="auto"/>
          <w:highlight w:val="none"/>
        </w:rPr>
        <w:instrText xml:space="preserve"> PAGEREF _Toc74320801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603B1BEC">
      <w:pPr>
        <w:pStyle w:val="34"/>
        <w:ind w:firstLine="241"/>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"_Toc74320802" </w:instrText>
      </w:r>
      <w:r>
        <w:rPr>
          <w:color w:val="auto"/>
          <w:highlight w:val="none"/>
        </w:rPr>
        <w:fldChar w:fldCharType="separate"/>
      </w:r>
      <w:r>
        <w:rPr>
          <w:rStyle w:val="60"/>
          <w:rFonts w:hint="eastAsia"/>
          <w:color w:val="auto"/>
          <w:highlight w:val="none"/>
        </w:rPr>
        <w:t>第三章</w:t>
      </w:r>
      <w:r>
        <w:rPr>
          <w:rStyle w:val="60"/>
          <w:color w:val="auto"/>
          <w:highlight w:val="none"/>
        </w:rPr>
        <w:t xml:space="preserve">  </w:t>
      </w:r>
      <w:r>
        <w:rPr>
          <w:rStyle w:val="60"/>
          <w:rFonts w:hint="eastAsia"/>
          <w:color w:val="auto"/>
          <w:highlight w:val="none"/>
        </w:rPr>
        <w:t>投标人须</w:t>
      </w:r>
      <w:bookmarkStart w:id="1" w:name="_Hlt79572744"/>
      <w:bookmarkStart w:id="2" w:name="_Hlt79572745"/>
      <w:r>
        <w:rPr>
          <w:rStyle w:val="60"/>
          <w:rFonts w:hint="eastAsia"/>
          <w:color w:val="auto"/>
          <w:highlight w:val="none"/>
        </w:rPr>
        <w:t>知</w:t>
      </w:r>
      <w:bookmarkEnd w:id="1"/>
      <w:bookmarkEnd w:id="2"/>
      <w:r>
        <w:rPr>
          <w:color w:val="auto"/>
          <w:highlight w:val="none"/>
        </w:rPr>
        <w:tab/>
      </w:r>
      <w:r>
        <w:rPr>
          <w:color w:val="auto"/>
          <w:highlight w:val="none"/>
        </w:rPr>
        <w:fldChar w:fldCharType="begin"/>
      </w:r>
      <w:r>
        <w:rPr>
          <w:color w:val="auto"/>
          <w:highlight w:val="none"/>
        </w:rPr>
        <w:instrText xml:space="preserve"> PAGEREF _Toc74320802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6AB14E2">
      <w:pPr>
        <w:pStyle w:val="34"/>
        <w:ind w:firstLine="241"/>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"_Toc74320803" </w:instrText>
      </w:r>
      <w:r>
        <w:rPr>
          <w:color w:val="auto"/>
          <w:highlight w:val="none"/>
        </w:rPr>
        <w:fldChar w:fldCharType="separate"/>
      </w:r>
      <w:r>
        <w:rPr>
          <w:rStyle w:val="60"/>
          <w:rFonts w:hint="eastAsia"/>
          <w:color w:val="auto"/>
          <w:highlight w:val="none"/>
        </w:rPr>
        <w:t>第四章</w:t>
      </w:r>
      <w:r>
        <w:rPr>
          <w:rStyle w:val="60"/>
          <w:color w:val="auto"/>
          <w:highlight w:val="none"/>
        </w:rPr>
        <w:t xml:space="preserve">  </w:t>
      </w:r>
      <w:r>
        <w:rPr>
          <w:rStyle w:val="60"/>
          <w:rFonts w:hint="eastAsia"/>
          <w:color w:val="auto"/>
          <w:highlight w:val="none"/>
        </w:rPr>
        <w:t>评标方</w:t>
      </w:r>
      <w:bookmarkStart w:id="3" w:name="_Hlt82186273"/>
      <w:bookmarkStart w:id="4" w:name="_Hlt82186274"/>
      <w:r>
        <w:rPr>
          <w:rStyle w:val="60"/>
          <w:rFonts w:hint="eastAsia"/>
          <w:color w:val="auto"/>
          <w:highlight w:val="none"/>
        </w:rPr>
        <w:t>法</w:t>
      </w:r>
      <w:bookmarkEnd w:id="3"/>
      <w:bookmarkEnd w:id="4"/>
      <w:r>
        <w:rPr>
          <w:rStyle w:val="60"/>
          <w:rFonts w:hint="eastAsia"/>
          <w:color w:val="auto"/>
          <w:highlight w:val="none"/>
        </w:rPr>
        <w:t>及</w:t>
      </w:r>
      <w:bookmarkStart w:id="5" w:name="_Hlt167097184"/>
      <w:bookmarkStart w:id="6" w:name="_Hlt167097159"/>
      <w:r>
        <w:rPr>
          <w:rStyle w:val="60"/>
          <w:rFonts w:hint="eastAsia"/>
          <w:color w:val="auto"/>
          <w:highlight w:val="none"/>
        </w:rPr>
        <w:t>评</w:t>
      </w:r>
      <w:bookmarkEnd w:id="5"/>
      <w:bookmarkEnd w:id="6"/>
      <w:bookmarkStart w:id="7" w:name="_Hlt167096377"/>
      <w:bookmarkStart w:id="8" w:name="_Hlt167096376"/>
      <w:r>
        <w:rPr>
          <w:rStyle w:val="60"/>
          <w:rFonts w:hint="eastAsia"/>
          <w:color w:val="auto"/>
          <w:highlight w:val="none"/>
        </w:rPr>
        <w:t>标</w:t>
      </w:r>
      <w:bookmarkEnd w:id="7"/>
      <w:bookmarkEnd w:id="8"/>
      <w:r>
        <w:rPr>
          <w:rStyle w:val="60"/>
          <w:rFonts w:hint="eastAsia"/>
          <w:color w:val="auto"/>
          <w:highlight w:val="none"/>
        </w:rPr>
        <w:t>标准</w:t>
      </w:r>
      <w:r>
        <w:rPr>
          <w:color w:val="auto"/>
          <w:highlight w:val="none"/>
        </w:rPr>
        <w:tab/>
      </w:r>
      <w:r>
        <w:rPr>
          <w:color w:val="auto"/>
          <w:highlight w:val="none"/>
        </w:rPr>
        <w:fldChar w:fldCharType="begin"/>
      </w:r>
      <w:r>
        <w:rPr>
          <w:color w:val="auto"/>
          <w:highlight w:val="none"/>
        </w:rPr>
        <w:instrText xml:space="preserve"> PAGEREF _Toc74320803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7C4D0E5F">
      <w:pPr>
        <w:pStyle w:val="34"/>
        <w:ind w:firstLine="241"/>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"_Toc74320804" </w:instrText>
      </w:r>
      <w:r>
        <w:rPr>
          <w:color w:val="auto"/>
          <w:highlight w:val="none"/>
        </w:rPr>
        <w:fldChar w:fldCharType="separate"/>
      </w:r>
      <w:r>
        <w:rPr>
          <w:rStyle w:val="60"/>
          <w:rFonts w:hint="eastAsia"/>
          <w:color w:val="auto"/>
          <w:highlight w:val="none"/>
        </w:rPr>
        <w:t>第五章</w:t>
      </w:r>
      <w:r>
        <w:rPr>
          <w:rStyle w:val="60"/>
          <w:color w:val="auto"/>
          <w:highlight w:val="none"/>
        </w:rPr>
        <w:t xml:space="preserve">  </w:t>
      </w:r>
      <w:r>
        <w:rPr>
          <w:rStyle w:val="60"/>
          <w:rFonts w:hint="eastAsia"/>
          <w:color w:val="auto"/>
          <w:highlight w:val="none"/>
        </w:rPr>
        <w:t>拟签订的合同文本</w:t>
      </w:r>
      <w:r>
        <w:rPr>
          <w:color w:val="auto"/>
          <w:highlight w:val="none"/>
        </w:rPr>
        <w:tab/>
      </w:r>
      <w:r>
        <w:rPr>
          <w:color w:val="auto"/>
          <w:highlight w:val="none"/>
        </w:rPr>
        <w:fldChar w:fldCharType="begin"/>
      </w:r>
      <w:r>
        <w:rPr>
          <w:color w:val="auto"/>
          <w:highlight w:val="none"/>
        </w:rPr>
        <w:instrText xml:space="preserve"> PAGEREF _Toc74320804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332D3E69">
      <w:pPr>
        <w:pStyle w:val="34"/>
        <w:ind w:firstLine="241"/>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"_Toc74320805" </w:instrText>
      </w:r>
      <w:r>
        <w:rPr>
          <w:color w:val="auto"/>
          <w:highlight w:val="none"/>
        </w:rPr>
        <w:fldChar w:fldCharType="separate"/>
      </w:r>
      <w:r>
        <w:rPr>
          <w:rStyle w:val="60"/>
          <w:rFonts w:hint="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_Toc74320805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69C00B33">
      <w:pPr>
        <w:spacing w:before="120" w:line="480" w:lineRule="exact"/>
        <w:rPr>
          <w:rFonts w:ascii="仿宋_GB2312" w:hAnsi="宋体" w:eastAsia="仿宋_GB2312"/>
          <w:color w:val="auto"/>
          <w:sz w:val="24"/>
          <w:highlight w:val="none"/>
        </w:rPr>
      </w:pPr>
      <w:r>
        <w:rPr>
          <w:rFonts w:ascii="仿宋_GB2312" w:hAnsi="宋体" w:eastAsia="仿宋_GB2312"/>
          <w:b/>
          <w:color w:val="auto"/>
          <w:sz w:val="24"/>
          <w:highlight w:val="none"/>
        </w:rPr>
        <w:fldChar w:fldCharType="end"/>
      </w:r>
    </w:p>
    <w:p w14:paraId="077A8131">
      <w:pPr>
        <w:spacing w:before="120" w:line="480" w:lineRule="exact"/>
        <w:rPr>
          <w:rFonts w:ascii="仿宋_GB2312" w:hAnsi="宋体" w:eastAsia="仿宋_GB2312"/>
          <w:color w:val="auto"/>
          <w:sz w:val="30"/>
          <w:highlight w:val="none"/>
        </w:rPr>
      </w:pPr>
    </w:p>
    <w:p w14:paraId="01BAEA3B">
      <w:pPr>
        <w:rPr>
          <w:color w:val="auto"/>
          <w:highlight w:val="none"/>
        </w:rPr>
      </w:pPr>
    </w:p>
    <w:p w14:paraId="7AB87A19">
      <w:pPr>
        <w:spacing w:before="120" w:line="480" w:lineRule="exact"/>
        <w:rPr>
          <w:rFonts w:ascii="仿宋_GB2312" w:hAnsi="宋体" w:eastAsia="仿宋_GB2312"/>
          <w:color w:val="auto"/>
          <w:sz w:val="30"/>
          <w:highlight w:val="none"/>
        </w:rPr>
      </w:pPr>
    </w:p>
    <w:p w14:paraId="123118C8">
      <w:pPr>
        <w:spacing w:before="120" w:line="480" w:lineRule="exact"/>
        <w:rPr>
          <w:rFonts w:ascii="仿宋_GB2312" w:hAnsi="宋体" w:eastAsia="仿宋_GB2312"/>
          <w:color w:val="auto"/>
          <w:sz w:val="30"/>
          <w:highlight w:val="none"/>
        </w:rPr>
      </w:pPr>
    </w:p>
    <w:p w14:paraId="00907944">
      <w:pPr>
        <w:pStyle w:val="16"/>
        <w:rPr>
          <w:rFonts w:ascii="宋体" w:hAnsi="宋体" w:cs="宋体"/>
          <w:b/>
          <w:bCs/>
          <w:color w:val="auto"/>
          <w:highlight w:val="none"/>
        </w:rPr>
      </w:pPr>
      <w:bookmarkStart w:id="9" w:name="_Toc254970630"/>
      <w:bookmarkStart w:id="10" w:name="_Toc254970489"/>
    </w:p>
    <w:p w14:paraId="4188D98E">
      <w:pPr>
        <w:pStyle w:val="2"/>
        <w:keepNext w:val="0"/>
        <w:keepLines w:val="0"/>
        <w:tabs>
          <w:tab w:val="left" w:pos="0"/>
          <w:tab w:val="left" w:pos="3165"/>
          <w:tab w:val="center" w:pos="4153"/>
        </w:tabs>
        <w:spacing w:before="0" w:after="0" w:line="360" w:lineRule="auto"/>
        <w:jc w:val="center"/>
        <w:rPr>
          <w:color w:val="auto"/>
          <w:highlight w:val="none"/>
        </w:rPr>
      </w:pPr>
      <w:r>
        <w:rPr>
          <w:rFonts w:ascii="宋体" w:hAnsi="宋体" w:cs="宋体"/>
          <w:b w:val="0"/>
          <w:bCs w:val="0"/>
          <w:color w:val="auto"/>
          <w:highlight w:val="none"/>
        </w:rPr>
        <w:br w:type="page" w:clear="all"/>
      </w:r>
      <w:bookmarkStart w:id="11" w:name="_Toc74320800"/>
      <w:r>
        <w:rPr>
          <w:rFonts w:hint="eastAsia"/>
          <w:color w:val="auto"/>
          <w:highlight w:val="none"/>
        </w:rPr>
        <w:t>第一章</w:t>
      </w:r>
      <w:bookmarkEnd w:id="9"/>
      <w:bookmarkEnd w:id="10"/>
      <w:bookmarkStart w:id="12" w:name="_Toc28359001"/>
      <w:bookmarkStart w:id="13" w:name="_Toc35393789"/>
      <w:r>
        <w:rPr>
          <w:rFonts w:hint="eastAsia"/>
          <w:color w:val="auto"/>
          <w:highlight w:val="none"/>
        </w:rPr>
        <w:t xml:space="preserve"> 招标公告</w:t>
      </w:r>
      <w:bookmarkEnd w:id="11"/>
      <w:bookmarkEnd w:id="12"/>
      <w:bookmarkEnd w:id="13"/>
      <w:r>
        <w:rPr>
          <w:rFonts w:hint="eastAsia"/>
          <w:color w:val="auto"/>
          <w:highlight w:val="none"/>
        </w:rPr>
        <w:t>（远程异地评标）</w:t>
      </w:r>
    </w:p>
    <w:p w14:paraId="3A0EEABD">
      <w:pPr>
        <w:spacing w:line="360" w:lineRule="auto"/>
        <w:rPr>
          <w:rFonts w:ascii="宋体" w:hAnsi="宋体"/>
          <w:color w:val="auto"/>
          <w:szCs w:val="21"/>
          <w:highlight w:val="none"/>
        </w:rPr>
      </w:pPr>
    </w:p>
    <w:p w14:paraId="695024E8">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rPr>
        <w:t>项目概况</w:t>
      </w:r>
    </w:p>
    <w:p w14:paraId="42A4C6BA">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u w:val="single"/>
        </w:rPr>
        <w:t>高端真丝面料生产线设备及配套项目</w:t>
      </w:r>
      <w:r>
        <w:rPr>
          <w:rFonts w:hint="eastAsia" w:ascii="宋体" w:hAnsi="宋体"/>
          <w:color w:val="auto"/>
          <w:szCs w:val="21"/>
          <w:highlight w:val="none"/>
        </w:rPr>
        <w:t>招标项目的潜在投标人应在广西政府采购云平台（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）获取（下载）招标文件，并于</w:t>
      </w:r>
      <w:r>
        <w:rPr>
          <w:rFonts w:hint="eastAsia" w:ascii="宋体" w:hAnsi="宋体"/>
          <w:color w:val="auto"/>
          <w:szCs w:val="21"/>
          <w:highlight w:val="none"/>
          <w:u w:val="single"/>
        </w:rPr>
        <w:t>2026年</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月</w:t>
      </w:r>
      <w:r>
        <w:rPr>
          <w:rFonts w:hint="eastAsia" w:ascii="宋体" w:hAnsi="宋体"/>
          <w:bCs/>
          <w:color w:val="auto"/>
          <w:szCs w:val="21"/>
          <w:highlight w:val="none"/>
          <w:u w:val="single"/>
          <w:lang w:val="en-US" w:eastAsia="zh-CN"/>
        </w:rPr>
        <w:t>29</w:t>
      </w:r>
      <w:r>
        <w:rPr>
          <w:rFonts w:hint="eastAsia" w:ascii="宋体" w:hAnsi="宋体"/>
          <w:bCs/>
          <w:color w:val="auto"/>
          <w:szCs w:val="21"/>
          <w:highlight w:val="none"/>
          <w:u w:val="single"/>
        </w:rPr>
        <w:t>日09时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北京时间）前按要求递交（上传）投标</w:t>
      </w:r>
      <w:r>
        <w:rPr>
          <w:rFonts w:ascii="宋体" w:hAnsi="宋体"/>
          <w:bCs/>
          <w:color w:val="auto"/>
          <w:szCs w:val="21"/>
          <w:highlight w:val="none"/>
        </w:rPr>
        <w:t>文件</w:t>
      </w:r>
      <w:r>
        <w:rPr>
          <w:rFonts w:hint="eastAsia" w:ascii="宋体" w:hAnsi="宋体"/>
          <w:color w:val="auto"/>
          <w:szCs w:val="21"/>
          <w:highlight w:val="none"/>
        </w:rPr>
        <w:t>。</w:t>
      </w:r>
    </w:p>
    <w:p w14:paraId="46689D5E">
      <w:pPr>
        <w:spacing w:line="360" w:lineRule="auto"/>
        <w:rPr>
          <w:rFonts w:ascii="宋体" w:hAnsi="宋体"/>
          <w:color w:val="auto"/>
          <w:szCs w:val="21"/>
          <w:highlight w:val="none"/>
        </w:rPr>
      </w:pPr>
    </w:p>
    <w:p w14:paraId="366A0A26">
      <w:pPr>
        <w:spacing w:line="360" w:lineRule="auto"/>
        <w:rPr>
          <w:rFonts w:ascii="黑体" w:hAnsi="黑体" w:eastAsia="黑体"/>
          <w:b/>
          <w:bCs/>
          <w:color w:val="auto"/>
          <w:sz w:val="24"/>
          <w:highlight w:val="none"/>
        </w:rPr>
      </w:pPr>
      <w:bookmarkStart w:id="14" w:name="_Toc28359002"/>
      <w:bookmarkStart w:id="15" w:name="_Toc35393621"/>
      <w:bookmarkStart w:id="16" w:name="_Toc28359079"/>
      <w:bookmarkStart w:id="17" w:name="_Toc35393790"/>
      <w:bookmarkStart w:id="18" w:name="_Hlk24379207"/>
      <w:r>
        <w:rPr>
          <w:rFonts w:hint="eastAsia" w:ascii="黑体" w:hAnsi="黑体" w:eastAsia="黑体"/>
          <w:b/>
          <w:bCs/>
          <w:color w:val="auto"/>
          <w:sz w:val="24"/>
          <w:highlight w:val="none"/>
        </w:rPr>
        <w:t>一、项目基本情况</w:t>
      </w:r>
      <w:bookmarkEnd w:id="14"/>
      <w:bookmarkEnd w:id="15"/>
      <w:bookmarkEnd w:id="16"/>
      <w:bookmarkEnd w:id="17"/>
    </w:p>
    <w:p w14:paraId="1D1415F8">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 xml:space="preserve">项目编号： </w:t>
      </w:r>
      <w:r>
        <w:rPr>
          <w:rFonts w:hint="eastAsia" w:ascii="宋体" w:hAnsi="宋体"/>
          <w:color w:val="auto"/>
          <w:szCs w:val="21"/>
          <w:highlight w:val="none"/>
          <w:lang w:eastAsia="zh-CN"/>
        </w:rPr>
        <w:t>WZZC2026-G1-230034-YZLZ</w:t>
      </w:r>
    </w:p>
    <w:p w14:paraId="269B8D7B">
      <w:pPr>
        <w:spacing w:line="360" w:lineRule="auto"/>
        <w:ind w:firstLine="420"/>
        <w:rPr>
          <w:rFonts w:ascii="宋体" w:hAnsi="宋体"/>
          <w:color w:val="auto"/>
          <w:szCs w:val="21"/>
          <w:highlight w:val="none"/>
        </w:rPr>
      </w:pPr>
      <w:r>
        <w:rPr>
          <w:rFonts w:hint="eastAsia" w:ascii="宋体" w:hAnsi="宋体"/>
          <w:color w:val="auto"/>
          <w:szCs w:val="21"/>
          <w:highlight w:val="none"/>
        </w:rPr>
        <w:t>项目名称：</w:t>
      </w:r>
      <w:bookmarkEnd w:id="18"/>
      <w:r>
        <w:rPr>
          <w:rFonts w:hint="eastAsia" w:ascii="宋体" w:hAnsi="宋体"/>
          <w:color w:val="auto"/>
          <w:szCs w:val="21"/>
          <w:highlight w:val="none"/>
        </w:rPr>
        <w:t>高端真丝面料生产线设备及配套项目</w:t>
      </w:r>
    </w:p>
    <w:p w14:paraId="388F7EFA">
      <w:pPr>
        <w:spacing w:line="360" w:lineRule="auto"/>
        <w:ind w:firstLine="420"/>
        <w:rPr>
          <w:rFonts w:ascii="宋体" w:hAnsi="宋体"/>
          <w:color w:val="auto"/>
          <w:szCs w:val="21"/>
          <w:highlight w:val="none"/>
          <w:u w:val="single"/>
        </w:rPr>
      </w:pPr>
      <w:r>
        <w:rPr>
          <w:rFonts w:hint="eastAsia"/>
          <w:color w:val="auto"/>
          <w:highlight w:val="none"/>
        </w:rPr>
        <w:t>预算总金额（元）</w:t>
      </w:r>
      <w:r>
        <w:rPr>
          <w:rFonts w:hint="eastAsia" w:ascii="宋体" w:hAnsi="宋体"/>
          <w:color w:val="auto"/>
          <w:szCs w:val="21"/>
          <w:highlight w:val="none"/>
        </w:rPr>
        <w:t>：4500000.00</w:t>
      </w:r>
    </w:p>
    <w:p w14:paraId="740707BF">
      <w:pPr>
        <w:spacing w:line="360" w:lineRule="auto"/>
        <w:ind w:firstLine="420"/>
        <w:rPr>
          <w:rFonts w:ascii="宋体" w:hAnsi="宋体"/>
          <w:color w:val="auto"/>
          <w:szCs w:val="21"/>
          <w:highlight w:val="none"/>
        </w:rPr>
      </w:pPr>
      <w:r>
        <w:rPr>
          <w:rFonts w:hint="eastAsia" w:ascii="宋体" w:hAnsi="宋体"/>
          <w:color w:val="auto"/>
          <w:szCs w:val="21"/>
          <w:highlight w:val="none"/>
        </w:rPr>
        <w:t>最高限价（如有）：</w:t>
      </w:r>
      <w:r>
        <w:rPr>
          <w:rFonts w:hint="eastAsia" w:ascii="宋体" w:hAnsi="宋体" w:cs="宋体"/>
          <w:color w:val="auto"/>
          <w:szCs w:val="21"/>
          <w:highlight w:val="none"/>
        </w:rPr>
        <w:t>4500000.00元</w:t>
      </w:r>
      <w:bookmarkStart w:id="168" w:name="_GoBack"/>
      <w:bookmarkEnd w:id="168"/>
    </w:p>
    <w:p w14:paraId="4CC11CCD">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r>
        <w:rPr>
          <w:rFonts w:ascii="宋体" w:hAnsi="宋体"/>
          <w:color w:val="auto"/>
          <w:szCs w:val="21"/>
          <w:highlight w:val="none"/>
        </w:rPr>
        <w:t xml:space="preserve"> </w:t>
      </w:r>
    </w:p>
    <w:tbl>
      <w:tblPr>
        <w:tblStyle w:val="53"/>
        <w:tblW w:w="7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709"/>
        <w:gridCol w:w="1267"/>
        <w:gridCol w:w="3878"/>
      </w:tblGrid>
      <w:tr w14:paraId="0E3A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dxa"/>
            <w:vAlign w:val="center"/>
          </w:tcPr>
          <w:p w14:paraId="277ACC66">
            <w:pPr>
              <w:keepNext/>
              <w:jc w:val="center"/>
              <w:rPr>
                <w:rFonts w:ascii="宋体" w:hAnsi="宋体" w:cs="宋体"/>
                <w:color w:val="auto"/>
                <w:szCs w:val="21"/>
                <w:highlight w:val="none"/>
              </w:rPr>
            </w:pPr>
            <w:r>
              <w:rPr>
                <w:rFonts w:hint="eastAsia" w:ascii="宋体" w:hAnsi="宋体" w:cs="宋体"/>
                <w:color w:val="auto"/>
                <w:szCs w:val="21"/>
                <w:highlight w:val="none"/>
              </w:rPr>
              <w:t>分标号</w:t>
            </w:r>
          </w:p>
        </w:tc>
        <w:tc>
          <w:tcPr>
            <w:tcW w:w="1709" w:type="dxa"/>
            <w:vAlign w:val="center"/>
          </w:tcPr>
          <w:p w14:paraId="2D003C6C">
            <w:pPr>
              <w:keepNext/>
              <w:jc w:val="center"/>
              <w:rPr>
                <w:rFonts w:ascii="宋体" w:hAnsi="宋体" w:cs="宋体"/>
                <w:color w:val="auto"/>
                <w:szCs w:val="21"/>
                <w:highlight w:val="none"/>
              </w:rPr>
            </w:pPr>
            <w:r>
              <w:rPr>
                <w:rFonts w:hint="eastAsia" w:ascii="宋体" w:hAnsi="宋体" w:cs="宋体"/>
                <w:color w:val="auto"/>
                <w:szCs w:val="21"/>
                <w:highlight w:val="none"/>
              </w:rPr>
              <w:t>标项名称</w:t>
            </w:r>
          </w:p>
        </w:tc>
        <w:tc>
          <w:tcPr>
            <w:tcW w:w="1267" w:type="dxa"/>
            <w:vAlign w:val="center"/>
          </w:tcPr>
          <w:p w14:paraId="7D1ACD21">
            <w:pPr>
              <w:keepNext/>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3878" w:type="dxa"/>
            <w:vAlign w:val="center"/>
          </w:tcPr>
          <w:p w14:paraId="083C5949">
            <w:pPr>
              <w:keepNext/>
              <w:jc w:val="center"/>
              <w:rPr>
                <w:rFonts w:ascii="宋体" w:hAnsi="宋体" w:cs="宋体"/>
                <w:color w:val="auto"/>
                <w:szCs w:val="21"/>
                <w:highlight w:val="none"/>
              </w:rPr>
            </w:pPr>
            <w:r>
              <w:rPr>
                <w:rFonts w:hint="eastAsia" w:ascii="宋体" w:hAnsi="宋体" w:cs="宋体"/>
                <w:color w:val="auto"/>
                <w:szCs w:val="21"/>
                <w:highlight w:val="none"/>
              </w:rPr>
              <w:t>简要技术需求或者服务要求</w:t>
            </w:r>
          </w:p>
        </w:tc>
      </w:tr>
      <w:tr w14:paraId="64E6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dxa"/>
            <w:vAlign w:val="center"/>
          </w:tcPr>
          <w:p w14:paraId="633A077A">
            <w:pPr>
              <w:keepNext/>
              <w:jc w:val="center"/>
              <w:rPr>
                <w:rFonts w:ascii="宋体" w:hAnsi="宋体" w:cs="宋体"/>
                <w:color w:val="auto"/>
                <w:szCs w:val="21"/>
                <w:highlight w:val="none"/>
              </w:rPr>
            </w:pPr>
            <w:r>
              <w:rPr>
                <w:rFonts w:hint="eastAsia" w:ascii="宋体" w:hAnsi="宋体" w:cs="宋体"/>
                <w:color w:val="auto"/>
                <w:szCs w:val="21"/>
                <w:highlight w:val="none"/>
              </w:rPr>
              <w:t>1</w:t>
            </w:r>
          </w:p>
        </w:tc>
        <w:tc>
          <w:tcPr>
            <w:tcW w:w="1709" w:type="dxa"/>
            <w:vAlign w:val="center"/>
          </w:tcPr>
          <w:p w14:paraId="443DBB19">
            <w:pPr>
              <w:keepNext/>
              <w:jc w:val="center"/>
              <w:rPr>
                <w:rFonts w:ascii="宋体" w:hAnsi="宋体" w:cs="宋体"/>
                <w:color w:val="auto"/>
                <w:szCs w:val="21"/>
                <w:highlight w:val="none"/>
              </w:rPr>
            </w:pPr>
            <w:r>
              <w:rPr>
                <w:rFonts w:hint="eastAsia" w:ascii="宋体" w:hAnsi="宋体" w:cs="宋体"/>
                <w:color w:val="auto"/>
                <w:szCs w:val="21"/>
                <w:highlight w:val="none"/>
              </w:rPr>
              <w:t>织机</w:t>
            </w:r>
          </w:p>
        </w:tc>
        <w:tc>
          <w:tcPr>
            <w:tcW w:w="1267" w:type="dxa"/>
            <w:vAlign w:val="center"/>
          </w:tcPr>
          <w:p w14:paraId="0F3F7784">
            <w:pPr>
              <w:keepNext/>
              <w:jc w:val="center"/>
              <w:rPr>
                <w:rFonts w:ascii="宋体" w:hAnsi="宋体" w:cs="宋体"/>
                <w:color w:val="auto"/>
                <w:szCs w:val="21"/>
                <w:highlight w:val="none"/>
              </w:rPr>
            </w:pPr>
            <w:r>
              <w:rPr>
                <w:rFonts w:hint="eastAsia" w:ascii="宋体" w:hAnsi="宋体" w:cs="宋体"/>
                <w:color w:val="auto"/>
                <w:szCs w:val="21"/>
                <w:highlight w:val="none"/>
              </w:rPr>
              <w:t>8套</w:t>
            </w:r>
          </w:p>
        </w:tc>
        <w:tc>
          <w:tcPr>
            <w:tcW w:w="3878" w:type="dxa"/>
            <w:vAlign w:val="center"/>
          </w:tcPr>
          <w:p w14:paraId="10D8B6BB">
            <w:pPr>
              <w:keepNext/>
              <w:jc w:val="left"/>
              <w:rPr>
                <w:rFonts w:ascii="宋体" w:hAnsi="宋体" w:cs="宋体"/>
                <w:color w:val="auto"/>
                <w:szCs w:val="21"/>
                <w:highlight w:val="none"/>
              </w:rPr>
            </w:pPr>
            <w:r>
              <w:rPr>
                <w:rFonts w:hint="eastAsia" w:ascii="宋体" w:hAnsi="宋体" w:cs="宋体"/>
                <w:color w:val="auto"/>
                <w:szCs w:val="21"/>
                <w:highlight w:val="none"/>
              </w:rPr>
              <w:t xml:space="preserve"> 1.预设适合多臂机开口，适合使用单经轴织造，经轴最大盘片直径 800 毫米，织机带经轴和盘片。具体详见采购需求。</w:t>
            </w:r>
          </w:p>
        </w:tc>
      </w:tr>
    </w:tbl>
    <w:p w14:paraId="09D6A6CF">
      <w:pPr>
        <w:spacing w:line="360" w:lineRule="auto"/>
        <w:ind w:firstLine="420"/>
        <w:rPr>
          <w:rFonts w:ascii="宋体" w:hAnsi="宋体"/>
          <w:color w:val="auto"/>
          <w:szCs w:val="21"/>
          <w:highlight w:val="none"/>
        </w:rPr>
      </w:pPr>
      <w:r>
        <w:rPr>
          <w:rFonts w:hint="eastAsia" w:ascii="宋体" w:hAnsi="宋体"/>
          <w:color w:val="auto"/>
          <w:szCs w:val="21"/>
          <w:highlight w:val="none"/>
        </w:rPr>
        <w:t>合同履行期限：自签订合同之日起30天内完成安装、调试、培训工作。</w:t>
      </w:r>
    </w:p>
    <w:p w14:paraId="0AC9FC90">
      <w:pPr>
        <w:spacing w:line="360" w:lineRule="auto"/>
        <w:ind w:firstLine="420"/>
        <w:rPr>
          <w:rFonts w:ascii="宋体" w:hAnsi="宋体"/>
          <w:color w:val="auto"/>
          <w:szCs w:val="21"/>
          <w:highlight w:val="none"/>
        </w:rPr>
      </w:pPr>
      <w:r>
        <w:rPr>
          <w:rFonts w:hint="eastAsia" w:ascii="宋体" w:hAnsi="宋体"/>
          <w:color w:val="auto"/>
          <w:szCs w:val="21"/>
          <w:highlight w:val="none"/>
        </w:rPr>
        <w:t>本项目否接受联合体投标。</w:t>
      </w:r>
    </w:p>
    <w:p w14:paraId="01EADDFC">
      <w:pPr>
        <w:spacing w:line="360" w:lineRule="auto"/>
        <w:rPr>
          <w:rFonts w:ascii="黑体" w:hAnsi="黑体" w:eastAsia="黑体"/>
          <w:b/>
          <w:bCs/>
          <w:color w:val="auto"/>
          <w:sz w:val="24"/>
          <w:highlight w:val="none"/>
        </w:rPr>
      </w:pPr>
      <w:bookmarkStart w:id="19" w:name="_Toc35393791"/>
      <w:bookmarkStart w:id="20" w:name="_Toc35393622"/>
      <w:bookmarkStart w:id="21" w:name="_Toc28359080"/>
      <w:bookmarkStart w:id="22" w:name="_Toc28359003"/>
      <w:r>
        <w:rPr>
          <w:rFonts w:hint="eastAsia" w:ascii="黑体" w:hAnsi="黑体" w:eastAsia="黑体"/>
          <w:b/>
          <w:bCs/>
          <w:color w:val="auto"/>
          <w:sz w:val="24"/>
          <w:highlight w:val="none"/>
        </w:rPr>
        <w:t>二、申请人的资格要求：</w:t>
      </w:r>
      <w:bookmarkEnd w:id="19"/>
      <w:bookmarkEnd w:id="20"/>
      <w:bookmarkEnd w:id="21"/>
      <w:bookmarkEnd w:id="22"/>
    </w:p>
    <w:p w14:paraId="2A52AC78">
      <w:pPr>
        <w:spacing w:line="360" w:lineRule="auto"/>
        <w:ind w:firstLine="420"/>
        <w:rPr>
          <w:rFonts w:ascii="宋体" w:hAnsi="宋体"/>
          <w:color w:val="auto"/>
          <w:szCs w:val="21"/>
          <w:highlight w:val="none"/>
        </w:rPr>
      </w:pPr>
      <w:bookmarkStart w:id="23" w:name="_Hlk51746371"/>
      <w:r>
        <w:rPr>
          <w:rFonts w:hint="eastAsia" w:ascii="宋体" w:hAnsi="宋体"/>
          <w:color w:val="auto"/>
          <w:szCs w:val="21"/>
          <w:highlight w:val="none"/>
        </w:rPr>
        <w:t>1.满足《中华人民共和国政府采购法》第二十二条规定；</w:t>
      </w:r>
    </w:p>
    <w:p w14:paraId="40AF399C">
      <w:pPr>
        <w:spacing w:line="360" w:lineRule="auto"/>
        <w:ind w:firstLine="420"/>
        <w:rPr>
          <w:rFonts w:ascii="宋体" w:hAnsi="宋体"/>
          <w:color w:val="auto"/>
          <w:szCs w:val="21"/>
          <w:highlight w:val="none"/>
        </w:rPr>
      </w:pPr>
      <w:bookmarkStart w:id="24" w:name="_Toc28359004"/>
      <w:bookmarkStart w:id="25" w:name="_Toc28359081"/>
      <w:r>
        <w:rPr>
          <w:rFonts w:ascii="宋体" w:hAnsi="宋体"/>
          <w:color w:val="auto"/>
          <w:szCs w:val="21"/>
          <w:highlight w:val="none"/>
        </w:rPr>
        <w:t>2</w:t>
      </w:r>
      <w:r>
        <w:rPr>
          <w:rFonts w:hint="eastAsia" w:ascii="宋体" w:hAnsi="宋体"/>
          <w:color w:val="auto"/>
          <w:szCs w:val="21"/>
          <w:highlight w:val="none"/>
        </w:rPr>
        <w:t>.落实政府采购政策需满足的资格要求：本项目专门面向中小企业采购，提供的货物须全部由符合政策要求的中型、小型或微型企业（包括监狱企业及残疾人福利单位）制造，须提供中小企业声明函【属于残疾人福利性单位的提供残疾人福利性单位声明函，属于监狱企业的提供由省级以上监狱管理局、戒毒管理局（含新疆生产建设兵团）出具的属于监狱企业的证明文件】；</w:t>
      </w:r>
    </w:p>
    <w:p w14:paraId="1D41E121">
      <w:pPr>
        <w:spacing w:line="360" w:lineRule="auto"/>
        <w:ind w:firstLine="420"/>
        <w:rPr>
          <w:rFonts w:ascii="宋体" w:hAnsi="宋体"/>
          <w:color w:val="auto"/>
          <w:szCs w:val="21"/>
          <w:highlight w:val="none"/>
        </w:rPr>
      </w:pPr>
      <w:r>
        <w:rPr>
          <w:rFonts w:hint="eastAsia" w:ascii="宋体" w:hAnsi="宋体"/>
          <w:color w:val="auto"/>
          <w:szCs w:val="21"/>
          <w:highlight w:val="none"/>
        </w:rPr>
        <w:t>3.本项目的特定资格要求：</w:t>
      </w:r>
      <w:bookmarkEnd w:id="23"/>
      <w:bookmarkStart w:id="26" w:name="_Toc35393623"/>
      <w:bookmarkStart w:id="27" w:name="_Toc35393792"/>
      <w:r>
        <w:rPr>
          <w:rFonts w:hint="eastAsia" w:ascii="宋体" w:hAnsi="宋体"/>
          <w:color w:val="auto"/>
          <w:szCs w:val="21"/>
          <w:highlight w:val="none"/>
        </w:rPr>
        <w:t>无。</w:t>
      </w:r>
    </w:p>
    <w:p w14:paraId="03665F19">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bookmarkEnd w:id="24"/>
      <w:bookmarkEnd w:id="25"/>
      <w:bookmarkEnd w:id="26"/>
      <w:bookmarkEnd w:id="27"/>
    </w:p>
    <w:p w14:paraId="095AE6BA">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时间：</w:t>
      </w:r>
      <w:r>
        <w:rPr>
          <w:rFonts w:ascii="宋体" w:hAnsi="宋体" w:cs="宋体"/>
          <w:bCs/>
          <w:color w:val="auto"/>
          <w:szCs w:val="21"/>
          <w:highlight w:val="none"/>
        </w:rPr>
        <w:t xml:space="preserve"> </w:t>
      </w:r>
      <w:r>
        <w:rPr>
          <w:rFonts w:hint="eastAsia" w:ascii="宋体" w:hAnsi="宋体" w:cs="宋体"/>
          <w:bCs/>
          <w:color w:val="auto"/>
          <w:szCs w:val="21"/>
          <w:highlight w:val="none"/>
          <w:u w:val="single"/>
        </w:rPr>
        <w:t>2026年</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日</w:t>
      </w:r>
      <w:r>
        <w:rPr>
          <w:rFonts w:hint="eastAsia" w:ascii="宋体" w:hAnsi="宋体" w:cs="宋体"/>
          <w:bCs/>
          <w:color w:val="auto"/>
          <w:szCs w:val="21"/>
          <w:highlight w:val="none"/>
        </w:rPr>
        <w:t>至</w:t>
      </w:r>
      <w:r>
        <w:rPr>
          <w:rFonts w:hint="eastAsia" w:ascii="宋体" w:hAnsi="宋体" w:cs="宋体"/>
          <w:bCs/>
          <w:color w:val="auto"/>
          <w:szCs w:val="21"/>
          <w:highlight w:val="none"/>
          <w:u w:val="single"/>
        </w:rPr>
        <w:t>2026年</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15</w:t>
      </w:r>
      <w:r>
        <w:rPr>
          <w:rFonts w:hint="eastAsia" w:ascii="宋体" w:hAnsi="宋体" w:cs="宋体"/>
          <w:bCs/>
          <w:color w:val="auto"/>
          <w:szCs w:val="21"/>
          <w:highlight w:val="none"/>
          <w:u w:val="single"/>
        </w:rPr>
        <w:t>日</w:t>
      </w:r>
      <w:r>
        <w:rPr>
          <w:rFonts w:hint="eastAsia" w:ascii="宋体" w:hAnsi="宋体" w:cs="宋体"/>
          <w:bCs/>
          <w:color w:val="auto"/>
          <w:szCs w:val="21"/>
          <w:highlight w:val="none"/>
        </w:rPr>
        <w:t>，每天上午</w:t>
      </w:r>
      <w:r>
        <w:rPr>
          <w:rFonts w:hint="eastAsia" w:ascii="宋体" w:hAnsi="宋体" w:cs="宋体"/>
          <w:bCs/>
          <w:color w:val="auto"/>
          <w:szCs w:val="21"/>
          <w:highlight w:val="none"/>
          <w:u w:val="single"/>
        </w:rPr>
        <w:t>8：00</w:t>
      </w:r>
      <w:r>
        <w:rPr>
          <w:rFonts w:hint="eastAsia" w:ascii="宋体" w:hAnsi="宋体" w:cs="宋体"/>
          <w:bCs/>
          <w:color w:val="auto"/>
          <w:szCs w:val="21"/>
          <w:highlight w:val="none"/>
        </w:rPr>
        <w:t>至</w:t>
      </w:r>
      <w:r>
        <w:rPr>
          <w:rFonts w:hint="eastAsia" w:ascii="宋体" w:hAnsi="宋体" w:cs="宋体"/>
          <w:bCs/>
          <w:color w:val="auto"/>
          <w:szCs w:val="21"/>
          <w:highlight w:val="none"/>
          <w:u w:val="single"/>
        </w:rPr>
        <w:t>12：00</w:t>
      </w:r>
      <w:r>
        <w:rPr>
          <w:rFonts w:hint="eastAsia" w:ascii="宋体" w:hAnsi="宋体" w:cs="宋体"/>
          <w:bCs/>
          <w:color w:val="auto"/>
          <w:szCs w:val="21"/>
          <w:highlight w:val="none"/>
        </w:rPr>
        <w:t>，下午</w:t>
      </w:r>
      <w:r>
        <w:rPr>
          <w:rFonts w:hint="eastAsia" w:ascii="宋体" w:hAnsi="宋体" w:cs="宋体"/>
          <w:bCs/>
          <w:color w:val="auto"/>
          <w:szCs w:val="21"/>
          <w:highlight w:val="none"/>
          <w:u w:val="single"/>
        </w:rPr>
        <w:t>3：00至6：00</w:t>
      </w:r>
      <w:r>
        <w:rPr>
          <w:rFonts w:hint="eastAsia" w:ascii="宋体" w:hAnsi="宋体" w:cs="宋体"/>
          <w:bCs/>
          <w:color w:val="auto"/>
          <w:szCs w:val="21"/>
          <w:highlight w:val="none"/>
        </w:rPr>
        <w:t>（北京时间，</w:t>
      </w:r>
      <w:r>
        <w:rPr>
          <w:rFonts w:ascii="宋体" w:hAnsi="宋体" w:cs="宋体"/>
          <w:bCs/>
          <w:color w:val="auto"/>
          <w:szCs w:val="21"/>
          <w:highlight w:val="none"/>
        </w:rPr>
        <w:t>法定节假日</w:t>
      </w:r>
      <w:r>
        <w:rPr>
          <w:rFonts w:hint="eastAsia" w:ascii="宋体" w:hAnsi="宋体" w:cs="宋体"/>
          <w:bCs/>
          <w:color w:val="auto"/>
          <w:szCs w:val="21"/>
          <w:highlight w:val="none"/>
        </w:rPr>
        <w:t>除外）</w:t>
      </w:r>
    </w:p>
    <w:p w14:paraId="7F521A39">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地点：</w:t>
      </w:r>
      <w:r>
        <w:rPr>
          <w:rFonts w:hint="eastAsia" w:ascii="宋体" w:hAnsi="宋体"/>
          <w:color w:val="auto"/>
          <w:szCs w:val="21"/>
          <w:highlight w:val="none"/>
        </w:rPr>
        <w:t>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0BC506CE">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方式：网上下载。本项目不提供纸质文件，潜在供应商需在</w:t>
      </w:r>
      <w:r>
        <w:rPr>
          <w:rFonts w:hint="eastAsia" w:ascii="宋体" w:hAnsi="宋体"/>
          <w:color w:val="auto"/>
          <w:szCs w:val="21"/>
          <w:highlight w:val="none"/>
        </w:rPr>
        <w:t>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r>
        <w:rPr>
          <w:rFonts w:hint="eastAsia" w:ascii="宋体" w:hAnsi="宋体" w:cs="宋体"/>
          <w:bCs/>
          <w:color w:val="auto"/>
          <w:szCs w:val="21"/>
          <w:highlight w:val="none"/>
        </w:rPr>
        <w:t>-进入“项目采购”应用，在获取采购文件菜单中选择项目，获取招标文件。</w:t>
      </w:r>
      <w:r>
        <w:rPr>
          <w:rFonts w:hint="eastAsia" w:ascii="宋体" w:hAnsi="宋体"/>
          <w:color w:val="auto"/>
          <w:szCs w:val="21"/>
          <w:highlight w:val="none"/>
        </w:rPr>
        <w:t>电子投标文件制作需要基于广西政府采购云平台获取的招标文件编制，</w:t>
      </w:r>
      <w:r>
        <w:rPr>
          <w:rFonts w:hint="eastAsia" w:ascii="宋体" w:hAnsi="宋体" w:cs="宋体"/>
          <w:bCs/>
          <w:color w:val="auto"/>
          <w:szCs w:val="21"/>
          <w:highlight w:val="none"/>
        </w:rPr>
        <w:t>通过其他方式获取招标文件的，将有可能导致供应商无法在</w:t>
      </w:r>
      <w:r>
        <w:rPr>
          <w:rFonts w:hint="eastAsia" w:ascii="宋体" w:hAnsi="宋体"/>
          <w:color w:val="auto"/>
          <w:szCs w:val="21"/>
          <w:highlight w:val="none"/>
        </w:rPr>
        <w:t>广西政府采购云平台</w:t>
      </w:r>
      <w:r>
        <w:rPr>
          <w:rFonts w:hint="eastAsia" w:ascii="宋体" w:hAnsi="宋体" w:cs="宋体"/>
          <w:bCs/>
          <w:color w:val="auto"/>
          <w:szCs w:val="21"/>
          <w:highlight w:val="none"/>
        </w:rPr>
        <w:t>编制及上传投标文件。</w:t>
      </w:r>
    </w:p>
    <w:p w14:paraId="20A2B753">
      <w:pPr>
        <w:spacing w:line="360" w:lineRule="auto"/>
        <w:ind w:firstLine="540"/>
        <w:rPr>
          <w:rFonts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color w:val="auto"/>
          <w:szCs w:val="21"/>
          <w:highlight w:val="none"/>
          <w:u w:val="single"/>
        </w:rPr>
        <w:t>0</w:t>
      </w:r>
      <w:r>
        <w:rPr>
          <w:rFonts w:hint="eastAsia" w:ascii="宋体" w:hAnsi="宋体" w:cs="宋体"/>
          <w:color w:val="auto"/>
          <w:szCs w:val="21"/>
          <w:highlight w:val="none"/>
        </w:rPr>
        <w:t>元</w:t>
      </w:r>
    </w:p>
    <w:p w14:paraId="1D5F9E42">
      <w:pPr>
        <w:spacing w:line="360" w:lineRule="auto"/>
        <w:rPr>
          <w:rFonts w:ascii="黑体" w:hAnsi="黑体" w:eastAsia="黑体"/>
          <w:b/>
          <w:bCs/>
          <w:color w:val="auto"/>
          <w:sz w:val="24"/>
          <w:highlight w:val="none"/>
        </w:rPr>
      </w:pPr>
      <w:bookmarkStart w:id="28" w:name="_Toc28359005"/>
      <w:bookmarkStart w:id="29" w:name="_Toc28359082"/>
      <w:bookmarkStart w:id="30" w:name="_Toc35393793"/>
      <w:bookmarkStart w:id="31" w:name="_Toc35393624"/>
      <w:r>
        <w:rPr>
          <w:rFonts w:hint="eastAsia" w:ascii="黑体" w:hAnsi="黑体" w:eastAsia="黑体"/>
          <w:b/>
          <w:bCs/>
          <w:color w:val="auto"/>
          <w:sz w:val="24"/>
          <w:highlight w:val="none"/>
        </w:rPr>
        <w:t>四、提交投标文件</w:t>
      </w:r>
      <w:bookmarkEnd w:id="28"/>
      <w:bookmarkEnd w:id="29"/>
      <w:r>
        <w:rPr>
          <w:rFonts w:hint="eastAsia" w:ascii="黑体" w:hAnsi="黑体" w:eastAsia="黑体"/>
          <w:b/>
          <w:bCs/>
          <w:color w:val="auto"/>
          <w:sz w:val="24"/>
          <w:highlight w:val="none"/>
        </w:rPr>
        <w:t>截止时间、开标时间和地点</w:t>
      </w:r>
      <w:bookmarkEnd w:id="30"/>
      <w:bookmarkEnd w:id="31"/>
    </w:p>
    <w:p w14:paraId="7846F8CE">
      <w:pPr>
        <w:spacing w:line="360" w:lineRule="auto"/>
        <w:ind w:firstLine="420"/>
        <w:rPr>
          <w:rFonts w:ascii="宋体" w:hAnsi="宋体"/>
          <w:bCs/>
          <w:color w:val="auto"/>
          <w:szCs w:val="21"/>
          <w:highlight w:val="none"/>
        </w:rPr>
      </w:pPr>
      <w:bookmarkStart w:id="32" w:name="_Toc35393794"/>
      <w:bookmarkStart w:id="33" w:name="_Toc28359007"/>
      <w:bookmarkStart w:id="34" w:name="_Toc28359084"/>
      <w:bookmarkStart w:id="35" w:name="_Toc35393625"/>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29</w:t>
      </w:r>
      <w:r>
        <w:rPr>
          <w:rFonts w:hint="eastAsia" w:ascii="宋体" w:hAnsi="宋体"/>
          <w:bCs/>
          <w:color w:val="auto"/>
          <w:szCs w:val="21"/>
          <w:highlight w:val="none"/>
          <w:u w:val="single"/>
        </w:rPr>
        <w:t>日09时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14:paraId="55C3E4D4">
      <w:pPr>
        <w:spacing w:line="360" w:lineRule="auto"/>
        <w:ind w:firstLine="420"/>
        <w:rPr>
          <w:rFonts w:ascii="宋体" w:hAnsi="宋体"/>
          <w:color w:val="auto"/>
          <w:szCs w:val="21"/>
          <w:highlight w:val="none"/>
        </w:rPr>
      </w:pPr>
      <w:r>
        <w:rPr>
          <w:rFonts w:hint="eastAsia" w:ascii="宋体" w:hAnsi="宋体"/>
          <w:color w:val="auto"/>
          <w:szCs w:val="21"/>
          <w:highlight w:val="none"/>
        </w:rPr>
        <w:t>地点：</w:t>
      </w:r>
    </w:p>
    <w:p w14:paraId="572E8BBB">
      <w:pPr>
        <w:spacing w:line="360" w:lineRule="auto"/>
        <w:ind w:firstLine="420"/>
        <w:rPr>
          <w:rFonts w:ascii="宋体" w:hAnsi="宋体"/>
          <w:color w:val="auto"/>
          <w:szCs w:val="21"/>
          <w:highlight w:val="none"/>
        </w:rPr>
      </w:pPr>
      <w:r>
        <w:rPr>
          <w:rFonts w:hint="eastAsia" w:ascii="宋体" w:hAnsi="宋体"/>
          <w:color w:val="auto"/>
          <w:szCs w:val="21"/>
          <w:highlight w:val="none"/>
        </w:rPr>
        <w:t>投标地点：广西政府采购云平台（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2FB3624C">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32"/>
      <w:bookmarkEnd w:id="33"/>
      <w:bookmarkEnd w:id="34"/>
      <w:bookmarkEnd w:id="35"/>
    </w:p>
    <w:p w14:paraId="0FCEBD8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09499533">
      <w:pPr>
        <w:spacing w:line="360" w:lineRule="auto"/>
        <w:rPr>
          <w:rFonts w:ascii="黑体" w:hAnsi="黑体" w:eastAsia="黑体"/>
          <w:b/>
          <w:bCs/>
          <w:color w:val="auto"/>
          <w:sz w:val="24"/>
          <w:highlight w:val="none"/>
        </w:rPr>
      </w:pPr>
      <w:bookmarkStart w:id="36" w:name="_Toc35393626"/>
      <w:bookmarkStart w:id="37" w:name="_Toc35393795"/>
      <w:r>
        <w:rPr>
          <w:rFonts w:hint="eastAsia" w:ascii="黑体" w:hAnsi="黑体" w:eastAsia="黑体"/>
          <w:b/>
          <w:bCs/>
          <w:color w:val="auto"/>
          <w:sz w:val="24"/>
          <w:highlight w:val="none"/>
        </w:rPr>
        <w:t>六、其他补充事宜</w:t>
      </w:r>
      <w:bookmarkEnd w:id="36"/>
      <w:bookmarkEnd w:id="37"/>
    </w:p>
    <w:p w14:paraId="66ED7EFF">
      <w:pPr>
        <w:spacing w:line="360" w:lineRule="auto"/>
        <w:ind w:firstLine="420"/>
        <w:rPr>
          <w:rFonts w:ascii="宋体" w:hAnsi="宋体" w:cs="宋体"/>
          <w:color w:val="auto"/>
          <w:szCs w:val="21"/>
          <w:highlight w:val="none"/>
        </w:rPr>
      </w:pPr>
      <w:bookmarkStart w:id="38" w:name="_Hlk37429595"/>
      <w:bookmarkStart w:id="39" w:name="_Hlk37429585"/>
      <w:r>
        <w:rPr>
          <w:rFonts w:hint="eastAsia" w:ascii="宋体" w:hAnsi="宋体" w:cs="宋体"/>
          <w:color w:val="auto"/>
          <w:szCs w:val="21"/>
          <w:highlight w:val="none"/>
        </w:rPr>
        <w:t>1.网上查询地址</w:t>
      </w:r>
      <w:bookmarkEnd w:id="38"/>
      <w:bookmarkEnd w:id="39"/>
    </w:p>
    <w:p w14:paraId="402DE2B0">
      <w:pPr>
        <w:spacing w:line="360" w:lineRule="auto"/>
        <w:ind w:firstLine="420"/>
        <w:rPr>
          <w:rFonts w:ascii="宋体" w:hAnsi="宋体"/>
          <w:color w:val="auto"/>
          <w:szCs w:val="21"/>
          <w:highlight w:val="none"/>
        </w:rPr>
      </w:pPr>
      <w:bookmarkStart w:id="40" w:name="_Hlk37429674"/>
      <w:r>
        <w:rPr>
          <w:rFonts w:hint="eastAsia" w:ascii="宋体" w:hAnsi="宋体"/>
          <w:color w:val="auto"/>
          <w:szCs w:val="21"/>
          <w:highlight w:val="none"/>
        </w:rPr>
        <w:t>www.ccgp.gov.cn（中国政府采购网）、zfcg.gxzf.gov.cn（广西壮族自治区政府采购网）、http://117.141.250.58:10030/web/cgw/index.ptl（梧州市政府采购网）、http://www.gxms.gov.cn/（蒙山县人民政府门户网站）、http://ggzy.jgswj.gxzf.gov.cn/msxggzy/（全国公共资源交易平台·广西蒙山）</w:t>
      </w:r>
    </w:p>
    <w:p w14:paraId="3B5E62EA">
      <w:pPr>
        <w:spacing w:line="360" w:lineRule="auto"/>
        <w:ind w:firstLine="424"/>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p>
    <w:p w14:paraId="2F0570D8">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7EC6CD08">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2BB49F72">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4B55B5D9">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322E3314">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316A59A9">
      <w:pPr>
        <w:widowControl/>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3.</w:t>
      </w:r>
      <w:bookmarkEnd w:id="40"/>
      <w:bookmarkStart w:id="41" w:name="_Toc35393627"/>
      <w:bookmarkStart w:id="42" w:name="_Toc35393796"/>
      <w:bookmarkStart w:id="43" w:name="_Toc28359085"/>
      <w:bookmarkStart w:id="44" w:name="_Toc28359008"/>
      <w:r>
        <w:rPr>
          <w:rFonts w:hint="eastAsia" w:ascii="宋体" w:hAnsi="宋体" w:cs="宋体"/>
          <w:color w:val="auto"/>
          <w:szCs w:val="21"/>
          <w:highlight w:val="none"/>
        </w:rPr>
        <w:t>投标人</w:t>
      </w:r>
      <w:r>
        <w:rPr>
          <w:rFonts w:hint="eastAsia" w:ascii="宋体" w:hAnsi="宋体"/>
          <w:color w:val="auto"/>
          <w:szCs w:val="21"/>
          <w:highlight w:val="none"/>
        </w:rPr>
        <w:t>投标注意事项</w:t>
      </w:r>
    </w:p>
    <w:p w14:paraId="57FE889A">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color w:val="auto"/>
          <w:highlight w:val="none"/>
        </w:rPr>
        <w:t>后缀名为“</w:t>
      </w:r>
      <w:r>
        <w:rPr>
          <w:color w:val="auto"/>
          <w:highlight w:val="none"/>
        </w:rPr>
        <w:t>jmbs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投标人在广西政府采购云平台提交电子投标文件时，请填写参加远程开标活动经办人联系方式。</w:t>
      </w:r>
      <w:r>
        <w:rPr>
          <w:rFonts w:hint="eastAsia" w:ascii="宋体" w:hAnsi="宋体"/>
          <w:color w:val="auto"/>
          <w:szCs w:val="21"/>
          <w:highlight w:val="none"/>
        </w:rPr>
        <w:t>投标人登录广西政府采购云平台，依次进入“服务中心-项目采购-操作流程-电子招投标-</w:t>
      </w:r>
      <w:r>
        <w:rPr>
          <w:rFonts w:hint="eastAsia"/>
          <w:color w:val="auto"/>
          <w:highlight w:val="none"/>
        </w:rPr>
        <w:t>政府采购项目电子交易管理操作指南</w:t>
      </w:r>
      <w:r>
        <w:rPr>
          <w:color w:val="auto"/>
          <w:highlight w:val="none"/>
        </w:rPr>
        <w:t>-</w:t>
      </w:r>
      <w:r>
        <w:rPr>
          <w:rFonts w:hint="eastAsia"/>
          <w:color w:val="auto"/>
          <w:highlight w:val="none"/>
        </w:rPr>
        <w:t>供应商</w:t>
      </w:r>
      <w:r>
        <w:rPr>
          <w:rFonts w:hint="eastAsia" w:ascii="宋体" w:hAnsi="宋体"/>
          <w:color w:val="auto"/>
          <w:szCs w:val="21"/>
          <w:highlight w:val="none"/>
        </w:rPr>
        <w:t>”查看电子投标具体操作流程。</w:t>
      </w:r>
    </w:p>
    <w:p w14:paraId="5ACB5E7A">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szCs w:val="21"/>
          <w:highlight w:val="none"/>
        </w:rPr>
        <w:t>，</w:t>
      </w:r>
      <w:r>
        <w:rPr>
          <w:rFonts w:hint="eastAsia" w:ascii="宋体" w:hAnsi="宋体"/>
          <w:color w:val="auto"/>
          <w:szCs w:val="21"/>
          <w:highlight w:val="none"/>
        </w:rPr>
        <w:t>依次进入“服务中心-入驻与配置”中查看CA数字证书办理操作流程。</w:t>
      </w:r>
      <w:r>
        <w:rPr>
          <w:rFonts w:hint="eastAsia" w:ascii="宋体" w:hAnsi="宋体" w:cs="宋体"/>
          <w:b/>
          <w:color w:val="auto"/>
          <w:szCs w:val="21"/>
          <w:highlight w:val="none"/>
        </w:rPr>
        <w:t>如在操作过程中遇到问题或者需要技术支持，请致电客服热线：95763/0771-3381253</w:t>
      </w:r>
      <w:r>
        <w:rPr>
          <w:rFonts w:hint="eastAsia" w:ascii="宋体" w:hAnsi="宋体"/>
          <w:b/>
          <w:color w:val="auto"/>
          <w:szCs w:val="21"/>
          <w:highlight w:val="none"/>
        </w:rPr>
        <w:t>）</w:t>
      </w:r>
      <w:r>
        <w:rPr>
          <w:rFonts w:hint="eastAsia" w:ascii="宋体" w:hAnsi="宋体"/>
          <w:color w:val="auto"/>
          <w:szCs w:val="21"/>
          <w:highlight w:val="none"/>
        </w:rPr>
        <w:t>。</w:t>
      </w:r>
    </w:p>
    <w:p w14:paraId="46F442B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w:t>
      </w:r>
      <w:r>
        <w:rPr>
          <w:rFonts w:hint="eastAsia" w:ascii="宋体" w:hAnsi="宋体"/>
          <w:color w:val="auto"/>
          <w:szCs w:val="21"/>
          <w:highlight w:val="none"/>
        </w:rPr>
        <w:t>广西政府采购云平台</w:t>
      </w:r>
      <w:r>
        <w:rPr>
          <w:rFonts w:hint="eastAsia" w:ascii="宋体" w:hAnsi="宋体" w:cs="宋体"/>
          <w:color w:val="auto"/>
          <w:szCs w:val="21"/>
          <w:highlight w:val="none"/>
        </w:rPr>
        <w:t>电子开标大厅现场按规定时间对加密的投标文件进行解密，否则后果自负。</w:t>
      </w:r>
    </w:p>
    <w:p w14:paraId="23AF4802">
      <w:pPr>
        <w:spacing w:line="360" w:lineRule="auto"/>
        <w:ind w:firstLine="424"/>
        <w:rPr>
          <w:rFonts w:ascii="宋体" w:hAnsi="宋体"/>
          <w:bCs/>
          <w:color w:val="auto"/>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166A480D">
      <w:pPr>
        <w:spacing w:line="360" w:lineRule="auto"/>
        <w:ind w:firstLine="426"/>
        <w:rPr>
          <w:rFonts w:ascii="宋体" w:hAnsi="宋体" w:cs="宋体"/>
          <w:b/>
          <w:bCs/>
          <w:iCs/>
          <w:color w:val="auto"/>
          <w:szCs w:val="21"/>
          <w:highlight w:val="none"/>
        </w:rPr>
      </w:pPr>
      <w:r>
        <w:rPr>
          <w:rFonts w:hint="eastAsia" w:ascii="宋体" w:hAnsi="宋体" w:cs="宋体"/>
          <w:b/>
          <w:bCs/>
          <w:iCs/>
          <w:color w:val="auto"/>
          <w:szCs w:val="21"/>
          <w:highlight w:val="none"/>
        </w:rPr>
        <w:t>4.本项目为远程异地全流程电子评标。</w:t>
      </w:r>
    </w:p>
    <w:p w14:paraId="065ACD9A">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41"/>
      <w:bookmarkEnd w:id="42"/>
      <w:bookmarkEnd w:id="43"/>
      <w:bookmarkEnd w:id="44"/>
    </w:p>
    <w:p w14:paraId="648E4D3B">
      <w:pPr>
        <w:spacing w:line="360" w:lineRule="auto"/>
        <w:ind w:firstLine="420"/>
        <w:rPr>
          <w:rFonts w:ascii="宋体" w:hAnsi="宋体" w:cs="宋体"/>
          <w:color w:val="auto"/>
          <w:szCs w:val="21"/>
          <w:highlight w:val="none"/>
        </w:rPr>
      </w:pPr>
      <w:bookmarkStart w:id="45" w:name="_Toc28359019"/>
      <w:bookmarkStart w:id="46" w:name="_Toc35393806"/>
      <w:bookmarkStart w:id="47" w:name="_Toc28359096"/>
      <w:bookmarkStart w:id="48" w:name="_Toc35393637"/>
      <w:r>
        <w:rPr>
          <w:rFonts w:hint="eastAsia" w:ascii="宋体" w:hAnsi="宋体" w:cs="宋体"/>
          <w:color w:val="auto"/>
          <w:szCs w:val="21"/>
          <w:highlight w:val="none"/>
        </w:rPr>
        <w:t>1.采购人信息</w:t>
      </w:r>
      <w:bookmarkEnd w:id="45"/>
      <w:bookmarkEnd w:id="46"/>
      <w:bookmarkEnd w:id="47"/>
      <w:bookmarkEnd w:id="48"/>
    </w:p>
    <w:p w14:paraId="4235CACB">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名    称：</w:t>
      </w:r>
      <w:r>
        <w:rPr>
          <w:rFonts w:hint="eastAsia" w:ascii="宋体" w:hAnsi="宋体" w:cs="宋体"/>
          <w:color w:val="auto"/>
          <w:szCs w:val="21"/>
          <w:highlight w:val="none"/>
          <w:u w:val="single"/>
        </w:rPr>
        <w:t>蒙山县生态移民发展中心</w:t>
      </w:r>
    </w:p>
    <w:p w14:paraId="24B198FA">
      <w:pPr>
        <w:spacing w:line="400" w:lineRule="exact"/>
        <w:ind w:firstLine="420"/>
        <w:rPr>
          <w:rFonts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蒙山县蒙山镇滨江南路100号 </w:t>
      </w:r>
    </w:p>
    <w:p w14:paraId="4C467062">
      <w:pPr>
        <w:spacing w:line="400" w:lineRule="exact"/>
        <w:ind w:firstLine="420"/>
        <w:rPr>
          <w:rFonts w:ascii="宋体" w:hAnsi="宋体"/>
          <w:color w:val="auto"/>
          <w:szCs w:val="21"/>
          <w:highlight w:val="none"/>
        </w:rPr>
      </w:pPr>
      <w:r>
        <w:rPr>
          <w:rFonts w:hint="eastAsia" w:ascii="宋体" w:hAnsi="宋体"/>
          <w:color w:val="auto"/>
          <w:szCs w:val="21"/>
          <w:highlight w:val="none"/>
        </w:rPr>
        <w:t>联系方式：</w:t>
      </w:r>
      <w:r>
        <w:rPr>
          <w:rFonts w:hint="eastAsia" w:ascii="宋体" w:hAnsi="宋体"/>
          <w:color w:val="auto"/>
          <w:szCs w:val="21"/>
          <w:highlight w:val="none"/>
          <w:u w:val="single"/>
        </w:rPr>
        <w:t>黄泰民，0774-6280696</w:t>
      </w:r>
    </w:p>
    <w:p w14:paraId="455236F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 </w:t>
      </w:r>
    </w:p>
    <w:p w14:paraId="7E1399FD">
      <w:pPr>
        <w:spacing w:line="360" w:lineRule="auto"/>
        <w:ind w:firstLine="420"/>
        <w:rPr>
          <w:rFonts w:ascii="宋体" w:hAnsi="宋体" w:cs="宋体"/>
          <w:color w:val="auto"/>
          <w:szCs w:val="21"/>
          <w:highlight w:val="none"/>
        </w:rPr>
      </w:pPr>
      <w:bookmarkStart w:id="49" w:name="_Toc35393807"/>
      <w:bookmarkStart w:id="50" w:name="_Toc28359020"/>
      <w:bookmarkStart w:id="51" w:name="_Toc35393638"/>
      <w:bookmarkStart w:id="52" w:name="_Toc28359097"/>
      <w:r>
        <w:rPr>
          <w:rFonts w:hint="eastAsia" w:ascii="宋体" w:hAnsi="宋体" w:cs="宋体"/>
          <w:color w:val="auto"/>
          <w:szCs w:val="21"/>
          <w:highlight w:val="none"/>
        </w:rPr>
        <w:t>2.采购代理机构信息</w:t>
      </w:r>
      <w:bookmarkEnd w:id="49"/>
      <w:bookmarkEnd w:id="50"/>
      <w:bookmarkEnd w:id="51"/>
      <w:bookmarkEnd w:id="52"/>
    </w:p>
    <w:p w14:paraId="51076D34">
      <w:pPr>
        <w:spacing w:line="360" w:lineRule="auto"/>
        <w:ind w:firstLine="420"/>
        <w:rPr>
          <w:rFonts w:ascii="宋体" w:hAnsi="宋体" w:cs="宋体"/>
          <w:color w:val="auto"/>
          <w:szCs w:val="21"/>
          <w:highlight w:val="none"/>
          <w:u w:val="single"/>
        </w:rPr>
      </w:pPr>
      <w:r>
        <w:rPr>
          <w:rFonts w:hint="eastAsia" w:ascii="宋体" w:hAnsi="宋体"/>
          <w:color w:val="auto"/>
          <w:szCs w:val="21"/>
          <w:highlight w:val="none"/>
        </w:rPr>
        <w:t>名    称：</w:t>
      </w:r>
      <w:r>
        <w:rPr>
          <w:rFonts w:hint="eastAsia" w:ascii="宋体" w:hAnsi="宋体" w:cs="宋体"/>
          <w:color w:val="auto"/>
          <w:szCs w:val="21"/>
          <w:highlight w:val="none"/>
          <w:u w:val="single"/>
        </w:rPr>
        <w:t>云之龙咨询集团有限公司</w:t>
      </w:r>
    </w:p>
    <w:p w14:paraId="24F54C1E">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梧州市蒙山县东江南路西三巷2号(城南新区华美水岸明珠第33栋12号)</w:t>
      </w:r>
    </w:p>
    <w:p w14:paraId="7175E7C6">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联系方式：</w:t>
      </w:r>
      <w:r>
        <w:rPr>
          <w:rFonts w:hint="eastAsia" w:ascii="宋体" w:hAnsi="宋体"/>
          <w:color w:val="auto"/>
          <w:szCs w:val="21"/>
          <w:highlight w:val="none"/>
          <w:u w:val="single"/>
        </w:rPr>
        <w:t>周子然、</w:t>
      </w:r>
      <w:r>
        <w:rPr>
          <w:rFonts w:hint="eastAsia" w:ascii="宋体" w:hAnsi="宋体"/>
          <w:color w:val="auto"/>
          <w:szCs w:val="21"/>
          <w:highlight w:val="none"/>
          <w:u w:val="single"/>
          <w:lang w:eastAsia="zh-CN"/>
        </w:rPr>
        <w:t>覃文思</w:t>
      </w:r>
      <w:r>
        <w:rPr>
          <w:rFonts w:hint="eastAsia" w:ascii="宋体" w:hAnsi="宋体"/>
          <w:color w:val="auto"/>
          <w:szCs w:val="21"/>
          <w:highlight w:val="none"/>
          <w:u w:val="single"/>
        </w:rPr>
        <w:t xml:space="preserve">  0774-3859935</w:t>
      </w:r>
    </w:p>
    <w:p w14:paraId="53497EB4">
      <w:pPr>
        <w:spacing w:line="360" w:lineRule="auto"/>
        <w:ind w:firstLine="420"/>
        <w:rPr>
          <w:rFonts w:ascii="宋体" w:hAnsi="宋体" w:cs="宋体"/>
          <w:color w:val="auto"/>
          <w:szCs w:val="21"/>
          <w:highlight w:val="none"/>
        </w:rPr>
      </w:pPr>
      <w:bookmarkStart w:id="53" w:name="_Toc28359098"/>
      <w:bookmarkStart w:id="54" w:name="_Toc35393808"/>
      <w:bookmarkStart w:id="55" w:name="_Toc28359021"/>
      <w:bookmarkStart w:id="56" w:name="_Toc35393639"/>
      <w:r>
        <w:rPr>
          <w:rFonts w:hint="eastAsia" w:ascii="宋体" w:hAnsi="宋体" w:cs="宋体"/>
          <w:color w:val="auto"/>
          <w:szCs w:val="21"/>
          <w:highlight w:val="none"/>
        </w:rPr>
        <w:t>3.项目联系</w:t>
      </w:r>
      <w:r>
        <w:rPr>
          <w:rFonts w:ascii="宋体" w:hAnsi="宋体" w:cs="宋体"/>
          <w:color w:val="auto"/>
          <w:szCs w:val="21"/>
          <w:highlight w:val="none"/>
        </w:rPr>
        <w:t>方式</w:t>
      </w:r>
      <w:bookmarkEnd w:id="53"/>
      <w:bookmarkEnd w:id="54"/>
      <w:bookmarkEnd w:id="55"/>
      <w:bookmarkEnd w:id="56"/>
    </w:p>
    <w:p w14:paraId="458EAF42">
      <w:pPr>
        <w:pStyle w:val="26"/>
        <w:spacing w:line="360" w:lineRule="auto"/>
        <w:ind w:firstLine="420"/>
        <w:rPr>
          <w:rFonts w:hint="eastAsia" w:hAnsi="宋体" w:eastAsia="宋体"/>
          <w:color w:val="auto"/>
          <w:sz w:val="21"/>
          <w:highlight w:val="none"/>
          <w:u w:val="single"/>
          <w:lang w:eastAsia="zh-CN"/>
        </w:rPr>
      </w:pPr>
      <w:r>
        <w:rPr>
          <w:rFonts w:hint="eastAsia" w:hAnsi="宋体"/>
          <w:color w:val="auto"/>
          <w:sz w:val="21"/>
          <w:highlight w:val="none"/>
        </w:rPr>
        <w:t>项目联系人：</w:t>
      </w:r>
      <w:r>
        <w:rPr>
          <w:rFonts w:hint="eastAsia" w:hAnsi="宋体"/>
          <w:color w:val="auto"/>
          <w:sz w:val="21"/>
          <w:highlight w:val="none"/>
          <w:u w:val="single"/>
        </w:rPr>
        <w:t>周子然、</w:t>
      </w:r>
      <w:r>
        <w:rPr>
          <w:rFonts w:hint="eastAsia" w:hAnsi="宋体"/>
          <w:color w:val="auto"/>
          <w:sz w:val="21"/>
          <w:highlight w:val="none"/>
          <w:u w:val="single"/>
          <w:lang w:eastAsia="zh-CN"/>
        </w:rPr>
        <w:t>覃文思</w:t>
      </w:r>
    </w:p>
    <w:p w14:paraId="0DE65816">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0774-3859935</w:t>
      </w:r>
    </w:p>
    <w:p w14:paraId="58CE070D">
      <w:pPr>
        <w:spacing w:line="360" w:lineRule="auto"/>
        <w:ind w:firstLine="420"/>
        <w:rPr>
          <w:rFonts w:ascii="仿宋_GB2312" w:hAnsi="宋体" w:eastAsia="仿宋_GB2312"/>
          <w:color w:val="auto"/>
          <w:sz w:val="24"/>
          <w:szCs w:val="20"/>
          <w:highlight w:val="none"/>
        </w:rPr>
      </w:pPr>
      <w:r>
        <w:rPr>
          <w:rFonts w:hint="eastAsia" w:ascii="宋体" w:hAnsi="宋体"/>
          <w:color w:val="auto"/>
          <w:szCs w:val="21"/>
          <w:highlight w:val="none"/>
        </w:rPr>
        <w:t>附件：采购需求</w:t>
      </w:r>
    </w:p>
    <w:p w14:paraId="72F16D5D">
      <w:pPr>
        <w:rPr>
          <w:color w:val="auto"/>
          <w:highlight w:val="none"/>
        </w:rPr>
      </w:pPr>
      <w:bookmarkStart w:id="57" w:name="_Toc74320801"/>
      <w:r>
        <w:rPr>
          <w:rFonts w:hint="eastAsia"/>
          <w:color w:val="auto"/>
          <w:highlight w:val="none"/>
        </w:rPr>
        <w:br w:type="page" w:clear="all"/>
      </w:r>
    </w:p>
    <w:p w14:paraId="32FD7B5A">
      <w:pPr>
        <w:pStyle w:val="2"/>
        <w:jc w:val="center"/>
        <w:rPr>
          <w:color w:val="auto"/>
          <w:highlight w:val="none"/>
        </w:rPr>
      </w:pPr>
      <w:r>
        <w:rPr>
          <w:rFonts w:hint="eastAsia"/>
          <w:color w:val="auto"/>
          <w:highlight w:val="none"/>
        </w:rPr>
        <w:t>第二章  采购需求</w:t>
      </w:r>
      <w:bookmarkEnd w:id="57"/>
    </w:p>
    <w:p w14:paraId="4171FB32">
      <w:pPr>
        <w:spacing w:line="360" w:lineRule="auto"/>
        <w:jc w:val="left"/>
        <w:rPr>
          <w:rFonts w:ascii="宋体" w:hAnsi="宋体" w:cs="宋体"/>
          <w:color w:val="auto"/>
          <w:szCs w:val="21"/>
          <w:highlight w:val="none"/>
        </w:rPr>
      </w:pPr>
      <w:bookmarkStart w:id="58" w:name="_Toc254970631"/>
      <w:bookmarkStart w:id="59" w:name="_Hlk65055179"/>
      <w:bookmarkStart w:id="60" w:name="_Toc254970490"/>
      <w:r>
        <w:rPr>
          <w:rFonts w:hint="eastAsia" w:ascii="宋体" w:hAnsi="宋体" w:cs="宋体"/>
          <w:color w:val="auto"/>
          <w:szCs w:val="21"/>
          <w:highlight w:val="none"/>
        </w:rPr>
        <w:t>说明：</w:t>
      </w:r>
    </w:p>
    <w:p w14:paraId="4CBE7C4A">
      <w:pPr>
        <w:spacing w:line="360" w:lineRule="auto"/>
        <w:ind w:firstLine="420"/>
        <w:jc w:val="left"/>
        <w:rPr>
          <w:color w:val="auto"/>
          <w:highlight w:val="none"/>
        </w:rPr>
      </w:pPr>
      <w:r>
        <w:rPr>
          <w:color w:val="auto"/>
          <w:highlight w:val="none"/>
        </w:rPr>
        <w:t>1.</w:t>
      </w:r>
      <w:r>
        <w:rPr>
          <w:rFonts w:hint="eastAsia"/>
          <w:color w:val="auto"/>
          <w:highlight w:val="none"/>
        </w:rPr>
        <w:t>为落实政府采购政策需满足的要求</w:t>
      </w:r>
    </w:p>
    <w:p w14:paraId="42B2F587">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6682234B">
      <w:pPr>
        <w:spacing w:line="360" w:lineRule="auto"/>
        <w:ind w:firstLine="424"/>
        <w:jc w:val="left"/>
        <w:rPr>
          <w:color w:val="auto"/>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。如本项目包含的货物属于品目清单内非标注“★”的产品时，应优先采购，具体详见“第四章 评标方法及评标标准”。</w:t>
      </w:r>
    </w:p>
    <w:p w14:paraId="2990D9A0">
      <w:pPr>
        <w:spacing w:line="360" w:lineRule="auto"/>
        <w:ind w:firstLine="424"/>
        <w:jc w:val="left"/>
        <w:rPr>
          <w:color w:val="auto"/>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4F99FC0">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（4）</w:t>
      </w:r>
      <w:r>
        <w:rPr>
          <w:color w:val="auto"/>
          <w:highlight w:val="none"/>
        </w:rPr>
        <w:t>根据《关于调整网络安全专用产品安全管理有关事项的公告》（2023年</w:t>
      </w:r>
      <w:r>
        <w:rPr>
          <w:rFonts w:hint="eastAsia"/>
          <w:color w:val="auto"/>
          <w:highlight w:val="none"/>
        </w:rPr>
        <w:t>第</w:t>
      </w:r>
      <w:r>
        <w:rPr>
          <w:color w:val="auto"/>
          <w:highlight w:val="none"/>
        </w:rPr>
        <w:t>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b/>
          <w:color w:val="auto"/>
          <w:highlight w:val="none"/>
        </w:rPr>
        <w:t>不在《网络关键设备和网络安全专用产品安全认证和安全检测结果》中或不在有效期内的，</w:t>
      </w:r>
      <w:r>
        <w:rPr>
          <w:rFonts w:hint="eastAsia"/>
          <w:b/>
          <w:color w:val="auto"/>
          <w:highlight w:val="none"/>
        </w:rPr>
        <w:t>按无效投标处理</w:t>
      </w:r>
      <w:r>
        <w:rPr>
          <w:color w:val="auto"/>
          <w:highlight w:val="none"/>
        </w:rPr>
        <w:t>。如属于《网络关键设备和网络安全专用产品目录》中“二、网络安全专用产品”内“产品类别”中所描述的产品，但不属于所列“产品描述”情形的，应提供相应的说明及证明材料。</w:t>
      </w:r>
    </w:p>
    <w:p w14:paraId="67724D4F">
      <w:pPr>
        <w:spacing w:line="360" w:lineRule="auto"/>
        <w:ind w:firstLine="426"/>
        <w:jc w:val="left"/>
        <w:rPr>
          <w:rFonts w:ascii="宋体" w:hAnsi="宋体" w:cs="宋体"/>
          <w:b/>
          <w:bCs/>
          <w:color w:val="auto"/>
          <w:szCs w:val="21"/>
          <w:highlight w:val="none"/>
        </w:rPr>
      </w:pPr>
      <w:r>
        <w:rPr>
          <w:rFonts w:hint="eastAsia" w:ascii="宋体" w:hAnsi="宋体" w:cs="宋体"/>
          <w:b/>
          <w:bCs/>
          <w:color w:val="auto"/>
          <w:szCs w:val="21"/>
          <w:highlight w:val="none"/>
        </w:rPr>
        <w:t>2.“实质性要求”是指招标文件中已经指明不满足则投标无效的条款，或者不能负偏离的条款，或者采购需求中带“▲”的条款。</w:t>
      </w:r>
    </w:p>
    <w:p w14:paraId="270CB142">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3.标记“●”的条款（如有）是指采购需求中的重要指标，作为评分标准依据。</w:t>
      </w:r>
    </w:p>
    <w:p w14:paraId="2CF8F77C">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4.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63B26F6">
      <w:pPr>
        <w:spacing w:line="360" w:lineRule="auto"/>
        <w:ind w:firstLine="424"/>
        <w:jc w:val="left"/>
        <w:rPr>
          <w:color w:val="auto"/>
          <w:highlight w:val="none"/>
        </w:rPr>
      </w:pPr>
      <w:r>
        <w:rPr>
          <w:rFonts w:hint="eastAsia" w:ascii="宋体" w:hAnsi="宋体" w:cs="宋体"/>
          <w:color w:val="auto"/>
          <w:szCs w:val="21"/>
          <w:highlight w:val="none"/>
        </w:rPr>
        <w:t>5.  投标人应根据自身实际情况如实响应招标文件</w:t>
      </w:r>
      <w:r>
        <w:rPr>
          <w:rFonts w:hint="eastAsia" w:ascii="宋体" w:hAnsi="宋体"/>
          <w:color w:val="auto"/>
          <w:szCs w:val="21"/>
          <w:highlight w:val="none"/>
        </w:rPr>
        <w:t>，</w:t>
      </w:r>
      <w:r>
        <w:rPr>
          <w:rFonts w:hint="eastAsia" w:ascii="宋体" w:hAnsi="宋体"/>
          <w:color w:val="auto"/>
          <w:sz w:val="22"/>
          <w:szCs w:val="22"/>
          <w:highlight w:val="none"/>
        </w:rPr>
        <w:t>对招标文件提出的要求和条件作出明确响应</w:t>
      </w:r>
      <w:r>
        <w:rPr>
          <w:rFonts w:hint="eastAsia" w:ascii="宋体" w:hAnsi="宋体"/>
          <w:color w:val="auto"/>
          <w:szCs w:val="21"/>
          <w:highlight w:val="none"/>
        </w:rPr>
        <w:t>，</w:t>
      </w:r>
      <w:r>
        <w:rPr>
          <w:rFonts w:hint="eastAsia" w:ascii="宋体" w:hAnsi="宋体"/>
          <w:b/>
          <w:bCs/>
          <w:color w:val="auto"/>
          <w:szCs w:val="21"/>
          <w:highlight w:val="none"/>
        </w:rPr>
        <w:t>否则该技术参数视为负偏离</w:t>
      </w:r>
      <w:r>
        <w:rPr>
          <w:rFonts w:hint="eastAsia" w:ascii="宋体" w:hAnsi="宋体"/>
          <w:color w:val="auto"/>
          <w:szCs w:val="21"/>
          <w:highlight w:val="none"/>
        </w:rPr>
        <w:t>。</w:t>
      </w:r>
      <w:r>
        <w:rPr>
          <w:rFonts w:hint="eastAsia"/>
          <w:color w:val="auto"/>
          <w:highlight w:val="none"/>
        </w:rPr>
        <w:t>对于重要技术条款或技术参数应当在投标文件中提供技术支持资料，技术支持资料以招标文件中规定的形式为准，</w:t>
      </w:r>
      <w:r>
        <w:rPr>
          <w:rFonts w:hint="eastAsia"/>
          <w:b/>
          <w:bCs/>
          <w:color w:val="auto"/>
          <w:highlight w:val="none"/>
        </w:rPr>
        <w:t>否则将视为无效技术支持资料</w:t>
      </w:r>
      <w:r>
        <w:rPr>
          <w:rFonts w:hint="eastAsia"/>
          <w:color w:val="auto"/>
          <w:highlight w:val="none"/>
        </w:rPr>
        <w:t>。</w:t>
      </w:r>
    </w:p>
    <w:p w14:paraId="0652A02F">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6.投标人必须自行为其投标产品侵犯他人的知识产权或者专利成果的行为承担相应法律责任。</w:t>
      </w:r>
    </w:p>
    <w:p w14:paraId="2AD7E55F">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7.所属行业依照《中小企业划型标准规定》（工信部联企业〔2011〕300号）及《国民经济行业分类》（</w:t>
      </w:r>
      <w:r>
        <w:rPr>
          <w:color w:val="auto"/>
          <w:highlight w:val="none"/>
        </w:rPr>
        <w:t xml:space="preserve"> </w:t>
      </w:r>
      <w:r>
        <w:rPr>
          <w:rFonts w:ascii="宋体" w:hAnsi="宋体" w:cs="宋体"/>
          <w:color w:val="auto"/>
          <w:szCs w:val="21"/>
          <w:highlight w:val="none"/>
        </w:rPr>
        <w:t>GB/T 4754—2017</w:t>
      </w:r>
      <w:r>
        <w:rPr>
          <w:rFonts w:hint="eastAsia" w:ascii="宋体" w:hAnsi="宋体" w:cs="宋体"/>
          <w:color w:val="auto"/>
          <w:szCs w:val="21"/>
          <w:highlight w:val="none"/>
        </w:rPr>
        <w:t>）的有关规定执行，</w:t>
      </w:r>
      <w:r>
        <w:rPr>
          <w:rFonts w:hint="eastAsia" w:ascii="宋体" w:hAnsi="宋体" w:cs="宋体"/>
          <w:b/>
          <w:bCs/>
          <w:color w:val="auto"/>
          <w:szCs w:val="21"/>
          <w:highlight w:val="none"/>
        </w:rPr>
        <w:t>本项目所有采购标的的所属行业为“</w:t>
      </w:r>
      <w:r>
        <w:rPr>
          <w:rFonts w:hint="eastAsia" w:ascii="Helvetica" w:hAnsi="Helvetica" w:cs="Helvetica"/>
          <w:b/>
          <w:bCs/>
          <w:color w:val="auto"/>
          <w:szCs w:val="21"/>
          <w:highlight w:val="none"/>
          <w:shd w:val="clear" w:color="auto" w:fill="FFFFFF"/>
        </w:rPr>
        <w:t>工</w:t>
      </w:r>
      <w:r>
        <w:rPr>
          <w:rFonts w:ascii="Helvetica" w:hAnsi="Helvetica" w:eastAsia="Helvetica" w:cs="Helvetica"/>
          <w:b/>
          <w:bCs/>
          <w:color w:val="auto"/>
          <w:szCs w:val="21"/>
          <w:highlight w:val="none"/>
          <w:shd w:val="clear" w:color="auto" w:fill="FFFFFF"/>
        </w:rPr>
        <w:t>业</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37872D20">
      <w:pPr>
        <w:spacing w:line="360" w:lineRule="auto"/>
        <w:ind w:firstLine="424"/>
        <w:jc w:val="left"/>
        <w:rPr>
          <w:rFonts w:ascii="宋体" w:hAnsi="宋体" w:cs="宋体"/>
          <w:color w:val="auto"/>
          <w:szCs w:val="21"/>
          <w:highlight w:val="none"/>
        </w:rPr>
      </w:pPr>
      <w:r>
        <w:rPr>
          <w:rFonts w:hint="eastAsia" w:ascii="宋体" w:hAnsi="宋体" w:cs="宋体"/>
          <w:b/>
          <w:bCs/>
          <w:color w:val="auto"/>
          <w:szCs w:val="21"/>
          <w:highlight w:val="none"/>
        </w:rPr>
        <w:t>▲</w:t>
      </w:r>
      <w:r>
        <w:rPr>
          <w:rFonts w:hint="eastAsia" w:ascii="宋体" w:hAnsi="宋体" w:cs="宋体"/>
          <w:color w:val="auto"/>
          <w:szCs w:val="21"/>
          <w:highlight w:val="none"/>
        </w:rPr>
        <w:t>8.根据《关于在政府采购活动中对有关美国企业采取相关措施的通知》（财库〔2026〕10号）的规定，供应商提供的产品不得为财库〔2026〕10号文件附件规定的46家美国企业（不包括在华美资企业）生产的产品。</w:t>
      </w:r>
      <w:bookmarkEnd w:id="58"/>
      <w:bookmarkEnd w:id="59"/>
      <w:bookmarkEnd w:id="60"/>
    </w:p>
    <w:p w14:paraId="57DB06A1">
      <w:pPr>
        <w:rPr>
          <w:color w:val="auto"/>
          <w:highlight w:val="none"/>
        </w:rPr>
      </w:pPr>
    </w:p>
    <w:p w14:paraId="089A3ECF">
      <w:pPr>
        <w:spacing w:line="360" w:lineRule="auto"/>
        <w:ind w:firstLine="308"/>
        <w:jc w:val="left"/>
        <w:rPr>
          <w:rFonts w:ascii="宋体" w:hAnsi="宋体" w:cs="Arial"/>
          <w:bCs/>
          <w:color w:val="auto"/>
          <w:szCs w:val="21"/>
          <w:highlight w:val="none"/>
          <w:u w:val="single"/>
        </w:rPr>
      </w:pPr>
      <w:r>
        <w:rPr>
          <w:rFonts w:hint="eastAsia" w:ascii="宋体" w:hAnsi="宋体" w:cs="Arial"/>
          <w:bCs/>
          <w:color w:val="auto"/>
          <w:szCs w:val="21"/>
          <w:highlight w:val="none"/>
          <w:u w:val="single"/>
        </w:rPr>
        <w:t xml:space="preserve"> 1 </w:t>
      </w:r>
      <w:r>
        <w:rPr>
          <w:rFonts w:hint="eastAsia" w:ascii="宋体" w:hAnsi="宋体"/>
          <w:b/>
          <w:color w:val="auto"/>
          <w:szCs w:val="21"/>
          <w:highlight w:val="none"/>
        </w:rPr>
        <w:t>分标      最高限价：450</w:t>
      </w:r>
      <w:r>
        <w:rPr>
          <w:rFonts w:hint="eastAsia" w:ascii="宋体" w:hAnsi="宋体" w:cs="宋体"/>
          <w:b/>
          <w:color w:val="auto"/>
          <w:szCs w:val="21"/>
          <w:highlight w:val="none"/>
        </w:rPr>
        <w:t>万元</w:t>
      </w:r>
    </w:p>
    <w:p w14:paraId="20684964">
      <w:pPr>
        <w:spacing w:line="360" w:lineRule="auto"/>
        <w:ind w:firstLine="310"/>
        <w:jc w:val="left"/>
        <w:rPr>
          <w:rFonts w:ascii="宋体" w:hAnsi="宋体" w:cs="Arial"/>
          <w:bCs/>
          <w:color w:val="auto"/>
          <w:szCs w:val="21"/>
          <w:highlight w:val="none"/>
          <w:u w:val="single"/>
        </w:rPr>
      </w:pPr>
      <w:r>
        <w:rPr>
          <w:rFonts w:hint="eastAsia" w:ascii="宋体" w:hAnsi="宋体"/>
          <w:b/>
          <w:color w:val="auto"/>
          <w:szCs w:val="21"/>
          <w:highlight w:val="none"/>
        </w:rPr>
        <w:t>本分标的核心产品为“织机</w:t>
      </w:r>
      <w:r>
        <w:rPr>
          <w:rFonts w:hint="eastAsia" w:ascii="宋体" w:hAnsi="宋体" w:cs="Arial"/>
          <w:b/>
          <w:color w:val="auto"/>
          <w:szCs w:val="21"/>
          <w:highlight w:val="none"/>
        </w:rPr>
        <w:t xml:space="preserve"> ”</w:t>
      </w:r>
      <w:r>
        <w:rPr>
          <w:rFonts w:hint="eastAsia" w:ascii="宋体" w:hAnsi="宋体"/>
          <w:b/>
          <w:color w:val="auto"/>
          <w:szCs w:val="21"/>
          <w:highlight w:val="none"/>
        </w:rPr>
        <w:t>。</w:t>
      </w:r>
    </w:p>
    <w:tbl>
      <w:tblPr>
        <w:tblStyle w:val="52"/>
        <w:tblW w:w="97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2327"/>
        <w:gridCol w:w="937"/>
        <w:gridCol w:w="5944"/>
      </w:tblGrid>
      <w:tr w14:paraId="639D4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567" w:type="dxa"/>
            <w:vAlign w:val="center"/>
          </w:tcPr>
          <w:p w14:paraId="5BD45206">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2327" w:type="dxa"/>
            <w:tcBorders>
              <w:right w:val="single" w:color="auto" w:sz="4" w:space="0"/>
            </w:tcBorders>
            <w:vAlign w:val="center"/>
          </w:tcPr>
          <w:p w14:paraId="7B5BA211">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标的的名称</w:t>
            </w:r>
          </w:p>
        </w:tc>
        <w:tc>
          <w:tcPr>
            <w:tcW w:w="937" w:type="dxa"/>
            <w:tcBorders>
              <w:right w:val="single" w:color="auto" w:sz="4" w:space="0"/>
            </w:tcBorders>
            <w:vAlign w:val="center"/>
          </w:tcPr>
          <w:p w14:paraId="056569FB">
            <w:pPr>
              <w:spacing w:line="360" w:lineRule="auto"/>
              <w:jc w:val="center"/>
              <w:rPr>
                <w:rFonts w:ascii="宋体" w:hAnsi="宋体" w:cs="宋体"/>
                <w:b/>
                <w:bCs/>
                <w:color w:val="auto"/>
                <w:szCs w:val="21"/>
                <w:highlight w:val="none"/>
              </w:rPr>
            </w:pPr>
            <w:r>
              <w:rPr>
                <w:rFonts w:hint="eastAsia" w:ascii="宋体" w:hAnsi="宋体" w:cs="宋体"/>
                <w:b/>
                <w:color w:val="auto"/>
                <w:szCs w:val="21"/>
                <w:highlight w:val="none"/>
              </w:rPr>
              <w:t>数量及单位</w:t>
            </w:r>
          </w:p>
        </w:tc>
        <w:tc>
          <w:tcPr>
            <w:tcW w:w="5944" w:type="dxa"/>
            <w:tcBorders>
              <w:left w:val="single" w:color="auto" w:sz="4" w:space="0"/>
            </w:tcBorders>
            <w:vAlign w:val="center"/>
          </w:tcPr>
          <w:p w14:paraId="1E9F62C8">
            <w:pPr>
              <w:spacing w:line="360" w:lineRule="auto"/>
              <w:jc w:val="center"/>
              <w:rPr>
                <w:rFonts w:ascii="宋体" w:hAnsi="宋体" w:cs="宋体"/>
                <w:b/>
                <w:bCs/>
                <w:color w:val="auto"/>
                <w:szCs w:val="21"/>
                <w:highlight w:val="none"/>
              </w:rPr>
            </w:pPr>
            <w:r>
              <w:rPr>
                <w:rFonts w:hint="eastAsia" w:ascii="宋体" w:hAnsi="宋体" w:cs="宋体"/>
                <w:b/>
                <w:color w:val="auto"/>
                <w:szCs w:val="21"/>
                <w:highlight w:val="none"/>
              </w:rPr>
              <w:t>技术要求</w:t>
            </w:r>
          </w:p>
        </w:tc>
      </w:tr>
      <w:tr w14:paraId="36B35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jc w:val="center"/>
        </w:trPr>
        <w:tc>
          <w:tcPr>
            <w:tcW w:w="567" w:type="dxa"/>
            <w:vAlign w:val="center"/>
          </w:tcPr>
          <w:p w14:paraId="23AC771F">
            <w:pPr>
              <w:numPr>
                <w:ilvl w:val="0"/>
                <w:numId w:val="3"/>
              </w:numPr>
              <w:spacing w:line="360" w:lineRule="auto"/>
              <w:jc w:val="center"/>
              <w:rPr>
                <w:rFonts w:ascii="宋体" w:hAnsi="宋体" w:cs="宋体"/>
                <w:color w:val="auto"/>
                <w:szCs w:val="21"/>
                <w:highlight w:val="none"/>
              </w:rPr>
            </w:pPr>
          </w:p>
        </w:tc>
        <w:tc>
          <w:tcPr>
            <w:tcW w:w="2327" w:type="dxa"/>
            <w:tcBorders>
              <w:right w:val="single" w:color="auto" w:sz="4" w:space="0"/>
            </w:tcBorders>
            <w:vAlign w:val="center"/>
          </w:tcPr>
          <w:p w14:paraId="2A629CCE">
            <w:pPr>
              <w:widowControl/>
              <w:jc w:val="center"/>
              <w:rPr>
                <w:rFonts w:ascii="宋体" w:hAnsi="宋体" w:cs="宋体"/>
                <w:color w:val="auto"/>
                <w:szCs w:val="21"/>
                <w:highlight w:val="none"/>
                <w:lang w:bidi="ar"/>
              </w:rPr>
            </w:pPr>
            <w:bookmarkStart w:id="61" w:name="OLE_LINK1"/>
            <w:r>
              <w:rPr>
                <w:rFonts w:hint="eastAsia" w:ascii="宋体" w:hAnsi="宋体" w:cs="宋体"/>
                <w:color w:val="auto"/>
                <w:szCs w:val="21"/>
                <w:highlight w:val="none"/>
                <w:lang w:bidi="ar"/>
              </w:rPr>
              <w:t>织机</w:t>
            </w:r>
            <w:bookmarkEnd w:id="61"/>
          </w:p>
        </w:tc>
        <w:tc>
          <w:tcPr>
            <w:tcW w:w="937" w:type="dxa"/>
            <w:tcBorders>
              <w:right w:val="single" w:color="auto" w:sz="4" w:space="0"/>
            </w:tcBorders>
            <w:vAlign w:val="center"/>
          </w:tcPr>
          <w:p w14:paraId="24265BB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8套</w:t>
            </w:r>
          </w:p>
        </w:tc>
        <w:tc>
          <w:tcPr>
            <w:tcW w:w="5944" w:type="dxa"/>
            <w:tcBorders>
              <w:left w:val="single" w:color="auto" w:sz="4" w:space="0"/>
            </w:tcBorders>
            <w:shd w:val="clear" w:color="auto" w:fill="auto"/>
            <w:vAlign w:val="center"/>
          </w:tcPr>
          <w:p w14:paraId="6E982209">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1.预设适合多臂机开口，适合使用单经轴织造，经轴最大盘片直径 800 毫米，织机带经轴和盘片。 </w:t>
            </w:r>
          </w:p>
          <w:p w14:paraId="5D5EAED3">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2.门幅 3800 毫米。 </w:t>
            </w:r>
          </w:p>
          <w:p w14:paraId="1465C2BA">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3.配备多臂机，棕框连接、带 12 片拉刀及 12 个连杆。</w:t>
            </w:r>
          </w:p>
          <w:p w14:paraId="1EEC0688">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4.搭载传剑系统（包括：整套筘座组件，剑带轮以及一对剑头和剑带）。 </w:t>
            </w:r>
          </w:p>
          <w:p w14:paraId="5FC34248">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5.适配综框及综丝高度 331mm。</w:t>
            </w:r>
          </w:p>
          <w:p w14:paraId="60D2AACE">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6.配备电子控制停经架，10列齿型条，间距 16mm。</w:t>
            </w:r>
          </w:p>
          <w:p w14:paraId="0CEF9B33">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7.配置用于停经架的梭口清晰杆。</w:t>
            </w:r>
          </w:p>
          <w:p w14:paraId="5F219864">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8.电子8色选纬器，带微处理器。</w:t>
            </w:r>
          </w:p>
          <w:p w14:paraId="26E01C41">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9.配备积极式机械纬纱剪刀。</w:t>
            </w:r>
          </w:p>
          <w:p w14:paraId="7EA8C0FA">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10.配置单根（固定）铝制托布条，表面不锈钢边防护。</w:t>
            </w:r>
          </w:p>
          <w:p w14:paraId="2B002F15">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11.配备8色纬纱探纬器，张力通过织机操作屏调节，适于引单纬或多纬，带防双纬功能。 </w:t>
            </w:r>
          </w:p>
          <w:p w14:paraId="411B00A3">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12.适合配置标准边撑（带边撑支架）。 </w:t>
            </w:r>
          </w:p>
          <w:p w14:paraId="43F4360C">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13.配置一幅边撑（参照或优于Hunziker品牌），三圈刺环＋橡胶。 </w:t>
            </w:r>
          </w:p>
          <w:p w14:paraId="0ACA331E">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14.两侧配备机械绞边，适合1组两根纱绞边。</w:t>
            </w:r>
          </w:p>
          <w:p w14:paraId="0A17C7B0">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15.配置两侧废边绞边纱架，带2个筒芯和1个废边纱小轴。</w:t>
            </w:r>
          </w:p>
          <w:p w14:paraId="4D5470D8">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16.配置两侧机械剪刀，安装在边撑支架上。</w:t>
            </w:r>
          </w:p>
          <w:p w14:paraId="3B79FA5E">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17.配置两套中央机械剪刀。</w:t>
            </w:r>
          </w:p>
          <w:p w14:paraId="5186B134">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18.配置中央纱架，适合 2+2 筒芯。</w:t>
            </w:r>
          </w:p>
          <w:p w14:paraId="3748F58D">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19.卷取辊表面包糙面白橡胶，压布辊表面包黑色厚橡胶。</w:t>
            </w:r>
          </w:p>
          <w:p w14:paraId="0500FE04">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20.</w:t>
            </w:r>
            <w:r>
              <w:rPr>
                <w:rFonts w:hint="eastAsia" w:ascii="宋体" w:hAnsi="宋体" w:cs="宋体"/>
                <w:color w:val="auto"/>
                <w:szCs w:val="21"/>
                <w:highlight w:val="none"/>
              </w:rPr>
              <w:t>配置双压</w:t>
            </w:r>
            <w:r>
              <w:rPr>
                <w:color w:val="auto"/>
                <w:highlight w:val="none"/>
              </w:rPr>
              <w:t>布辊</w:t>
            </w:r>
            <w:r>
              <w:rPr>
                <w:rFonts w:hint="eastAsia" w:ascii="宋体" w:hAnsi="宋体" w:cs="宋体"/>
                <w:color w:val="auto"/>
                <w:szCs w:val="21"/>
                <w:highlight w:val="none"/>
              </w:rPr>
              <w:t xml:space="preserve">。 </w:t>
            </w:r>
          </w:p>
          <w:p w14:paraId="121D8020">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21.配置两侧带反向螺纹的单幅制造用钢制扩布辊，直径25毫米</w:t>
            </w:r>
          </w:p>
          <w:p w14:paraId="10C90699">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22.配置下扩</w:t>
            </w:r>
            <w:r>
              <w:rPr>
                <w:color w:val="auto"/>
                <w:highlight w:val="none"/>
              </w:rPr>
              <w:t>布辊</w:t>
            </w:r>
          </w:p>
          <w:p w14:paraId="0B0ECD30">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23.配备织机使用机内卷取(包括</w:t>
            </w:r>
            <w:r>
              <w:rPr>
                <w:rFonts w:hint="eastAsia" w:ascii="宋体" w:hAnsi="宋体" w:cs="宋体"/>
                <w:color w:val="auto"/>
                <w:szCs w:val="21"/>
                <w:highlight w:val="none"/>
              </w:rPr>
              <w:t>防皱杆</w:t>
            </w:r>
            <w:r>
              <w:rPr>
                <w:rFonts w:hint="eastAsia" w:ascii="宋体" w:hAnsi="宋体" w:cs="宋体"/>
                <w:color w:val="auto"/>
                <w:szCs w:val="21"/>
                <w:highlight w:val="none"/>
              </w:rPr>
              <w:t>，卷布棍支撑，传送链，离合器驱动)。</w:t>
            </w:r>
          </w:p>
          <w:p w14:paraId="2A2429D3">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24.配备意达SK</w:t>
            </w:r>
            <w:r>
              <w:rPr>
                <w:color w:val="auto"/>
                <w:highlight w:val="none"/>
              </w:rPr>
              <w:t>或同等品牌型号</w:t>
            </w:r>
            <w:r>
              <w:rPr>
                <w:rFonts w:hint="eastAsia"/>
                <w:color w:val="auto"/>
                <w:highlight w:val="none"/>
              </w:rPr>
              <w:t>的</w:t>
            </w:r>
            <w:r>
              <w:rPr>
                <w:rFonts w:hint="eastAsia" w:ascii="宋体" w:hAnsi="宋体" w:cs="宋体"/>
                <w:color w:val="auto"/>
                <w:szCs w:val="21"/>
                <w:highlight w:val="none"/>
              </w:rPr>
              <w:t xml:space="preserve">左剑头。 </w:t>
            </w:r>
          </w:p>
          <w:p w14:paraId="48655ACB">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25.配备意达SK</w:t>
            </w:r>
            <w:r>
              <w:rPr>
                <w:color w:val="auto"/>
                <w:highlight w:val="none"/>
              </w:rPr>
              <w:t>或同等品牌型号</w:t>
            </w:r>
            <w:r>
              <w:rPr>
                <w:rFonts w:hint="eastAsia"/>
                <w:color w:val="auto"/>
                <w:highlight w:val="none"/>
              </w:rPr>
              <w:t>的</w:t>
            </w:r>
            <w:r>
              <w:rPr>
                <w:rFonts w:hint="eastAsia" w:ascii="宋体" w:hAnsi="宋体" w:cs="宋体"/>
                <w:color w:val="auto"/>
                <w:szCs w:val="21"/>
                <w:highlight w:val="none"/>
              </w:rPr>
              <w:t>右剑头以及一副</w:t>
            </w:r>
            <w:r>
              <w:rPr>
                <w:rFonts w:hint="eastAsia" w:ascii="宋体" w:hAnsi="宋体" w:cs="宋体"/>
                <w:color w:val="auto"/>
                <w:szCs w:val="21"/>
                <w:highlight w:val="none"/>
              </w:rPr>
              <w:t>适配</w:t>
            </w:r>
            <w:r>
              <w:rPr>
                <w:rFonts w:hint="eastAsia" w:ascii="宋体" w:hAnsi="宋体" w:cs="宋体"/>
                <w:color w:val="auto"/>
                <w:szCs w:val="21"/>
                <w:highlight w:val="none"/>
              </w:rPr>
              <w:t xml:space="preserve">剑带。 </w:t>
            </w:r>
          </w:p>
          <w:p w14:paraId="73590119">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26.织机通过胶水和毛毡固定。</w:t>
            </w:r>
          </w:p>
          <w:p w14:paraId="388C16BE">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27.配备加强型吸风装置。</w:t>
            </w:r>
          </w:p>
          <w:p w14:paraId="715137D5">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28.配置左侧吹风装置。 </w:t>
            </w:r>
          </w:p>
          <w:p w14:paraId="53D7EB27">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29.频率：50Hz。</w:t>
            </w:r>
          </w:p>
          <w:p w14:paraId="1D650BEA">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30.电压：380V（±10%）。</w:t>
            </w:r>
          </w:p>
          <w:p w14:paraId="4886D431">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31.织机操作屏在织机左侧。</w:t>
            </w:r>
          </w:p>
          <w:p w14:paraId="778740E0">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32.多臂机含合成油（8 升）ENI BLASIA SX 150。</w:t>
            </w:r>
          </w:p>
          <w:p w14:paraId="1AD0D2DB">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33.不配备串行接口，双向数据传送。</w:t>
            </w:r>
          </w:p>
          <w:p w14:paraId="5835CA3D">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34.配备ROJ</w:t>
            </w:r>
            <w:r>
              <w:rPr>
                <w:color w:val="auto"/>
                <w:highlight w:val="none"/>
              </w:rPr>
              <w:t>或同等品牌型号</w:t>
            </w:r>
            <w:r>
              <w:rPr>
                <w:rFonts w:hint="eastAsia" w:ascii="宋体" w:hAnsi="宋体" w:cs="宋体"/>
                <w:color w:val="auto"/>
                <w:szCs w:val="21"/>
                <w:highlight w:val="none"/>
              </w:rPr>
              <w:t>储纬器电控箱，</w:t>
            </w:r>
            <w:r>
              <w:rPr>
                <w:rFonts w:hint="eastAsia" w:ascii="宋体" w:hAnsi="宋体" w:cs="宋体"/>
                <w:color w:val="auto"/>
                <w:szCs w:val="21"/>
                <w:highlight w:val="none"/>
              </w:rPr>
              <w:t>适合配置8个型号的储纬器</w:t>
            </w:r>
            <w:r>
              <w:rPr>
                <w:rFonts w:hint="eastAsia" w:ascii="宋体" w:hAnsi="宋体" w:cs="宋体"/>
                <w:color w:val="auto"/>
                <w:szCs w:val="21"/>
                <w:highlight w:val="none"/>
              </w:rPr>
              <w:t xml:space="preserve">，适合电压380V 400V，适合AC(交流电源)供电输入。 </w:t>
            </w:r>
          </w:p>
          <w:p w14:paraId="229C6638">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35.配备ROJ# 290VCHRONO X4</w:t>
            </w:r>
            <w:r>
              <w:rPr>
                <w:color w:val="auto"/>
                <w:highlight w:val="none"/>
              </w:rPr>
              <w:t>或同等品牌型号</w:t>
            </w:r>
            <w:r>
              <w:rPr>
                <w:rFonts w:hint="eastAsia" w:ascii="宋体" w:hAnsi="宋体" w:cs="宋体"/>
                <w:color w:val="auto"/>
                <w:szCs w:val="21"/>
                <w:highlight w:val="none"/>
              </w:rPr>
              <w:t>光电式储纬器套件，含导纱鼻总成，毂径135mm，包含 鳄鱼嘴输入张力器，lamella A+B+BV输出张力器，摆杆张力器，适合配套使用交流 电输入电箱。</w:t>
            </w:r>
          </w:p>
          <w:p w14:paraId="650A46F0">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36.标准水平式储纬器纱架，适合使用8个纬纱筒子，带8个储纬器支撑，带脚轮。</w:t>
            </w:r>
          </w:p>
          <w:p w14:paraId="565041CC">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37.配备SCHRODER</w:t>
            </w:r>
            <w:r>
              <w:rPr>
                <w:color w:val="auto"/>
                <w:highlight w:val="none"/>
              </w:rPr>
              <w:t>或同等品牌型号</w:t>
            </w:r>
            <w:r>
              <w:rPr>
                <w:rFonts w:hint="eastAsia" w:ascii="宋体" w:hAnsi="宋体" w:cs="宋体"/>
                <w:color w:val="auto"/>
                <w:szCs w:val="21"/>
                <w:highlight w:val="none"/>
              </w:rPr>
              <w:t>综框，适合综丝高度331mm，J (-TRA)型，综框外框高度155毫米， 厚度9 mm， 带自动穿综孔，适合门幅H3800。</w:t>
            </w:r>
          </w:p>
          <w:p w14:paraId="5FF91C6E">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38.配置一幅适合单经轴使用的经轴连接器。 </w:t>
            </w:r>
          </w:p>
          <w:p w14:paraId="72C48252">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39.配备史陶比尔3008/3018</w:t>
            </w:r>
            <w:r>
              <w:rPr>
                <w:color w:val="auto"/>
                <w:highlight w:val="none"/>
              </w:rPr>
              <w:t>或同等品牌型号</w:t>
            </w:r>
            <w:r>
              <w:rPr>
                <w:rFonts w:hint="eastAsia" w:ascii="宋体" w:hAnsi="宋体" w:cs="宋体"/>
                <w:color w:val="auto"/>
                <w:szCs w:val="21"/>
                <w:highlight w:val="none"/>
              </w:rPr>
              <w:t>多臂机专用工具套装。</w:t>
            </w:r>
          </w:p>
          <w:p w14:paraId="77C8863C">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40.配备剑头扭力扳手。</w:t>
            </w:r>
          </w:p>
          <w:p w14:paraId="62D2B523">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41.配备带扭力扳手的工具套装。</w:t>
            </w:r>
          </w:p>
          <w:p w14:paraId="487BFDF8">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42.配备带螺丝刀、扳手和套筒等标准工具的工具箱。</w:t>
            </w:r>
          </w:p>
          <w:p w14:paraId="57CAEF67">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43.锁紧综框上方头螺丝用扭力扳手及相应套筒。</w:t>
            </w:r>
          </w:p>
          <w:p w14:paraId="1F4F3A3B">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44.配备钢筘扭力扳手。</w:t>
            </w:r>
          </w:p>
          <w:p w14:paraId="3D79ADEB">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45.配备综框扳手。</w:t>
            </w:r>
          </w:p>
          <w:p w14:paraId="0011EAF7">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46.配备电路图。</w:t>
            </w:r>
          </w:p>
          <w:p w14:paraId="4A6FA9FF">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47.配备使用和维修手册。 </w:t>
            </w:r>
          </w:p>
          <w:p w14:paraId="38D9722E">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48.配备含手册的 USB 存储设备。 </w:t>
            </w:r>
          </w:p>
          <w:p w14:paraId="08FE2E53">
            <w:pPr>
              <w:widowControl/>
              <w:spacing w:line="360" w:lineRule="auto"/>
              <w:rPr>
                <w:rFonts w:ascii="宋体" w:hAnsi="宋体" w:cs="宋体"/>
                <w:color w:val="auto"/>
                <w:szCs w:val="21"/>
                <w:highlight w:val="none"/>
              </w:rPr>
            </w:pPr>
            <w:r>
              <w:rPr>
                <w:rFonts w:hint="eastAsia" w:ascii="宋体" w:hAnsi="宋体" w:cs="宋体"/>
                <w:color w:val="auto"/>
                <w:szCs w:val="21"/>
                <w:highlight w:val="none"/>
              </w:rPr>
              <w:t>49.每台织机备件一套。</w:t>
            </w:r>
          </w:p>
        </w:tc>
      </w:tr>
      <w:tr w14:paraId="48A4E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75" w:type="dxa"/>
            <w:gridSpan w:val="4"/>
            <w:tcBorders>
              <w:top w:val="single" w:color="auto" w:sz="4" w:space="0"/>
              <w:left w:val="single" w:color="auto" w:sz="4" w:space="0"/>
              <w:bottom w:val="single" w:color="auto" w:sz="4" w:space="0"/>
              <w:right w:val="single" w:color="auto" w:sz="4" w:space="0"/>
            </w:tcBorders>
          </w:tcPr>
          <w:p w14:paraId="18FD4DF8">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▲一、商务要求</w:t>
            </w:r>
          </w:p>
        </w:tc>
      </w:tr>
      <w:tr w14:paraId="08151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94" w:type="dxa"/>
            <w:gridSpan w:val="2"/>
            <w:tcBorders>
              <w:top w:val="single" w:color="auto" w:sz="4" w:space="0"/>
              <w:left w:val="single" w:color="auto" w:sz="4" w:space="0"/>
              <w:bottom w:val="single" w:color="auto" w:sz="4" w:space="0"/>
              <w:right w:val="single" w:color="auto" w:sz="4" w:space="0"/>
            </w:tcBorders>
            <w:vAlign w:val="center"/>
          </w:tcPr>
          <w:p w14:paraId="7A072B55">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交付的时间和地点</w:t>
            </w:r>
          </w:p>
        </w:tc>
        <w:tc>
          <w:tcPr>
            <w:tcW w:w="6881" w:type="dxa"/>
            <w:gridSpan w:val="2"/>
            <w:tcBorders>
              <w:top w:val="single" w:color="auto" w:sz="4" w:space="0"/>
              <w:left w:val="single" w:color="auto" w:sz="4" w:space="0"/>
              <w:bottom w:val="single" w:color="auto" w:sz="4" w:space="0"/>
              <w:right w:val="single" w:color="auto" w:sz="4" w:space="0"/>
            </w:tcBorders>
            <w:vAlign w:val="center"/>
          </w:tcPr>
          <w:p w14:paraId="001659EA">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1. 交付的时间：自签订合同之日起30天内完成安装、调试、培训工作。</w:t>
            </w:r>
          </w:p>
          <w:p w14:paraId="74840733">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lang w:bidi="ar"/>
              </w:rPr>
              <w:t>2. 地点：广西梧州蒙山县生态移民发展中心。</w:t>
            </w:r>
          </w:p>
        </w:tc>
      </w:tr>
      <w:tr w14:paraId="653CD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94" w:type="dxa"/>
            <w:gridSpan w:val="2"/>
            <w:tcBorders>
              <w:top w:val="single" w:color="auto" w:sz="4" w:space="0"/>
              <w:left w:val="single" w:color="auto" w:sz="4" w:space="0"/>
              <w:bottom w:val="single" w:color="auto" w:sz="4" w:space="0"/>
              <w:right w:val="single" w:color="auto" w:sz="4" w:space="0"/>
            </w:tcBorders>
            <w:vAlign w:val="center"/>
          </w:tcPr>
          <w:p w14:paraId="2CC43BB3">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合同签订时间</w:t>
            </w:r>
          </w:p>
        </w:tc>
        <w:tc>
          <w:tcPr>
            <w:tcW w:w="6881" w:type="dxa"/>
            <w:gridSpan w:val="2"/>
            <w:tcBorders>
              <w:top w:val="single" w:color="auto" w:sz="4" w:space="0"/>
              <w:left w:val="single" w:color="auto" w:sz="4" w:space="0"/>
              <w:bottom w:val="single" w:color="auto" w:sz="4" w:space="0"/>
              <w:right w:val="single" w:color="auto" w:sz="4" w:space="0"/>
            </w:tcBorders>
            <w:vAlign w:val="center"/>
          </w:tcPr>
          <w:p w14:paraId="7F3311BF">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rPr>
              <w:t>发出中标通知书之日起7日内。</w:t>
            </w:r>
          </w:p>
        </w:tc>
      </w:tr>
      <w:tr w14:paraId="33793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94" w:type="dxa"/>
            <w:gridSpan w:val="2"/>
            <w:tcBorders>
              <w:top w:val="single" w:color="auto" w:sz="4" w:space="0"/>
              <w:left w:val="single" w:color="auto" w:sz="4" w:space="0"/>
              <w:bottom w:val="single" w:color="auto" w:sz="4" w:space="0"/>
              <w:right w:val="single" w:color="auto" w:sz="4" w:space="0"/>
            </w:tcBorders>
            <w:vAlign w:val="center"/>
          </w:tcPr>
          <w:p w14:paraId="6A087D03">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付款条件</w:t>
            </w:r>
          </w:p>
        </w:tc>
        <w:tc>
          <w:tcPr>
            <w:tcW w:w="6881" w:type="dxa"/>
            <w:gridSpan w:val="2"/>
            <w:tcBorders>
              <w:top w:val="single" w:color="auto" w:sz="4" w:space="0"/>
              <w:left w:val="single" w:color="auto" w:sz="4" w:space="0"/>
              <w:bottom w:val="single" w:color="auto" w:sz="4" w:space="0"/>
              <w:right w:val="single" w:color="auto" w:sz="4" w:space="0"/>
            </w:tcBorders>
            <w:vAlign w:val="center"/>
          </w:tcPr>
          <w:p w14:paraId="62B0CB6E">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rPr>
              <w:t>合同签订后 5 天内采购人向中标供应商支付合同金额的 30%预付款。设备交货后采购人向中标供应商支付40%合同金额，验收合格后采购人向中标供应商支付合同金额的 30%尾款。</w:t>
            </w:r>
          </w:p>
        </w:tc>
      </w:tr>
      <w:tr w14:paraId="0BCF9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94" w:type="dxa"/>
            <w:gridSpan w:val="2"/>
            <w:tcBorders>
              <w:top w:val="single" w:color="auto" w:sz="4" w:space="0"/>
              <w:left w:val="single" w:color="auto" w:sz="4" w:space="0"/>
              <w:bottom w:val="single" w:color="auto" w:sz="4" w:space="0"/>
              <w:right w:val="single" w:color="auto" w:sz="4" w:space="0"/>
            </w:tcBorders>
            <w:vAlign w:val="center"/>
          </w:tcPr>
          <w:p w14:paraId="4C66D15C">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产品要求</w:t>
            </w:r>
          </w:p>
        </w:tc>
        <w:tc>
          <w:tcPr>
            <w:tcW w:w="6881" w:type="dxa"/>
            <w:gridSpan w:val="2"/>
            <w:tcBorders>
              <w:top w:val="single" w:color="auto" w:sz="4" w:space="0"/>
              <w:left w:val="single" w:color="auto" w:sz="4" w:space="0"/>
              <w:bottom w:val="single" w:color="auto" w:sz="4" w:space="0"/>
              <w:right w:val="single" w:color="auto" w:sz="4" w:space="0"/>
            </w:tcBorders>
            <w:vAlign w:val="center"/>
          </w:tcPr>
          <w:p w14:paraId="1F7AA372">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rPr>
              <w:t>1.以上产品必须是具备合法资质的制造商生产的全新未使用的原装正品，并满足采购文件的要求，若产品在运输或安装过程中损坏或擦伤须调换相同产品。</w:t>
            </w:r>
          </w:p>
          <w:p w14:paraId="3EDD0AE8">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rPr>
              <w:t>2.供应商所投产品、辅材及生产工艺符合国家相关规范。</w:t>
            </w:r>
          </w:p>
          <w:p w14:paraId="40F82C7D">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rPr>
              <w:t>3.供应商应保证所提供的货物或其任何一部分均不会侵犯任何第三方的专利权、商标权等，如在使用过程中出现的一切经济和法律责任均由供应商负责。</w:t>
            </w:r>
          </w:p>
        </w:tc>
      </w:tr>
      <w:tr w14:paraId="3F90B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94" w:type="dxa"/>
            <w:gridSpan w:val="2"/>
            <w:tcBorders>
              <w:top w:val="single" w:color="auto" w:sz="4" w:space="0"/>
              <w:left w:val="single" w:color="auto" w:sz="4" w:space="0"/>
              <w:bottom w:val="single" w:color="auto" w:sz="4" w:space="0"/>
              <w:right w:val="single" w:color="auto" w:sz="4" w:space="0"/>
            </w:tcBorders>
            <w:vAlign w:val="center"/>
          </w:tcPr>
          <w:p w14:paraId="362668DC">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质保期</w:t>
            </w:r>
          </w:p>
        </w:tc>
        <w:tc>
          <w:tcPr>
            <w:tcW w:w="6881" w:type="dxa"/>
            <w:gridSpan w:val="2"/>
            <w:tcBorders>
              <w:top w:val="single" w:color="auto" w:sz="4" w:space="0"/>
              <w:left w:val="single" w:color="auto" w:sz="4" w:space="0"/>
              <w:bottom w:val="single" w:color="auto" w:sz="4" w:space="0"/>
              <w:right w:val="single" w:color="auto" w:sz="4" w:space="0"/>
            </w:tcBorders>
            <w:vAlign w:val="center"/>
          </w:tcPr>
          <w:p w14:paraId="7A919F14">
            <w:pPr>
              <w:widowControl/>
              <w:spacing w:line="360" w:lineRule="auto"/>
              <w:jc w:val="left"/>
              <w:rPr>
                <w:rFonts w:ascii="宋体" w:hAnsi="宋体" w:cs="宋体"/>
                <w:b/>
                <w:bCs/>
                <w:color w:val="auto"/>
                <w:szCs w:val="21"/>
                <w:highlight w:val="none"/>
              </w:rPr>
            </w:pPr>
            <w:r>
              <w:rPr>
                <w:rFonts w:hint="eastAsia" w:ascii="宋体" w:hAnsi="宋体" w:cs="宋体"/>
                <w:color w:val="auto"/>
                <w:sz w:val="22"/>
                <w:szCs w:val="22"/>
                <w:highlight w:val="none"/>
                <w:lang w:bidi="ar"/>
              </w:rPr>
              <w:t>按国家有关产品三包规定执行“三包”，整机（含配件）质保期最低不低于 2 年(质保期为验收合格之日起开始计算)</w:t>
            </w:r>
            <w:r>
              <w:rPr>
                <w:rFonts w:hint="eastAsia" w:ascii="宋体" w:hAnsi="宋体" w:cs="宋体"/>
                <w:color w:val="auto"/>
                <w:szCs w:val="21"/>
                <w:highlight w:val="none"/>
                <w:lang w:bidi="ar"/>
              </w:rPr>
              <w:t>。</w:t>
            </w:r>
          </w:p>
        </w:tc>
      </w:tr>
      <w:tr w14:paraId="60AA9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94" w:type="dxa"/>
            <w:gridSpan w:val="2"/>
            <w:tcBorders>
              <w:top w:val="single" w:color="auto" w:sz="4" w:space="0"/>
              <w:left w:val="single" w:color="auto" w:sz="4" w:space="0"/>
              <w:bottom w:val="single" w:color="auto" w:sz="4" w:space="0"/>
              <w:right w:val="single" w:color="auto" w:sz="4" w:space="0"/>
            </w:tcBorders>
            <w:vAlign w:val="center"/>
          </w:tcPr>
          <w:p w14:paraId="2DAF9C4B">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售后服务要求</w:t>
            </w:r>
          </w:p>
        </w:tc>
        <w:tc>
          <w:tcPr>
            <w:tcW w:w="6881" w:type="dxa"/>
            <w:gridSpan w:val="2"/>
            <w:tcBorders>
              <w:top w:val="single" w:color="auto" w:sz="4" w:space="0"/>
              <w:left w:val="single" w:color="auto" w:sz="4" w:space="0"/>
              <w:bottom w:val="single" w:color="auto" w:sz="4" w:space="0"/>
              <w:right w:val="single" w:color="auto" w:sz="4" w:space="0"/>
            </w:tcBorders>
            <w:vAlign w:val="center"/>
          </w:tcPr>
          <w:p w14:paraId="450BB2AD">
            <w:pPr>
              <w:spacing w:line="360" w:lineRule="auto"/>
              <w:rPr>
                <w:rFonts w:ascii="宋体" w:hAnsi="宋体" w:cs="宋体"/>
                <w:bCs/>
                <w:color w:val="auto"/>
                <w:szCs w:val="21"/>
                <w:highlight w:val="none"/>
              </w:rPr>
            </w:pPr>
            <w:r>
              <w:rPr>
                <w:rFonts w:hint="eastAsia" w:ascii="宋体" w:hAnsi="宋体" w:cs="宋体"/>
                <w:bCs/>
                <w:color w:val="auto"/>
                <w:szCs w:val="21"/>
                <w:highlight w:val="none"/>
              </w:rPr>
              <w:t>1.质保期内，非损耗件损坏或机台故障，由中标供应商安排人员更换零配件及对机台维修。</w:t>
            </w:r>
          </w:p>
          <w:p w14:paraId="6CD270FC">
            <w:pPr>
              <w:spacing w:line="360" w:lineRule="auto"/>
              <w:rPr>
                <w:rFonts w:ascii="宋体" w:hAnsi="宋体" w:cs="宋体"/>
                <w:bCs/>
                <w:color w:val="auto"/>
                <w:szCs w:val="21"/>
                <w:highlight w:val="none"/>
              </w:rPr>
            </w:pPr>
            <w:r>
              <w:rPr>
                <w:rFonts w:hint="eastAsia" w:ascii="宋体" w:hAnsi="宋体" w:cs="宋体"/>
                <w:bCs/>
                <w:color w:val="auto"/>
                <w:szCs w:val="21"/>
                <w:highlight w:val="none"/>
              </w:rPr>
              <w:t>2.中标供应商须指派专人负责与采购人联系售后服务事宜。有固定的售后服务机构和技术人员，制定本项目服务标准、流程和保障措施。</w:t>
            </w:r>
          </w:p>
          <w:p w14:paraId="60456117">
            <w:pPr>
              <w:spacing w:line="360" w:lineRule="auto"/>
              <w:rPr>
                <w:rFonts w:ascii="宋体" w:hAnsi="宋体" w:cs="宋体"/>
                <w:color w:val="auto"/>
                <w:szCs w:val="21"/>
                <w:highlight w:val="none"/>
              </w:rPr>
            </w:pPr>
            <w:r>
              <w:rPr>
                <w:rFonts w:hint="eastAsia" w:ascii="宋体" w:hAnsi="宋体" w:cs="宋体"/>
                <w:bCs/>
                <w:color w:val="auto"/>
                <w:szCs w:val="21"/>
                <w:highlight w:val="none"/>
              </w:rPr>
              <w:t>3.其余按厂家承诺。</w:t>
            </w:r>
          </w:p>
        </w:tc>
      </w:tr>
      <w:tr w14:paraId="16C13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94" w:type="dxa"/>
            <w:gridSpan w:val="2"/>
            <w:tcBorders>
              <w:top w:val="single" w:color="auto" w:sz="4" w:space="0"/>
              <w:left w:val="single" w:color="auto" w:sz="4" w:space="0"/>
              <w:bottom w:val="single" w:color="auto" w:sz="4" w:space="0"/>
              <w:right w:val="single" w:color="auto" w:sz="4" w:space="0"/>
            </w:tcBorders>
            <w:vAlign w:val="center"/>
          </w:tcPr>
          <w:p w14:paraId="0C99EF98">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投标报价要求</w:t>
            </w:r>
          </w:p>
        </w:tc>
        <w:tc>
          <w:tcPr>
            <w:tcW w:w="6881" w:type="dxa"/>
            <w:gridSpan w:val="2"/>
            <w:tcBorders>
              <w:top w:val="single" w:color="auto" w:sz="4" w:space="0"/>
              <w:left w:val="single" w:color="auto" w:sz="4" w:space="0"/>
              <w:bottom w:val="single" w:color="auto" w:sz="4" w:space="0"/>
              <w:right w:val="single" w:color="auto" w:sz="4" w:space="0"/>
            </w:tcBorders>
            <w:vAlign w:val="center"/>
          </w:tcPr>
          <w:p w14:paraId="08894F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本次报价须为人民币报价，包括但不限于投标货物及其配件（附件）价款、包装费、运费、装卸费、保险费、搬运费、安装费、调试费、检验及检定验收费、计量检测费、售后服务费、培训费（如有）、税金等招标文件和投标文件规定及合同包含的所有风险、责任等应有的全部费用。</w:t>
            </w:r>
          </w:p>
        </w:tc>
      </w:tr>
      <w:tr w14:paraId="1CAD4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94" w:type="dxa"/>
            <w:gridSpan w:val="2"/>
            <w:tcBorders>
              <w:top w:val="single" w:color="auto" w:sz="4" w:space="0"/>
              <w:left w:val="single" w:color="auto" w:sz="4" w:space="0"/>
              <w:bottom w:val="single" w:color="auto" w:sz="4" w:space="0"/>
              <w:right w:val="single" w:color="auto" w:sz="4" w:space="0"/>
            </w:tcBorders>
            <w:vAlign w:val="center"/>
          </w:tcPr>
          <w:p w14:paraId="0CF3B8CB">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验收标准</w:t>
            </w:r>
          </w:p>
        </w:tc>
        <w:tc>
          <w:tcPr>
            <w:tcW w:w="6881" w:type="dxa"/>
            <w:gridSpan w:val="2"/>
            <w:tcBorders>
              <w:top w:val="single" w:color="auto" w:sz="4" w:space="0"/>
              <w:left w:val="single" w:color="auto" w:sz="4" w:space="0"/>
              <w:bottom w:val="single" w:color="auto" w:sz="4" w:space="0"/>
              <w:right w:val="single" w:color="auto" w:sz="4" w:space="0"/>
            </w:tcBorders>
            <w:vAlign w:val="center"/>
          </w:tcPr>
          <w:p w14:paraId="7D04F558">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验收标准</w:t>
            </w:r>
          </w:p>
          <w:p w14:paraId="42453A9D">
            <w:pPr>
              <w:spacing w:line="360" w:lineRule="auto"/>
              <w:rPr>
                <w:rFonts w:ascii="宋体" w:hAnsi="宋体" w:cs="宋体"/>
                <w:color w:val="auto"/>
                <w:szCs w:val="21"/>
                <w:highlight w:val="none"/>
              </w:rPr>
            </w:pPr>
            <w:r>
              <w:rPr>
                <w:rFonts w:hint="eastAsia" w:ascii="宋体" w:hAnsi="宋体" w:cs="宋体"/>
                <w:color w:val="auto"/>
                <w:szCs w:val="21"/>
                <w:highlight w:val="none"/>
              </w:rPr>
              <w:t>1.验收标准：符合现行国家相关标准、行业标准、地方标准或者其他标准、规范。标准适用按照“就高不就低”原则执行，有强制性标准的必须优先适用强制性标准。</w:t>
            </w:r>
          </w:p>
          <w:p w14:paraId="74E6666F">
            <w:pPr>
              <w:spacing w:line="360" w:lineRule="auto"/>
              <w:rPr>
                <w:rFonts w:ascii="宋体" w:hAnsi="宋体" w:cs="宋体"/>
                <w:color w:val="auto"/>
                <w:szCs w:val="21"/>
                <w:highlight w:val="none"/>
              </w:rPr>
            </w:pPr>
            <w:r>
              <w:rPr>
                <w:rFonts w:hint="eastAsia" w:ascii="宋体" w:hAnsi="宋体" w:cs="宋体"/>
                <w:color w:val="auto"/>
                <w:szCs w:val="21"/>
                <w:highlight w:val="none"/>
              </w:rPr>
              <w:t>2.中标供应商在项目交付验收时，由验收小组对照招标文件的项目要求及技术需求，全面核对检验。如不符合招标文件的技术需求及要求以及提供虚假承诺的，按相关规定做违约处理，中标供应商承担所有责任和费用，采购人保留进一步追究责任的权利。</w:t>
            </w:r>
          </w:p>
          <w:p w14:paraId="45F4A284">
            <w:pPr>
              <w:spacing w:line="360" w:lineRule="auto"/>
              <w:rPr>
                <w:rFonts w:ascii="宋体" w:hAnsi="宋体" w:cs="宋体"/>
                <w:color w:val="auto"/>
                <w:szCs w:val="21"/>
                <w:highlight w:val="none"/>
              </w:rPr>
            </w:pPr>
            <w:r>
              <w:rPr>
                <w:rFonts w:hint="eastAsia" w:ascii="宋体" w:hAnsi="宋体" w:cs="宋体"/>
                <w:color w:val="auto"/>
                <w:szCs w:val="21"/>
                <w:highlight w:val="none"/>
              </w:rPr>
              <w:t>3.验收时间: 采购人收到中标供应商验收申请之日起5个工作日内进行验收（如有特殊情况，按采购人指定的时间，另行验收）。</w:t>
            </w:r>
          </w:p>
          <w:p w14:paraId="550B74E6">
            <w:pPr>
              <w:spacing w:line="360" w:lineRule="auto"/>
              <w:rPr>
                <w:rFonts w:ascii="宋体" w:hAnsi="宋体" w:cs="宋体"/>
                <w:color w:val="auto"/>
                <w:szCs w:val="21"/>
                <w:highlight w:val="none"/>
              </w:rPr>
            </w:pPr>
            <w:r>
              <w:rPr>
                <w:rFonts w:hint="eastAsia" w:ascii="宋体" w:hAnsi="宋体" w:cs="宋体"/>
                <w:color w:val="auto"/>
                <w:szCs w:val="21"/>
                <w:highlight w:val="none"/>
              </w:rPr>
              <w:t>4.验收地点：广西蒙山县采购人指定交货地点。</w:t>
            </w:r>
          </w:p>
          <w:p w14:paraId="33907851">
            <w:pPr>
              <w:spacing w:line="360" w:lineRule="auto"/>
              <w:rPr>
                <w:rFonts w:ascii="宋体" w:hAnsi="宋体" w:cs="宋体"/>
                <w:color w:val="auto"/>
                <w:szCs w:val="21"/>
                <w:highlight w:val="none"/>
              </w:rPr>
            </w:pPr>
            <w:r>
              <w:rPr>
                <w:rFonts w:hint="eastAsia" w:ascii="宋体" w:hAnsi="宋体" w:cs="宋体"/>
                <w:color w:val="auto"/>
                <w:szCs w:val="21"/>
                <w:highlight w:val="none"/>
              </w:rPr>
              <w:t>5.验收方式：</w:t>
            </w:r>
          </w:p>
          <w:p w14:paraId="48649052">
            <w:pPr>
              <w:spacing w:line="360" w:lineRule="auto"/>
              <w:rPr>
                <w:rFonts w:ascii="宋体" w:hAnsi="宋体" w:cs="宋体"/>
                <w:color w:val="auto"/>
                <w:szCs w:val="21"/>
                <w:highlight w:val="none"/>
              </w:rPr>
            </w:pPr>
            <w:r>
              <w:rPr>
                <w:rFonts w:hint="eastAsia" w:ascii="宋体" w:hAnsi="宋体" w:cs="宋体"/>
                <w:color w:val="auto"/>
                <w:szCs w:val="21"/>
                <w:highlight w:val="none"/>
              </w:rPr>
              <w:t>（1）中标供应商完成货物安装调试和培训后，书面向采购人提交验收申请。</w:t>
            </w:r>
          </w:p>
          <w:p w14:paraId="55016BE9">
            <w:pPr>
              <w:spacing w:line="360" w:lineRule="auto"/>
              <w:rPr>
                <w:rFonts w:ascii="宋体" w:hAnsi="宋体" w:cs="宋体"/>
                <w:color w:val="auto"/>
                <w:szCs w:val="21"/>
                <w:highlight w:val="none"/>
              </w:rPr>
            </w:pPr>
            <w:r>
              <w:rPr>
                <w:rFonts w:hint="eastAsia" w:ascii="宋体" w:hAnsi="宋体" w:cs="宋体"/>
                <w:color w:val="auto"/>
                <w:szCs w:val="21"/>
                <w:highlight w:val="none"/>
              </w:rPr>
              <w:t>（2）本项目验收由验收小组按照采购合同约定对每一项技术和商务要求的履约情况进行确认，作为验收依据；</w:t>
            </w:r>
          </w:p>
          <w:p w14:paraId="3295A67B">
            <w:pPr>
              <w:spacing w:line="360" w:lineRule="auto"/>
              <w:rPr>
                <w:rFonts w:ascii="宋体" w:hAnsi="宋体" w:cs="宋体"/>
                <w:color w:val="auto"/>
                <w:szCs w:val="21"/>
                <w:highlight w:val="none"/>
              </w:rPr>
            </w:pPr>
            <w:r>
              <w:rPr>
                <w:rFonts w:hint="eastAsia" w:ascii="宋体" w:hAnsi="宋体" w:cs="宋体"/>
                <w:color w:val="auto"/>
                <w:szCs w:val="21"/>
                <w:highlight w:val="none"/>
              </w:rPr>
              <w:t>（3）验收结束后，验收小组出具采购验收书，验收书应当包括每一项技术和商务要求的履约情况，并列明项目总体评价，由验收小组、采购人和中标供应商共同签署。</w:t>
            </w:r>
          </w:p>
          <w:p w14:paraId="3220988C">
            <w:pPr>
              <w:spacing w:line="360" w:lineRule="auto"/>
              <w:rPr>
                <w:rFonts w:ascii="宋体" w:hAnsi="宋体" w:cs="宋体"/>
                <w:color w:val="auto"/>
                <w:szCs w:val="21"/>
                <w:highlight w:val="none"/>
              </w:rPr>
            </w:pPr>
            <w:r>
              <w:rPr>
                <w:rFonts w:hint="eastAsia" w:ascii="宋体" w:hAnsi="宋体" w:cs="宋体"/>
                <w:color w:val="auto"/>
                <w:szCs w:val="21"/>
                <w:highlight w:val="none"/>
              </w:rPr>
              <w:t>（4）验收过程中所产生的一切费用均由中标供应商承担。</w:t>
            </w:r>
          </w:p>
          <w:p w14:paraId="278900DD">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（5）验收书一式肆份，双方各执两份。 </w:t>
            </w:r>
          </w:p>
          <w:p w14:paraId="4DF2D522">
            <w:pPr>
              <w:spacing w:line="360" w:lineRule="auto"/>
              <w:rPr>
                <w:rFonts w:ascii="宋体" w:hAnsi="宋体" w:cs="宋体"/>
                <w:color w:val="auto"/>
                <w:szCs w:val="21"/>
                <w:highlight w:val="none"/>
              </w:rPr>
            </w:pPr>
            <w:r>
              <w:rPr>
                <w:rFonts w:hint="eastAsia" w:ascii="宋体" w:hAnsi="宋体" w:cs="宋体"/>
                <w:color w:val="auto"/>
                <w:szCs w:val="21"/>
                <w:highlight w:val="none"/>
              </w:rPr>
              <w:t>（6）验收结论不合格的，中标供应商应自收到验收书后5日内及时予以解决。经中标供应商对验收结论不合格的货物进行整改后，仍然达不到要求的，经双方协商，可按以下办法处理：</w:t>
            </w:r>
          </w:p>
          <w:p w14:paraId="77E751B0">
            <w:pPr>
              <w:spacing w:line="360" w:lineRule="auto"/>
              <w:rPr>
                <w:rFonts w:ascii="宋体" w:hAnsi="宋体" w:cs="宋体"/>
                <w:color w:val="auto"/>
                <w:szCs w:val="21"/>
                <w:highlight w:val="none"/>
              </w:rPr>
            </w:pPr>
            <w:r>
              <w:rPr>
                <w:rFonts w:ascii="宋体" w:hAnsi="宋体" w:cs="宋体"/>
                <w:color w:val="auto"/>
                <w:szCs w:val="21"/>
                <w:highlight w:val="none"/>
              </w:rPr>
              <w:t>①</w:t>
            </w:r>
            <w:r>
              <w:rPr>
                <w:rFonts w:hint="eastAsia" w:ascii="宋体" w:hAnsi="宋体" w:cs="宋体"/>
                <w:color w:val="auto"/>
                <w:szCs w:val="21"/>
                <w:highlight w:val="none"/>
              </w:rPr>
              <w:t>更换：由中标供应商承担所发生的全部费用；</w:t>
            </w:r>
          </w:p>
          <w:p w14:paraId="0035D310">
            <w:pPr>
              <w:spacing w:line="360" w:lineRule="auto"/>
              <w:rPr>
                <w:rFonts w:ascii="宋体" w:hAnsi="宋体" w:cs="宋体"/>
                <w:color w:val="auto"/>
                <w:szCs w:val="21"/>
                <w:highlight w:val="none"/>
              </w:rPr>
            </w:pPr>
            <w:r>
              <w:rPr>
                <w:rFonts w:ascii="宋体" w:hAnsi="宋体" w:cs="宋体"/>
                <w:color w:val="auto"/>
                <w:szCs w:val="21"/>
                <w:highlight w:val="none"/>
              </w:rPr>
              <w:t>②</w:t>
            </w:r>
            <w:r>
              <w:rPr>
                <w:rFonts w:hint="eastAsia" w:ascii="宋体" w:hAnsi="宋体" w:cs="宋体"/>
                <w:color w:val="auto"/>
                <w:szCs w:val="21"/>
                <w:highlight w:val="none"/>
              </w:rPr>
              <w:t>退货处理：中标供应商应退还采购人支付的合同款，同时应承担与该货物相关的直接费用（运输、保险、检验、合同款利息及银行手续费等）。</w:t>
            </w:r>
          </w:p>
          <w:p w14:paraId="2BEEC5AF">
            <w:pPr>
              <w:pStyle w:val="214"/>
              <w:spacing w:line="360" w:lineRule="auto"/>
              <w:ind w:firstLine="0"/>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履约验收其他事项</w:t>
            </w:r>
          </w:p>
          <w:p w14:paraId="02229F40">
            <w:pPr>
              <w:widowControl/>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1.验收过程中所产生的一切费用均由中标供应商承担。报价时应考虑相关费用。</w:t>
            </w:r>
          </w:p>
          <w:p w14:paraId="0543FF7E">
            <w:pPr>
              <w:pStyle w:val="214"/>
              <w:spacing w:line="360" w:lineRule="auto"/>
              <w:ind w:firstLine="0"/>
              <w:rPr>
                <w:rFonts w:ascii="宋体" w:hAnsi="宋体" w:cs="宋体"/>
                <w:color w:val="auto"/>
                <w:sz w:val="21"/>
                <w:szCs w:val="21"/>
                <w:highlight w:val="none"/>
                <w:lang w:bidi="ar"/>
              </w:rPr>
            </w:pPr>
            <w:r>
              <w:rPr>
                <w:rFonts w:hint="eastAsia" w:ascii="宋体" w:hAnsi="宋体" w:cs="宋体"/>
                <w:bCs/>
                <w:color w:val="auto"/>
                <w:sz w:val="21"/>
                <w:szCs w:val="21"/>
                <w:highlight w:val="none"/>
              </w:rPr>
              <w:t>2</w:t>
            </w:r>
            <w:r>
              <w:rPr>
                <w:rFonts w:hint="eastAsia" w:ascii="宋体" w:hAnsi="宋体" w:cs="宋体"/>
                <w:bCs/>
                <w:color w:val="auto"/>
                <w:sz w:val="21"/>
                <w:szCs w:val="21"/>
                <w:highlight w:val="none"/>
                <w:lang w:val="en-US"/>
              </w:rPr>
              <w:t>.</w:t>
            </w:r>
            <w:r>
              <w:rPr>
                <w:rFonts w:hint="eastAsia" w:ascii="宋体" w:hAnsi="宋体" w:cs="宋体"/>
                <w:bCs/>
                <w:color w:val="auto"/>
                <w:sz w:val="21"/>
                <w:szCs w:val="21"/>
                <w:highlight w:val="none"/>
              </w:rPr>
              <w:t>中标供应商在货物交付验收时，由采购人对照采购文件的项目要求及技术需求，全面核对检验。如不符合采购文件的技术需求及要求以及提供虚假承诺的，按相关规定做违约处理，中标供应商承担所有责任和费用，采购人保留进一步追究责任的权利。</w:t>
            </w:r>
          </w:p>
        </w:tc>
      </w:tr>
      <w:tr w14:paraId="34576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75" w:type="dxa"/>
            <w:gridSpan w:val="4"/>
            <w:tcBorders>
              <w:top w:val="single" w:color="auto" w:sz="4" w:space="0"/>
              <w:left w:val="single" w:color="auto" w:sz="4" w:space="0"/>
              <w:bottom w:val="single" w:color="auto" w:sz="4" w:space="0"/>
              <w:right w:val="single" w:color="auto" w:sz="4" w:space="0"/>
            </w:tcBorders>
            <w:vAlign w:val="center"/>
          </w:tcPr>
          <w:p w14:paraId="3DE925AE">
            <w:pPr>
              <w:widowControl/>
              <w:spacing w:line="360" w:lineRule="auto"/>
              <w:jc w:val="left"/>
              <w:rPr>
                <w:rFonts w:ascii="宋体" w:hAnsi="宋体" w:cs="宋体"/>
                <w:b/>
                <w:bCs/>
                <w:color w:val="auto"/>
                <w:szCs w:val="21"/>
                <w:highlight w:val="none"/>
                <w:lang w:bidi="ar"/>
              </w:rPr>
            </w:pPr>
            <w:r>
              <w:rPr>
                <w:rFonts w:hint="eastAsia" w:ascii="宋体" w:hAnsi="宋体" w:cs="宋体"/>
                <w:b/>
                <w:bCs/>
                <w:color w:val="auto"/>
                <w:szCs w:val="21"/>
                <w:highlight w:val="none"/>
                <w:lang w:bidi="ar"/>
              </w:rPr>
              <w:t>二、与实现项目目标相关的其他要求</w:t>
            </w:r>
          </w:p>
        </w:tc>
      </w:tr>
      <w:tr w14:paraId="3BD99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75" w:type="dxa"/>
            <w:gridSpan w:val="4"/>
            <w:tcBorders>
              <w:top w:val="single" w:color="auto" w:sz="4" w:space="0"/>
              <w:left w:val="single" w:color="auto" w:sz="4" w:space="0"/>
              <w:bottom w:val="single" w:color="auto" w:sz="4" w:space="0"/>
              <w:right w:val="single" w:color="auto" w:sz="4" w:space="0"/>
            </w:tcBorders>
          </w:tcPr>
          <w:p w14:paraId="17F20C96">
            <w:pPr>
              <w:widowControl/>
              <w:spacing w:line="360" w:lineRule="auto"/>
              <w:jc w:val="left"/>
              <w:rPr>
                <w:rFonts w:ascii="宋体" w:hAnsi="宋体" w:cs="宋体"/>
                <w:b/>
                <w:bCs/>
                <w:color w:val="auto"/>
                <w:szCs w:val="21"/>
                <w:highlight w:val="none"/>
                <w:lang w:bidi="ar"/>
              </w:rPr>
            </w:pPr>
            <w:r>
              <w:rPr>
                <w:rFonts w:hint="eastAsia" w:ascii="宋体" w:hAnsi="宋体" w:cs="宋体"/>
                <w:b/>
                <w:bCs/>
                <w:color w:val="auto"/>
                <w:szCs w:val="21"/>
                <w:highlight w:val="none"/>
                <w:lang w:bidi="ar"/>
              </w:rPr>
              <w:t>（一）政策性加分条件</w:t>
            </w:r>
          </w:p>
        </w:tc>
      </w:tr>
      <w:tr w14:paraId="02E2C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75" w:type="dxa"/>
            <w:gridSpan w:val="4"/>
            <w:tcBorders>
              <w:top w:val="single" w:color="auto" w:sz="4" w:space="0"/>
              <w:left w:val="single" w:color="auto" w:sz="4" w:space="0"/>
              <w:bottom w:val="single" w:color="auto" w:sz="4" w:space="0"/>
              <w:right w:val="single" w:color="auto" w:sz="4" w:space="0"/>
            </w:tcBorders>
            <w:vAlign w:val="center"/>
          </w:tcPr>
          <w:p w14:paraId="262F6281">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符合节能环保等国家政策要求</w:t>
            </w:r>
          </w:p>
        </w:tc>
      </w:tr>
      <w:tr w14:paraId="0D759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75" w:type="dxa"/>
            <w:gridSpan w:val="4"/>
            <w:tcBorders>
              <w:top w:val="single" w:color="auto" w:sz="4" w:space="0"/>
              <w:left w:val="single" w:color="auto" w:sz="4" w:space="0"/>
              <w:bottom w:val="single" w:color="auto" w:sz="4" w:space="0"/>
              <w:right w:val="single" w:color="auto" w:sz="4" w:space="0"/>
            </w:tcBorders>
            <w:vAlign w:val="center"/>
          </w:tcPr>
          <w:p w14:paraId="505FFCE4">
            <w:pPr>
              <w:widowControl/>
              <w:spacing w:line="360" w:lineRule="auto"/>
              <w:jc w:val="left"/>
              <w:rPr>
                <w:rFonts w:ascii="宋体" w:hAnsi="宋体" w:cs="宋体"/>
                <w:b/>
                <w:bCs/>
                <w:color w:val="auto"/>
                <w:szCs w:val="21"/>
                <w:highlight w:val="none"/>
                <w:lang w:bidi="ar"/>
              </w:rPr>
            </w:pPr>
            <w:r>
              <w:rPr>
                <w:rFonts w:hint="eastAsia" w:ascii="宋体" w:hAnsi="宋体" w:cs="宋体"/>
                <w:b/>
                <w:bCs/>
                <w:color w:val="auto"/>
                <w:szCs w:val="21"/>
                <w:highlight w:val="none"/>
                <w:lang w:bidi="ar"/>
              </w:rPr>
              <w:t>（二）进口产品说明</w:t>
            </w:r>
          </w:p>
        </w:tc>
      </w:tr>
      <w:tr w14:paraId="73211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94" w:type="dxa"/>
            <w:gridSpan w:val="2"/>
            <w:tcBorders>
              <w:top w:val="single" w:color="auto" w:sz="4" w:space="0"/>
              <w:left w:val="single" w:color="auto" w:sz="4" w:space="0"/>
              <w:bottom w:val="single" w:color="auto" w:sz="4" w:space="0"/>
              <w:right w:val="single" w:color="auto" w:sz="4" w:space="0"/>
            </w:tcBorders>
            <w:vAlign w:val="center"/>
          </w:tcPr>
          <w:p w14:paraId="731C0EB5">
            <w:pPr>
              <w:widowControl/>
              <w:spacing w:line="360" w:lineRule="auto"/>
              <w:jc w:val="left"/>
              <w:rPr>
                <w:rFonts w:ascii="宋体" w:hAnsi="宋体" w:cs="宋体"/>
                <w:color w:val="auto"/>
                <w:szCs w:val="21"/>
                <w:highlight w:val="none"/>
                <w:lang w:bidi="ar"/>
              </w:rPr>
            </w:pPr>
            <w:r>
              <w:rPr>
                <w:rFonts w:hint="eastAsia" w:ascii="宋体" w:hAnsi="宋体" w:cs="宋体"/>
                <w:color w:val="auto"/>
                <w:szCs w:val="21"/>
                <w:highlight w:val="none"/>
                <w:lang w:bidi="ar"/>
              </w:rPr>
              <w:t>进口产品说明</w:t>
            </w:r>
          </w:p>
        </w:tc>
        <w:tc>
          <w:tcPr>
            <w:tcW w:w="6881" w:type="dxa"/>
            <w:gridSpan w:val="2"/>
            <w:tcBorders>
              <w:top w:val="single" w:color="auto" w:sz="4" w:space="0"/>
              <w:left w:val="single" w:color="auto" w:sz="4" w:space="0"/>
              <w:bottom w:val="single" w:color="auto" w:sz="4" w:space="0"/>
              <w:right w:val="single" w:color="auto" w:sz="4" w:space="0"/>
            </w:tcBorders>
            <w:vAlign w:val="center"/>
          </w:tcPr>
          <w:p w14:paraId="166D1DE8">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lang w:bidi="ar"/>
              </w:rPr>
              <w:t>本项目货物不接受进口产品（即通过中国海关报关验放进入中国境内且产自关境外的产品）参与投标，如有进口产品参与投标的，其投标文件按无效投标处理。</w:t>
            </w:r>
          </w:p>
        </w:tc>
      </w:tr>
      <w:tr w14:paraId="4741F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75" w:type="dxa"/>
            <w:gridSpan w:val="4"/>
            <w:tcBorders>
              <w:top w:val="single" w:color="auto" w:sz="4" w:space="0"/>
              <w:left w:val="single" w:color="auto" w:sz="4" w:space="0"/>
              <w:bottom w:val="single" w:color="auto" w:sz="4" w:space="0"/>
              <w:right w:val="single" w:color="auto" w:sz="4" w:space="0"/>
            </w:tcBorders>
            <w:vAlign w:val="center"/>
          </w:tcPr>
          <w:p w14:paraId="56EFC413">
            <w:pPr>
              <w:widowControl/>
              <w:spacing w:line="360" w:lineRule="auto"/>
              <w:jc w:val="left"/>
              <w:rPr>
                <w:rFonts w:ascii="宋体" w:hAnsi="宋体" w:cs="宋体"/>
                <w:b/>
                <w:bCs/>
                <w:color w:val="auto"/>
                <w:szCs w:val="21"/>
                <w:highlight w:val="none"/>
                <w:lang w:bidi="ar"/>
              </w:rPr>
            </w:pPr>
            <w:r>
              <w:rPr>
                <w:rFonts w:hint="eastAsia" w:ascii="宋体" w:hAnsi="宋体" w:cs="宋体"/>
                <w:b/>
                <w:bCs/>
                <w:color w:val="auto"/>
                <w:szCs w:val="21"/>
                <w:highlight w:val="none"/>
                <w:lang w:bidi="ar"/>
              </w:rPr>
              <w:t>（三）其他</w:t>
            </w:r>
          </w:p>
        </w:tc>
      </w:tr>
      <w:tr w14:paraId="000A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75" w:type="dxa"/>
            <w:gridSpan w:val="4"/>
            <w:tcBorders>
              <w:top w:val="single" w:color="auto" w:sz="4" w:space="0"/>
              <w:left w:val="single" w:color="auto" w:sz="4" w:space="0"/>
              <w:bottom w:val="single" w:color="auto" w:sz="4" w:space="0"/>
              <w:right w:val="single" w:color="auto" w:sz="4" w:space="0"/>
            </w:tcBorders>
            <w:vAlign w:val="center"/>
          </w:tcPr>
          <w:p w14:paraId="4843416B">
            <w:pPr>
              <w:widowControl/>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投标人可根据本项目需求编制本项目的技术方案，包含但不限于以下方案内容，以作为评审依据：</w:t>
            </w:r>
          </w:p>
          <w:p w14:paraId="5731725F">
            <w:pPr>
              <w:widowControl/>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1.实施方案：投标人可结合本项目采购需求及服务质量要求，结合自身实际情况编制针对本项目的项目实施方案，包括</w:t>
            </w:r>
            <w:r>
              <w:rPr>
                <w:rFonts w:hint="eastAsia" w:ascii="宋体" w:hAnsi="宋体" w:cs="宋体"/>
                <w:color w:val="auto"/>
                <w:szCs w:val="21"/>
                <w:highlight w:val="none"/>
              </w:rPr>
              <w:t>管理措施、质量保证措施、风险防范等措施等</w:t>
            </w:r>
            <w:r>
              <w:rPr>
                <w:rFonts w:hint="eastAsia" w:ascii="宋体" w:hAnsi="宋体" w:cs="宋体"/>
                <w:bCs/>
                <w:color w:val="auto"/>
                <w:szCs w:val="21"/>
                <w:highlight w:val="none"/>
              </w:rPr>
              <w:t>。</w:t>
            </w:r>
          </w:p>
          <w:p w14:paraId="1EFD91D0">
            <w:pPr>
              <w:widowControl/>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2.售后服务方案：投标人可结合本项目采购需求及服务质量要求，结合自身实际情况编制针对本项目的售后服务方案，包括</w:t>
            </w:r>
            <w:r>
              <w:rPr>
                <w:rFonts w:hint="eastAsia" w:ascii="宋体" w:hAnsi="宋体" w:cs="宋体"/>
                <w:color w:val="auto"/>
                <w:szCs w:val="21"/>
                <w:highlight w:val="none"/>
              </w:rPr>
              <w:t>设备的维护保养方案及质保期外的含零配件的优惠供应等</w:t>
            </w:r>
            <w:r>
              <w:rPr>
                <w:rFonts w:hint="eastAsia" w:ascii="宋体" w:hAnsi="宋体" w:cs="宋体"/>
                <w:bCs/>
                <w:color w:val="auto"/>
                <w:szCs w:val="21"/>
                <w:highlight w:val="none"/>
              </w:rPr>
              <w:t>。</w:t>
            </w:r>
          </w:p>
          <w:p w14:paraId="00CF903D">
            <w:pPr>
              <w:widowControl/>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color w:val="auto"/>
                <w:szCs w:val="21"/>
                <w:highlight w:val="none"/>
              </w:rPr>
              <w:t>技术培训方案</w:t>
            </w:r>
            <w:r>
              <w:rPr>
                <w:rFonts w:hint="eastAsia" w:ascii="宋体" w:hAnsi="宋体" w:cs="宋体"/>
                <w:bCs/>
                <w:color w:val="auto"/>
                <w:szCs w:val="21"/>
                <w:highlight w:val="none"/>
              </w:rPr>
              <w:t>：投标人可结合本项目采购需求的相关要求以及服务质量要求，结合自身实际情况编制针对本项目的</w:t>
            </w:r>
            <w:r>
              <w:rPr>
                <w:rFonts w:hint="eastAsia" w:ascii="宋体" w:hAnsi="宋体" w:cs="宋体"/>
                <w:color w:val="auto"/>
                <w:szCs w:val="21"/>
                <w:highlight w:val="none"/>
              </w:rPr>
              <w:t>技术培训方案，包括培训计划及流程安排、培训课程及内容等</w:t>
            </w:r>
            <w:r>
              <w:rPr>
                <w:rFonts w:hint="eastAsia" w:ascii="宋体" w:hAnsi="宋体" w:cs="宋体"/>
                <w:bCs/>
                <w:color w:val="auto"/>
                <w:szCs w:val="21"/>
                <w:highlight w:val="none"/>
              </w:rPr>
              <w:t>。</w:t>
            </w:r>
          </w:p>
          <w:p w14:paraId="35DD2610">
            <w:pPr>
              <w:widowControl/>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具体见本招标文件第四章“评标方法及评标标准”。</w:t>
            </w:r>
          </w:p>
        </w:tc>
      </w:tr>
    </w:tbl>
    <w:p w14:paraId="1C925E9E">
      <w:pPr>
        <w:pStyle w:val="18"/>
        <w:rPr>
          <w:color w:val="auto"/>
          <w:highlight w:val="none"/>
        </w:rPr>
      </w:pPr>
    </w:p>
    <w:p w14:paraId="364491BE">
      <w:pPr>
        <w:rPr>
          <w:rFonts w:ascii="黑体" w:hAnsi="黑体" w:eastAsia="黑体" w:cs="黑体"/>
          <w:color w:val="auto"/>
          <w:sz w:val="32"/>
          <w:szCs w:val="32"/>
          <w:highlight w:val="none"/>
        </w:rPr>
      </w:pPr>
      <w:r>
        <w:rPr>
          <w:color w:val="auto"/>
          <w:highlight w:val="none"/>
        </w:rPr>
        <w:br w:type="page" w:clear="all"/>
      </w:r>
    </w:p>
    <w:p w14:paraId="7F97EBEE">
      <w:pPr>
        <w:rPr>
          <w:color w:val="auto"/>
          <w:highlight w:val="none"/>
        </w:rPr>
      </w:pPr>
    </w:p>
    <w:p w14:paraId="0242F55D">
      <w:pPr>
        <w:rPr>
          <w:color w:val="auto"/>
          <w:highlight w:val="none"/>
        </w:rPr>
      </w:pPr>
    </w:p>
    <w:p w14:paraId="5DCB937A">
      <w:pPr>
        <w:pStyle w:val="18"/>
        <w:rPr>
          <w:rFonts w:ascii="Arial Unicode MS" w:hAnsi="Arial Unicode MS" w:eastAsia="Arial Unicode MS" w:cs="Arial Unicode MS"/>
          <w:color w:val="auto"/>
          <w:highlight w:val="none"/>
        </w:rPr>
      </w:pPr>
      <w:r>
        <w:rPr>
          <w:rFonts w:hint="eastAsia"/>
          <w:color w:val="auto"/>
          <w:highlight w:val="none"/>
        </w:rPr>
        <w:t>附件1：</w:t>
      </w:r>
    </w:p>
    <w:p w14:paraId="65E58CFB">
      <w:pPr>
        <w:spacing w:before="7"/>
        <w:rPr>
          <w:rFonts w:ascii="Arial Unicode MS" w:hAnsi="Arial Unicode MS" w:eastAsia="Arial Unicode MS" w:cs="Arial Unicode MS"/>
          <w:color w:val="auto"/>
          <w:sz w:val="17"/>
          <w:szCs w:val="17"/>
          <w:highlight w:val="none"/>
        </w:rPr>
      </w:pPr>
    </w:p>
    <w:p w14:paraId="325E6BFA">
      <w:pPr>
        <w:spacing w:line="528" w:lineRule="exact"/>
        <w:ind w:left="1871"/>
        <w:rPr>
          <w:rFonts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5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481"/>
        <w:gridCol w:w="3452"/>
      </w:tblGrid>
      <w:tr w14:paraId="45BB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B6113C9">
            <w:pPr>
              <w:jc w:val="center"/>
              <w:rPr>
                <w:rFonts w:ascii="Calibri" w:hAnsi="Calibri"/>
                <w:color w:val="auto"/>
                <w:szCs w:val="22"/>
                <w:highlight w:val="none"/>
              </w:rPr>
            </w:pPr>
            <w:r>
              <w:rPr>
                <w:rFonts w:hint="eastAsia" w:ascii="宋体" w:hAnsi="宋体" w:cs="宋体"/>
                <w:b/>
                <w:bCs/>
                <w:color w:val="auto"/>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0640E82E">
            <w:pPr>
              <w:jc w:val="center"/>
              <w:rPr>
                <w:rFonts w:ascii="Calibri" w:hAnsi="Calibri"/>
                <w:color w:val="auto"/>
                <w:szCs w:val="22"/>
                <w:highlight w:val="none"/>
              </w:rPr>
            </w:pPr>
            <w:r>
              <w:rPr>
                <w:rFonts w:hint="eastAsia" w:ascii="宋体" w:hAnsi="宋体" w:cs="宋体"/>
                <w:b/>
                <w:bCs/>
                <w:color w:val="auto"/>
                <w:highlight w:val="none"/>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0317DE64">
            <w:pPr>
              <w:jc w:val="center"/>
              <w:rPr>
                <w:rFonts w:ascii="Calibri" w:hAnsi="Calibri"/>
                <w:color w:val="auto"/>
                <w:szCs w:val="22"/>
                <w:highlight w:val="none"/>
              </w:rPr>
            </w:pPr>
            <w:r>
              <w:rPr>
                <w:rFonts w:hint="eastAsia" w:ascii="宋体" w:hAnsi="宋体" w:cs="宋体"/>
                <w:b/>
                <w:bCs/>
                <w:color w:val="auto"/>
                <w:highlight w:val="none"/>
              </w:rPr>
              <w:t>依据的标准</w:t>
            </w:r>
          </w:p>
        </w:tc>
      </w:tr>
      <w:tr w14:paraId="2A7E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14D1530">
            <w:pPr>
              <w:jc w:val="center"/>
              <w:rPr>
                <w:rFonts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532AEAD">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463ED54">
            <w:pPr>
              <w:pStyle w:val="263"/>
              <w:spacing w:before="93"/>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A02010105</w:t>
            </w:r>
            <w:r>
              <w:rPr>
                <w:rFonts w:hint="eastAsia" w:ascii="宋体" w:hAnsi="宋体" w:cs="宋体"/>
                <w:color w:val="auto"/>
                <w:sz w:val="21"/>
                <w:szCs w:val="21"/>
                <w:highlight w:val="none"/>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894781F">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2D1177B">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3C68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FD3F3BE">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13AA721">
            <w:pPr>
              <w:widowControl/>
              <w:jc w:val="left"/>
              <w:rPr>
                <w:rFonts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22A4E12">
            <w:pPr>
              <w:pStyle w:val="263"/>
              <w:spacing w:before="44"/>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A02010108</w:t>
            </w:r>
            <w:r>
              <w:rPr>
                <w:rFonts w:hint="eastAsia" w:ascii="宋体" w:hAnsi="宋体" w:cs="宋体"/>
                <w:color w:val="auto"/>
                <w:sz w:val="21"/>
                <w:szCs w:val="21"/>
                <w:highlight w:val="none"/>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C01BB0A">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697158CE">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7986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987D4EA">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AFFE410">
            <w:pPr>
              <w:widowControl/>
              <w:jc w:val="left"/>
              <w:rPr>
                <w:rFonts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5DCDF21">
            <w:pPr>
              <w:pStyle w:val="263"/>
              <w:spacing w:before="64"/>
              <w:ind w:left="7" w:right="5"/>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仿宋_GB2312"/>
                <w:color w:val="auto"/>
                <w:sz w:val="21"/>
                <w:szCs w:val="21"/>
                <w:highlight w:val="none"/>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568B9FF">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DB450A4">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1C18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6ABCD5F">
            <w:pPr>
              <w:jc w:val="center"/>
              <w:rPr>
                <w:rFonts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7F29558">
            <w:pPr>
              <w:pStyle w:val="263"/>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A02020000</w:t>
            </w:r>
            <w:r>
              <w:rPr>
                <w:rFonts w:hint="eastAsia" w:ascii="宋体" w:hAnsi="宋体" w:cs="宋体"/>
                <w:color w:val="auto"/>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0583706">
            <w:pPr>
              <w:jc w:val="center"/>
              <w:rPr>
                <w:rFonts w:ascii="宋体" w:hAnsi="宋体"/>
                <w:color w:val="auto"/>
                <w:szCs w:val="21"/>
                <w:highlight w:val="none"/>
              </w:rPr>
            </w:pPr>
            <w:r>
              <w:rPr>
                <w:rFonts w:hint="eastAsia" w:ascii="宋体" w:hAnsi="宋体" w:cs="宋体"/>
                <w:color w:val="auto"/>
                <w:spacing w:val="1"/>
                <w:szCs w:val="21"/>
                <w:highlight w:val="none"/>
              </w:rPr>
              <w:t>A02021000</w:t>
            </w:r>
            <w:r>
              <w:rPr>
                <w:rFonts w:hint="eastAsia" w:ascii="宋体" w:hAnsi="宋体" w:cs="Arial"/>
                <w:color w:val="auto"/>
                <w:szCs w:val="21"/>
                <w:highlight w:val="none"/>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343A3F1">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14F52853">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34B4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9EA4C3E">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C7BE321">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7C54587">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6090C08">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341F6D64">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6469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9617310">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A87EBE6">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B71D482">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8F2661A">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3643DC59">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EA8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B5FC437">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3F73EC9">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F305F78">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DCB25C8">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0575436D">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47D3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A35E4B3">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09374E1">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3F7AB03">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F6872AC">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45040F7E">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22E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D877980">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14CE537">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E022DEC">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4A88063">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5F524502">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6B0F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3303AAC">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C47C402">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8374D62">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CA0551C">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3DEDE8F7">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086D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F018522">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85D49C9">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DE47517">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06CE1B9">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1C1C657A">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30DA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6C96EE5">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8B02FB8">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A23684F">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B655699">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49B7F264">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3827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1087A71">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D4E2335">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9A98025">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6A5E7C2">
            <w:pPr>
              <w:jc w:val="center"/>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25B8A890">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《计算机显示器能效限定值及能效等级》（GB21520）</w:t>
            </w:r>
          </w:p>
        </w:tc>
      </w:tr>
      <w:tr w14:paraId="27D6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9B94CB2">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4C039A8">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D70B893">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865B15F">
            <w:pPr>
              <w:jc w:val="center"/>
              <w:rPr>
                <w:rFonts w:ascii="宋体" w:hAnsi="宋体"/>
                <w:color w:val="auto"/>
                <w:szCs w:val="21"/>
                <w:highlight w:val="none"/>
              </w:rPr>
            </w:pPr>
            <w:r>
              <w:rPr>
                <w:rFonts w:hint="eastAsia" w:ascii="宋体" w:hAnsi="宋体"/>
                <w:color w:val="auto"/>
                <w:szCs w:val="21"/>
                <w:highlight w:val="none"/>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70527EC6">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参照《复印机、打印机和传真机能效限定值及能效等级》（GB21521）中打印速度为15页/分的针式打印机相关要求</w:t>
            </w:r>
          </w:p>
        </w:tc>
      </w:tr>
      <w:tr w14:paraId="2845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4B24477">
            <w:pPr>
              <w:jc w:val="center"/>
              <w:rPr>
                <w:rFonts w:ascii="宋体" w:hAnsi="宋体"/>
                <w:color w:val="auto"/>
                <w:szCs w:val="21"/>
                <w:highlight w:val="none"/>
              </w:rPr>
            </w:pPr>
            <w:r>
              <w:rPr>
                <w:rFonts w:hint="eastAsia" w:ascii="宋体" w:hAnsi="宋体"/>
                <w:color w:val="auto"/>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5F97055">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6D574451">
            <w:pPr>
              <w:jc w:val="center"/>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7E4D6A7">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310BAEFE">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《投影机能效限定值及能效等级》（GB32028）</w:t>
            </w:r>
          </w:p>
        </w:tc>
      </w:tr>
      <w:tr w14:paraId="788D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D7AFAE3">
            <w:pPr>
              <w:jc w:val="center"/>
              <w:rPr>
                <w:rFonts w:ascii="宋体" w:hAnsi="宋体"/>
                <w:color w:val="auto"/>
                <w:szCs w:val="21"/>
                <w:highlight w:val="none"/>
              </w:rPr>
            </w:pPr>
            <w:r>
              <w:rPr>
                <w:rFonts w:hint="eastAsia" w:ascii="宋体" w:hAnsi="宋体"/>
                <w:color w:val="auto"/>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1F7D0BF">
            <w:pPr>
              <w:pStyle w:val="263"/>
              <w:spacing w:before="6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A02020400</w:t>
            </w:r>
            <w:r>
              <w:rPr>
                <w:rFonts w:hint="eastAsia" w:ascii="宋体" w:hAnsi="宋体" w:cs="宋体"/>
                <w:color w:val="auto"/>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B101A02">
            <w:pPr>
              <w:jc w:val="center"/>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3C2AAD9">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1E2124CB">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0FD4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06AEFE8">
            <w:pPr>
              <w:pStyle w:val="263"/>
              <w:spacing w:before="160"/>
              <w:ind w:right="1"/>
              <w:jc w:val="center"/>
              <w:rPr>
                <w:rFonts w:ascii="宋体" w:hAnsi="宋体" w:cs="宋体"/>
                <w:color w:val="auto"/>
                <w:sz w:val="21"/>
                <w:szCs w:val="21"/>
                <w:highlight w:val="none"/>
              </w:rPr>
            </w:pPr>
            <w:r>
              <w:rPr>
                <w:rFonts w:hint="eastAsia" w:ascii="宋体" w:hAnsi="宋体"/>
                <w:color w:val="auto"/>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01827A1E">
            <w:pPr>
              <w:pStyle w:val="263"/>
              <w:spacing w:before="16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A02051900</w:t>
            </w:r>
            <w:r>
              <w:rPr>
                <w:rFonts w:hint="eastAsia" w:ascii="宋体" w:hAnsi="宋体" w:cs="宋体"/>
                <w:color w:val="auto"/>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0593746B">
            <w:pPr>
              <w:pStyle w:val="263"/>
              <w:spacing w:before="160"/>
              <w:ind w:left="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05</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04E5E419">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26C4D0A">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《清水离心泵能效限定值及节能评价值》（GB19762）</w:t>
            </w:r>
          </w:p>
        </w:tc>
      </w:tr>
      <w:tr w14:paraId="66D7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886E714">
            <w:pPr>
              <w:jc w:val="center"/>
              <w:rPr>
                <w:rFonts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A5BBFE9">
            <w:pPr>
              <w:pStyle w:val="263"/>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A02052300</w:t>
            </w:r>
            <w:r>
              <w:rPr>
                <w:rFonts w:hint="eastAsia" w:ascii="宋体" w:hAnsi="宋体" w:cs="宋体"/>
                <w:color w:val="auto"/>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CDE18B9">
            <w:pPr>
              <w:pStyle w:val="263"/>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52</w:t>
            </w:r>
            <w:r>
              <w:rPr>
                <w:rFonts w:hint="eastAsia" w:ascii="宋体" w:hAnsi="宋体" w:cs="宋体"/>
                <w:color w:val="auto"/>
                <w:spacing w:val="1"/>
                <w:sz w:val="21"/>
                <w:szCs w:val="21"/>
                <w:highlight w:val="none"/>
              </w:rPr>
              <w:t>3</w:t>
            </w:r>
            <w:r>
              <w:rPr>
                <w:rFonts w:hint="eastAsia" w:ascii="宋体" w:hAnsi="宋体" w:cs="宋体"/>
                <w:color w:val="auto"/>
                <w:sz w:val="21"/>
                <w:szCs w:val="21"/>
                <w:highlight w:val="none"/>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F674B32">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冷水机组</w:t>
            </w:r>
          </w:p>
        </w:tc>
        <w:tc>
          <w:tcPr>
            <w:tcW w:w="3452" w:type="dxa"/>
            <w:tcBorders>
              <w:top w:val="single" w:color="000000" w:sz="4" w:space="0"/>
              <w:left w:val="single" w:color="000000" w:sz="4" w:space="0"/>
              <w:bottom w:val="single" w:color="000000" w:sz="4" w:space="0"/>
              <w:right w:val="single" w:color="000000" w:sz="4" w:space="0"/>
            </w:tcBorders>
          </w:tcPr>
          <w:p w14:paraId="28BC9CC6">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《冷水机组能效限定值及能效等级》（GB19577），《低环境温度空气源热泵（冷水）机组能效限定值及能效等级》（GB37480）</w:t>
            </w:r>
          </w:p>
        </w:tc>
      </w:tr>
      <w:tr w14:paraId="1E58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74FB33D">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79C163B">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A0DC4ED">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D489CBA">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25B1633D">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《溴化锂吸收式冷水机组能效限</w:t>
            </w:r>
          </w:p>
          <w:p w14:paraId="2138E292">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0627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BC428C5">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F5CF2B8">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BD85EEC">
            <w:pPr>
              <w:pStyle w:val="263"/>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66BE7B05">
            <w:pPr>
              <w:pStyle w:val="263"/>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34824F40">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666F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5500729">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A2F78BA">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A374053">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4AB984E">
            <w:pPr>
              <w:jc w:val="center"/>
              <w:rPr>
                <w:rFonts w:ascii="宋体" w:hAnsi="宋体"/>
                <w:color w:val="auto"/>
                <w:szCs w:val="21"/>
                <w:highlight w:val="none"/>
              </w:rPr>
            </w:pPr>
            <w:r>
              <w:rPr>
                <w:rFonts w:hint="eastAsia" w:ascii="宋体" w:hAnsi="宋体" w:cs="宋体"/>
                <w:color w:val="auto"/>
                <w:szCs w:val="21"/>
                <w:highlight w:val="none"/>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15FEAE3F">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《单元式空气调节机能效限定值及能效等级》（GB19576）《风管送风式空调机组能效限定值及能效等级》（GB37479）</w:t>
            </w:r>
          </w:p>
        </w:tc>
      </w:tr>
      <w:tr w14:paraId="5B39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B9F344A">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5A5D88C">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6712848">
            <w:pPr>
              <w:pStyle w:val="263"/>
              <w:spacing w:before="83"/>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E233F8C">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机房空调</w:t>
            </w:r>
          </w:p>
        </w:tc>
        <w:tc>
          <w:tcPr>
            <w:tcW w:w="3452" w:type="dxa"/>
            <w:tcBorders>
              <w:top w:val="single" w:color="000000" w:sz="4" w:space="0"/>
              <w:left w:val="single" w:color="000000" w:sz="4" w:space="0"/>
              <w:bottom w:val="single" w:color="000000" w:sz="4" w:space="0"/>
              <w:right w:val="single" w:color="000000" w:sz="4" w:space="0"/>
            </w:tcBorders>
          </w:tcPr>
          <w:p w14:paraId="2949E58E">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w:t>
            </w:r>
          </w:p>
          <w:p w14:paraId="12F850A1">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及能效等级》（GB19576）</w:t>
            </w:r>
          </w:p>
        </w:tc>
      </w:tr>
      <w:tr w14:paraId="2DC6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960D014">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21B7ADC">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34543D5">
            <w:pPr>
              <w:pStyle w:val="263"/>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A02052399其他制冷</w:t>
            </w:r>
          </w:p>
          <w:p w14:paraId="33480A3C">
            <w:pPr>
              <w:pStyle w:val="263"/>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6DBD810D">
            <w:pPr>
              <w:widowControl/>
              <w:jc w:val="center"/>
              <w:rPr>
                <w:rFonts w:ascii="宋体" w:hAnsi="宋体" w:cs="宋体"/>
                <w:color w:val="auto"/>
                <w:szCs w:val="21"/>
                <w:highlight w:val="none"/>
                <w:lang w:eastAsia="en-US"/>
              </w:rPr>
            </w:pPr>
            <w:r>
              <w:rPr>
                <w:rFonts w:hint="eastAsia" w:ascii="宋体" w:hAnsi="宋体" w:cs="宋体"/>
                <w:color w:val="auto"/>
                <w:szCs w:val="21"/>
                <w:highlight w:val="none"/>
              </w:rPr>
              <w:t>冷却塔</w:t>
            </w:r>
          </w:p>
        </w:tc>
        <w:tc>
          <w:tcPr>
            <w:tcW w:w="3452" w:type="dxa"/>
            <w:tcBorders>
              <w:top w:val="single" w:color="000000" w:sz="4" w:space="0"/>
              <w:left w:val="single" w:color="000000" w:sz="4" w:space="0"/>
              <w:bottom w:val="single" w:color="000000" w:sz="4" w:space="0"/>
              <w:right w:val="single" w:color="000000" w:sz="4" w:space="0"/>
            </w:tcBorders>
          </w:tcPr>
          <w:p w14:paraId="1A0CC716">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《机械通风冷却塔第1部分：中小型开式冷却塔》（GB/T7190.1）</w:t>
            </w:r>
          </w:p>
          <w:p w14:paraId="773E581A">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《机械通风冷却塔第2部分：大型开式冷却塔》（GB/T7190.2）</w:t>
            </w:r>
          </w:p>
        </w:tc>
      </w:tr>
      <w:tr w14:paraId="2C2C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04EE532">
            <w:pPr>
              <w:pStyle w:val="263"/>
              <w:ind w:right="1"/>
              <w:jc w:val="center"/>
              <w:rPr>
                <w:rFonts w:ascii="宋体" w:hAnsi="宋体" w:cs="宋体"/>
                <w:color w:val="auto"/>
                <w:sz w:val="21"/>
                <w:szCs w:val="21"/>
                <w:highlight w:val="none"/>
              </w:rPr>
            </w:pPr>
            <w:r>
              <w:rPr>
                <w:rFonts w:hint="eastAsia" w:ascii="宋体" w:hAnsi="宋体"/>
                <w:color w:val="auto"/>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2DBB74D9">
            <w:pPr>
              <w:pStyle w:val="263"/>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A02060100</w:t>
            </w:r>
            <w:r>
              <w:rPr>
                <w:rFonts w:hint="eastAsia" w:ascii="宋体" w:hAnsi="宋体" w:cs="宋体"/>
                <w:color w:val="auto"/>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B7E7FD4">
            <w:pPr>
              <w:jc w:val="center"/>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EFA9713">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E826A13">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《中小型三相异步电动机能效限定值及能效等级》（GB18613）</w:t>
            </w:r>
          </w:p>
        </w:tc>
      </w:tr>
      <w:tr w14:paraId="003D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8D03919">
            <w:pPr>
              <w:pStyle w:val="263"/>
              <w:ind w:right="1"/>
              <w:jc w:val="center"/>
              <w:rPr>
                <w:rFonts w:ascii="宋体" w:hAnsi="宋体" w:cs="宋体"/>
                <w:color w:val="auto"/>
                <w:sz w:val="21"/>
                <w:szCs w:val="21"/>
                <w:highlight w:val="none"/>
              </w:rPr>
            </w:pPr>
            <w:r>
              <w:rPr>
                <w:rFonts w:hint="eastAsia" w:ascii="宋体" w:hAnsi="宋体"/>
                <w:color w:val="auto"/>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272B4FCC">
            <w:pPr>
              <w:pStyle w:val="263"/>
              <w:spacing w:before="3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A02060200</w:t>
            </w:r>
            <w:r>
              <w:rPr>
                <w:rFonts w:hint="eastAsia" w:ascii="宋体" w:hAnsi="宋体" w:cs="宋体"/>
                <w:color w:val="auto"/>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43A1052C">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3504E71">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ADDF648">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《三相配电变压器能效限定值及能效等级》（GB 20052）</w:t>
            </w:r>
          </w:p>
        </w:tc>
      </w:tr>
      <w:tr w14:paraId="4DBD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210F126">
            <w:pPr>
              <w:pStyle w:val="263"/>
              <w:ind w:right="1"/>
              <w:jc w:val="center"/>
              <w:rPr>
                <w:rFonts w:ascii="宋体" w:hAnsi="宋体" w:cs="宋体"/>
                <w:color w:val="auto"/>
                <w:sz w:val="21"/>
                <w:szCs w:val="21"/>
                <w:highlight w:val="none"/>
              </w:rPr>
            </w:pPr>
            <w:r>
              <w:rPr>
                <w:rFonts w:hint="eastAsia" w:ascii="宋体" w:hAnsi="宋体"/>
                <w:color w:val="auto"/>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3F002828">
            <w:pPr>
              <w:pStyle w:val="263"/>
              <w:spacing w:before="126"/>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411573C">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84C3DF7">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FF1E3CE">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《管形荧光灯镇流器能效限定值及能效等级》（GB17896）</w:t>
            </w:r>
          </w:p>
        </w:tc>
      </w:tr>
      <w:tr w14:paraId="7ADA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B03923D">
            <w:pPr>
              <w:pStyle w:val="263"/>
              <w:jc w:val="center"/>
              <w:rPr>
                <w:rFonts w:ascii="宋体" w:hAnsi="宋体" w:cs="宋体"/>
                <w:color w:val="auto"/>
                <w:sz w:val="21"/>
                <w:szCs w:val="21"/>
                <w:highlight w:val="none"/>
              </w:rPr>
            </w:pPr>
            <w:r>
              <w:rPr>
                <w:rFonts w:hint="eastAsia" w:ascii="宋体" w:hAnsi="宋体"/>
                <w:color w:val="auto"/>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30E0E5F">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4D4A0EAE">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2D21FD96">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C0A1BD7">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《家用电冰箱耗电量限定值及能效等级》（GB12021.2）</w:t>
            </w:r>
          </w:p>
        </w:tc>
      </w:tr>
      <w:tr w14:paraId="4417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79E907D">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919CBC6">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DAB45E4">
            <w:pPr>
              <w:pStyle w:val="263"/>
              <w:spacing w:before="17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A02061804</w:t>
            </w:r>
            <w:r>
              <w:rPr>
                <w:rFonts w:hint="eastAsia" w:ascii="宋体" w:hAnsi="宋体" w:cs="宋体"/>
                <w:color w:val="auto"/>
                <w:sz w:val="21"/>
                <w:szCs w:val="21"/>
                <w:highlight w:val="none"/>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EA5294C">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612E30E8">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《房间空气调节器能效限定值及能效等级》（GB21455-2019）</w:t>
            </w:r>
          </w:p>
        </w:tc>
      </w:tr>
      <w:tr w14:paraId="4AAB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85F5511">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C4F36FC">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5FD11CD">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8A0BE69">
            <w:pPr>
              <w:pStyle w:val="263"/>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79B5B348">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21B0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E23B5CE">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B027673">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8871915">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1DA057B">
            <w:pPr>
              <w:pStyle w:val="263"/>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04112B22">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《单元式空气调节机能效限定值及能源效率等级》（GB19576）《风管送风式空调机组能效限定值及能效等级》（GB37479）</w:t>
            </w:r>
          </w:p>
        </w:tc>
      </w:tr>
      <w:tr w14:paraId="169E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AB6B965">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EF30ADF">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CF4C2CF">
            <w:pPr>
              <w:pStyle w:val="263"/>
              <w:spacing w:before="16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A02061810</w:t>
            </w:r>
            <w:r>
              <w:rPr>
                <w:rFonts w:hint="eastAsia" w:ascii="宋体" w:hAnsi="宋体" w:cs="宋体"/>
                <w:color w:val="auto"/>
                <w:sz w:val="21"/>
                <w:szCs w:val="21"/>
                <w:highlight w:val="none"/>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4E26914">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CE5CAB3">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《电动洗衣机能效水效限定值及等级》（GB12021.4）</w:t>
            </w:r>
          </w:p>
        </w:tc>
      </w:tr>
      <w:tr w14:paraId="4EB6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F783E14">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2F25F07">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734809C">
            <w:pPr>
              <w:pStyle w:val="263"/>
              <w:spacing w:before="1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A02061819</w:t>
            </w:r>
            <w:r>
              <w:rPr>
                <w:rFonts w:hint="eastAsia" w:ascii="宋体" w:hAnsi="宋体" w:cs="宋体"/>
                <w:color w:val="auto"/>
                <w:sz w:val="21"/>
                <w:szCs w:val="21"/>
                <w:highlight w:val="none"/>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7436BE2E">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732ADEEC">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《储水式电热水器能效限定值及能效等级》（GB21519）</w:t>
            </w:r>
          </w:p>
        </w:tc>
      </w:tr>
      <w:tr w14:paraId="53A2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C8C720A">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2FFCB7E">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A2E5CCA">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FAA9E2D">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燃气热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2F831AA9">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《家用燃气快速热水器和燃气采暖热水炉能效限定值及能效等级》（GB20665）</w:t>
            </w:r>
          </w:p>
        </w:tc>
      </w:tr>
      <w:tr w14:paraId="5F64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FACBF04">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128BF97">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34AD41A">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8B7D7E3">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热泵热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3FE215A1">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《热泵热水机（器）能效限定值及能效等级》（GB29541）</w:t>
            </w:r>
          </w:p>
        </w:tc>
      </w:tr>
      <w:tr w14:paraId="48A2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E7D1BA9">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09AE0AA">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0A98B10">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348AC39">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太阳能</w:t>
            </w:r>
            <w:r>
              <w:rPr>
                <w:rFonts w:hint="eastAsia" w:ascii="宋体" w:hAnsi="宋体" w:cs="宋体"/>
                <w:color w:val="auto"/>
                <w:spacing w:val="2"/>
                <w:sz w:val="21"/>
                <w:szCs w:val="21"/>
                <w:highlight w:val="none"/>
              </w:rPr>
              <w:t>热</w:t>
            </w:r>
            <w:r>
              <w:rPr>
                <w:rFonts w:hint="eastAsia" w:ascii="宋体" w:hAnsi="宋体" w:cs="宋体"/>
                <w:color w:val="auto"/>
                <w:sz w:val="21"/>
                <w:szCs w:val="21"/>
                <w:highlight w:val="none"/>
              </w:rPr>
              <w:t>水系统</w:t>
            </w:r>
          </w:p>
        </w:tc>
        <w:tc>
          <w:tcPr>
            <w:tcW w:w="3452" w:type="dxa"/>
            <w:tcBorders>
              <w:top w:val="single" w:color="000000" w:sz="4" w:space="0"/>
              <w:left w:val="single" w:color="000000" w:sz="4" w:space="0"/>
              <w:bottom w:val="single" w:color="000000" w:sz="4" w:space="0"/>
              <w:right w:val="single" w:color="000000" w:sz="4" w:space="0"/>
            </w:tcBorders>
          </w:tcPr>
          <w:p w14:paraId="3603BE28">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《家用太阳能热水系统能效限定值及能效等级》（GB26969）</w:t>
            </w:r>
          </w:p>
        </w:tc>
      </w:tr>
      <w:tr w14:paraId="1771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7DB5AFC">
            <w:pPr>
              <w:pStyle w:val="26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53E3144">
            <w:pPr>
              <w:pStyle w:val="263"/>
              <w:spacing w:before="15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06</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DF4CEA0">
            <w:pPr>
              <w:pStyle w:val="263"/>
              <w:spacing w:before="133"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13A7B090">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32D2F06">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《普通照明用双端荧光灯能效限定值及能效等级》（GB19043）</w:t>
            </w:r>
          </w:p>
        </w:tc>
      </w:tr>
      <w:tr w14:paraId="6024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20D1746">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B427AD2">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06EB271">
            <w:pPr>
              <w:pStyle w:val="263"/>
              <w:spacing w:before="92" w:line="276" w:lineRule="auto"/>
              <w:ind w:left="7" w:right="2"/>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w:t>
            </w:r>
            <w:r>
              <w:rPr>
                <w:rFonts w:hint="eastAsia" w:ascii="宋体" w:hAnsi="宋体" w:cs="宋体"/>
                <w:color w:val="auto"/>
                <w:spacing w:val="12"/>
                <w:sz w:val="21"/>
                <w:szCs w:val="21"/>
                <w:highlight w:val="none"/>
              </w:rPr>
              <w:t>道</w:t>
            </w:r>
            <w:r>
              <w:rPr>
                <w:rFonts w:hint="eastAsia" w:ascii="宋体" w:hAnsi="宋体" w:cs="宋体"/>
                <w:color w:val="auto"/>
                <w:spacing w:val="9"/>
                <w:sz w:val="21"/>
                <w:szCs w:val="21"/>
                <w:highlight w:val="none"/>
              </w:rPr>
              <w:t>路</w:t>
            </w:r>
            <w:r>
              <w:rPr>
                <w:rFonts w:hint="eastAsia" w:ascii="宋体" w:hAnsi="宋体" w:cs="宋体"/>
                <w:color w:val="auto"/>
                <w:spacing w:val="13"/>
                <w:sz w:val="21"/>
                <w:szCs w:val="21"/>
                <w:highlight w:val="none"/>
              </w:rPr>
              <w:t>/</w:t>
            </w:r>
            <w:r>
              <w:rPr>
                <w:rFonts w:hint="eastAsia" w:ascii="宋体" w:hAnsi="宋体" w:cs="宋体"/>
                <w:color w:val="auto"/>
                <w:spacing w:val="12"/>
                <w:sz w:val="21"/>
                <w:szCs w:val="21"/>
                <w:highlight w:val="none"/>
              </w:rPr>
              <w:t>隧道照</w:t>
            </w:r>
            <w:r>
              <w:rPr>
                <w:rFonts w:hint="eastAsia" w:ascii="宋体" w:hAnsi="宋体" w:cs="宋体"/>
                <w:color w:val="auto"/>
                <w:sz w:val="21"/>
                <w:szCs w:val="21"/>
                <w:highlight w:val="none"/>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41C075F6">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F7A4133">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《道路和隧道照明用LED灯具能效限定值及能效等级》（GB37478</w:t>
            </w:r>
            <w:r>
              <w:rPr>
                <w:rFonts w:ascii="宋体" w:hAnsi="宋体" w:cs="宋体"/>
                <w:color w:val="auto"/>
                <w:spacing w:val="10"/>
                <w:sz w:val="21"/>
                <w:szCs w:val="21"/>
                <w:highlight w:val="none"/>
                <w:lang w:eastAsia="zh-CN"/>
              </w:rPr>
              <w:t>）</w:t>
            </w:r>
          </w:p>
        </w:tc>
      </w:tr>
      <w:tr w14:paraId="0B6E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1D6725D">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AEE54F7">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43E7940">
            <w:pPr>
              <w:pStyle w:val="263"/>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0BBE46EC">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DB387D4">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2A68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D99DDB3">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2DAEEFA">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40EA338">
            <w:pPr>
              <w:pStyle w:val="263"/>
              <w:spacing w:line="276" w:lineRule="auto"/>
              <w:ind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w:t>
            </w:r>
            <w:r>
              <w:rPr>
                <w:rFonts w:hint="eastAsia" w:ascii="宋体" w:hAnsi="宋体" w:cs="宋体"/>
                <w:color w:val="auto"/>
                <w:spacing w:val="24"/>
                <w:sz w:val="21"/>
                <w:szCs w:val="21"/>
                <w:highlight w:val="none"/>
                <w:lang w:eastAsia="zh-CN"/>
              </w:rPr>
              <w:t>通</w:t>
            </w:r>
            <w:r>
              <w:rPr>
                <w:rFonts w:hint="eastAsia" w:ascii="宋体" w:hAnsi="宋体" w:cs="宋体"/>
                <w:color w:val="auto"/>
                <w:sz w:val="21"/>
                <w:szCs w:val="21"/>
                <w:highlight w:val="none"/>
                <w:lang w:eastAsia="zh-CN"/>
              </w:rPr>
              <w:t>照明用非</w:t>
            </w:r>
            <w:r>
              <w:rPr>
                <w:rFonts w:hint="eastAsia" w:ascii="宋体" w:hAnsi="宋体" w:cs="宋体"/>
                <w:color w:val="auto"/>
                <w:spacing w:val="24"/>
                <w:sz w:val="21"/>
                <w:szCs w:val="21"/>
                <w:highlight w:val="none"/>
                <w:lang w:eastAsia="zh-CN"/>
              </w:rPr>
              <w:t>定</w:t>
            </w:r>
            <w:r>
              <w:rPr>
                <w:rFonts w:hint="eastAsia" w:ascii="宋体" w:hAnsi="宋体" w:cs="宋体"/>
                <w:color w:val="auto"/>
                <w:sz w:val="21"/>
                <w:szCs w:val="21"/>
                <w:highlight w:val="none"/>
                <w:lang w:eastAsia="zh-CN"/>
              </w:rPr>
              <w:t>向自镇流</w:t>
            </w:r>
            <w:r>
              <w:rPr>
                <w:rFonts w:hint="eastAsia" w:ascii="宋体" w:hAnsi="宋体" w:cs="宋体"/>
                <w:color w:val="auto"/>
                <w:spacing w:val="1"/>
                <w:sz w:val="21"/>
                <w:szCs w:val="21"/>
                <w:highlight w:val="none"/>
                <w:lang w:eastAsia="zh-CN"/>
              </w:rPr>
              <w:t>LE</w:t>
            </w:r>
            <w:r>
              <w:rPr>
                <w:rFonts w:hint="eastAsia" w:ascii="宋体" w:hAnsi="宋体" w:cs="宋体"/>
                <w:color w:val="auto"/>
                <w:sz w:val="21"/>
                <w:szCs w:val="21"/>
                <w:highlight w:val="none"/>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6098703D">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316BD49">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396D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3358C93">
            <w:pPr>
              <w:pStyle w:val="26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385E8AF7">
            <w:pPr>
              <w:pStyle w:val="263"/>
              <w:spacing w:before="81"/>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E05FBFA">
            <w:pPr>
              <w:pStyle w:val="263"/>
              <w:spacing w:before="81" w:line="276" w:lineRule="auto"/>
              <w:ind w:left="7" w:right="5"/>
              <w:jc w:val="center"/>
              <w:rPr>
                <w:rFonts w:ascii="宋体" w:hAnsi="宋体" w:cs="宋体"/>
                <w:color w:val="auto"/>
                <w:sz w:val="21"/>
                <w:szCs w:val="21"/>
                <w:highlight w:val="none"/>
                <w:lang w:eastAsia="zh-CN"/>
              </w:rPr>
            </w:pPr>
            <w:r>
              <w:rPr>
                <w:rFonts w:hint="eastAsia" w:ascii="宋体" w:hAnsi="宋体" w:cs="宋体"/>
                <w:color w:val="auto"/>
                <w:spacing w:val="1"/>
                <w:sz w:val="21"/>
                <w:szCs w:val="21"/>
                <w:highlight w:val="none"/>
                <w:lang w:eastAsia="zh-CN"/>
              </w:rPr>
              <w:t>A02</w:t>
            </w:r>
            <w:r>
              <w:rPr>
                <w:rFonts w:hint="eastAsia" w:ascii="宋体" w:hAnsi="宋体" w:cs="宋体"/>
                <w:color w:val="auto"/>
                <w:sz w:val="21"/>
                <w:szCs w:val="21"/>
                <w:highlight w:val="none"/>
                <w:lang w:eastAsia="zh-CN"/>
              </w:rPr>
              <w:t>09</w:t>
            </w:r>
            <w:r>
              <w:rPr>
                <w:rFonts w:hint="eastAsia" w:ascii="宋体" w:hAnsi="宋体" w:cs="宋体"/>
                <w:color w:val="auto"/>
                <w:spacing w:val="1"/>
                <w:sz w:val="21"/>
                <w:szCs w:val="21"/>
                <w:highlight w:val="none"/>
                <w:lang w:eastAsia="zh-CN"/>
              </w:rPr>
              <w:t>1</w:t>
            </w:r>
            <w:r>
              <w:rPr>
                <w:rFonts w:hint="eastAsia" w:ascii="宋体" w:hAnsi="宋体" w:cs="宋体"/>
                <w:color w:val="auto"/>
                <w:sz w:val="21"/>
                <w:szCs w:val="21"/>
                <w:highlight w:val="none"/>
                <w:lang w:eastAsia="zh-CN"/>
              </w:rPr>
              <w:t>001普通电视设备（</w:t>
            </w:r>
            <w:r>
              <w:rPr>
                <w:rFonts w:hint="eastAsia" w:ascii="宋体" w:hAnsi="宋体" w:cs="宋体"/>
                <w:color w:val="auto"/>
                <w:spacing w:val="2"/>
                <w:sz w:val="21"/>
                <w:szCs w:val="21"/>
                <w:highlight w:val="none"/>
                <w:lang w:eastAsia="zh-CN"/>
              </w:rPr>
              <w:t>电</w:t>
            </w:r>
            <w:r>
              <w:rPr>
                <w:rFonts w:hint="eastAsia" w:ascii="宋体" w:hAnsi="宋体" w:cs="宋体"/>
                <w:color w:val="auto"/>
                <w:sz w:val="21"/>
                <w:szCs w:val="21"/>
                <w:highlight w:val="none"/>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6A072EB">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4659E0E">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《平板电视能效限定值及能效等级》（GB24850）</w:t>
            </w:r>
          </w:p>
        </w:tc>
      </w:tr>
      <w:tr w14:paraId="0FC2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EA97F6F">
            <w:pPr>
              <w:pStyle w:val="26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378A81F1">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7A7D25E">
            <w:pPr>
              <w:pStyle w:val="263"/>
              <w:spacing w:line="276" w:lineRule="auto"/>
              <w:ind w:right="5"/>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09</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5C3E357E">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监视器</w:t>
            </w:r>
          </w:p>
        </w:tc>
        <w:tc>
          <w:tcPr>
            <w:tcW w:w="3452" w:type="dxa"/>
            <w:tcBorders>
              <w:top w:val="single" w:color="000000" w:sz="4" w:space="0"/>
              <w:left w:val="single" w:color="000000" w:sz="4" w:space="0"/>
              <w:bottom w:val="single" w:color="000000" w:sz="4" w:space="0"/>
              <w:right w:val="single" w:color="000000" w:sz="4" w:space="0"/>
            </w:tcBorders>
          </w:tcPr>
          <w:p w14:paraId="5996F857">
            <w:pPr>
              <w:pStyle w:val="26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0849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2563961">
            <w:pPr>
              <w:pStyle w:val="26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60E3F71B">
            <w:pPr>
              <w:pStyle w:val="263"/>
              <w:spacing w:before="7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A02241000</w:t>
            </w:r>
            <w:r>
              <w:rPr>
                <w:rFonts w:hint="eastAsia" w:ascii="宋体" w:hAnsi="宋体" w:cs="宋体"/>
                <w:color w:val="auto"/>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248BC1D8">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商用燃</w:t>
            </w:r>
            <w:r>
              <w:rPr>
                <w:rFonts w:hint="eastAsia" w:ascii="宋体" w:hAnsi="宋体" w:cs="宋体"/>
                <w:color w:val="auto"/>
                <w:spacing w:val="2"/>
                <w:sz w:val="21"/>
                <w:szCs w:val="21"/>
                <w:highlight w:val="none"/>
              </w:rPr>
              <w:t>气</w:t>
            </w:r>
            <w:r>
              <w:rPr>
                <w:rFonts w:hint="eastAsia" w:ascii="宋体" w:hAnsi="宋体" w:cs="宋体"/>
                <w:color w:val="auto"/>
                <w:sz w:val="21"/>
                <w:szCs w:val="21"/>
                <w:highlight w:val="none"/>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209838B0">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AC37AC7">
            <w:pPr>
              <w:pStyle w:val="26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《商用燃气灶具能效限定值及能效等级》（GB30531）</w:t>
            </w:r>
          </w:p>
        </w:tc>
      </w:tr>
      <w:tr w14:paraId="3417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409F0B0">
            <w:pPr>
              <w:jc w:val="center"/>
              <w:rPr>
                <w:rFonts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C635E3C">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A05020105</w:t>
            </w:r>
            <w:r>
              <w:rPr>
                <w:rFonts w:hint="eastAsia" w:ascii="宋体" w:hAnsi="宋体" w:cs="宋体"/>
                <w:color w:val="auto"/>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B231CE1">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3D17D1F5">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5DE8556">
            <w:pPr>
              <w:pStyle w:val="26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《坐便器水效限定值及水效等级》</w:t>
            </w:r>
          </w:p>
          <w:p w14:paraId="54AE0C35">
            <w:pPr>
              <w:pStyle w:val="26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（GB25502）</w:t>
            </w:r>
          </w:p>
        </w:tc>
      </w:tr>
      <w:tr w14:paraId="18D4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8ADC518">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D6F14F1">
            <w:pPr>
              <w:widowControl/>
              <w:jc w:val="left"/>
              <w:rPr>
                <w:rFonts w:ascii="宋体" w:hAnsi="宋体" w:cs="宋体"/>
                <w:color w:val="auto"/>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98338B1">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A22C1A7">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26C1E53">
            <w:pPr>
              <w:pStyle w:val="26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《蹲便器用水效率限定值及用水效率等级》（GB30717）</w:t>
            </w:r>
          </w:p>
        </w:tc>
      </w:tr>
      <w:tr w14:paraId="5E1F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13EBE0F">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F0DF7F3">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5EE0F73">
            <w:pPr>
              <w:pStyle w:val="263"/>
              <w:jc w:val="center"/>
              <w:rPr>
                <w:rFonts w:ascii="宋体" w:hAnsi="宋体" w:cs="宋体"/>
                <w:color w:val="auto"/>
                <w:sz w:val="21"/>
                <w:szCs w:val="21"/>
                <w:highlight w:val="none"/>
              </w:rPr>
            </w:pPr>
            <w:r>
              <w:rPr>
                <w:rFonts w:hint="eastAsia" w:ascii="宋体" w:hAnsi="宋体" w:cs="宋体"/>
                <w:color w:val="auto"/>
                <w:sz w:val="21"/>
                <w:szCs w:val="21"/>
                <w:highlight w:val="none"/>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8D39774">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8660D76">
            <w:pPr>
              <w:pStyle w:val="26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《小便器用水效率限定值及用水效率等级》（GB28377）</w:t>
            </w:r>
          </w:p>
        </w:tc>
      </w:tr>
      <w:tr w14:paraId="126D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44A5ED5">
            <w:pPr>
              <w:pStyle w:val="263"/>
              <w:jc w:val="center"/>
              <w:rPr>
                <w:rFonts w:ascii="宋体" w:hAnsi="宋体" w:cs="宋体"/>
                <w:color w:val="auto"/>
                <w:sz w:val="21"/>
                <w:szCs w:val="21"/>
                <w:highlight w:val="none"/>
              </w:rPr>
            </w:pPr>
            <w:r>
              <w:rPr>
                <w:rFonts w:hint="eastAsia" w:ascii="宋体" w:hAnsi="宋体"/>
                <w:color w:val="auto"/>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6424FCC0">
            <w:pPr>
              <w:pStyle w:val="263"/>
              <w:spacing w:before="153"/>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A05020106</w:t>
            </w:r>
            <w:r>
              <w:rPr>
                <w:rFonts w:hint="eastAsia" w:ascii="宋体" w:hAnsi="宋体" w:cs="宋体"/>
                <w:color w:val="auto"/>
                <w:sz w:val="21"/>
                <w:szCs w:val="21"/>
                <w:highlight w:val="none"/>
              </w:rPr>
              <w:t>水嘴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7A0136D3">
            <w:pPr>
              <w:jc w:val="center"/>
              <w:rPr>
                <w:rFonts w:ascii="宋体" w:hAnsi="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BA13E22">
            <w:pPr>
              <w:jc w:val="center"/>
              <w:rPr>
                <w:rFonts w:ascii="宋体" w:hAnsi="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13D94D09">
            <w:pPr>
              <w:pStyle w:val="263"/>
              <w:spacing w:before="153"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《水嘴用水效率限定值及用水效</w:t>
            </w:r>
            <w:r>
              <w:rPr>
                <w:rFonts w:hint="eastAsia" w:ascii="宋体" w:hAnsi="宋体" w:cs="宋体"/>
                <w:color w:val="auto"/>
                <w:sz w:val="21"/>
                <w:szCs w:val="21"/>
                <w:highlight w:val="none"/>
                <w:lang w:eastAsia="zh-CN"/>
              </w:rPr>
              <w:t>率等级》（GB 25501）</w:t>
            </w:r>
          </w:p>
        </w:tc>
      </w:tr>
      <w:tr w14:paraId="2519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C70D752">
            <w:pPr>
              <w:pStyle w:val="263"/>
              <w:jc w:val="center"/>
              <w:rPr>
                <w:rFonts w:ascii="宋体" w:hAnsi="宋体" w:cs="宋体"/>
                <w:color w:val="auto"/>
                <w:sz w:val="21"/>
                <w:szCs w:val="21"/>
                <w:highlight w:val="none"/>
              </w:rPr>
            </w:pPr>
            <w:r>
              <w:rPr>
                <w:rFonts w:hint="eastAsia" w:ascii="宋体" w:hAnsi="宋体"/>
                <w:color w:val="auto"/>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100167C4">
            <w:pPr>
              <w:pStyle w:val="263"/>
              <w:spacing w:before="11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A05020107</w:t>
            </w:r>
            <w:r>
              <w:rPr>
                <w:rFonts w:hint="eastAsia" w:ascii="宋体" w:hAnsi="宋体" w:cs="宋体"/>
                <w:color w:val="auto"/>
                <w:sz w:val="21"/>
                <w:szCs w:val="21"/>
                <w:highlight w:val="none"/>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20F6912A">
            <w:pPr>
              <w:jc w:val="center"/>
              <w:rPr>
                <w:rFonts w:ascii="宋体" w:hAnsi="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E2BAC42">
            <w:pPr>
              <w:jc w:val="center"/>
              <w:rPr>
                <w:rFonts w:ascii="宋体" w:hAnsi="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5C7C3C10">
            <w:pPr>
              <w:pStyle w:val="263"/>
              <w:spacing w:before="112"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《便器冲洗阀用水效率限定值及</w:t>
            </w:r>
            <w:r>
              <w:rPr>
                <w:rFonts w:hint="eastAsia" w:ascii="宋体" w:hAnsi="宋体" w:cs="宋体"/>
                <w:color w:val="auto"/>
                <w:sz w:val="21"/>
                <w:szCs w:val="21"/>
                <w:highlight w:val="none"/>
                <w:lang w:eastAsia="zh-CN"/>
              </w:rPr>
              <w:t>用水效率等级》（GB28379）</w:t>
            </w:r>
          </w:p>
        </w:tc>
      </w:tr>
      <w:tr w14:paraId="734E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E3CA7B1">
            <w:pPr>
              <w:pStyle w:val="263"/>
              <w:jc w:val="center"/>
              <w:rPr>
                <w:rFonts w:ascii="宋体" w:hAnsi="宋体" w:cs="宋体"/>
                <w:color w:val="auto"/>
                <w:sz w:val="21"/>
                <w:szCs w:val="21"/>
                <w:highlight w:val="none"/>
              </w:rPr>
            </w:pPr>
            <w:r>
              <w:rPr>
                <w:rFonts w:hint="eastAsia" w:ascii="宋体" w:hAnsi="宋体"/>
                <w:color w:val="auto"/>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07FA0AC5">
            <w:pPr>
              <w:pStyle w:val="263"/>
              <w:spacing w:before="131"/>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A05020110</w:t>
            </w:r>
            <w:r>
              <w:rPr>
                <w:rFonts w:hint="eastAsia" w:ascii="宋体" w:hAnsi="宋体" w:cs="宋体"/>
                <w:color w:val="auto"/>
                <w:sz w:val="21"/>
                <w:szCs w:val="21"/>
                <w:highlight w:val="none"/>
              </w:rPr>
              <w:t>淋浴器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E7BD666">
            <w:pPr>
              <w:jc w:val="center"/>
              <w:rPr>
                <w:rFonts w:ascii="宋体" w:hAnsi="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FDCCEB0">
            <w:pPr>
              <w:jc w:val="center"/>
              <w:rPr>
                <w:rFonts w:ascii="宋体" w:hAnsi="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24F2024B">
            <w:pPr>
              <w:pStyle w:val="26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《淋浴器用水效率限定值及用水</w:t>
            </w:r>
            <w:r>
              <w:rPr>
                <w:rFonts w:hint="eastAsia" w:ascii="宋体" w:hAnsi="宋体" w:cs="宋体"/>
                <w:color w:val="auto"/>
                <w:sz w:val="21"/>
                <w:szCs w:val="21"/>
                <w:highlight w:val="none"/>
                <w:lang w:eastAsia="zh-CN"/>
              </w:rPr>
              <w:t>效率等级》（GB28378）</w:t>
            </w:r>
          </w:p>
        </w:tc>
      </w:tr>
    </w:tbl>
    <w:p w14:paraId="2C7F66CD">
      <w:pPr>
        <w:pStyle w:val="18"/>
        <w:spacing w:line="360" w:lineRule="auto"/>
        <w:rPr>
          <w:rFonts w:ascii="宋体" w:hAnsi="宋体"/>
          <w:color w:val="auto"/>
          <w:sz w:val="21"/>
          <w:szCs w:val="21"/>
          <w:highlight w:val="none"/>
        </w:rPr>
      </w:pPr>
      <w:r>
        <w:rPr>
          <w:rFonts w:hint="eastAsia" w:ascii="宋体" w:hAnsi="宋体"/>
          <w:color w:val="auto"/>
          <w:spacing w:val="-3"/>
          <w:sz w:val="21"/>
          <w:szCs w:val="21"/>
          <w:highlight w:val="none"/>
        </w:rPr>
        <w:t>注：</w:t>
      </w:r>
      <w:r>
        <w:rPr>
          <w:rFonts w:ascii="宋体" w:hAnsi="宋体"/>
          <w:color w:val="auto"/>
          <w:spacing w:val="-3"/>
          <w:sz w:val="21"/>
          <w:szCs w:val="21"/>
          <w:highlight w:val="none"/>
        </w:rPr>
        <w:t>1.</w:t>
      </w:r>
      <w:r>
        <w:rPr>
          <w:rFonts w:hint="eastAsia" w:ascii="宋体" w:hAnsi="宋体"/>
          <w:color w:val="auto"/>
          <w:spacing w:val="-3"/>
          <w:sz w:val="21"/>
          <w:szCs w:val="21"/>
          <w:highlight w:val="none"/>
        </w:rPr>
        <w:t>节能产品认证应依据相关国家标准的最新版本，依据国家标准中二级能效（水效）</w:t>
      </w:r>
      <w:r>
        <w:rPr>
          <w:rFonts w:hint="eastAsia" w:ascii="宋体" w:hAnsi="宋体"/>
          <w:color w:val="auto"/>
          <w:sz w:val="21"/>
          <w:szCs w:val="21"/>
          <w:highlight w:val="none"/>
        </w:rPr>
        <w:t>指标。</w:t>
      </w:r>
    </w:p>
    <w:p w14:paraId="2E979E11">
      <w:pPr>
        <w:pStyle w:val="18"/>
        <w:spacing w:line="360" w:lineRule="auto"/>
        <w:ind w:firstLine="465"/>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.以</w:t>
      </w:r>
      <w:r>
        <w:rPr>
          <w:rFonts w:ascii="宋体" w:hAnsi="宋体"/>
          <w:color w:val="auto"/>
          <w:sz w:val="21"/>
          <w:szCs w:val="21"/>
          <w:highlight w:val="none"/>
        </w:rPr>
        <w:t>“</w:t>
      </w:r>
      <w:r>
        <w:rPr>
          <w:rFonts w:hint="eastAsia" w:ascii="宋体" w:hAnsi="宋体"/>
          <w:color w:val="auto"/>
          <w:sz w:val="21"/>
          <w:szCs w:val="21"/>
          <w:highlight w:val="none"/>
        </w:rPr>
        <w:t>★</w:t>
      </w:r>
      <w:r>
        <w:rPr>
          <w:rFonts w:ascii="宋体" w:hAnsi="宋体"/>
          <w:color w:val="auto"/>
          <w:sz w:val="21"/>
          <w:szCs w:val="21"/>
          <w:highlight w:val="none"/>
        </w:rPr>
        <w:t>”</w:t>
      </w:r>
      <w:r>
        <w:rPr>
          <w:rFonts w:hint="eastAsia" w:ascii="宋体" w:hAnsi="宋体"/>
          <w:color w:val="auto"/>
          <w:sz w:val="21"/>
          <w:szCs w:val="21"/>
          <w:highlight w:val="none"/>
        </w:rPr>
        <w:t>标注的为政府强制采购产品。</w:t>
      </w:r>
    </w:p>
    <w:p w14:paraId="0997B29E">
      <w:pPr>
        <w:pStyle w:val="18"/>
        <w:spacing w:line="360" w:lineRule="auto"/>
        <w:ind w:firstLine="465"/>
        <w:rPr>
          <w:rFonts w:ascii="宋体" w:hAnsi="宋体"/>
          <w:color w:val="auto"/>
          <w:sz w:val="21"/>
          <w:szCs w:val="21"/>
          <w:highlight w:val="none"/>
        </w:rPr>
      </w:pPr>
      <w:r>
        <w:rPr>
          <w:rFonts w:hint="eastAsia" w:ascii="宋体" w:hAnsi="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1BAC12F8">
      <w:pPr>
        <w:widowControl/>
        <w:jc w:val="left"/>
        <w:rPr>
          <w:rFonts w:ascii="宋体" w:hAnsi="宋体" w:cs="宋体"/>
          <w:color w:val="auto"/>
          <w:sz w:val="20"/>
          <w:szCs w:val="20"/>
          <w:highlight w:val="none"/>
        </w:rPr>
      </w:pPr>
    </w:p>
    <w:p w14:paraId="33607715">
      <w:pPr>
        <w:widowControl/>
        <w:jc w:val="left"/>
        <w:rPr>
          <w:rFonts w:ascii="宋体" w:hAnsi="宋体" w:cs="宋体"/>
          <w:color w:val="auto"/>
          <w:sz w:val="20"/>
          <w:szCs w:val="20"/>
          <w:highlight w:val="none"/>
        </w:rPr>
      </w:pPr>
    </w:p>
    <w:p w14:paraId="16C522F1">
      <w:pPr>
        <w:widowControl/>
        <w:jc w:val="left"/>
        <w:rPr>
          <w:rFonts w:ascii="黑体" w:hAnsi="黑体" w:eastAsia="黑体" w:cs="黑体"/>
          <w:color w:val="auto"/>
          <w:sz w:val="32"/>
          <w:szCs w:val="32"/>
          <w:highlight w:val="none"/>
        </w:rPr>
      </w:pPr>
      <w:r>
        <w:rPr>
          <w:rFonts w:ascii="宋体" w:hAnsi="宋体" w:cs="宋体"/>
          <w:color w:val="auto"/>
          <w:sz w:val="20"/>
          <w:szCs w:val="20"/>
          <w:highlight w:val="none"/>
        </w:rPr>
        <w:br w:type="page" w:clear="all"/>
      </w:r>
      <w:r>
        <w:rPr>
          <w:rFonts w:hint="eastAsia" w:ascii="黑体" w:hAnsi="黑体" w:eastAsia="黑体" w:cs="黑体"/>
          <w:color w:val="auto"/>
          <w:sz w:val="32"/>
          <w:szCs w:val="32"/>
          <w:highlight w:val="none"/>
        </w:rPr>
        <w:t>附件2：</w:t>
      </w:r>
    </w:p>
    <w:p w14:paraId="23DA47E0">
      <w:pPr>
        <w:pStyle w:val="18"/>
        <w:jc w:val="center"/>
        <w:rPr>
          <w:b/>
          <w:color w:val="auto"/>
          <w:sz w:val="28"/>
          <w:szCs w:val="28"/>
          <w:highlight w:val="none"/>
        </w:rPr>
      </w:pPr>
      <w:r>
        <w:rPr>
          <w:rFonts w:hint="eastAsia"/>
          <w:b/>
          <w:color w:val="auto"/>
          <w:sz w:val="28"/>
          <w:szCs w:val="28"/>
          <w:highlight w:val="none"/>
        </w:rPr>
        <w:t>中小企业划型标准规定</w:t>
      </w:r>
    </w:p>
    <w:p w14:paraId="08042B6E">
      <w:pPr>
        <w:pStyle w:val="18"/>
        <w:jc w:val="center"/>
        <w:rPr>
          <w:rFonts w:ascii="宋体" w:hAnsi="宋体"/>
          <w:color w:val="auto"/>
          <w:sz w:val="21"/>
          <w:szCs w:val="21"/>
          <w:highlight w:val="none"/>
        </w:rPr>
      </w:pPr>
      <w:r>
        <w:rPr>
          <w:rFonts w:hint="eastAsia" w:ascii="宋体" w:hAnsi="宋体"/>
          <w:color w:val="auto"/>
          <w:sz w:val="21"/>
          <w:szCs w:val="21"/>
          <w:highlight w:val="none"/>
        </w:rPr>
        <w:t>工信部联企业[2011]300号</w:t>
      </w:r>
    </w:p>
    <w:p w14:paraId="2302C047">
      <w:pPr>
        <w:pStyle w:val="18"/>
        <w:rPr>
          <w:color w:val="auto"/>
          <w:sz w:val="21"/>
          <w:szCs w:val="21"/>
          <w:highlight w:val="none"/>
        </w:rPr>
      </w:pPr>
    </w:p>
    <w:p w14:paraId="3B9728CD">
      <w:pPr>
        <w:pStyle w:val="18"/>
        <w:rPr>
          <w:color w:val="auto"/>
          <w:sz w:val="21"/>
          <w:szCs w:val="21"/>
          <w:highlight w:val="none"/>
        </w:rPr>
      </w:pPr>
      <w:r>
        <w:rPr>
          <w:rFonts w:hint="eastAsia"/>
          <w:color w:val="auto"/>
          <w:sz w:val="21"/>
          <w:szCs w:val="21"/>
          <w:highlight w:val="none"/>
        </w:rPr>
        <w:t>　　一、根据《中华人民共和国中小企业促进法》和《国务院关于进一步促进中小企业发展的若干意见》(国发[2009]36号)，制定本规定。</w:t>
      </w:r>
    </w:p>
    <w:p w14:paraId="3105257A">
      <w:pPr>
        <w:pStyle w:val="18"/>
        <w:rPr>
          <w:color w:val="auto"/>
          <w:sz w:val="21"/>
          <w:szCs w:val="21"/>
          <w:highlight w:val="none"/>
        </w:rPr>
      </w:pPr>
      <w:r>
        <w:rPr>
          <w:rFonts w:hint="eastAsia"/>
          <w:color w:val="auto"/>
          <w:sz w:val="21"/>
          <w:szCs w:val="21"/>
          <w:highlight w:val="none"/>
        </w:rPr>
        <w:t>　　二、中小企业划分为中型、小型、微型三种类型，具体标准根据企业从业人员、营业收入、资产总额等指标，结合行业特点制定。</w:t>
      </w:r>
    </w:p>
    <w:p w14:paraId="2D7B8D77">
      <w:pPr>
        <w:pStyle w:val="18"/>
        <w:rPr>
          <w:color w:val="auto"/>
          <w:sz w:val="21"/>
          <w:szCs w:val="21"/>
          <w:highlight w:val="none"/>
        </w:rPr>
      </w:pPr>
      <w:r>
        <w:rPr>
          <w:rFonts w:hint="eastAsia"/>
          <w:color w:val="auto"/>
          <w:sz w:val="21"/>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7EEE764">
      <w:pPr>
        <w:pStyle w:val="18"/>
        <w:rPr>
          <w:color w:val="auto"/>
          <w:sz w:val="21"/>
          <w:szCs w:val="21"/>
          <w:highlight w:val="none"/>
        </w:rPr>
      </w:pPr>
      <w:r>
        <w:rPr>
          <w:rFonts w:hint="eastAsia"/>
          <w:color w:val="auto"/>
          <w:sz w:val="21"/>
          <w:szCs w:val="21"/>
          <w:highlight w:val="none"/>
        </w:rPr>
        <w:t>　　四、各行业划型标准为：</w:t>
      </w:r>
    </w:p>
    <w:p w14:paraId="232FED60">
      <w:pPr>
        <w:pStyle w:val="18"/>
        <w:rPr>
          <w:color w:val="auto"/>
          <w:sz w:val="21"/>
          <w:szCs w:val="21"/>
          <w:highlight w:val="none"/>
        </w:rPr>
      </w:pPr>
      <w:r>
        <w:rPr>
          <w:rFonts w:hint="eastAsia"/>
          <w:color w:val="auto"/>
          <w:sz w:val="21"/>
          <w:szCs w:val="21"/>
          <w:highlight w:val="none"/>
        </w:rPr>
        <w:t>　　（一）农、林、牧、渔业。营业收入20000万元以下的为中小微型企业。其中，营业收入500万元及以上的为中型企业，营业收入50万元及以上的为小型企业，营业收入50万元以下的为微型企业。</w:t>
      </w:r>
    </w:p>
    <w:p w14:paraId="00B25412">
      <w:pPr>
        <w:pStyle w:val="18"/>
        <w:rPr>
          <w:color w:val="auto"/>
          <w:sz w:val="21"/>
          <w:szCs w:val="21"/>
          <w:highlight w:val="none"/>
        </w:rPr>
      </w:pPr>
      <w:r>
        <w:rPr>
          <w:rFonts w:hint="eastAsia"/>
          <w:color w:val="auto"/>
          <w:sz w:val="21"/>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44FE1FF">
      <w:pPr>
        <w:pStyle w:val="18"/>
        <w:rPr>
          <w:color w:val="auto"/>
          <w:sz w:val="21"/>
          <w:szCs w:val="21"/>
          <w:highlight w:val="none"/>
        </w:rPr>
      </w:pPr>
      <w:r>
        <w:rPr>
          <w:rFonts w:hint="eastAsia"/>
          <w:color w:val="auto"/>
          <w:sz w:val="21"/>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79DDAF7">
      <w:pPr>
        <w:pStyle w:val="18"/>
        <w:rPr>
          <w:color w:val="auto"/>
          <w:sz w:val="21"/>
          <w:szCs w:val="21"/>
          <w:highlight w:val="none"/>
        </w:rPr>
      </w:pPr>
      <w:r>
        <w:rPr>
          <w:rFonts w:hint="eastAsia"/>
          <w:color w:val="auto"/>
          <w:sz w:val="21"/>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DE6072E">
      <w:pPr>
        <w:pStyle w:val="18"/>
        <w:rPr>
          <w:color w:val="auto"/>
          <w:sz w:val="21"/>
          <w:szCs w:val="21"/>
          <w:highlight w:val="none"/>
        </w:rPr>
      </w:pPr>
      <w:r>
        <w:rPr>
          <w:rFonts w:hint="eastAsia"/>
          <w:color w:val="auto"/>
          <w:sz w:val="21"/>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CAE3433">
      <w:pPr>
        <w:pStyle w:val="18"/>
        <w:rPr>
          <w:color w:val="auto"/>
          <w:sz w:val="21"/>
          <w:szCs w:val="21"/>
          <w:highlight w:val="none"/>
        </w:rPr>
      </w:pPr>
      <w:r>
        <w:rPr>
          <w:rFonts w:hint="eastAsia"/>
          <w:color w:val="auto"/>
          <w:sz w:val="21"/>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62153CC0">
      <w:pPr>
        <w:pStyle w:val="18"/>
        <w:rPr>
          <w:color w:val="auto"/>
          <w:sz w:val="21"/>
          <w:szCs w:val="21"/>
          <w:highlight w:val="none"/>
        </w:rPr>
      </w:pPr>
      <w:r>
        <w:rPr>
          <w:rFonts w:hint="eastAsia"/>
          <w:color w:val="auto"/>
          <w:sz w:val="21"/>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3C882BD">
      <w:pPr>
        <w:pStyle w:val="18"/>
        <w:rPr>
          <w:color w:val="auto"/>
          <w:sz w:val="21"/>
          <w:szCs w:val="21"/>
          <w:highlight w:val="none"/>
        </w:rPr>
      </w:pPr>
      <w:r>
        <w:rPr>
          <w:rFonts w:hint="eastAsia"/>
          <w:color w:val="auto"/>
          <w:sz w:val="21"/>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E4C8991">
      <w:pPr>
        <w:pStyle w:val="18"/>
        <w:rPr>
          <w:color w:val="auto"/>
          <w:sz w:val="21"/>
          <w:szCs w:val="21"/>
          <w:highlight w:val="none"/>
        </w:rPr>
      </w:pPr>
      <w:r>
        <w:rPr>
          <w:rFonts w:hint="eastAsia"/>
          <w:color w:val="auto"/>
          <w:sz w:val="21"/>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94651A5">
      <w:pPr>
        <w:pStyle w:val="18"/>
        <w:rPr>
          <w:color w:val="auto"/>
          <w:sz w:val="21"/>
          <w:szCs w:val="21"/>
          <w:highlight w:val="none"/>
        </w:rPr>
      </w:pPr>
      <w:r>
        <w:rPr>
          <w:rFonts w:hint="eastAsia"/>
          <w:color w:val="auto"/>
          <w:sz w:val="21"/>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9B71C35">
      <w:pPr>
        <w:pStyle w:val="18"/>
        <w:rPr>
          <w:color w:val="auto"/>
          <w:sz w:val="21"/>
          <w:szCs w:val="21"/>
          <w:highlight w:val="none"/>
        </w:rPr>
      </w:pPr>
      <w:r>
        <w:rPr>
          <w:rFonts w:hint="eastAsia"/>
          <w:color w:val="auto"/>
          <w:sz w:val="21"/>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0C1DB12">
      <w:pPr>
        <w:pStyle w:val="18"/>
        <w:rPr>
          <w:color w:val="auto"/>
          <w:sz w:val="21"/>
          <w:szCs w:val="21"/>
          <w:highlight w:val="none"/>
        </w:rPr>
      </w:pPr>
      <w:r>
        <w:rPr>
          <w:rFonts w:hint="eastAsia"/>
          <w:color w:val="auto"/>
          <w:sz w:val="21"/>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7FE15C2">
      <w:pPr>
        <w:pStyle w:val="18"/>
        <w:rPr>
          <w:color w:val="auto"/>
          <w:sz w:val="21"/>
          <w:szCs w:val="21"/>
          <w:highlight w:val="none"/>
        </w:rPr>
      </w:pPr>
      <w:r>
        <w:rPr>
          <w:rFonts w:hint="eastAsia"/>
          <w:color w:val="auto"/>
          <w:sz w:val="21"/>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995939B">
      <w:pPr>
        <w:pStyle w:val="18"/>
        <w:rPr>
          <w:color w:val="auto"/>
          <w:sz w:val="21"/>
          <w:szCs w:val="21"/>
          <w:highlight w:val="none"/>
        </w:rPr>
      </w:pPr>
      <w:r>
        <w:rPr>
          <w:rFonts w:hint="eastAsia"/>
          <w:color w:val="auto"/>
          <w:sz w:val="21"/>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A4CA33B">
      <w:pPr>
        <w:pStyle w:val="18"/>
        <w:rPr>
          <w:color w:val="auto"/>
          <w:sz w:val="21"/>
          <w:szCs w:val="21"/>
          <w:highlight w:val="none"/>
        </w:rPr>
      </w:pPr>
      <w:r>
        <w:rPr>
          <w:rFonts w:hint="eastAsia"/>
          <w:color w:val="auto"/>
          <w:sz w:val="21"/>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91F0D6F">
      <w:pPr>
        <w:pStyle w:val="18"/>
        <w:rPr>
          <w:color w:val="auto"/>
          <w:sz w:val="21"/>
          <w:szCs w:val="21"/>
          <w:highlight w:val="none"/>
        </w:rPr>
      </w:pPr>
      <w:r>
        <w:rPr>
          <w:rFonts w:hint="eastAsia"/>
          <w:color w:val="auto"/>
          <w:sz w:val="21"/>
          <w:szCs w:val="21"/>
          <w:highlight w:val="none"/>
        </w:rPr>
        <w:t>　　（十六）其他未列明行业。从业人员300人以下的为中小微型企业。其中，从业人员100人及以上的为中型企业；从业人员10人及以上的为小型企业；从业人员10人以下的为微型企业。</w:t>
      </w:r>
    </w:p>
    <w:p w14:paraId="67535707">
      <w:pPr>
        <w:pStyle w:val="18"/>
        <w:rPr>
          <w:color w:val="auto"/>
          <w:sz w:val="21"/>
          <w:szCs w:val="21"/>
          <w:highlight w:val="none"/>
        </w:rPr>
      </w:pPr>
      <w:r>
        <w:rPr>
          <w:rFonts w:hint="eastAsia"/>
          <w:color w:val="auto"/>
          <w:sz w:val="21"/>
          <w:szCs w:val="21"/>
          <w:highlight w:val="none"/>
        </w:rPr>
        <w:t>　　五、企业类型的划分以统计部门的统计数据为依据。</w:t>
      </w:r>
    </w:p>
    <w:p w14:paraId="033EA37A">
      <w:pPr>
        <w:pStyle w:val="18"/>
        <w:rPr>
          <w:color w:val="auto"/>
          <w:sz w:val="21"/>
          <w:szCs w:val="21"/>
          <w:highlight w:val="none"/>
        </w:rPr>
      </w:pPr>
      <w:r>
        <w:rPr>
          <w:rFonts w:hint="eastAsia"/>
          <w:color w:val="auto"/>
          <w:sz w:val="21"/>
          <w:szCs w:val="21"/>
          <w:highlight w:val="none"/>
        </w:rPr>
        <w:t>　　六、本规定适用于在中华人民共和国境内依法设立的各类所有制和各种组织形式的企业。个体工商户和本规定以外的行业，参照本规定进行划型。</w:t>
      </w:r>
    </w:p>
    <w:p w14:paraId="1512436F">
      <w:pPr>
        <w:pStyle w:val="18"/>
        <w:rPr>
          <w:color w:val="auto"/>
          <w:sz w:val="21"/>
          <w:szCs w:val="21"/>
          <w:highlight w:val="none"/>
        </w:rPr>
      </w:pPr>
      <w:r>
        <w:rPr>
          <w:rFonts w:hint="eastAsia"/>
          <w:color w:val="auto"/>
          <w:sz w:val="21"/>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78B1B112">
      <w:pPr>
        <w:pStyle w:val="18"/>
        <w:rPr>
          <w:color w:val="auto"/>
          <w:sz w:val="21"/>
          <w:szCs w:val="21"/>
          <w:highlight w:val="none"/>
        </w:rPr>
      </w:pPr>
      <w:r>
        <w:rPr>
          <w:rFonts w:hint="eastAsia"/>
          <w:color w:val="auto"/>
          <w:sz w:val="21"/>
          <w:szCs w:val="21"/>
          <w:highlight w:val="none"/>
        </w:rPr>
        <w:t>　　八、本规定由工业和信息化部、国家统计局会同有关部门根据《国民经济行业分类》修订情况和企业发展变化情况适时修订。</w:t>
      </w:r>
    </w:p>
    <w:p w14:paraId="53E2F5C6">
      <w:pPr>
        <w:pStyle w:val="18"/>
        <w:rPr>
          <w:color w:val="auto"/>
          <w:sz w:val="21"/>
          <w:szCs w:val="21"/>
          <w:highlight w:val="none"/>
        </w:rPr>
      </w:pPr>
      <w:r>
        <w:rPr>
          <w:rFonts w:hint="eastAsia"/>
          <w:color w:val="auto"/>
          <w:sz w:val="21"/>
          <w:szCs w:val="21"/>
          <w:highlight w:val="none"/>
        </w:rPr>
        <w:t>　　九、本规定由工业和信息化部、国家统计局会同有关部门负责解释。</w:t>
      </w:r>
    </w:p>
    <w:p w14:paraId="44FB9F0C">
      <w:pPr>
        <w:pStyle w:val="18"/>
        <w:ind w:firstLine="420"/>
        <w:rPr>
          <w:color w:val="auto"/>
          <w:sz w:val="21"/>
          <w:szCs w:val="21"/>
          <w:highlight w:val="none"/>
        </w:rPr>
      </w:pPr>
      <w:r>
        <w:rPr>
          <w:rFonts w:hint="eastAsia"/>
          <w:color w:val="auto"/>
          <w:sz w:val="21"/>
          <w:szCs w:val="21"/>
          <w:highlight w:val="none"/>
        </w:rPr>
        <w:t>十、本规定自发布之日起执行，原国家经贸委、原国家计委、财政部和国家统计局2003年颁布的《中小企业标准暂行规定》同时废止。</w:t>
      </w:r>
    </w:p>
    <w:p w14:paraId="04115B57">
      <w:pPr>
        <w:pStyle w:val="18"/>
        <w:ind w:firstLine="420"/>
        <w:rPr>
          <w:color w:val="auto"/>
          <w:sz w:val="21"/>
          <w:szCs w:val="21"/>
          <w:highlight w:val="none"/>
        </w:rPr>
      </w:pPr>
    </w:p>
    <w:p w14:paraId="28E9D320">
      <w:pPr>
        <w:pStyle w:val="2"/>
        <w:spacing w:before="0" w:after="0" w:line="360" w:lineRule="auto"/>
        <w:jc w:val="center"/>
        <w:rPr>
          <w:color w:val="auto"/>
          <w:highlight w:val="none"/>
        </w:rPr>
      </w:pPr>
      <w:bookmarkStart w:id="62" w:name="_Toc74320802"/>
      <w:r>
        <w:rPr>
          <w:color w:val="auto"/>
          <w:highlight w:val="none"/>
        </w:rPr>
        <w:br w:type="page" w:clear="all"/>
      </w:r>
      <w:r>
        <w:rPr>
          <w:rFonts w:hint="eastAsia"/>
          <w:color w:val="auto"/>
          <w:highlight w:val="none"/>
        </w:rPr>
        <w:t>第三章  投标人须知</w:t>
      </w:r>
      <w:bookmarkEnd w:id="62"/>
    </w:p>
    <w:p w14:paraId="2D554725">
      <w:pPr>
        <w:jc w:val="center"/>
        <w:rPr>
          <w:color w:val="auto"/>
          <w:sz w:val="36"/>
          <w:szCs w:val="36"/>
          <w:highlight w:val="none"/>
        </w:rPr>
      </w:pPr>
      <w:bookmarkStart w:id="63" w:name="_Toc254970526"/>
      <w:bookmarkStart w:id="64" w:name="_Toc254970667"/>
      <w:r>
        <w:rPr>
          <w:rFonts w:hint="eastAsia"/>
          <w:color w:val="auto"/>
          <w:sz w:val="36"/>
          <w:szCs w:val="36"/>
          <w:highlight w:val="none"/>
        </w:rPr>
        <w:t>投标人须知前附表</w:t>
      </w:r>
      <w:bookmarkEnd w:id="63"/>
      <w:bookmarkEnd w:id="64"/>
    </w:p>
    <w:tbl>
      <w:tblPr>
        <w:tblStyle w:val="52"/>
        <w:tblW w:w="95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670"/>
      </w:tblGrid>
      <w:tr w14:paraId="0C7F7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B972C16">
            <w:pPr>
              <w:spacing w:line="360" w:lineRule="auto"/>
              <w:jc w:val="left"/>
              <w:rPr>
                <w:rFonts w:ascii="宋体" w:hAnsi="宋体"/>
                <w:color w:val="auto"/>
                <w:szCs w:val="21"/>
                <w:highlight w:val="none"/>
              </w:rPr>
            </w:pPr>
            <w:r>
              <w:rPr>
                <w:rFonts w:hint="eastAsia" w:ascii="宋体" w:hAnsi="宋体"/>
                <w:color w:val="auto"/>
                <w:szCs w:val="21"/>
                <w:highlight w:val="none"/>
              </w:rPr>
              <w:t>条款号</w:t>
            </w:r>
          </w:p>
        </w:tc>
        <w:tc>
          <w:tcPr>
            <w:tcW w:w="8670" w:type="dxa"/>
            <w:tcBorders>
              <w:top w:val="single" w:color="auto" w:sz="4" w:space="0"/>
              <w:left w:val="single" w:color="auto" w:sz="4" w:space="0"/>
              <w:bottom w:val="single" w:color="auto" w:sz="4" w:space="0"/>
              <w:right w:val="single" w:color="auto" w:sz="4" w:space="0"/>
            </w:tcBorders>
            <w:vAlign w:val="center"/>
          </w:tcPr>
          <w:p w14:paraId="31831312">
            <w:pPr>
              <w:spacing w:line="360" w:lineRule="auto"/>
              <w:jc w:val="center"/>
              <w:rPr>
                <w:rFonts w:ascii="宋体" w:hAnsi="宋体"/>
                <w:color w:val="auto"/>
                <w:szCs w:val="21"/>
                <w:highlight w:val="none"/>
              </w:rPr>
            </w:pPr>
            <w:r>
              <w:rPr>
                <w:rFonts w:hint="eastAsia" w:ascii="宋体" w:hAnsi="宋体"/>
                <w:color w:val="auto"/>
                <w:szCs w:val="21"/>
                <w:highlight w:val="none"/>
              </w:rPr>
              <w:t>编列内容</w:t>
            </w:r>
          </w:p>
        </w:tc>
      </w:tr>
      <w:tr w14:paraId="25929D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07FE1A8">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8670" w:type="dxa"/>
            <w:tcBorders>
              <w:top w:val="single" w:color="auto" w:sz="4" w:space="0"/>
              <w:left w:val="single" w:color="auto" w:sz="4" w:space="0"/>
              <w:bottom w:val="single" w:color="auto" w:sz="4" w:space="0"/>
              <w:right w:val="single" w:color="auto" w:sz="4" w:space="0"/>
            </w:tcBorders>
            <w:vAlign w:val="center"/>
          </w:tcPr>
          <w:p w14:paraId="150094D1">
            <w:pPr>
              <w:spacing w:line="360" w:lineRule="auto"/>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5259E4E6">
            <w:pPr>
              <w:spacing w:line="360" w:lineRule="auto"/>
              <w:jc w:val="lef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5DAF36A0">
            <w:pPr>
              <w:spacing w:line="360" w:lineRule="auto"/>
              <w:jc w:val="left"/>
              <w:rPr>
                <w:rFonts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5CF879F">
            <w:pPr>
              <w:spacing w:line="360" w:lineRule="auto"/>
              <w:jc w:val="left"/>
              <w:rPr>
                <w:rFonts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537DDB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49EED37">
            <w:pPr>
              <w:spacing w:line="360" w:lineRule="auto"/>
              <w:jc w:val="center"/>
              <w:rPr>
                <w:rFonts w:ascii="宋体" w:hAnsi="宋体"/>
                <w:color w:val="auto"/>
                <w:szCs w:val="21"/>
                <w:highlight w:val="none"/>
              </w:rPr>
            </w:pPr>
            <w:bookmarkStart w:id="65" w:name="_5"/>
            <w:bookmarkEnd w:id="65"/>
            <w:bookmarkStart w:id="66" w:name="_9.2"/>
            <w:bookmarkEnd w:id="66"/>
            <w:bookmarkStart w:id="67" w:name="_8.1"/>
            <w:bookmarkEnd w:id="67"/>
            <w:r>
              <w:rPr>
                <w:rFonts w:hint="eastAsia" w:ascii="宋体" w:hAnsi="宋体"/>
                <w:color w:val="auto"/>
                <w:szCs w:val="21"/>
                <w:highlight w:val="none"/>
              </w:rPr>
              <w:t>6.1</w:t>
            </w:r>
          </w:p>
        </w:tc>
        <w:tc>
          <w:tcPr>
            <w:tcW w:w="8670" w:type="dxa"/>
            <w:tcBorders>
              <w:top w:val="single" w:color="auto" w:sz="4" w:space="0"/>
              <w:left w:val="single" w:color="auto" w:sz="4" w:space="0"/>
              <w:bottom w:val="single" w:color="auto" w:sz="4" w:space="0"/>
              <w:right w:val="single" w:color="auto" w:sz="4" w:space="0"/>
            </w:tcBorders>
            <w:vAlign w:val="center"/>
          </w:tcPr>
          <w:p w14:paraId="5FFEF806">
            <w:pPr>
              <w:pStyle w:val="16"/>
              <w:spacing w:line="360" w:lineRule="auto"/>
              <w:rPr>
                <w:rFonts w:ascii="宋体" w:hAnsi="宋体"/>
                <w:color w:val="auto"/>
                <w:szCs w:val="21"/>
                <w:highlight w:val="none"/>
              </w:rPr>
            </w:pPr>
            <w:r>
              <w:rPr>
                <w:rFonts w:hint="eastAsia" w:ascii="宋体" w:hAnsi="宋体"/>
                <w:color w:val="auto"/>
                <w:szCs w:val="21"/>
                <w:highlight w:val="none"/>
              </w:rPr>
              <w:t>本项目是否接受联合体投标：详见招标公告。</w:t>
            </w:r>
          </w:p>
        </w:tc>
      </w:tr>
      <w:tr w14:paraId="3F51F6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E6D62A3">
            <w:pPr>
              <w:spacing w:line="360" w:lineRule="auto"/>
              <w:jc w:val="center"/>
              <w:rPr>
                <w:rFonts w:ascii="宋体" w:hAnsi="宋体"/>
                <w:color w:val="auto"/>
                <w:szCs w:val="21"/>
                <w:highlight w:val="none"/>
              </w:rPr>
            </w:pPr>
            <w:r>
              <w:rPr>
                <w:rFonts w:ascii="宋体" w:hAnsi="宋体"/>
                <w:color w:val="auto"/>
                <w:szCs w:val="21"/>
                <w:highlight w:val="none"/>
              </w:rPr>
              <w:t>6.2</w:t>
            </w:r>
          </w:p>
        </w:tc>
        <w:tc>
          <w:tcPr>
            <w:tcW w:w="8670" w:type="dxa"/>
            <w:tcBorders>
              <w:top w:val="single" w:color="auto" w:sz="4" w:space="0"/>
              <w:left w:val="single" w:color="auto" w:sz="4" w:space="0"/>
              <w:bottom w:val="single" w:color="auto" w:sz="4" w:space="0"/>
              <w:right w:val="single" w:color="auto" w:sz="4" w:space="0"/>
            </w:tcBorders>
            <w:vAlign w:val="center"/>
          </w:tcPr>
          <w:p w14:paraId="656DC601">
            <w:pPr>
              <w:pStyle w:val="16"/>
              <w:spacing w:line="360" w:lineRule="auto"/>
              <w:rPr>
                <w:rFonts w:ascii="宋体" w:hAnsi="宋体"/>
                <w:color w:val="auto"/>
                <w:szCs w:val="21"/>
                <w:highlight w:val="none"/>
              </w:rPr>
            </w:pPr>
            <w:bookmarkStart w:id="68" w:name="_Hlk54105293"/>
            <w:r>
              <w:rPr>
                <w:rFonts w:hint="eastAsia" w:ascii="宋体" w:hAnsi="宋体"/>
                <w:color w:val="auto"/>
                <w:szCs w:val="21"/>
                <w:highlight w:val="none"/>
              </w:rPr>
              <w:t>如接受联合体投标，</w:t>
            </w:r>
            <w:bookmarkEnd w:id="68"/>
            <w:r>
              <w:rPr>
                <w:rFonts w:hint="eastAsia" w:ascii="宋体" w:hAnsi="宋体"/>
                <w:color w:val="auto"/>
                <w:szCs w:val="21"/>
                <w:highlight w:val="none"/>
              </w:rPr>
              <w:t>联合体投标要求如下：/</w:t>
            </w:r>
          </w:p>
        </w:tc>
      </w:tr>
      <w:tr w14:paraId="004C1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6684456">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670" w:type="dxa"/>
            <w:tcBorders>
              <w:top w:val="single" w:color="auto" w:sz="4" w:space="0"/>
              <w:left w:val="single" w:color="auto" w:sz="4" w:space="0"/>
              <w:bottom w:val="single" w:color="auto" w:sz="4" w:space="0"/>
              <w:right w:val="single" w:color="auto" w:sz="4" w:space="0"/>
            </w:tcBorders>
            <w:vAlign w:val="center"/>
          </w:tcPr>
          <w:p w14:paraId="291277AD">
            <w:pPr>
              <w:pStyle w:val="16"/>
              <w:spacing w:line="360" w:lineRule="auto"/>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不允许分包</w:t>
            </w:r>
          </w:p>
          <w:p w14:paraId="4485F8EC">
            <w:pPr>
              <w:pStyle w:val="16"/>
              <w:spacing w:line="360" w:lineRule="auto"/>
              <w:rPr>
                <w:rFonts w:ascii="宋体" w:hAnsi="宋体"/>
                <w:color w:val="auto"/>
                <w:szCs w:val="21"/>
                <w:highlight w:val="none"/>
              </w:rPr>
            </w:pPr>
            <w:r>
              <w:rPr>
                <w:rFonts w:hint="eastAsia" w:ascii="宋体" w:hAnsi="宋体"/>
                <w:color w:val="auto"/>
                <w:szCs w:val="21"/>
                <w:highlight w:val="none"/>
              </w:rPr>
              <w:t>□允许分包</w:t>
            </w:r>
          </w:p>
          <w:p w14:paraId="62AB3DBD">
            <w:pPr>
              <w:pStyle w:val="16"/>
              <w:spacing w:line="360" w:lineRule="auto"/>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w:t>
            </w:r>
          </w:p>
          <w:p w14:paraId="5E6C6ADA">
            <w:pPr>
              <w:pStyle w:val="16"/>
              <w:spacing w:line="360" w:lineRule="auto"/>
              <w:jc w:val="both"/>
              <w:rPr>
                <w:rFonts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w:t>
            </w:r>
          </w:p>
        </w:tc>
      </w:tr>
      <w:tr w14:paraId="7F0F3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2E71138">
            <w:pPr>
              <w:spacing w:line="360" w:lineRule="auto"/>
              <w:jc w:val="center"/>
              <w:rPr>
                <w:rFonts w:ascii="宋体" w:hAnsi="宋体"/>
                <w:color w:val="auto"/>
                <w:szCs w:val="21"/>
                <w:highlight w:val="none"/>
              </w:rPr>
            </w:pPr>
            <w:r>
              <w:rPr>
                <w:rFonts w:hint="eastAsia" w:ascii="宋体" w:hAnsi="宋体"/>
                <w:color w:val="auto"/>
                <w:szCs w:val="21"/>
                <w:highlight w:val="none"/>
              </w:rPr>
              <w:t>8.1</w:t>
            </w:r>
          </w:p>
        </w:tc>
        <w:tc>
          <w:tcPr>
            <w:tcW w:w="8670" w:type="dxa"/>
            <w:tcBorders>
              <w:top w:val="single" w:color="auto" w:sz="4" w:space="0"/>
              <w:left w:val="single" w:color="auto" w:sz="4" w:space="0"/>
              <w:bottom w:val="single" w:color="auto" w:sz="4" w:space="0"/>
              <w:right w:val="single" w:color="auto" w:sz="4" w:space="0"/>
            </w:tcBorders>
            <w:vAlign w:val="center"/>
          </w:tcPr>
          <w:p w14:paraId="758C30E3">
            <w:pPr>
              <w:spacing w:line="360" w:lineRule="auto"/>
              <w:rPr>
                <w:rFonts w:ascii="宋体" w:hAnsi="宋体"/>
                <w:color w:val="auto"/>
                <w:szCs w:val="21"/>
                <w:highlight w:val="none"/>
              </w:rPr>
            </w:pPr>
            <w:r>
              <w:rPr>
                <w:rFonts w:hint="eastAsia" w:ascii="宋体" w:hAnsi="宋体"/>
                <w:color w:val="auto"/>
                <w:sz w:val="22"/>
                <w:szCs w:val="22"/>
                <w:highlight w:val="none"/>
              </w:rPr>
              <w:t>采用综合评分法的采购项目，</w:t>
            </w:r>
            <w:r>
              <w:rPr>
                <w:rFonts w:hint="eastAsia" w:ascii="宋体" w:hAnsi="宋体"/>
                <w:color w:val="auto"/>
                <w:szCs w:val="21"/>
                <w:highlight w:val="none"/>
              </w:rPr>
              <w:t>提供相同品牌产品（非单一产品采购项目的，指核心产品）的不同投标人评审得分相同时，按照下列方式确定一个投标人获得中标供应商推荐资格：</w:t>
            </w:r>
          </w:p>
          <w:p w14:paraId="1E3C6EBD">
            <w:pPr>
              <w:spacing w:line="360" w:lineRule="auto"/>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依次按投标报价低的优先、政策分得分高的优先、技术评分高的优先、商务评分高的优先、质保期长优先、交货期短优先、故障响应时间短优先的顺序推荐；</w:t>
            </w:r>
          </w:p>
          <w:p w14:paraId="0F710D13">
            <w:pPr>
              <w:spacing w:line="360" w:lineRule="auto"/>
              <w:rPr>
                <w:rFonts w:ascii="宋体" w:hAnsi="宋体"/>
                <w:color w:val="auto"/>
                <w:szCs w:val="21"/>
                <w:highlight w:val="none"/>
              </w:rPr>
            </w:pPr>
            <w:r>
              <w:rPr>
                <w:rFonts w:hint="eastAsia" w:ascii="宋体" w:hAnsi="宋体"/>
                <w:color w:val="auto"/>
                <w:szCs w:val="21"/>
                <w:highlight w:val="none"/>
              </w:rPr>
              <w:t>□随机抽取；</w:t>
            </w:r>
          </w:p>
        </w:tc>
      </w:tr>
      <w:tr w14:paraId="72FB2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895" w:type="dxa"/>
            <w:vMerge w:val="restart"/>
            <w:tcBorders>
              <w:top w:val="single" w:color="auto" w:sz="4" w:space="0"/>
              <w:left w:val="single" w:color="auto" w:sz="4" w:space="0"/>
              <w:right w:val="single" w:color="auto" w:sz="4" w:space="0"/>
            </w:tcBorders>
            <w:vAlign w:val="center"/>
          </w:tcPr>
          <w:p w14:paraId="06F6D6A6">
            <w:pPr>
              <w:spacing w:line="360" w:lineRule="auto"/>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670" w:type="dxa"/>
            <w:tcBorders>
              <w:top w:val="single" w:color="auto" w:sz="4" w:space="0"/>
              <w:left w:val="single" w:color="auto" w:sz="4" w:space="0"/>
              <w:bottom w:val="single" w:color="auto" w:sz="4" w:space="0"/>
              <w:right w:val="single" w:color="auto" w:sz="4" w:space="0"/>
            </w:tcBorders>
            <w:vAlign w:val="center"/>
          </w:tcPr>
          <w:p w14:paraId="46954E2F">
            <w:pPr>
              <w:spacing w:line="360" w:lineRule="auto"/>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不组织现场考察</w:t>
            </w:r>
          </w:p>
          <w:p w14:paraId="68E53D89">
            <w:pPr>
              <w:spacing w:line="360" w:lineRule="auto"/>
              <w:rPr>
                <w:rFonts w:ascii="宋体" w:hAnsi="宋体"/>
                <w:color w:val="auto"/>
                <w:szCs w:val="21"/>
                <w:highlight w:val="none"/>
              </w:rPr>
            </w:pPr>
            <w:r>
              <w:rPr>
                <w:rFonts w:hint="eastAsia" w:ascii="宋体" w:hAnsi="宋体"/>
                <w:color w:val="auto"/>
                <w:szCs w:val="21"/>
                <w:highlight w:val="none"/>
              </w:rPr>
              <w:t>□组织现场考察：</w:t>
            </w:r>
          </w:p>
          <w:p w14:paraId="3D769027">
            <w:pPr>
              <w:spacing w:line="360" w:lineRule="auto"/>
              <w:rPr>
                <w:rFonts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08850AC7">
            <w:pPr>
              <w:spacing w:line="360" w:lineRule="auto"/>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tc>
      </w:tr>
      <w:tr w14:paraId="7C904C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895" w:type="dxa"/>
            <w:vMerge w:val="continue"/>
            <w:tcBorders>
              <w:left w:val="single" w:color="auto" w:sz="4" w:space="0"/>
              <w:bottom w:val="single" w:color="auto" w:sz="4" w:space="0"/>
              <w:right w:val="single" w:color="auto" w:sz="4" w:space="0"/>
            </w:tcBorders>
            <w:vAlign w:val="center"/>
          </w:tcPr>
          <w:p w14:paraId="286AFFA7">
            <w:pPr>
              <w:spacing w:line="360" w:lineRule="auto"/>
              <w:jc w:val="center"/>
              <w:rPr>
                <w:rFonts w:ascii="宋体" w:hAnsi="宋体"/>
                <w:color w:val="auto"/>
                <w:szCs w:val="21"/>
                <w:highlight w:val="none"/>
              </w:rPr>
            </w:pPr>
          </w:p>
        </w:tc>
        <w:tc>
          <w:tcPr>
            <w:tcW w:w="8670" w:type="dxa"/>
            <w:tcBorders>
              <w:top w:val="single" w:color="auto" w:sz="4" w:space="0"/>
              <w:left w:val="single" w:color="auto" w:sz="4" w:space="0"/>
              <w:bottom w:val="single" w:color="auto" w:sz="4" w:space="0"/>
              <w:right w:val="single" w:color="auto" w:sz="4" w:space="0"/>
            </w:tcBorders>
            <w:vAlign w:val="center"/>
          </w:tcPr>
          <w:p w14:paraId="2BDE7D84">
            <w:pPr>
              <w:spacing w:line="360" w:lineRule="auto"/>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不组织召开开标前答疑会</w:t>
            </w:r>
          </w:p>
          <w:p w14:paraId="1181EE3F">
            <w:pPr>
              <w:spacing w:line="360" w:lineRule="auto"/>
              <w:rPr>
                <w:rFonts w:ascii="宋体" w:hAnsi="宋体"/>
                <w:color w:val="auto"/>
                <w:szCs w:val="21"/>
                <w:highlight w:val="none"/>
              </w:rPr>
            </w:pPr>
            <w:r>
              <w:rPr>
                <w:rFonts w:hint="eastAsia" w:ascii="宋体" w:hAnsi="宋体"/>
                <w:color w:val="auto"/>
                <w:szCs w:val="21"/>
                <w:highlight w:val="none"/>
              </w:rPr>
              <w:t>□组织召开开标前答疑会</w:t>
            </w:r>
          </w:p>
          <w:p w14:paraId="409DB0B1">
            <w:pPr>
              <w:spacing w:line="360" w:lineRule="auto"/>
              <w:rPr>
                <w:rFonts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2469B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right w:val="single" w:color="auto" w:sz="4" w:space="0"/>
            </w:tcBorders>
            <w:vAlign w:val="center"/>
          </w:tcPr>
          <w:p w14:paraId="46E3AC50">
            <w:pPr>
              <w:spacing w:line="360" w:lineRule="auto"/>
              <w:jc w:val="center"/>
              <w:rPr>
                <w:rFonts w:ascii="宋体" w:hAnsi="宋体"/>
                <w:color w:val="auto"/>
                <w:szCs w:val="21"/>
                <w:highlight w:val="none"/>
              </w:rPr>
            </w:pPr>
            <w:bookmarkStart w:id="69" w:name="_13.1"/>
            <w:bookmarkEnd w:id="69"/>
            <w:r>
              <w:rPr>
                <w:rFonts w:hint="eastAsia" w:ascii="宋体" w:hAnsi="宋体"/>
                <w:color w:val="auto"/>
                <w:szCs w:val="21"/>
                <w:highlight w:val="none"/>
              </w:rPr>
              <w:t>13</w:t>
            </w:r>
          </w:p>
        </w:tc>
        <w:tc>
          <w:tcPr>
            <w:tcW w:w="8670" w:type="dxa"/>
            <w:tcBorders>
              <w:top w:val="single" w:color="auto" w:sz="4" w:space="0"/>
              <w:left w:val="single" w:color="auto" w:sz="4" w:space="0"/>
              <w:bottom w:val="single" w:color="auto" w:sz="4" w:space="0"/>
              <w:right w:val="single" w:color="auto" w:sz="4" w:space="0"/>
            </w:tcBorders>
            <w:vAlign w:val="center"/>
          </w:tcPr>
          <w:p w14:paraId="275643EB">
            <w:pPr>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报价文件：</w:t>
            </w:r>
          </w:p>
          <w:p w14:paraId="33785375">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2A26751D">
            <w:pPr>
              <w:tabs>
                <w:tab w:val="left" w:pos="459"/>
              </w:tabs>
              <w:spacing w:line="360" w:lineRule="auto"/>
              <w:ind w:left="420"/>
              <w:jc w:val="left"/>
              <w:rPr>
                <w:rFonts w:ascii="宋体" w:hAnsi="宋体"/>
                <w:color w:val="auto"/>
                <w:szCs w:val="21"/>
                <w:highlight w:val="none"/>
              </w:rPr>
            </w:pPr>
            <w:bookmarkStart w:id="70" w:name="_Hlk71299233"/>
            <w:r>
              <w:rPr>
                <w:rFonts w:hint="eastAsia" w:ascii="宋体" w:hAnsi="宋体"/>
                <w:color w:val="auto"/>
                <w:szCs w:val="21"/>
                <w:highlight w:val="none"/>
              </w:rPr>
              <w:t>2.开标一览表</w:t>
            </w:r>
            <w:bookmarkEnd w:id="70"/>
            <w:r>
              <w:rPr>
                <w:rFonts w:hint="eastAsia" w:ascii="宋体" w:hAnsi="宋体"/>
                <w:color w:val="auto"/>
                <w:szCs w:val="21"/>
                <w:highlight w:val="none"/>
              </w:rPr>
              <w:t>（格式后附）；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067A990">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3. 《关于符合本国产品标准的声明函》或者财政部会同有关部门规定的有关证明文件；（投标人根据自身响应情况出具）</w:t>
            </w:r>
          </w:p>
          <w:p w14:paraId="43E0AC7D">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4.投标人针对报价需要说明的其他文件和说明（格式自拟）。</w:t>
            </w:r>
          </w:p>
          <w:p w14:paraId="1D461393">
            <w:pPr>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r>
              <w:rPr>
                <w:rFonts w:hint="eastAsia" w:ascii="宋体" w:hAnsi="宋体" w:cs="宋体"/>
                <w:b/>
                <w:color w:val="auto"/>
                <w:szCs w:val="21"/>
                <w:highlight w:val="none"/>
              </w:rPr>
              <w:t xml:space="preserve"> </w:t>
            </w:r>
          </w:p>
        </w:tc>
      </w:tr>
      <w:tr w14:paraId="7822A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vAlign w:val="center"/>
          </w:tcPr>
          <w:p w14:paraId="05DB2ABD">
            <w:pPr>
              <w:spacing w:line="360" w:lineRule="auto"/>
              <w:rPr>
                <w:rFonts w:ascii="宋体" w:hAnsi="宋体"/>
                <w:color w:val="auto"/>
                <w:szCs w:val="21"/>
                <w:highlight w:val="none"/>
              </w:rPr>
            </w:pPr>
            <w:bookmarkStart w:id="71" w:name="_13.2"/>
            <w:bookmarkEnd w:id="71"/>
          </w:p>
        </w:tc>
        <w:tc>
          <w:tcPr>
            <w:tcW w:w="8670" w:type="dxa"/>
            <w:tcBorders>
              <w:top w:val="single" w:color="auto" w:sz="4" w:space="0"/>
              <w:left w:val="single" w:color="auto" w:sz="4" w:space="0"/>
              <w:bottom w:val="single" w:color="auto" w:sz="4" w:space="0"/>
              <w:right w:val="single" w:color="auto" w:sz="4" w:space="0"/>
            </w:tcBorders>
            <w:vAlign w:val="center"/>
          </w:tcPr>
          <w:p w14:paraId="44034823">
            <w:pPr>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资格证明文件</w:t>
            </w:r>
          </w:p>
          <w:p w14:paraId="4CF33863">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255"/>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9C7075B">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投标文件提交截止之日</w:t>
            </w:r>
            <w:r>
              <w:rPr>
                <w:rFonts w:hint="eastAsia" w:ascii="宋体" w:hAnsi="宋体" w:cs="宋体"/>
                <w:color w:val="auto"/>
                <w:szCs w:val="21"/>
                <w:highlight w:val="none"/>
              </w:rPr>
              <w:t>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w:t>
            </w:r>
            <w:r>
              <w:rPr>
                <w:rFonts w:hint="eastAsia"/>
                <w:color w:val="auto"/>
                <w:highlight w:val="none"/>
              </w:rPr>
              <w:t>证明材料</w:t>
            </w:r>
            <w:r>
              <w:rPr>
                <w:rFonts w:hint="eastAsia" w:ascii="宋体" w:hAnsi="宋体" w:cs="宋体"/>
                <w:color w:val="auto"/>
                <w:szCs w:val="21"/>
                <w:highlight w:val="none"/>
              </w:rPr>
              <w:t>复印件；</w:t>
            </w:r>
            <w:r>
              <w:rPr>
                <w:rFonts w:hint="eastAsia" w:ascii="宋体" w:hAnsi="宋体"/>
                <w:color w:val="auto"/>
                <w:szCs w:val="21"/>
                <w:highlight w:val="none"/>
              </w:rPr>
              <w:t>依法免税的供应商，</w:t>
            </w:r>
            <w:r>
              <w:rPr>
                <w:rFonts w:hint="eastAsia"/>
                <w:color w:val="auto"/>
                <w:highlight w:val="none"/>
              </w:rPr>
              <w:t>必须提供符合免税条件的证明材料</w:t>
            </w:r>
            <w:r>
              <w:rPr>
                <w:rFonts w:hint="eastAsia" w:ascii="宋体" w:hAnsi="宋体"/>
                <w:color w:val="auto"/>
                <w:szCs w:val="21"/>
                <w:highlight w:val="none"/>
              </w:rPr>
              <w:t>。</w:t>
            </w:r>
            <w:r>
              <w:rPr>
                <w:rFonts w:hint="eastAsia" w:ascii="宋体" w:hAnsi="宋体" w:cs="宋体"/>
                <w:color w:val="auto"/>
                <w:szCs w:val="21"/>
                <w:highlight w:val="none"/>
              </w:rPr>
              <w:t>从</w:t>
            </w:r>
            <w:r>
              <w:rPr>
                <w:rFonts w:hint="eastAsia"/>
                <w:color w:val="auto"/>
                <w:szCs w:val="21"/>
                <w:highlight w:val="none"/>
              </w:rPr>
              <w:t>成立之日</w:t>
            </w:r>
            <w:r>
              <w:rPr>
                <w:rFonts w:hint="eastAsia" w:ascii="宋体" w:hAnsi="宋体" w:cs="宋体"/>
                <w:color w:val="auto"/>
                <w:szCs w:val="21"/>
                <w:highlight w:val="none"/>
              </w:rPr>
              <w:t>起到投标文件提交截止时间止不足要求月数的，</w:t>
            </w:r>
            <w:bookmarkStart w:id="72" w:name="OLE_LINK2"/>
            <w:r>
              <w:rPr>
                <w:rFonts w:hint="eastAsia" w:ascii="宋体" w:hAnsi="宋体" w:cs="宋体"/>
                <w:color w:val="auto"/>
                <w:szCs w:val="21"/>
                <w:highlight w:val="none"/>
              </w:rPr>
              <w:t>不需提供</w:t>
            </w:r>
            <w:bookmarkEnd w:id="72"/>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371FC48">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投标文件提交截止之日</w:t>
            </w:r>
            <w:r>
              <w:rPr>
                <w:rFonts w:hint="eastAsia" w:ascii="宋体" w:hAnsi="宋体" w:cs="宋体"/>
                <w:color w:val="auto"/>
                <w:szCs w:val="21"/>
                <w:highlight w:val="none"/>
              </w:rPr>
              <w:t>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w:t>
            </w:r>
            <w:r>
              <w:rPr>
                <w:rFonts w:hint="eastAsia"/>
                <w:color w:val="auto"/>
                <w:highlight w:val="none"/>
              </w:rPr>
              <w:t>证明材料</w:t>
            </w:r>
            <w:r>
              <w:rPr>
                <w:rFonts w:hint="eastAsia" w:ascii="宋体" w:hAnsi="宋体" w:cs="宋体"/>
                <w:color w:val="auto"/>
                <w:szCs w:val="21"/>
                <w:highlight w:val="none"/>
              </w:rPr>
              <w:t>（</w:t>
            </w:r>
            <w:r>
              <w:rPr>
                <w:rFonts w:hint="eastAsia"/>
                <w:color w:val="auto"/>
                <w:highlight w:val="none"/>
              </w:rPr>
              <w:t>如：</w:t>
            </w:r>
            <w:r>
              <w:rPr>
                <w:rFonts w:hint="eastAsia" w:ascii="宋体" w:hAnsi="宋体" w:cs="宋体"/>
                <w:color w:val="auto"/>
                <w:szCs w:val="21"/>
                <w:highlight w:val="none"/>
              </w:rPr>
              <w:t>专用收据、社会保险缴纳清单或者社保部门的证明等）复印件；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到投标文件提交截止时间止不足要求月数的，不需提供]</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6E84845">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4.投标人</w:t>
            </w:r>
            <w:r>
              <w:rPr>
                <w:rFonts w:hint="eastAsia"/>
                <w:color w:val="auto"/>
                <w:szCs w:val="21"/>
                <w:highlight w:val="none"/>
              </w:rPr>
              <w:t>财务状况报告</w:t>
            </w:r>
            <w:r>
              <w:rPr>
                <w:rFonts w:hint="eastAsia" w:ascii="宋体" w:hAnsi="宋体"/>
                <w:color w:val="auto"/>
                <w:szCs w:val="21"/>
                <w:highlight w:val="none"/>
              </w:rPr>
              <w:t>[</w:t>
            </w:r>
            <w:r>
              <w:rPr>
                <w:rFonts w:hint="eastAsia" w:ascii="宋体" w:hAnsi="宋体"/>
                <w:color w:val="auto"/>
                <w:szCs w:val="21"/>
                <w:highlight w:val="none"/>
                <w:u w:val="single"/>
              </w:rPr>
              <w:t>2025</w:t>
            </w:r>
            <w:r>
              <w:rPr>
                <w:rFonts w:hint="eastAsia" w:ascii="宋体" w:hAnsi="宋体"/>
                <w:color w:val="auto"/>
                <w:szCs w:val="21"/>
                <w:highlight w:val="none"/>
              </w:rPr>
              <w:t>年度财务报表（包括资产负债表、利润表、现金流量表）复印件，或者银行出具的资信证明，或者中国人民银行征信中心出具的信用报告（企业投标的提供企业信用报告，自然人投标的提供个人信用报告</w:t>
            </w:r>
            <w:r>
              <w:rPr>
                <w:rFonts w:hint="eastAsia" w:ascii="宋体" w:hAnsi="宋体"/>
                <w:color w:val="auto"/>
                <w:highlight w:val="none"/>
              </w:rPr>
              <w:t>，投标人</w:t>
            </w:r>
            <w:r>
              <w:rPr>
                <w:rFonts w:ascii="宋体" w:hAnsi="宋体"/>
                <w:color w:val="auto"/>
                <w:highlight w:val="none"/>
              </w:rPr>
              <w:t>属于成立时间在规定年度之后的法人或其他组织</w:t>
            </w:r>
            <w:r>
              <w:rPr>
                <w:rFonts w:hint="eastAsia" w:ascii="宋体" w:hAnsi="宋体"/>
                <w:color w:val="auto"/>
                <w:highlight w:val="none"/>
              </w:rPr>
              <w:t>，需提供成立之日起至投标截止时间前的月报表</w:t>
            </w:r>
            <w:r>
              <w:rPr>
                <w:rFonts w:hint="eastAsia" w:ascii="宋体" w:hAnsi="宋体"/>
                <w:color w:val="auto"/>
                <w:szCs w:val="21"/>
                <w:highlight w:val="none"/>
              </w:rPr>
              <w:t>或银行出具的资信证明或者中国人民银行征信中心出具的企业信用报告；资信证明应在有效期内，未注明有效期的，银行出具时间至投标截止时间不超过一年]</w:t>
            </w:r>
            <w:r>
              <w:rPr>
                <w:rFonts w:hint="eastAsia"/>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8297169">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5.投标人直接控股股东信息表（格式后附）；（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8F083AA">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DF7E54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7.投标声明（格式后附）；（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A23AA70">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8.《中小企业声明函》（格式后附）；</w:t>
            </w:r>
            <w:r>
              <w:rPr>
                <w:rFonts w:hint="eastAsia"/>
                <w:color w:val="auto"/>
                <w:highlight w:val="none"/>
              </w:rPr>
              <w:t>【如属于残疾人福利性单位的提供残疾人福利性单位声明函，属于监狱企业的提供由省级以上监狱管理局、戒毒管理局（含新疆生产建设兵团）出具的属于监狱企业的证明文件】</w:t>
            </w:r>
            <w:r>
              <w:rPr>
                <w:rFonts w:hint="eastAsia" w:ascii="宋体" w:hAnsi="宋体"/>
                <w:b/>
                <w:bCs/>
                <w:color w:val="auto"/>
                <w:szCs w:val="21"/>
                <w:highlight w:val="none"/>
              </w:rPr>
              <w:t>（必须</w:t>
            </w:r>
            <w:r>
              <w:rPr>
                <w:rFonts w:hint="eastAsia" w:ascii="宋体" w:hAnsi="宋体"/>
                <w:b/>
                <w:color w:val="auto"/>
                <w:szCs w:val="21"/>
                <w:highlight w:val="none"/>
              </w:rPr>
              <w:t>提供，否则按无效投标处理</w:t>
            </w:r>
            <w:r>
              <w:rPr>
                <w:rFonts w:hint="eastAsia" w:ascii="宋体" w:hAnsi="宋体"/>
                <w:color w:val="auto"/>
                <w:szCs w:val="21"/>
                <w:highlight w:val="none"/>
              </w:rPr>
              <w:t>）</w:t>
            </w:r>
          </w:p>
          <w:p w14:paraId="554E55C4">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9.除招标文件规定必须提供以外，投标人认为需要提供的其他证明材料。</w:t>
            </w:r>
          </w:p>
          <w:p w14:paraId="393D1A31">
            <w:pPr>
              <w:spacing w:line="360" w:lineRule="auto"/>
              <w:jc w:val="left"/>
              <w:rPr>
                <w:rFonts w:ascii="宋体" w:hAnsi="宋体"/>
                <w:b/>
                <w:bCs/>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tc>
      </w:tr>
      <w:tr w14:paraId="4223A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vAlign w:val="center"/>
          </w:tcPr>
          <w:p w14:paraId="64C9F24A">
            <w:pPr>
              <w:spacing w:line="360" w:lineRule="auto"/>
              <w:rPr>
                <w:rFonts w:ascii="宋体" w:hAnsi="宋体"/>
                <w:color w:val="auto"/>
                <w:szCs w:val="21"/>
                <w:highlight w:val="none"/>
              </w:rPr>
            </w:pPr>
            <w:bookmarkStart w:id="73" w:name="_13.3"/>
            <w:bookmarkEnd w:id="73"/>
          </w:p>
        </w:tc>
        <w:tc>
          <w:tcPr>
            <w:tcW w:w="8670" w:type="dxa"/>
            <w:tcBorders>
              <w:top w:val="single" w:color="auto" w:sz="4" w:space="0"/>
              <w:left w:val="single" w:color="auto" w:sz="4" w:space="0"/>
              <w:bottom w:val="single" w:color="auto" w:sz="4" w:space="0"/>
              <w:right w:val="single" w:color="auto" w:sz="4" w:space="0"/>
            </w:tcBorders>
            <w:vAlign w:val="center"/>
          </w:tcPr>
          <w:p w14:paraId="3260F64C">
            <w:pPr>
              <w:spacing w:line="360" w:lineRule="auto"/>
              <w:jc w:val="left"/>
              <w:rPr>
                <w:rFonts w:ascii="宋体" w:hAnsi="宋体" w:cs="Courier New"/>
                <w:b/>
                <w:color w:val="auto"/>
                <w:szCs w:val="21"/>
                <w:highlight w:val="none"/>
              </w:rPr>
            </w:pPr>
            <w:r>
              <w:rPr>
                <w:rFonts w:hint="eastAsia"/>
                <w:b/>
                <w:color w:val="auto"/>
                <w:highlight w:val="none"/>
                <w:u w:val="single"/>
              </w:rPr>
              <w:t>商务及技术文件</w:t>
            </w:r>
            <w:r>
              <w:rPr>
                <w:rFonts w:hint="eastAsia" w:ascii="宋体" w:hAnsi="宋体" w:cs="Courier New"/>
                <w:b/>
                <w:color w:val="auto"/>
                <w:szCs w:val="21"/>
                <w:highlight w:val="none"/>
              </w:rPr>
              <w:t>：</w:t>
            </w:r>
          </w:p>
          <w:p w14:paraId="4CD58D49">
            <w:pPr>
              <w:spacing w:line="360" w:lineRule="auto"/>
              <w:ind w:left="413"/>
              <w:jc w:val="left"/>
              <w:rPr>
                <w:rFonts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79A14E5">
            <w:pPr>
              <w:spacing w:line="360" w:lineRule="auto"/>
              <w:ind w:left="413"/>
              <w:jc w:val="left"/>
              <w:rPr>
                <w:rFonts w:ascii="宋体" w:hAnsi="宋体"/>
                <w:color w:val="auto"/>
                <w:szCs w:val="21"/>
                <w:highlight w:val="none"/>
              </w:rPr>
            </w:pPr>
            <w:r>
              <w:rPr>
                <w:rFonts w:hint="eastAsia" w:ascii="宋体" w:hAnsi="宋体"/>
                <w:color w:val="auto"/>
                <w:szCs w:val="21"/>
                <w:highlight w:val="none"/>
              </w:rPr>
              <w:t>2.投标保证金提交凭证；（</w:t>
            </w:r>
            <w:r>
              <w:rPr>
                <w:rFonts w:hint="eastAsia"/>
                <w:b/>
                <w:bCs/>
                <w:color w:val="auto"/>
                <w:highlight w:val="none"/>
              </w:rPr>
              <w:t>必须提供</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2D2053D5">
            <w:pPr>
              <w:spacing w:line="360" w:lineRule="auto"/>
              <w:ind w:left="413"/>
              <w:jc w:val="left"/>
              <w:rPr>
                <w:rFonts w:ascii="宋体" w:hAnsi="宋体"/>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C3CE686">
            <w:pPr>
              <w:spacing w:line="360" w:lineRule="auto"/>
              <w:ind w:left="413"/>
              <w:jc w:val="left"/>
              <w:rPr>
                <w:rFonts w:ascii="宋体" w:hAnsi="宋体"/>
                <w:color w:val="auto"/>
                <w:szCs w:val="21"/>
                <w:highlight w:val="none"/>
              </w:rPr>
            </w:pPr>
            <w:r>
              <w:rPr>
                <w:rFonts w:hint="eastAsia" w:ascii="宋体" w:hAnsi="宋体"/>
                <w:color w:val="auto"/>
                <w:szCs w:val="21"/>
                <w:highlight w:val="none"/>
              </w:rPr>
              <w:t>4.授权委托书及委托代理人有效身份证正反面复印件（格式后附）；（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57647BD8">
            <w:pPr>
              <w:spacing w:line="360" w:lineRule="auto"/>
              <w:ind w:left="413"/>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4EFED27">
            <w:pPr>
              <w:spacing w:line="360" w:lineRule="auto"/>
              <w:ind w:left="413"/>
              <w:jc w:val="left"/>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.售后服务承诺（格式自拟）；（</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369C949">
            <w:pPr>
              <w:spacing w:line="360" w:lineRule="auto"/>
              <w:ind w:left="420"/>
              <w:jc w:val="left"/>
              <w:rPr>
                <w:rFonts w:ascii="宋体" w:hAnsi="宋体"/>
                <w:color w:val="auto"/>
                <w:szCs w:val="21"/>
                <w:highlight w:val="none"/>
              </w:rPr>
            </w:pPr>
            <w:r>
              <w:rPr>
                <w:rFonts w:hint="eastAsia" w:ascii="宋体" w:hAnsi="宋体"/>
                <w:color w:val="auto"/>
                <w:szCs w:val="21"/>
                <w:highlight w:val="none"/>
              </w:rPr>
              <w:t>7.设备性能配置清单（格式后附）；（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C5BC05F">
            <w:pPr>
              <w:spacing w:line="360" w:lineRule="auto"/>
              <w:ind w:left="420"/>
              <w:jc w:val="left"/>
              <w:rPr>
                <w:rFonts w:ascii="宋体" w:hAnsi="宋体"/>
                <w:color w:val="auto"/>
                <w:szCs w:val="21"/>
                <w:highlight w:val="none"/>
              </w:rPr>
            </w:pPr>
            <w:r>
              <w:rPr>
                <w:rFonts w:hint="eastAsia" w:ascii="宋体" w:hAnsi="宋体"/>
                <w:color w:val="auto"/>
                <w:szCs w:val="21"/>
                <w:highlight w:val="none"/>
              </w:rPr>
              <w:t>8.技术要求偏离表（格式后附）；（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6EFE7F5">
            <w:pPr>
              <w:spacing w:line="360" w:lineRule="auto"/>
              <w:ind w:left="420"/>
              <w:jc w:val="left"/>
              <w:rPr>
                <w:rFonts w:ascii="宋体" w:hAnsi="宋体"/>
                <w:color w:val="auto"/>
                <w:szCs w:val="21"/>
                <w:highlight w:val="none"/>
              </w:rPr>
            </w:pPr>
            <w:r>
              <w:rPr>
                <w:rFonts w:hint="eastAsia" w:ascii="宋体" w:hAnsi="宋体"/>
                <w:color w:val="auto"/>
                <w:szCs w:val="21"/>
                <w:highlight w:val="none"/>
              </w:rPr>
              <w:t>9.项目实施方案（格式自拟）；</w:t>
            </w:r>
          </w:p>
          <w:p w14:paraId="6CA28DF9">
            <w:pPr>
              <w:spacing w:line="360" w:lineRule="auto"/>
              <w:ind w:left="420"/>
              <w:jc w:val="left"/>
              <w:rPr>
                <w:rFonts w:ascii="宋体" w:hAnsi="宋体"/>
                <w:color w:val="auto"/>
                <w:szCs w:val="21"/>
                <w:highlight w:val="none"/>
              </w:rPr>
            </w:pPr>
            <w:r>
              <w:rPr>
                <w:rFonts w:hint="eastAsia" w:ascii="宋体" w:hAnsi="宋体"/>
                <w:color w:val="auto"/>
                <w:szCs w:val="21"/>
                <w:highlight w:val="none"/>
              </w:rPr>
              <w:t>10.售后服务方案（格式自拟）；</w:t>
            </w:r>
          </w:p>
          <w:p w14:paraId="332D7FEB">
            <w:pPr>
              <w:spacing w:line="360" w:lineRule="auto"/>
              <w:ind w:left="420"/>
              <w:jc w:val="left"/>
              <w:rPr>
                <w:rFonts w:ascii="宋体" w:hAnsi="宋体"/>
                <w:color w:val="auto"/>
                <w:szCs w:val="21"/>
                <w:highlight w:val="none"/>
              </w:rPr>
            </w:pPr>
            <w:r>
              <w:rPr>
                <w:rFonts w:hint="eastAsia" w:ascii="宋体" w:hAnsi="宋体"/>
                <w:color w:val="auto"/>
                <w:szCs w:val="21"/>
                <w:highlight w:val="none"/>
              </w:rPr>
              <w:t>11.技术培训方案（格式自拟）；</w:t>
            </w:r>
          </w:p>
          <w:p w14:paraId="73913AF3">
            <w:pPr>
              <w:spacing w:line="360" w:lineRule="auto"/>
              <w:ind w:left="420"/>
              <w:jc w:val="left"/>
              <w:rPr>
                <w:rFonts w:ascii="宋体" w:hAnsi="宋体"/>
                <w:bCs/>
                <w:color w:val="auto"/>
                <w:szCs w:val="21"/>
                <w:highlight w:val="none"/>
              </w:rPr>
            </w:pPr>
            <w:r>
              <w:rPr>
                <w:rFonts w:hint="eastAsia" w:ascii="宋体" w:hAnsi="宋体"/>
                <w:color w:val="auto"/>
                <w:szCs w:val="21"/>
                <w:highlight w:val="none"/>
              </w:rPr>
              <w:t>12.除招标文件规定必须提供以外，投标人认为需要提供的其他证明材料（格式自拟）。</w:t>
            </w:r>
          </w:p>
          <w:p w14:paraId="258F81A7">
            <w:pPr>
              <w:spacing w:line="360" w:lineRule="auto"/>
              <w:ind w:left="413"/>
              <w:jc w:val="left"/>
              <w:rPr>
                <w:rFonts w:ascii="宋体" w:hAnsi="宋体"/>
                <w:color w:val="auto"/>
                <w:szCs w:val="21"/>
                <w:highlight w:val="none"/>
              </w:rPr>
            </w:pPr>
            <w:r>
              <w:rPr>
                <w:rFonts w:hint="eastAsia" w:ascii="宋体" w:hAnsi="宋体"/>
                <w:color w:val="auto"/>
                <w:szCs w:val="21"/>
                <w:highlight w:val="none"/>
              </w:rPr>
              <w:t>（投标人根据“第二章 采购需求”及“第四章 评标方法及评标标准”提供有关证明材料）。</w:t>
            </w:r>
          </w:p>
          <w:p w14:paraId="0D6DA36F">
            <w:pPr>
              <w:spacing w:line="360" w:lineRule="auto"/>
              <w:jc w:val="left"/>
              <w:rPr>
                <w:rFonts w:ascii="宋体" w:hAnsi="宋体"/>
                <w:color w:val="auto"/>
                <w:szCs w:val="21"/>
                <w:highlight w:val="none"/>
              </w:rPr>
            </w:pPr>
            <w:r>
              <w:rPr>
                <w:rFonts w:hint="eastAsia" w:ascii="宋体" w:hAnsi="宋体"/>
                <w:b/>
                <w:bCs/>
                <w:color w:val="auto"/>
                <w:szCs w:val="21"/>
                <w:highlight w:val="none"/>
              </w:rPr>
              <w:t>注：以上标明“必须提供”的材料，格式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tc>
      </w:tr>
      <w:tr w14:paraId="5CC68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C2D5FFE">
            <w:pPr>
              <w:spacing w:line="360" w:lineRule="auto"/>
              <w:jc w:val="center"/>
              <w:rPr>
                <w:rFonts w:ascii="宋体" w:hAnsi="宋体"/>
                <w:color w:val="auto"/>
                <w:szCs w:val="21"/>
                <w:highlight w:val="none"/>
              </w:rPr>
            </w:pPr>
            <w:bookmarkStart w:id="74" w:name="_16.2"/>
            <w:bookmarkEnd w:id="74"/>
            <w:bookmarkStart w:id="75" w:name="_13.4"/>
            <w:bookmarkEnd w:id="75"/>
            <w:bookmarkStart w:id="76" w:name="_13.5"/>
            <w:bookmarkEnd w:id="76"/>
            <w:r>
              <w:rPr>
                <w:rFonts w:hint="eastAsia" w:ascii="宋体" w:hAnsi="宋体"/>
                <w:color w:val="auto"/>
                <w:szCs w:val="21"/>
                <w:highlight w:val="none"/>
              </w:rPr>
              <w:t>16</w:t>
            </w:r>
            <w:bookmarkStart w:id="77" w:name="_Hlt19194067"/>
            <w:bookmarkStart w:id="78" w:name="_Hlt19693758"/>
            <w:bookmarkStart w:id="79" w:name="_Hlt19693759"/>
            <w:bookmarkStart w:id="80" w:name="_Hlt19194066"/>
            <w:r>
              <w:rPr>
                <w:rFonts w:hint="eastAsia" w:ascii="宋体" w:hAnsi="宋体"/>
                <w:color w:val="auto"/>
                <w:szCs w:val="21"/>
                <w:highlight w:val="none"/>
              </w:rPr>
              <w:t>.</w:t>
            </w:r>
            <w:bookmarkEnd w:id="77"/>
            <w:bookmarkEnd w:id="78"/>
            <w:bookmarkEnd w:id="79"/>
            <w:bookmarkEnd w:id="80"/>
            <w:r>
              <w:rPr>
                <w:rFonts w:hint="eastAsia" w:ascii="宋体" w:hAnsi="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vAlign w:val="center"/>
          </w:tcPr>
          <w:p w14:paraId="23C87894">
            <w:pPr>
              <w:spacing w:line="360" w:lineRule="auto"/>
              <w:ind w:right="420" w:firstLine="420"/>
              <w:rPr>
                <w:rFonts w:ascii="宋体" w:hAnsi="宋体"/>
                <w:b/>
                <w:color w:val="auto"/>
                <w:szCs w:val="21"/>
                <w:highlight w:val="none"/>
              </w:rPr>
            </w:pPr>
            <w:r>
              <w:rPr>
                <w:rFonts w:hint="eastAsia" w:ascii="宋体" w:hAnsi="宋体" w:cs="宋体"/>
                <w:color w:val="auto"/>
                <w:szCs w:val="21"/>
                <w:highlight w:val="none"/>
              </w:rPr>
              <w:t>投标报价须为人民币报价，包括但不限于投标货物及其配件（附件）价款、包装费、运费、装卸费、保险费、搬运费、安装费、调试费、检验及检定验收费、计量检测费、售后服务费、培训费（如有）、税金等招标文件和投标文件规定及合同包含的所有风险、责任等应有的全部费用。</w:t>
            </w:r>
          </w:p>
        </w:tc>
      </w:tr>
      <w:tr w14:paraId="5B1CC5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878EAEA">
            <w:pPr>
              <w:spacing w:line="360" w:lineRule="auto"/>
              <w:jc w:val="center"/>
              <w:rPr>
                <w:rFonts w:ascii="宋体" w:hAnsi="宋体"/>
                <w:color w:val="auto"/>
                <w:szCs w:val="21"/>
                <w:highlight w:val="none"/>
              </w:rPr>
            </w:pPr>
            <w:bookmarkStart w:id="81" w:name="_17.1"/>
            <w:bookmarkEnd w:id="81"/>
            <w:r>
              <w:rPr>
                <w:rFonts w:hint="eastAsia" w:ascii="宋体" w:hAnsi="宋体"/>
                <w:color w:val="auto"/>
                <w:szCs w:val="21"/>
                <w:highlight w:val="none"/>
              </w:rPr>
              <w:t>17.</w:t>
            </w:r>
            <w:r>
              <w:rPr>
                <w:rFonts w:ascii="宋体" w:hAnsi="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vAlign w:val="center"/>
          </w:tcPr>
          <w:p w14:paraId="61D8F430">
            <w:pPr>
              <w:spacing w:line="360" w:lineRule="auto"/>
              <w:rPr>
                <w:rFonts w:ascii="宋体" w:hAnsi="宋体"/>
                <w:color w:val="auto"/>
                <w:szCs w:val="21"/>
                <w:highlight w:val="none"/>
              </w:rPr>
            </w:pPr>
            <w:r>
              <w:rPr>
                <w:rFonts w:hint="eastAsia" w:ascii="宋体" w:hAnsi="宋体"/>
                <w:color w:val="auto"/>
                <w:szCs w:val="21"/>
                <w:highlight w:val="none"/>
              </w:rPr>
              <w:t>投标有效期：自投标截止之日起</w:t>
            </w:r>
            <w:r>
              <w:rPr>
                <w:rFonts w:hint="eastAsia" w:ascii="宋体" w:hAnsi="宋体"/>
                <w:color w:val="auto"/>
                <w:szCs w:val="21"/>
                <w:highlight w:val="none"/>
                <w:u w:val="single"/>
              </w:rPr>
              <w:t>120</w:t>
            </w:r>
            <w:r>
              <w:rPr>
                <w:rFonts w:hint="eastAsia" w:ascii="宋体" w:hAnsi="宋体"/>
                <w:color w:val="auto"/>
                <w:szCs w:val="21"/>
                <w:highlight w:val="none"/>
              </w:rPr>
              <w:t>日。</w:t>
            </w:r>
          </w:p>
        </w:tc>
      </w:tr>
      <w:tr w14:paraId="6412C5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79DE4189">
            <w:pPr>
              <w:spacing w:line="360" w:lineRule="auto"/>
              <w:jc w:val="center"/>
              <w:rPr>
                <w:rFonts w:ascii="宋体" w:hAnsi="宋体"/>
                <w:color w:val="auto"/>
                <w:szCs w:val="21"/>
                <w:highlight w:val="none"/>
              </w:rPr>
            </w:pPr>
            <w:bookmarkStart w:id="82" w:name="_18"/>
            <w:bookmarkEnd w:id="82"/>
            <w:r>
              <w:rPr>
                <w:rFonts w:hint="eastAsia" w:ascii="宋体" w:hAnsi="宋体"/>
                <w:color w:val="auto"/>
                <w:szCs w:val="21"/>
                <w:highlight w:val="none"/>
              </w:rPr>
              <w:t>18</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vAlign w:val="center"/>
          </w:tcPr>
          <w:p w14:paraId="5E8517B5">
            <w:pPr>
              <w:spacing w:line="360" w:lineRule="auto"/>
              <w:rPr>
                <w:rFonts w:ascii="宋体" w:hAnsi="宋体"/>
                <w:color w:val="auto"/>
                <w:szCs w:val="21"/>
                <w:highlight w:val="none"/>
              </w:rPr>
            </w:pPr>
            <w:r>
              <w:rPr>
                <w:rFonts w:hint="eastAsia" w:ascii="宋体" w:hAnsi="宋体"/>
                <w:color w:val="auto"/>
                <w:szCs w:val="21"/>
                <w:highlight w:val="none"/>
              </w:rPr>
              <w:t>□本项目不收取投标保证金。</w:t>
            </w:r>
          </w:p>
          <w:p w14:paraId="32EB6D2C">
            <w:pPr>
              <w:spacing w:line="360" w:lineRule="auto"/>
              <w:rPr>
                <w:rFonts w:ascii="宋体" w:hAnsi="宋体"/>
                <w:color w:val="auto"/>
                <w:szCs w:val="21"/>
                <w:highlight w:val="none"/>
              </w:rPr>
            </w:pPr>
            <w:r>
              <w:rPr>
                <w:rFonts w:hint="eastAsia" w:ascii="宋体" w:hAnsi="宋体"/>
                <w:color w:val="auto"/>
                <w:szCs w:val="21"/>
                <w:highlight w:val="none"/>
              </w:rPr>
              <w:t>☑本项目收取投标保证金，具体规定如下：</w:t>
            </w:r>
          </w:p>
          <w:p w14:paraId="0CC7F27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投标保证金人民币</w:t>
            </w:r>
            <w:r>
              <w:rPr>
                <w:rFonts w:hint="eastAsia" w:ascii="宋体" w:hAnsi="宋体" w:cs="宋体"/>
                <w:color w:val="auto"/>
                <w:szCs w:val="21"/>
                <w:highlight w:val="none"/>
                <w:u w:val="single"/>
              </w:rPr>
              <w:t>45000</w:t>
            </w:r>
            <w:r>
              <w:rPr>
                <w:rFonts w:hint="eastAsia" w:ascii="宋体" w:hAnsi="宋体" w:cs="宋体"/>
                <w:color w:val="auto"/>
                <w:szCs w:val="21"/>
                <w:highlight w:val="none"/>
              </w:rPr>
              <w:t>元。</w:t>
            </w:r>
          </w:p>
          <w:p w14:paraId="6DADDC5A">
            <w:pPr>
              <w:spacing w:line="360" w:lineRule="auto"/>
              <w:ind w:firstLine="420"/>
              <w:jc w:val="left"/>
              <w:rPr>
                <w:rFonts w:ascii="宋体" w:hAnsi="宋体" w:cs="宋体"/>
                <w:b/>
                <w:bCs/>
                <w:color w:val="auto"/>
                <w:szCs w:val="21"/>
                <w:highlight w:val="none"/>
              </w:rPr>
            </w:pPr>
            <w:r>
              <w:rPr>
                <w:rFonts w:hint="eastAsia" w:ascii="宋体" w:hAnsi="宋体" w:cs="宋体"/>
                <w:color w:val="auto"/>
                <w:szCs w:val="21"/>
                <w:highlight w:val="none"/>
              </w:rPr>
              <w:t>投标保证金的交纳方式：银行转账、支票、汇票、本票或者银行、保险机构出具的保函</w:t>
            </w:r>
            <w:r>
              <w:rPr>
                <w:rFonts w:hint="eastAsia"/>
                <w:color w:val="auto"/>
                <w:highlight w:val="none"/>
              </w:rPr>
              <w:t>（包含电子保函</w:t>
            </w:r>
            <w:r>
              <w:rPr>
                <w:rFonts w:hint="eastAsia" w:ascii="宋体" w:hAnsi="宋体" w:cs="宋体"/>
                <w:color w:val="auto"/>
                <w:szCs w:val="21"/>
                <w:highlight w:val="none"/>
              </w:rPr>
              <w:t>），禁止采用现钞方式。采用银行转账方式的，在投标截止时间前从投标人账户交至指定账户并且到账：</w:t>
            </w:r>
            <w:r>
              <w:rPr>
                <w:rFonts w:hint="eastAsia" w:ascii="宋体" w:hAnsi="宋体" w:cs="宋体"/>
                <w:b/>
                <w:bCs/>
                <w:color w:val="auto"/>
                <w:szCs w:val="21"/>
                <w:highlight w:val="none"/>
              </w:rPr>
              <w:t>开户银行：</w:t>
            </w:r>
            <w:r>
              <w:rPr>
                <w:rFonts w:hint="eastAsia" w:ascii="宋体" w:hAnsi="宋体" w:cs="宋体"/>
                <w:b/>
                <w:bCs/>
                <w:color w:val="auto"/>
                <w:szCs w:val="21"/>
                <w:highlight w:val="none"/>
                <w:u w:val="single"/>
              </w:rPr>
              <w:t>中信银行股份有限公司南宁园湖支行</w:t>
            </w:r>
            <w:r>
              <w:rPr>
                <w:rFonts w:hint="eastAsia" w:ascii="宋体" w:hAnsi="宋体" w:cs="宋体"/>
                <w:b/>
                <w:bCs/>
                <w:color w:val="auto"/>
                <w:szCs w:val="21"/>
                <w:highlight w:val="none"/>
              </w:rPr>
              <w:t>，开户名称：</w:t>
            </w:r>
            <w:r>
              <w:rPr>
                <w:rFonts w:hint="eastAsia" w:ascii="宋体" w:hAnsi="宋体" w:cs="宋体"/>
                <w:b/>
                <w:bCs/>
                <w:color w:val="auto"/>
                <w:szCs w:val="21"/>
                <w:highlight w:val="none"/>
                <w:u w:val="single"/>
              </w:rPr>
              <w:t>云之龙咨询集团有限公司梧州分公司</w:t>
            </w:r>
            <w:r>
              <w:rPr>
                <w:rFonts w:hint="eastAsia" w:ascii="宋体" w:hAnsi="宋体" w:cs="宋体"/>
                <w:b/>
                <w:bCs/>
                <w:color w:val="auto"/>
                <w:szCs w:val="21"/>
                <w:highlight w:val="none"/>
              </w:rPr>
              <w:t>，银行账号：</w:t>
            </w:r>
            <w:r>
              <w:rPr>
                <w:rFonts w:hint="eastAsia" w:ascii="宋体" w:hAnsi="宋体" w:cs="宋体"/>
                <w:b/>
                <w:bCs/>
                <w:color w:val="auto"/>
                <w:szCs w:val="21"/>
                <w:highlight w:val="none"/>
                <w:u w:val="single"/>
              </w:rPr>
              <w:t>8113001013700074625</w:t>
            </w:r>
          </w:p>
          <w:p w14:paraId="41EB6514">
            <w:pPr>
              <w:spacing w:line="360" w:lineRule="auto"/>
              <w:ind w:firstLine="420"/>
              <w:rPr>
                <w:rFonts w:ascii="宋体" w:hAnsi="宋体"/>
                <w:color w:val="auto"/>
                <w:szCs w:val="21"/>
                <w:highlight w:val="none"/>
              </w:rPr>
            </w:pPr>
            <w:r>
              <w:rPr>
                <w:rFonts w:hint="eastAsia" w:ascii="宋体" w:hAnsi="宋体" w:cs="宋体"/>
                <w:color w:val="auto"/>
                <w:szCs w:val="21"/>
                <w:highlight w:val="none"/>
              </w:rPr>
              <w:t>采用支票、汇票、本票或者保函等方式的，在投标截止时间前，投标人必须递交单独密封的支票、汇票、本票或者保函原件（电子保函复印件加盖公章）。</w:t>
            </w:r>
            <w:r>
              <w:rPr>
                <w:rFonts w:hint="eastAsia" w:ascii="宋体" w:hAnsi="宋体" w:cs="宋体"/>
                <w:b/>
                <w:color w:val="auto"/>
                <w:szCs w:val="21"/>
                <w:highlight w:val="none"/>
              </w:rPr>
              <w:t>否则视为无效投标保证金。</w:t>
            </w:r>
          </w:p>
          <w:p w14:paraId="7E9177D2">
            <w:pPr>
              <w:spacing w:line="360" w:lineRule="auto"/>
              <w:rPr>
                <w:rFonts w:ascii="宋体" w:hAnsi="宋体"/>
                <w:color w:val="auto"/>
                <w:szCs w:val="21"/>
                <w:highlight w:val="none"/>
              </w:rPr>
            </w:pPr>
            <w:r>
              <w:rPr>
                <w:rFonts w:hint="eastAsia" w:ascii="宋体" w:hAnsi="宋体"/>
                <w:color w:val="auto"/>
                <w:szCs w:val="21"/>
                <w:highlight w:val="none"/>
              </w:rPr>
              <w:t>相关要求：</w:t>
            </w:r>
          </w:p>
          <w:p w14:paraId="2DAE9F0A">
            <w:pPr>
              <w:pStyle w:val="16"/>
              <w:spacing w:line="360" w:lineRule="auto"/>
              <w:rPr>
                <w:rFonts w:ascii="宋体" w:hAnsi="宋体"/>
                <w:color w:val="auto"/>
                <w:szCs w:val="21"/>
                <w:highlight w:val="none"/>
              </w:rPr>
            </w:pPr>
            <w:r>
              <w:rPr>
                <w:rFonts w:hint="eastAsia" w:ascii="宋体" w:hAnsi="宋体"/>
                <w:color w:val="auto"/>
                <w:szCs w:val="21"/>
                <w:highlight w:val="none"/>
              </w:rPr>
              <w:t>1.投标保证金采用银行转账交纳方式，在投标截止时间前交至指定账户并且到账，投标人应将银行转账底单的复印件作为投标保证金提交凭证，放置于商务及技术文件中，</w:t>
            </w:r>
            <w:r>
              <w:rPr>
                <w:rFonts w:hint="eastAsia" w:ascii="宋体" w:hAnsi="宋体"/>
                <w:b/>
                <w:color w:val="auto"/>
                <w:szCs w:val="21"/>
                <w:highlight w:val="none"/>
              </w:rPr>
              <w:t>否则投标无效</w:t>
            </w:r>
            <w:r>
              <w:rPr>
                <w:rFonts w:hint="eastAsia" w:ascii="宋体" w:hAnsi="宋体"/>
                <w:color w:val="auto"/>
                <w:szCs w:val="21"/>
                <w:highlight w:val="none"/>
              </w:rPr>
              <w:t>。</w:t>
            </w:r>
          </w:p>
          <w:p w14:paraId="1F17FDE7">
            <w:pPr>
              <w:spacing w:line="360" w:lineRule="auto"/>
              <w:rPr>
                <w:rFonts w:ascii="宋体" w:hAnsi="宋体"/>
                <w:color w:val="auto"/>
                <w:szCs w:val="21"/>
                <w:highlight w:val="none"/>
              </w:rPr>
            </w:pPr>
            <w:r>
              <w:rPr>
                <w:rFonts w:hint="eastAsia" w:ascii="宋体" w:hAnsi="宋体"/>
                <w:color w:val="auto"/>
                <w:szCs w:val="21"/>
                <w:highlight w:val="none"/>
              </w:rPr>
              <w:t>2.投标保证金采用支票、汇票、本票或者银行、保险机构出具的保函</w:t>
            </w:r>
            <w:r>
              <w:rPr>
                <w:rFonts w:hint="eastAsia"/>
                <w:color w:val="auto"/>
                <w:highlight w:val="none"/>
              </w:rPr>
              <w:t>（包含电子保函）</w:t>
            </w:r>
            <w:r>
              <w:rPr>
                <w:rFonts w:hint="eastAsia" w:ascii="宋体" w:hAnsi="宋体"/>
                <w:color w:val="auto"/>
                <w:szCs w:val="21"/>
                <w:highlight w:val="none"/>
              </w:rPr>
              <w:t>交纳方式的，投标人应将支票、汇票、本票或者银行、保险机构出具的保函</w:t>
            </w:r>
            <w:r>
              <w:rPr>
                <w:rFonts w:hint="eastAsia"/>
                <w:color w:val="auto"/>
                <w:highlight w:val="none"/>
              </w:rPr>
              <w:t>（包含电子保函）</w:t>
            </w:r>
            <w:r>
              <w:rPr>
                <w:rFonts w:hint="eastAsia" w:ascii="宋体" w:hAnsi="宋体"/>
                <w:color w:val="auto"/>
                <w:szCs w:val="21"/>
                <w:highlight w:val="none"/>
              </w:rPr>
              <w:t>的复印件作为投标保证金提交凭证，放置于商务及技术文件中，</w:t>
            </w:r>
            <w:r>
              <w:rPr>
                <w:rFonts w:hint="eastAsia" w:ascii="宋体" w:hAnsi="宋体"/>
                <w:b/>
                <w:color w:val="auto"/>
                <w:szCs w:val="21"/>
                <w:highlight w:val="none"/>
              </w:rPr>
              <w:t>否则投标无效</w:t>
            </w:r>
            <w:r>
              <w:rPr>
                <w:rFonts w:hint="eastAsia" w:ascii="宋体" w:hAnsi="宋体"/>
                <w:color w:val="auto"/>
                <w:szCs w:val="21"/>
                <w:highlight w:val="none"/>
              </w:rPr>
              <w:t>。投标人必须</w:t>
            </w:r>
            <w:r>
              <w:rPr>
                <w:rFonts w:hint="eastAsia"/>
                <w:color w:val="auto"/>
                <w:highlight w:val="none"/>
              </w:rPr>
              <w:t>在投标截止时间前采用现场或邮寄方式（现场提交地址：</w:t>
            </w:r>
            <w:r>
              <w:rPr>
                <w:rFonts w:hint="eastAsia" w:ascii="宋体" w:hAnsi="宋体"/>
                <w:color w:val="auto"/>
                <w:szCs w:val="21"/>
                <w:highlight w:val="none"/>
                <w:u w:val="single"/>
              </w:rPr>
              <w:t>云之龙咨询集团有限公司（梧州市蒙山县东江南路西三巷2号(城南新区华美水岸明珠第33栋12号)）</w:t>
            </w:r>
            <w:r>
              <w:rPr>
                <w:rFonts w:hint="eastAsia"/>
                <w:color w:val="auto"/>
                <w:highlight w:val="none"/>
              </w:rPr>
              <w:t>；邮寄地址：</w:t>
            </w:r>
            <w:r>
              <w:rPr>
                <w:rFonts w:hint="eastAsia" w:ascii="宋体" w:hAnsi="宋体"/>
                <w:color w:val="auto"/>
                <w:szCs w:val="21"/>
                <w:highlight w:val="none"/>
                <w:u w:val="single"/>
              </w:rPr>
              <w:t>云之龙咨询集团有限公司（梧州市蒙山县东江南路西三巷2号(城南新区华美水岸明珠第33栋12号)）</w:t>
            </w:r>
            <w:r>
              <w:rPr>
                <w:rFonts w:hint="eastAsia"/>
                <w:color w:val="auto"/>
                <w:highlight w:val="none"/>
              </w:rPr>
              <w:t>，收件人：</w:t>
            </w:r>
            <w:r>
              <w:rPr>
                <w:rFonts w:hint="eastAsia"/>
                <w:color w:val="auto"/>
                <w:highlight w:val="none"/>
                <w:u w:val="single"/>
              </w:rPr>
              <w:t>周子然</w:t>
            </w:r>
            <w:r>
              <w:rPr>
                <w:rFonts w:hint="eastAsia"/>
                <w:color w:val="auto"/>
                <w:highlight w:val="none"/>
              </w:rPr>
              <w:t>，联系方式：</w:t>
            </w:r>
            <w:r>
              <w:rPr>
                <w:rFonts w:hint="eastAsia"/>
                <w:color w:val="auto"/>
                <w:highlight w:val="none"/>
                <w:u w:val="single"/>
              </w:rPr>
              <w:t>0774-3859935</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支票、汇票、本票或者银行、保险机构出具的保函原件（电子保函复印件加盖公章)提交给采购人或者采购代理机构，未按时提交的</w:t>
            </w:r>
            <w:r>
              <w:rPr>
                <w:rFonts w:hint="eastAsia" w:ascii="宋体" w:hAnsi="宋体"/>
                <w:b/>
                <w:color w:val="auto"/>
                <w:szCs w:val="21"/>
                <w:highlight w:val="none"/>
              </w:rPr>
              <w:t>，投标无效</w:t>
            </w:r>
            <w:r>
              <w:rPr>
                <w:rFonts w:hint="eastAsia" w:ascii="宋体" w:hAnsi="宋体"/>
                <w:color w:val="auto"/>
                <w:szCs w:val="21"/>
                <w:highlight w:val="none"/>
              </w:rPr>
              <w:t>。</w:t>
            </w:r>
          </w:p>
          <w:p w14:paraId="76745464">
            <w:pPr>
              <w:spacing w:line="360" w:lineRule="auto"/>
              <w:rPr>
                <w:rFonts w:ascii="宋体" w:hAnsi="宋体" w:cs="宋体"/>
                <w:color w:val="auto"/>
                <w:szCs w:val="21"/>
                <w:highlight w:val="none"/>
              </w:rPr>
            </w:pPr>
            <w:r>
              <w:rPr>
                <w:rFonts w:hint="eastAsia" w:ascii="宋体" w:hAnsi="宋体"/>
                <w:color w:val="auto"/>
                <w:szCs w:val="21"/>
                <w:highlight w:val="none"/>
              </w:rPr>
              <w:t>3</w:t>
            </w:r>
            <w:r>
              <w:rPr>
                <w:rFonts w:hint="eastAsia" w:ascii="宋体" w:hAnsi="宋体" w:cs="宋体"/>
                <w:color w:val="auto"/>
                <w:szCs w:val="21"/>
                <w:highlight w:val="none"/>
              </w:rPr>
              <w:t>.投标人为联合体的，可以由联合体中的一方或者多方共同交纳投标保证金，其交纳的保证金对联合体各方均具有约束力。</w:t>
            </w:r>
          </w:p>
          <w:p w14:paraId="67D6797C">
            <w:pPr>
              <w:spacing w:line="360" w:lineRule="auto"/>
              <w:rPr>
                <w:rFonts w:ascii="宋体" w:hAnsi="宋体"/>
                <w:color w:val="auto"/>
                <w:szCs w:val="21"/>
                <w:highlight w:val="none"/>
              </w:rPr>
            </w:pPr>
          </w:p>
          <w:p w14:paraId="29FF7F50">
            <w:pPr>
              <w:spacing w:line="360" w:lineRule="auto"/>
              <w:rPr>
                <w:rFonts w:ascii="宋体" w:hAnsi="宋体"/>
                <w:b/>
                <w:color w:val="auto"/>
                <w:szCs w:val="21"/>
                <w:highlight w:val="none"/>
              </w:rPr>
            </w:pPr>
            <w:r>
              <w:rPr>
                <w:rFonts w:hint="eastAsia" w:ascii="宋体" w:hAnsi="宋体"/>
                <w:b/>
                <w:color w:val="auto"/>
                <w:szCs w:val="21"/>
                <w:highlight w:val="none"/>
              </w:rPr>
              <w:t xml:space="preserve">备注： </w:t>
            </w:r>
          </w:p>
          <w:p w14:paraId="49C3DDCE">
            <w:pPr>
              <w:spacing w:line="360" w:lineRule="auto"/>
              <w:rPr>
                <w:rFonts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7A20F515">
            <w:pPr>
              <w:spacing w:line="360" w:lineRule="auto"/>
              <w:rPr>
                <w:rFonts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5D67313F">
            <w:pPr>
              <w:spacing w:line="360" w:lineRule="auto"/>
              <w:rPr>
                <w:rFonts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5AD91939">
            <w:pPr>
              <w:spacing w:line="360" w:lineRule="auto"/>
              <w:rPr>
                <w:rFonts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55A989A8">
            <w:pPr>
              <w:spacing w:line="360" w:lineRule="auto"/>
              <w:rPr>
                <w:color w:val="auto"/>
                <w:highlight w:val="none"/>
              </w:rPr>
            </w:pPr>
            <w:r>
              <w:rPr>
                <w:rFonts w:hint="eastAsia" w:ascii="宋体" w:hAnsi="宋体"/>
                <w:b/>
                <w:color w:val="auto"/>
                <w:szCs w:val="21"/>
                <w:highlight w:val="none"/>
              </w:rPr>
              <w:t>5.采用银行、保险机构出具保函的，必须为无条件保函，否则视为无效投标保证金。</w:t>
            </w:r>
          </w:p>
        </w:tc>
      </w:tr>
      <w:tr w14:paraId="1CFF7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F38464A">
            <w:pPr>
              <w:spacing w:line="360" w:lineRule="auto"/>
              <w:jc w:val="center"/>
              <w:rPr>
                <w:rFonts w:ascii="宋体" w:hAnsi="宋体"/>
                <w:color w:val="auto"/>
                <w:szCs w:val="21"/>
                <w:highlight w:val="none"/>
              </w:rPr>
            </w:pPr>
            <w:bookmarkStart w:id="83" w:name="_19.2"/>
            <w:bookmarkEnd w:id="83"/>
            <w:r>
              <w:rPr>
                <w:rFonts w:hint="eastAsia" w:ascii="宋体" w:hAnsi="宋体"/>
                <w:color w:val="auto"/>
                <w:szCs w:val="21"/>
                <w:highlight w:val="none"/>
              </w:rPr>
              <w:t>20</w:t>
            </w:r>
          </w:p>
        </w:tc>
        <w:tc>
          <w:tcPr>
            <w:tcW w:w="8670" w:type="dxa"/>
            <w:tcBorders>
              <w:top w:val="single" w:color="auto" w:sz="4" w:space="0"/>
              <w:left w:val="single" w:color="auto" w:sz="4" w:space="0"/>
              <w:bottom w:val="single" w:color="auto" w:sz="4" w:space="0"/>
              <w:right w:val="single" w:color="auto" w:sz="4" w:space="0"/>
            </w:tcBorders>
            <w:vAlign w:val="center"/>
          </w:tcPr>
          <w:p w14:paraId="6CED56ED">
            <w:pPr>
              <w:spacing w:line="360" w:lineRule="auto"/>
              <w:rPr>
                <w:rFonts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p w14:paraId="682CBE54">
            <w:pPr>
              <w:spacing w:line="360" w:lineRule="auto"/>
              <w:rPr>
                <w:color w:val="auto"/>
                <w:highlight w:val="none"/>
              </w:rPr>
            </w:pPr>
            <w:r>
              <w:rPr>
                <w:rFonts w:hint="eastAsia" w:ascii="宋体" w:hAnsi="宋体"/>
                <w:color w:val="auto"/>
                <w:szCs w:val="21"/>
                <w:highlight w:val="none"/>
              </w:rPr>
              <w:t>□</w:t>
            </w:r>
            <w:r>
              <w:rPr>
                <w:rFonts w:hint="eastAsia"/>
                <w:color w:val="auto"/>
                <w:highlight w:val="none"/>
              </w:rPr>
              <w:t>本项目接受电子备份投标文件。</w:t>
            </w:r>
          </w:p>
          <w:p w14:paraId="178E7CA7">
            <w:pPr>
              <w:spacing w:line="360" w:lineRule="auto"/>
              <w:ind w:firstLine="420"/>
              <w:rPr>
                <w:color w:val="auto"/>
                <w:highlight w:val="none"/>
              </w:rPr>
            </w:pPr>
            <w:r>
              <w:rPr>
                <w:rFonts w:hint="eastAsia"/>
                <w:color w:val="auto"/>
                <w:highlight w:val="none"/>
              </w:rPr>
              <w:t>电子</w:t>
            </w:r>
            <w:r>
              <w:rPr>
                <w:rFonts w:hint="eastAsia" w:ascii="宋体" w:hAnsi="宋体"/>
                <w:color w:val="auto"/>
                <w:szCs w:val="21"/>
                <w:highlight w:val="none"/>
              </w:rPr>
              <w:t>备份投标文件</w:t>
            </w:r>
            <w:r>
              <w:rPr>
                <w:rFonts w:hint="eastAsia"/>
                <w:color w:val="auto"/>
                <w:highlight w:val="none"/>
              </w:rPr>
              <w:t>提交方式：投标人可以在投标截止时间前采用以下</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rPr>
              <w:t>种方式向采购代理机构提交电子备份投标文件：</w:t>
            </w:r>
          </w:p>
          <w:p w14:paraId="5050C7DE">
            <w:pPr>
              <w:spacing w:line="360" w:lineRule="auto"/>
              <w:rPr>
                <w:color w:val="auto"/>
                <w:highlight w:val="none"/>
              </w:rPr>
            </w:pPr>
            <w:r>
              <w:rPr>
                <w:rFonts w:hint="eastAsia"/>
                <w:color w:val="auto"/>
                <w:highlight w:val="none"/>
              </w:rPr>
              <w:t>（</w:t>
            </w:r>
            <w:r>
              <w:rPr>
                <w:color w:val="auto"/>
                <w:highlight w:val="none"/>
              </w:rPr>
              <w:t>1</w:t>
            </w:r>
            <w:r>
              <w:rPr>
                <w:rFonts w:hint="eastAsia"/>
                <w:color w:val="auto"/>
                <w:highlight w:val="none"/>
              </w:rPr>
              <w:t>）现场提交方式，应采用</w:t>
            </w:r>
            <w:r>
              <w:rPr>
                <w:color w:val="auto"/>
                <w:highlight w:val="none"/>
              </w:rPr>
              <w:t>U</w:t>
            </w:r>
            <w:r>
              <w:rPr>
                <w:rFonts w:hint="eastAsia"/>
                <w:color w:val="auto"/>
                <w:highlight w:val="none"/>
              </w:rPr>
              <w:t>盘进行存储，提交地址：</w:t>
            </w:r>
            <w:r>
              <w:rPr>
                <w:rFonts w:hint="eastAsia" w:ascii="宋体" w:hAnsi="宋体"/>
                <w:color w:val="auto"/>
                <w:szCs w:val="21"/>
                <w:highlight w:val="none"/>
                <w:u w:val="single"/>
              </w:rPr>
              <w:t xml:space="preserve">    </w:t>
            </w:r>
            <w:r>
              <w:rPr>
                <w:rFonts w:hint="eastAsia"/>
                <w:color w:val="auto"/>
                <w:highlight w:val="none"/>
              </w:rPr>
              <w:t>；提交截止时间：</w:t>
            </w:r>
            <w:r>
              <w:rPr>
                <w:rFonts w:hint="eastAsia" w:ascii="宋体" w:hAnsi="宋体"/>
                <w:color w:val="auto"/>
                <w:szCs w:val="21"/>
                <w:highlight w:val="none"/>
                <w:u w:val="single"/>
              </w:rPr>
              <w:t xml:space="preserve">    </w:t>
            </w:r>
            <w:r>
              <w:rPr>
                <w:rFonts w:hint="eastAsia"/>
                <w:color w:val="auto"/>
                <w:highlight w:val="none"/>
              </w:rPr>
              <w:t>；外包装上注明投标人名称、项目名称及项目编号（外包装不作密封要求）。</w:t>
            </w:r>
          </w:p>
          <w:p w14:paraId="46106824">
            <w:pPr>
              <w:spacing w:line="360" w:lineRule="auto"/>
              <w:rPr>
                <w:color w:val="auto"/>
                <w:highlight w:val="none"/>
              </w:rPr>
            </w:pPr>
            <w:r>
              <w:rPr>
                <w:rFonts w:hint="eastAsia"/>
                <w:color w:val="auto"/>
                <w:highlight w:val="none"/>
              </w:rPr>
              <w:t>（</w:t>
            </w:r>
            <w:r>
              <w:rPr>
                <w:color w:val="auto"/>
                <w:highlight w:val="none"/>
              </w:rPr>
              <w:t>2</w:t>
            </w:r>
            <w:r>
              <w:rPr>
                <w:rFonts w:hint="eastAsia"/>
                <w:color w:val="auto"/>
                <w:highlight w:val="none"/>
              </w:rPr>
              <w:t>）电子邮件方式，接收电子备份投标文件的电子邮箱为：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p>
          <w:p w14:paraId="7E77F468">
            <w:pPr>
              <w:pStyle w:val="16"/>
              <w:spacing w:line="360" w:lineRule="auto"/>
              <w:rPr>
                <w:color w:val="auto"/>
                <w:highlight w:val="none"/>
              </w:rPr>
            </w:pPr>
            <w:r>
              <w:rPr>
                <w:rFonts w:hint="eastAsia"/>
                <w:color w:val="auto"/>
                <w:highlight w:val="none"/>
              </w:rPr>
              <w:t>（</w:t>
            </w:r>
            <w:r>
              <w:rPr>
                <w:color w:val="auto"/>
                <w:highlight w:val="none"/>
              </w:rPr>
              <w:t>3</w:t>
            </w:r>
            <w:r>
              <w:rPr>
                <w:rFonts w:hint="eastAsia"/>
                <w:color w:val="auto"/>
                <w:highlight w:val="none"/>
              </w:rPr>
              <w:t>）邮寄方式，应采用</w:t>
            </w:r>
            <w:r>
              <w:rPr>
                <w:color w:val="auto"/>
                <w:highlight w:val="none"/>
              </w:rPr>
              <w:t>U</w:t>
            </w:r>
            <w:r>
              <w:rPr>
                <w:rFonts w:hint="eastAsia"/>
                <w:color w:val="auto"/>
                <w:highlight w:val="none"/>
              </w:rPr>
              <w:t>盘进行存储，邮寄地址：</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rPr>
              <w:t>，截止接收时间：</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p>
          <w:p w14:paraId="5AE836FC">
            <w:pPr>
              <w:spacing w:line="360" w:lineRule="auto"/>
              <w:rPr>
                <w:color w:val="auto"/>
                <w:highlight w:val="none"/>
              </w:rPr>
            </w:pPr>
            <w:r>
              <w:rPr>
                <w:rFonts w:hint="eastAsia"/>
                <w:color w:val="auto"/>
                <w:highlight w:val="none"/>
              </w:rPr>
              <w:t>收件人：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rPr>
              <w:t>，联系方式：</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rPr>
              <w:t>；外包装上注明投标人名称、项目名称及项目编号（外包装不作密封要求）。</w:t>
            </w:r>
            <w:r>
              <w:rPr>
                <w:color w:val="auto"/>
                <w:highlight w:val="none"/>
              </w:rPr>
              <w:t xml:space="preserve"> </w:t>
            </w:r>
          </w:p>
          <w:p w14:paraId="19924F78">
            <w:pPr>
              <w:spacing w:line="360" w:lineRule="auto"/>
              <w:ind w:firstLine="420"/>
              <w:rPr>
                <w:rFonts w:ascii="宋体" w:hAnsi="宋体"/>
                <w:color w:val="auto"/>
                <w:szCs w:val="21"/>
                <w:highlight w:val="none"/>
              </w:rPr>
            </w:pPr>
            <w:r>
              <w:rPr>
                <w:rFonts w:hint="eastAsia"/>
                <w:color w:val="auto"/>
                <w:highlight w:val="none"/>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Pr>
                <w:rFonts w:hint="eastAsia"/>
                <w:b/>
                <w:color w:val="auto"/>
                <w:highlight w:val="none"/>
              </w:rPr>
              <w:t>投标人的投标文件作无效处理</w:t>
            </w:r>
            <w:r>
              <w:rPr>
                <w:rFonts w:hint="eastAsia"/>
                <w:color w:val="auto"/>
                <w:highlight w:val="none"/>
              </w:rPr>
              <w:t>。</w:t>
            </w:r>
          </w:p>
        </w:tc>
      </w:tr>
      <w:tr w14:paraId="38B1A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vAlign w:val="center"/>
          </w:tcPr>
          <w:p w14:paraId="0F111F4E">
            <w:pPr>
              <w:spacing w:line="360" w:lineRule="auto"/>
              <w:jc w:val="center"/>
              <w:rPr>
                <w:rFonts w:ascii="宋体" w:hAnsi="宋体"/>
                <w:color w:val="auto"/>
                <w:szCs w:val="21"/>
                <w:highlight w:val="none"/>
              </w:rPr>
            </w:pPr>
            <w:bookmarkStart w:id="84" w:name="_21.1"/>
            <w:bookmarkEnd w:id="84"/>
            <w:r>
              <w:rPr>
                <w:rFonts w:hint="eastAsia" w:ascii="宋体" w:hAnsi="宋体"/>
                <w:color w:val="auto"/>
                <w:szCs w:val="21"/>
                <w:highlight w:val="none"/>
              </w:rPr>
              <w:t>21.1</w:t>
            </w:r>
          </w:p>
        </w:tc>
        <w:tc>
          <w:tcPr>
            <w:tcW w:w="8670" w:type="dxa"/>
            <w:tcBorders>
              <w:top w:val="single" w:color="auto" w:sz="4" w:space="0"/>
              <w:left w:val="single" w:color="auto" w:sz="4" w:space="0"/>
              <w:bottom w:val="single" w:color="auto" w:sz="4" w:space="0"/>
              <w:right w:val="single" w:color="auto" w:sz="4" w:space="0"/>
            </w:tcBorders>
            <w:vAlign w:val="center"/>
          </w:tcPr>
          <w:p w14:paraId="1EEAB2E1">
            <w:pPr>
              <w:spacing w:line="360" w:lineRule="auto"/>
              <w:rPr>
                <w:rFonts w:ascii="宋体" w:hAnsi="宋体"/>
                <w:color w:val="auto"/>
                <w:szCs w:val="21"/>
                <w:highlight w:val="none"/>
                <w:u w:val="single"/>
              </w:rPr>
            </w:pPr>
            <w:r>
              <w:rPr>
                <w:rFonts w:hint="eastAsia" w:ascii="宋体" w:hAnsi="宋体"/>
                <w:color w:val="auto"/>
                <w:szCs w:val="21"/>
                <w:highlight w:val="none"/>
              </w:rPr>
              <w:t>1. 提交投标文件截止时间：详见招标公告</w:t>
            </w:r>
          </w:p>
          <w:p w14:paraId="2CDD166A">
            <w:pPr>
              <w:spacing w:line="360" w:lineRule="auto"/>
              <w:rPr>
                <w:rFonts w:ascii="宋体" w:hAnsi="宋体"/>
                <w:color w:val="auto"/>
                <w:szCs w:val="21"/>
                <w:highlight w:val="none"/>
              </w:rPr>
            </w:pPr>
            <w:r>
              <w:rPr>
                <w:rFonts w:hint="eastAsia" w:ascii="宋体" w:hAnsi="宋体"/>
                <w:color w:val="auto"/>
                <w:szCs w:val="21"/>
                <w:highlight w:val="none"/>
              </w:rPr>
              <w:t>2.投标地点：详见招标公告</w:t>
            </w:r>
          </w:p>
        </w:tc>
      </w:tr>
      <w:tr w14:paraId="2A632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3836E50">
            <w:pPr>
              <w:spacing w:line="360" w:lineRule="auto"/>
              <w:jc w:val="center"/>
              <w:rPr>
                <w:rFonts w:ascii="宋体" w:hAnsi="宋体"/>
                <w:color w:val="auto"/>
                <w:szCs w:val="21"/>
                <w:highlight w:val="none"/>
              </w:rPr>
            </w:pPr>
            <w:bookmarkStart w:id="85" w:name="_23"/>
            <w:bookmarkEnd w:id="85"/>
            <w:r>
              <w:rPr>
                <w:rFonts w:hint="eastAsia" w:ascii="宋体" w:hAnsi="宋体"/>
                <w:color w:val="auto"/>
                <w:szCs w:val="21"/>
                <w:highlight w:val="none"/>
              </w:rPr>
              <w:t>23</w:t>
            </w:r>
          </w:p>
        </w:tc>
        <w:tc>
          <w:tcPr>
            <w:tcW w:w="8670" w:type="dxa"/>
            <w:tcBorders>
              <w:top w:val="single" w:color="auto" w:sz="4" w:space="0"/>
              <w:left w:val="single" w:color="auto" w:sz="4" w:space="0"/>
              <w:bottom w:val="single" w:color="auto" w:sz="4" w:space="0"/>
              <w:right w:val="single" w:color="auto" w:sz="4" w:space="0"/>
            </w:tcBorders>
            <w:vAlign w:val="center"/>
          </w:tcPr>
          <w:p w14:paraId="342BA0EB">
            <w:pPr>
              <w:spacing w:line="360" w:lineRule="auto"/>
              <w:rPr>
                <w:rFonts w:ascii="宋体" w:hAnsi="宋体"/>
                <w:color w:val="auto"/>
                <w:szCs w:val="21"/>
                <w:highlight w:val="none"/>
              </w:rPr>
            </w:pPr>
            <w:r>
              <w:rPr>
                <w:rFonts w:hint="eastAsia" w:ascii="宋体" w:hAnsi="宋体"/>
                <w:color w:val="auto"/>
                <w:szCs w:val="21"/>
                <w:highlight w:val="none"/>
              </w:rPr>
              <w:t>1.开标时间：详见招标公告</w:t>
            </w:r>
          </w:p>
          <w:p w14:paraId="08C93782">
            <w:pPr>
              <w:spacing w:line="360" w:lineRule="auto"/>
              <w:rPr>
                <w:rFonts w:ascii="宋体" w:hAnsi="宋体"/>
                <w:color w:val="auto"/>
                <w:szCs w:val="21"/>
                <w:highlight w:val="none"/>
              </w:rPr>
            </w:pPr>
            <w:r>
              <w:rPr>
                <w:rFonts w:hint="eastAsia" w:ascii="宋体" w:hAnsi="宋体"/>
                <w:color w:val="auto"/>
                <w:szCs w:val="21"/>
                <w:highlight w:val="none"/>
              </w:rPr>
              <w:t>2.开标地点：详见招标公告</w:t>
            </w:r>
          </w:p>
        </w:tc>
      </w:tr>
      <w:tr w14:paraId="3DE8E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985CD17">
            <w:pPr>
              <w:spacing w:line="360" w:lineRule="auto"/>
              <w:jc w:val="center"/>
              <w:rPr>
                <w:rFonts w:ascii="宋体" w:hAnsi="宋体"/>
                <w:color w:val="auto"/>
                <w:szCs w:val="21"/>
                <w:highlight w:val="none"/>
              </w:rPr>
            </w:pPr>
            <w:r>
              <w:rPr>
                <w:rFonts w:hint="eastAsia" w:ascii="宋体" w:hAnsi="宋体"/>
                <w:color w:val="auto"/>
                <w:szCs w:val="21"/>
                <w:highlight w:val="none"/>
              </w:rPr>
              <w:t>24.3（1）</w:t>
            </w:r>
          </w:p>
        </w:tc>
        <w:tc>
          <w:tcPr>
            <w:tcW w:w="8670" w:type="dxa"/>
            <w:tcBorders>
              <w:top w:val="single" w:color="auto" w:sz="4" w:space="0"/>
              <w:left w:val="single" w:color="auto" w:sz="4" w:space="0"/>
              <w:bottom w:val="single" w:color="auto" w:sz="4" w:space="0"/>
              <w:right w:val="single" w:color="auto" w:sz="4" w:space="0"/>
            </w:tcBorders>
            <w:vAlign w:val="center"/>
          </w:tcPr>
          <w:p w14:paraId="5D19B2B0">
            <w:pPr>
              <w:spacing w:line="360" w:lineRule="auto"/>
              <w:rPr>
                <w:rFonts w:hAnsi="宋体"/>
                <w:color w:val="auto"/>
                <w:highlight w:val="none"/>
                <w:u w:val="single"/>
              </w:rPr>
            </w:pPr>
            <w:r>
              <w:rPr>
                <w:rFonts w:hint="eastAsia" w:hAnsi="宋体"/>
                <w:color w:val="auto"/>
                <w:highlight w:val="none"/>
              </w:rPr>
              <w:t>电子投标文件解密时间：</w:t>
            </w:r>
            <w:r>
              <w:rPr>
                <w:rFonts w:hint="eastAsia" w:hAnsi="宋体"/>
                <w:color w:val="auto"/>
                <w:highlight w:val="none"/>
                <w:u w:val="single"/>
              </w:rPr>
              <w:t>30</w:t>
            </w:r>
            <w:r>
              <w:rPr>
                <w:rFonts w:hint="eastAsia" w:hAnsi="宋体"/>
                <w:color w:val="auto"/>
                <w:highlight w:val="none"/>
              </w:rPr>
              <w:t>分钟</w:t>
            </w:r>
          </w:p>
        </w:tc>
      </w:tr>
      <w:tr w14:paraId="0AC59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A042024">
            <w:pPr>
              <w:spacing w:line="360" w:lineRule="auto"/>
              <w:jc w:val="center"/>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p>
        </w:tc>
        <w:tc>
          <w:tcPr>
            <w:tcW w:w="8670" w:type="dxa"/>
            <w:tcBorders>
              <w:top w:val="single" w:color="auto" w:sz="4" w:space="0"/>
              <w:left w:val="single" w:color="auto" w:sz="4" w:space="0"/>
              <w:bottom w:val="single" w:color="auto" w:sz="4" w:space="0"/>
              <w:right w:val="single" w:color="auto" w:sz="4" w:space="0"/>
            </w:tcBorders>
            <w:vAlign w:val="center"/>
          </w:tcPr>
          <w:p w14:paraId="7B51C37D">
            <w:pPr>
              <w:spacing w:line="360" w:lineRule="auto"/>
              <w:rPr>
                <w:rFonts w:ascii="宋体" w:hAnsi="宋体"/>
                <w:color w:val="auto"/>
                <w:szCs w:val="21"/>
                <w:highlight w:val="none"/>
              </w:rPr>
            </w:pPr>
            <w:r>
              <w:rPr>
                <w:rFonts w:hint="eastAsia"/>
                <w:color w:val="auto"/>
                <w:highlight w:val="none"/>
              </w:rPr>
              <w:t>宣布的内容</w:t>
            </w:r>
            <w:r>
              <w:rPr>
                <w:rFonts w:hint="eastAsia" w:hAnsi="宋体"/>
                <w:color w:val="auto"/>
                <w:highlight w:val="none"/>
              </w:rPr>
              <w:t>：投标人名称、投标价格</w:t>
            </w:r>
          </w:p>
        </w:tc>
      </w:tr>
      <w:tr w14:paraId="3080B4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A59AE67">
            <w:pPr>
              <w:spacing w:line="360" w:lineRule="auto"/>
              <w:jc w:val="center"/>
              <w:rPr>
                <w:rFonts w:ascii="宋体" w:hAnsi="宋体"/>
                <w:color w:val="auto"/>
                <w:szCs w:val="21"/>
                <w:highlight w:val="none"/>
              </w:rPr>
            </w:pPr>
            <w:bookmarkStart w:id="86" w:name="_25.3"/>
            <w:bookmarkEnd w:id="86"/>
            <w:r>
              <w:rPr>
                <w:rFonts w:hint="eastAsia" w:ascii="宋体" w:hAnsi="宋体"/>
                <w:color w:val="auto"/>
                <w:szCs w:val="21"/>
                <w:highlight w:val="none"/>
              </w:rPr>
              <w:t>25.3（</w:t>
            </w:r>
            <w:r>
              <w:rPr>
                <w:rFonts w:ascii="宋体" w:hAnsi="宋体"/>
                <w:color w:val="auto"/>
                <w:szCs w:val="21"/>
                <w:highlight w:val="none"/>
              </w:rPr>
              <w:t>2</w:t>
            </w:r>
            <w:r>
              <w:rPr>
                <w:rFonts w:hint="eastAsia" w:ascii="宋体" w:hAnsi="宋体"/>
                <w:color w:val="auto"/>
                <w:szCs w:val="21"/>
                <w:highlight w:val="none"/>
              </w:rPr>
              <w:t>）</w:t>
            </w:r>
          </w:p>
        </w:tc>
        <w:tc>
          <w:tcPr>
            <w:tcW w:w="8670" w:type="dxa"/>
            <w:tcBorders>
              <w:top w:val="single" w:color="auto" w:sz="4" w:space="0"/>
              <w:left w:val="single" w:color="auto" w:sz="4" w:space="0"/>
              <w:bottom w:val="single" w:color="auto" w:sz="4" w:space="0"/>
              <w:right w:val="single" w:color="auto" w:sz="4" w:space="0"/>
            </w:tcBorders>
            <w:vAlign w:val="center"/>
          </w:tcPr>
          <w:p w14:paraId="3D8483FA">
            <w:pPr>
              <w:spacing w:line="360" w:lineRule="auto"/>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1FC7F081">
            <w:pPr>
              <w:spacing w:line="360" w:lineRule="auto"/>
              <w:rPr>
                <w:rFonts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546240CE">
            <w:pPr>
              <w:spacing w:line="360" w:lineRule="auto"/>
              <w:rPr>
                <w:rFonts w:ascii="宋体" w:hAnsi="宋体"/>
                <w:color w:val="auto"/>
                <w:szCs w:val="21"/>
                <w:highlight w:val="none"/>
              </w:rPr>
            </w:pPr>
            <w:r>
              <w:rPr>
                <w:rFonts w:hint="eastAsia" w:ascii="宋体" w:hAnsi="宋体"/>
                <w:color w:val="auto"/>
                <w:szCs w:val="21"/>
                <w:highlight w:val="none"/>
              </w:rPr>
              <w:t>信用查询截止时点：资格审查结束前</w:t>
            </w:r>
          </w:p>
          <w:p w14:paraId="585D04AA">
            <w:pPr>
              <w:spacing w:line="360" w:lineRule="auto"/>
              <w:rPr>
                <w:rFonts w:ascii="宋体" w:hAnsi="宋体"/>
                <w:color w:val="auto"/>
                <w:szCs w:val="21"/>
                <w:highlight w:val="none"/>
              </w:rPr>
            </w:pPr>
            <w:r>
              <w:rPr>
                <w:rFonts w:hint="eastAsia" w:ascii="宋体" w:hAnsi="宋体"/>
                <w:color w:val="auto"/>
                <w:szCs w:val="21"/>
                <w:highlight w:val="none"/>
              </w:rPr>
              <w:t>查询记录和证据留存方式：在查询网站中直接截图查询记录，截图在广西政府采购云平台（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）作为附件上传保存。</w:t>
            </w:r>
          </w:p>
          <w:p w14:paraId="0388C1D5">
            <w:pPr>
              <w:spacing w:line="360" w:lineRule="auto"/>
              <w:rPr>
                <w:rFonts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248D0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48E5F6C">
            <w:pPr>
              <w:spacing w:line="360" w:lineRule="auto"/>
              <w:jc w:val="center"/>
              <w:rPr>
                <w:rFonts w:ascii="宋体" w:hAnsi="宋体"/>
                <w:color w:val="auto"/>
                <w:szCs w:val="21"/>
                <w:highlight w:val="none"/>
              </w:rPr>
            </w:pPr>
            <w:bookmarkStart w:id="87" w:name="_26"/>
            <w:bookmarkEnd w:id="87"/>
            <w:r>
              <w:rPr>
                <w:rFonts w:hint="eastAsia" w:ascii="宋体" w:hAnsi="宋体"/>
                <w:color w:val="auto"/>
                <w:szCs w:val="21"/>
                <w:highlight w:val="none"/>
              </w:rPr>
              <w:t>26</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vAlign w:val="center"/>
          </w:tcPr>
          <w:p w14:paraId="74EF89F9">
            <w:pPr>
              <w:spacing w:line="360" w:lineRule="auto"/>
              <w:rPr>
                <w:rFonts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rPr>
              <w:t>5</w:t>
            </w:r>
            <w:r>
              <w:rPr>
                <w:rFonts w:hint="eastAsia" w:ascii="宋体" w:hAnsi="宋体"/>
                <w:color w:val="auto"/>
                <w:szCs w:val="21"/>
                <w:highlight w:val="none"/>
              </w:rPr>
              <w:t>人</w:t>
            </w:r>
          </w:p>
        </w:tc>
      </w:tr>
      <w:tr w14:paraId="39E2D0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1CCFA01">
            <w:pPr>
              <w:spacing w:line="360" w:lineRule="auto"/>
              <w:jc w:val="center"/>
              <w:rPr>
                <w:rFonts w:ascii="宋体" w:hAnsi="宋体"/>
                <w:color w:val="auto"/>
                <w:szCs w:val="21"/>
                <w:highlight w:val="none"/>
              </w:rPr>
            </w:pPr>
            <w:bookmarkStart w:id="88" w:name="_28.3"/>
            <w:bookmarkEnd w:id="88"/>
            <w:r>
              <w:rPr>
                <w:rFonts w:ascii="宋体" w:hAnsi="宋体"/>
                <w:color w:val="auto"/>
                <w:szCs w:val="21"/>
                <w:highlight w:val="none"/>
              </w:rPr>
              <w:t>29.1</w:t>
            </w:r>
          </w:p>
        </w:tc>
        <w:tc>
          <w:tcPr>
            <w:tcW w:w="8670" w:type="dxa"/>
            <w:tcBorders>
              <w:top w:val="single" w:color="auto" w:sz="4" w:space="0"/>
              <w:left w:val="single" w:color="auto" w:sz="4" w:space="0"/>
              <w:bottom w:val="single" w:color="auto" w:sz="4" w:space="0"/>
              <w:right w:val="single" w:color="auto" w:sz="4" w:space="0"/>
            </w:tcBorders>
            <w:vAlign w:val="center"/>
          </w:tcPr>
          <w:p w14:paraId="3F9FCA09">
            <w:pPr>
              <w:spacing w:line="360" w:lineRule="auto"/>
              <w:rPr>
                <w:rFonts w:ascii="宋体" w:hAnsi="宋体"/>
                <w:color w:val="auto"/>
                <w:szCs w:val="21"/>
                <w:highlight w:val="none"/>
              </w:rPr>
            </w:pPr>
            <w:r>
              <w:rPr>
                <w:rFonts w:hint="eastAsia" w:ascii="宋体" w:hAnsi="宋体"/>
                <w:color w:val="auto"/>
                <w:szCs w:val="21"/>
                <w:highlight w:val="none"/>
              </w:rPr>
              <w:t>评标方法：</w:t>
            </w:r>
          </w:p>
          <w:p w14:paraId="701694A8">
            <w:pPr>
              <w:spacing w:line="360" w:lineRule="auto"/>
              <w:rPr>
                <w:rFonts w:ascii="宋体" w:hAnsi="宋体"/>
                <w:color w:val="auto"/>
                <w:szCs w:val="21"/>
                <w:highlight w:val="none"/>
              </w:rPr>
            </w:pPr>
            <w:r>
              <w:rPr>
                <w:rFonts w:hint="eastAsia" w:ascii="宋体" w:hAnsi="宋体"/>
                <w:color w:val="auto"/>
                <w:szCs w:val="21"/>
                <w:highlight w:val="none"/>
              </w:rPr>
              <w:t>☑综合评分法</w:t>
            </w:r>
          </w:p>
          <w:p w14:paraId="2D51E59F">
            <w:pPr>
              <w:spacing w:line="360" w:lineRule="auto"/>
              <w:rPr>
                <w:rFonts w:ascii="宋体" w:hAnsi="宋体"/>
                <w:color w:val="auto"/>
                <w:szCs w:val="21"/>
                <w:highlight w:val="none"/>
              </w:rPr>
            </w:pPr>
            <w:r>
              <w:rPr>
                <w:rFonts w:hint="eastAsia" w:ascii="宋体" w:hAnsi="宋体"/>
                <w:color w:val="auto"/>
                <w:szCs w:val="21"/>
                <w:highlight w:val="none"/>
              </w:rPr>
              <w:t>□最低评标价法</w:t>
            </w:r>
          </w:p>
        </w:tc>
      </w:tr>
      <w:tr w14:paraId="5C3DD7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4D6623EE">
            <w:pPr>
              <w:spacing w:line="360" w:lineRule="auto"/>
              <w:jc w:val="center"/>
              <w:rPr>
                <w:rFonts w:ascii="宋体" w:hAnsi="宋体"/>
                <w:color w:val="auto"/>
                <w:szCs w:val="21"/>
                <w:highlight w:val="none"/>
              </w:rPr>
            </w:pPr>
            <w:bookmarkStart w:id="89" w:name="_29.2.2（2）"/>
            <w:bookmarkEnd w:id="89"/>
            <w:r>
              <w:rPr>
                <w:rFonts w:hint="eastAsia" w:ascii="宋体" w:hAnsi="宋体"/>
                <w:color w:val="auto"/>
                <w:szCs w:val="21"/>
                <w:highlight w:val="none"/>
              </w:rPr>
              <w:t>2</w:t>
            </w:r>
            <w:r>
              <w:rPr>
                <w:rFonts w:ascii="宋体" w:hAnsi="宋体"/>
                <w:color w:val="auto"/>
                <w:szCs w:val="21"/>
                <w:highlight w:val="none"/>
              </w:rPr>
              <w:t>9.2</w:t>
            </w:r>
          </w:p>
        </w:tc>
        <w:tc>
          <w:tcPr>
            <w:tcW w:w="8670" w:type="dxa"/>
            <w:tcBorders>
              <w:top w:val="single" w:color="auto" w:sz="4" w:space="0"/>
              <w:left w:val="single" w:color="auto" w:sz="4" w:space="0"/>
              <w:right w:val="single" w:color="auto" w:sz="4" w:space="0"/>
            </w:tcBorders>
            <w:vAlign w:val="center"/>
          </w:tcPr>
          <w:p w14:paraId="627D4257">
            <w:pPr>
              <w:spacing w:line="360" w:lineRule="auto"/>
              <w:rPr>
                <w:rFonts w:ascii="宋体" w:hAnsi="宋体"/>
                <w:color w:val="auto"/>
                <w:szCs w:val="21"/>
                <w:highlight w:val="none"/>
              </w:rPr>
            </w:pPr>
            <w:r>
              <w:rPr>
                <w:rFonts w:hint="eastAsia" w:ascii="宋体" w:hAnsi="宋体" w:cs="宋体"/>
                <w:color w:val="auto"/>
                <w:szCs w:val="21"/>
                <w:highlight w:val="none"/>
              </w:rPr>
              <w:t>商务要求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w:t>
            </w:r>
            <w:r>
              <w:rPr>
                <w:rFonts w:hint="eastAsia" w:ascii="宋体" w:hAnsi="宋体"/>
                <w:color w:val="auto"/>
                <w:szCs w:val="21"/>
                <w:highlight w:val="none"/>
              </w:rPr>
              <w:t>项。</w:t>
            </w:r>
          </w:p>
          <w:p w14:paraId="7A66FE7C">
            <w:pPr>
              <w:spacing w:line="360" w:lineRule="auto"/>
              <w:rPr>
                <w:rFonts w:ascii="宋体" w:hAnsi="宋体"/>
                <w:color w:val="auto"/>
                <w:szCs w:val="21"/>
                <w:highlight w:val="none"/>
              </w:rPr>
            </w:pPr>
            <w:r>
              <w:rPr>
                <w:rFonts w:hint="eastAsia" w:ascii="宋体" w:hAnsi="宋体" w:cs="宋体"/>
                <w:color w:val="auto"/>
                <w:szCs w:val="21"/>
                <w:highlight w:val="none"/>
              </w:rPr>
              <w:t>技术要求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6项</w:t>
            </w:r>
            <w:r>
              <w:rPr>
                <w:rFonts w:hint="eastAsia" w:ascii="宋体" w:hAnsi="宋体"/>
                <w:color w:val="auto"/>
                <w:szCs w:val="21"/>
                <w:highlight w:val="none"/>
              </w:rPr>
              <w:t>。</w:t>
            </w:r>
          </w:p>
        </w:tc>
      </w:tr>
      <w:tr w14:paraId="256523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4B6FFF3D">
            <w:pPr>
              <w:spacing w:line="360" w:lineRule="auto"/>
              <w:jc w:val="center"/>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9.3</w:t>
            </w:r>
          </w:p>
        </w:tc>
        <w:tc>
          <w:tcPr>
            <w:tcW w:w="8670" w:type="dxa"/>
            <w:tcBorders>
              <w:top w:val="single" w:color="auto" w:sz="4" w:space="0"/>
              <w:left w:val="single" w:color="auto" w:sz="4" w:space="0"/>
              <w:right w:val="single" w:color="auto" w:sz="4" w:space="0"/>
            </w:tcBorders>
            <w:vAlign w:val="center"/>
          </w:tcPr>
          <w:p w14:paraId="229FA81F">
            <w:pPr>
              <w:spacing w:line="360" w:lineRule="auto"/>
              <w:rPr>
                <w:rFonts w:hAnsi="宋体"/>
                <w:color w:val="auto"/>
                <w:highlight w:val="none"/>
              </w:rPr>
            </w:pPr>
            <w:r>
              <w:rPr>
                <w:rFonts w:hAnsi="宋体"/>
                <w:color w:val="auto"/>
                <w:highlight w:val="none"/>
              </w:rPr>
              <w:t>中标候选人推荐数量</w:t>
            </w:r>
            <w:r>
              <w:rPr>
                <w:rFonts w:hint="eastAsia" w:hAnsi="宋体"/>
                <w:color w:val="auto"/>
                <w:highlight w:val="none"/>
              </w:rPr>
              <w:t>：</w:t>
            </w:r>
          </w:p>
          <w:p w14:paraId="62016262">
            <w:pPr>
              <w:spacing w:line="360" w:lineRule="auto"/>
              <w:rPr>
                <w:rFonts w:hAnsi="宋体"/>
                <w:color w:val="auto"/>
                <w:highlight w:val="none"/>
              </w:rPr>
            </w:pPr>
            <w:r>
              <w:rPr>
                <w:rFonts w:hint="eastAsia" w:ascii="宋体" w:hAnsi="宋体"/>
                <w:color w:val="auto"/>
                <w:szCs w:val="21"/>
                <w:highlight w:val="none"/>
              </w:rPr>
              <w:t>☑</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3</w:t>
            </w:r>
            <w:r>
              <w:rPr>
                <w:rFonts w:hAnsi="宋体"/>
                <w:color w:val="auto"/>
                <w:highlight w:val="none"/>
                <w:u w:val="single"/>
              </w:rPr>
              <w:t xml:space="preserve"> </w:t>
            </w:r>
            <w:r>
              <w:rPr>
                <w:rFonts w:hAnsi="宋体"/>
                <w:color w:val="auto"/>
                <w:highlight w:val="none"/>
              </w:rPr>
              <w:t>名</w:t>
            </w:r>
          </w:p>
          <w:p w14:paraId="6A28417C">
            <w:pPr>
              <w:spacing w:line="360" w:lineRule="auto"/>
              <w:rPr>
                <w:rFonts w:ascii="宋体" w:hAnsi="宋体" w:cs="宋体"/>
                <w:color w:val="auto"/>
                <w:szCs w:val="21"/>
                <w:highlight w:val="none"/>
                <w:u w:val="single"/>
              </w:rPr>
            </w:pPr>
            <w:r>
              <w:rPr>
                <w:rFonts w:hint="eastAsia" w:ascii="宋体" w:hAnsi="宋体"/>
                <w:color w:val="auto"/>
                <w:szCs w:val="21"/>
                <w:highlight w:val="none"/>
              </w:rPr>
              <w:t>□</w:t>
            </w:r>
            <w:r>
              <w:rPr>
                <w:rFonts w:hint="eastAsia" w:hAnsi="宋体"/>
                <w:color w:val="auto"/>
                <w:highlight w:val="none"/>
              </w:rPr>
              <w:t>根据[总得分由高到低（综合评分法）/评标报价从低到高（最低评标价法）</w:t>
            </w:r>
            <w:r>
              <w:rPr>
                <w:rFonts w:hAnsi="宋体"/>
                <w:color w:val="auto"/>
                <w:highlight w:val="none"/>
              </w:rPr>
              <w:t>]</w:t>
            </w:r>
            <w:r>
              <w:rPr>
                <w:rFonts w:hint="eastAsia" w:hAnsi="宋体"/>
                <w:color w:val="auto"/>
                <w:highlight w:val="none"/>
              </w:rPr>
              <w:t>排列次序并全部推荐为中标候选人</w:t>
            </w:r>
          </w:p>
        </w:tc>
      </w:tr>
      <w:tr w14:paraId="67C04C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41DABC1">
            <w:pPr>
              <w:spacing w:line="360" w:lineRule="auto"/>
              <w:jc w:val="center"/>
              <w:rPr>
                <w:rFonts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vAlign w:val="center"/>
          </w:tcPr>
          <w:p w14:paraId="7152D61D">
            <w:pPr>
              <w:spacing w:line="360" w:lineRule="auto"/>
              <w:rPr>
                <w:rFonts w:ascii="宋体" w:hAnsi="宋体"/>
                <w:color w:val="auto"/>
                <w:szCs w:val="21"/>
                <w:highlight w:val="none"/>
              </w:rPr>
            </w:pPr>
            <w:r>
              <w:rPr>
                <w:rFonts w:hint="eastAsia" w:ascii="宋体" w:hAnsi="宋体"/>
                <w:color w:val="auto"/>
                <w:sz w:val="22"/>
                <w:szCs w:val="22"/>
                <w:highlight w:val="none"/>
              </w:rPr>
              <w:t>采用综合评分法的采购项目，</w:t>
            </w:r>
            <w:r>
              <w:rPr>
                <w:rFonts w:hint="eastAsia" w:ascii="宋体" w:hAnsi="宋体"/>
                <w:color w:val="auto"/>
                <w:szCs w:val="21"/>
                <w:highlight w:val="none"/>
              </w:rPr>
              <w:t>采购人确定中标供应商时，出现中标候选人并列的情形，采购人按以下的方式确定中标供应商：</w:t>
            </w:r>
          </w:p>
          <w:p w14:paraId="11ED0FEC">
            <w:pPr>
              <w:spacing w:line="360" w:lineRule="auto"/>
              <w:rPr>
                <w:rFonts w:ascii="宋体" w:hAnsi="宋体"/>
                <w:color w:val="auto"/>
                <w:szCs w:val="21"/>
                <w:highlight w:val="none"/>
              </w:rPr>
            </w:pPr>
            <w:r>
              <w:rPr>
                <w:rFonts w:hint="eastAsia" w:ascii="宋体" w:hAnsi="宋体"/>
                <w:color w:val="auto"/>
                <w:szCs w:val="21"/>
                <w:highlight w:val="none"/>
              </w:rPr>
              <w:t>☑依次按投标报价低的优先、政策分得分高的优先、技术评分高的优先、商务评分高的优先、质保期长优先、交货期短优先、故障响应时间短优先的顺序确定；</w:t>
            </w:r>
          </w:p>
          <w:p w14:paraId="4E888E1A">
            <w:pPr>
              <w:spacing w:line="360" w:lineRule="auto"/>
              <w:rPr>
                <w:rFonts w:ascii="宋体" w:hAnsi="宋体"/>
                <w:color w:val="auto"/>
                <w:szCs w:val="21"/>
                <w:highlight w:val="none"/>
              </w:rPr>
            </w:pPr>
            <w:r>
              <w:rPr>
                <w:rFonts w:hint="eastAsia" w:ascii="宋体" w:hAnsi="宋体"/>
                <w:color w:val="auto"/>
                <w:szCs w:val="21"/>
                <w:highlight w:val="none"/>
              </w:rPr>
              <w:t>□随机抽取；</w:t>
            </w:r>
          </w:p>
        </w:tc>
      </w:tr>
      <w:tr w14:paraId="38B1E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vAlign w:val="center"/>
          </w:tcPr>
          <w:p w14:paraId="5738D2D7">
            <w:pPr>
              <w:spacing w:line="360" w:lineRule="auto"/>
              <w:jc w:val="center"/>
              <w:rPr>
                <w:rFonts w:ascii="宋体" w:hAnsi="宋体"/>
                <w:color w:val="auto"/>
                <w:szCs w:val="21"/>
                <w:highlight w:val="none"/>
              </w:rPr>
            </w:pPr>
            <w:bookmarkStart w:id="90" w:name="_39.1"/>
            <w:bookmarkEnd w:id="90"/>
            <w:r>
              <w:rPr>
                <w:rFonts w:hint="eastAsia" w:ascii="宋体" w:hAnsi="宋体"/>
                <w:color w:val="auto"/>
                <w:szCs w:val="21"/>
                <w:highlight w:val="none"/>
              </w:rPr>
              <w:t>35</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vAlign w:val="center"/>
          </w:tcPr>
          <w:p w14:paraId="39FD5B6C">
            <w:pPr>
              <w:spacing w:line="360" w:lineRule="auto"/>
              <w:rPr>
                <w:rFonts w:ascii="宋体" w:hAnsi="宋体"/>
                <w:color w:val="auto"/>
                <w:szCs w:val="21"/>
                <w:highlight w:val="none"/>
              </w:rPr>
            </w:pPr>
            <w:r>
              <w:rPr>
                <w:rFonts w:hint="eastAsia" w:ascii="宋体" w:hAnsi="宋体"/>
                <w:color w:val="auto"/>
                <w:szCs w:val="21"/>
                <w:highlight w:val="none"/>
              </w:rPr>
              <w:t>☑不收取履约保证金。</w:t>
            </w:r>
          </w:p>
          <w:p w14:paraId="47A9057E">
            <w:pPr>
              <w:spacing w:line="360" w:lineRule="auto"/>
              <w:rPr>
                <w:rFonts w:ascii="宋体" w:hAnsi="宋体"/>
                <w:color w:val="auto"/>
                <w:szCs w:val="21"/>
                <w:highlight w:val="none"/>
              </w:rPr>
            </w:pPr>
            <w:r>
              <w:rPr>
                <w:rFonts w:hint="eastAsia" w:ascii="宋体" w:hAnsi="宋体"/>
                <w:color w:val="auto"/>
                <w:szCs w:val="21"/>
                <w:highlight w:val="none"/>
              </w:rPr>
              <w:t>□收取履约保证金，收取履约保证金的具体规定如下：</w:t>
            </w:r>
          </w:p>
          <w:p w14:paraId="3A4482A6">
            <w:pPr>
              <w:pStyle w:val="16"/>
              <w:spacing w:line="360" w:lineRule="auto"/>
              <w:rPr>
                <w:rFonts w:ascii="宋体" w:hAnsi="宋体"/>
                <w:color w:val="auto"/>
                <w:szCs w:val="21"/>
                <w:highlight w:val="none"/>
              </w:rPr>
            </w:pPr>
            <w:r>
              <w:rPr>
                <w:rFonts w:hint="eastAsia" w:ascii="宋体" w:hAnsi="宋体"/>
                <w:color w:val="auto"/>
                <w:szCs w:val="21"/>
                <w:highlight w:val="none"/>
              </w:rPr>
              <w:t>履约保证金金额：</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154E5E8">
            <w:pPr>
              <w:spacing w:line="360" w:lineRule="auto"/>
              <w:rPr>
                <w:rFonts w:ascii="宋体" w:hAnsi="宋体"/>
                <w:color w:val="auto"/>
                <w:szCs w:val="21"/>
                <w:highlight w:val="none"/>
              </w:rPr>
            </w:pPr>
            <w:r>
              <w:rPr>
                <w:rFonts w:hint="eastAsia" w:ascii="宋体" w:hAnsi="宋体"/>
                <w:color w:val="auto"/>
                <w:szCs w:val="21"/>
                <w:highlight w:val="none"/>
              </w:rPr>
              <w:t>履约保证金递交方式：银行转账、支票、汇票、本票或者银行、保险机构出具的保函等非现金方式（参照投标保证金）</w:t>
            </w:r>
          </w:p>
          <w:p w14:paraId="6104D9AF">
            <w:pPr>
              <w:spacing w:line="360" w:lineRule="auto"/>
              <w:rPr>
                <w:rFonts w:ascii="宋体" w:hAnsi="宋体"/>
                <w:color w:val="auto"/>
                <w:szCs w:val="21"/>
                <w:highlight w:val="none"/>
              </w:rPr>
            </w:pPr>
            <w:r>
              <w:rPr>
                <w:rFonts w:ascii="宋体" w:hAnsi="宋体"/>
                <w:color w:val="auto"/>
                <w:szCs w:val="21"/>
                <w:highlight w:val="none"/>
              </w:rPr>
              <w:t>履约保证金缴纳期限</w:t>
            </w:r>
            <w:r>
              <w:rPr>
                <w:rFonts w:hint="eastAsia" w:ascii="宋体" w:hAnsi="宋体"/>
                <w:color w:val="auto"/>
                <w:szCs w:val="21"/>
                <w:highlight w:val="none"/>
              </w:rPr>
              <w:t>:</w:t>
            </w:r>
            <w:r>
              <w:rPr>
                <w:rFonts w:hint="eastAsia"/>
                <w:color w:val="auto"/>
                <w:highlight w:val="none"/>
              </w:rPr>
              <w:t xml:space="preserve"> </w:t>
            </w:r>
            <w:r>
              <w:rPr>
                <w:rFonts w:hint="eastAsia" w:ascii="宋体" w:hAnsi="宋体"/>
                <w:color w:val="auto"/>
                <w:szCs w:val="21"/>
                <w:highlight w:val="none"/>
                <w:u w:val="single"/>
              </w:rPr>
              <w:t>自中标通知书发出之日起15日内</w:t>
            </w:r>
            <w:r>
              <w:rPr>
                <w:rFonts w:hint="eastAsia" w:ascii="宋体" w:hAnsi="宋体"/>
                <w:color w:val="auto"/>
                <w:szCs w:val="21"/>
                <w:highlight w:val="none"/>
              </w:rPr>
              <w:t>。</w:t>
            </w:r>
          </w:p>
          <w:p w14:paraId="121FF7B4">
            <w:pPr>
              <w:spacing w:line="360" w:lineRule="auto"/>
              <w:rPr>
                <w:rFonts w:ascii="宋体" w:hAnsi="宋体"/>
                <w:color w:val="auto"/>
                <w:szCs w:val="21"/>
                <w:highlight w:val="none"/>
                <w:u w:val="single"/>
              </w:rPr>
            </w:pPr>
            <w:r>
              <w:rPr>
                <w:rFonts w:hint="eastAsia" w:ascii="宋体" w:hAnsi="宋体"/>
                <w:color w:val="auto"/>
                <w:szCs w:val="21"/>
                <w:highlight w:val="none"/>
              </w:rPr>
              <w:t>履约保证金退付方式、时间及条件：</w:t>
            </w:r>
            <w:r>
              <w:rPr>
                <w:rFonts w:hint="eastAsia" w:ascii="宋体" w:hAnsi="宋体"/>
                <w:color w:val="auto"/>
                <w:szCs w:val="21"/>
                <w:highlight w:val="none"/>
                <w:u w:val="single"/>
              </w:rPr>
              <w:t>由中标供应商向采购人提供《广西壮族自治区政府采购项目合同验收书》（详见桂财采〔2015〕22号），保证金收取单位在收到合格材料后5个工作日内办理退还手续（不计利息）。</w:t>
            </w:r>
          </w:p>
          <w:p w14:paraId="6F6E61CB">
            <w:pPr>
              <w:spacing w:line="360" w:lineRule="auto"/>
              <w:jc w:val="left"/>
              <w:rPr>
                <w:rFonts w:ascii="宋体" w:hAnsi="宋体" w:cs="Courier New"/>
                <w:color w:val="auto"/>
                <w:szCs w:val="21"/>
                <w:highlight w:val="none"/>
                <w:u w:val="single"/>
              </w:rPr>
            </w:pPr>
            <w:r>
              <w:rPr>
                <w:rFonts w:hint="eastAsia" w:ascii="宋体" w:hAnsi="宋体"/>
                <w:color w:val="auto"/>
                <w:szCs w:val="21"/>
                <w:highlight w:val="none"/>
              </w:rPr>
              <w:t>履约保证金指定账户：</w:t>
            </w:r>
            <w:r>
              <w:rPr>
                <w:rFonts w:hint="eastAsia" w:ascii="宋体" w:hAnsi="宋体"/>
                <w:color w:val="auto"/>
                <w:szCs w:val="21"/>
                <w:highlight w:val="none"/>
                <w:u w:val="single"/>
              </w:rPr>
              <w:t xml:space="preserve">            </w:t>
            </w:r>
          </w:p>
          <w:p w14:paraId="78AAABCB">
            <w:pPr>
              <w:spacing w:line="360" w:lineRule="auto"/>
              <w:jc w:val="left"/>
              <w:rPr>
                <w:rFonts w:ascii="宋体" w:hAnsi="宋体" w:cs="Courier New"/>
                <w:color w:val="auto"/>
                <w:szCs w:val="21"/>
                <w:highlight w:val="none"/>
              </w:rPr>
            </w:pPr>
            <w:r>
              <w:rPr>
                <w:rFonts w:ascii="宋体" w:hAnsi="宋体" w:cs="Courier New"/>
                <w:color w:val="auto"/>
                <w:szCs w:val="21"/>
                <w:highlight w:val="none"/>
              </w:rPr>
              <w:t>备注：</w:t>
            </w:r>
          </w:p>
          <w:p w14:paraId="468D7F1C">
            <w:pPr>
              <w:spacing w:line="360" w:lineRule="auto"/>
              <w:jc w:val="left"/>
              <w:rPr>
                <w:rFonts w:ascii="宋体" w:hAnsi="宋体"/>
                <w:b/>
                <w:color w:val="auto"/>
                <w:szCs w:val="21"/>
                <w:highlight w:val="none"/>
              </w:rPr>
            </w:pPr>
            <w:bookmarkStart w:id="91" w:name="_Hlk54170335"/>
            <w:r>
              <w:rPr>
                <w:rFonts w:hint="eastAsia" w:ascii="宋体" w:hAnsi="宋体"/>
                <w:b/>
                <w:color w:val="auto"/>
                <w:szCs w:val="21"/>
                <w:highlight w:val="none"/>
              </w:rPr>
              <w:t>1.根据</w:t>
            </w:r>
            <w:bookmarkEnd w:id="91"/>
            <w:r>
              <w:rPr>
                <w:rFonts w:hint="eastAsia" w:ascii="宋体" w:hAnsi="宋体"/>
                <w:b/>
                <w:color w:val="auto"/>
                <w:szCs w:val="21"/>
                <w:highlight w:val="none"/>
              </w:rPr>
              <w:t>《广西壮族自治区财政厅关于持续优化政府采购营商环境推动高质量发展的通知》（桂财采（2024）55号）规定，履约保证金数额不得超过政府采购合同金额的5%，对中小企业收取的履约保证金数额不得超过政府采购合同金额的2%。预算单位（采购人）可根据供应商的资信等情况减免履约保证金。</w:t>
            </w:r>
          </w:p>
          <w:p w14:paraId="3D523275">
            <w:pPr>
              <w:spacing w:line="360" w:lineRule="auto"/>
              <w:jc w:val="left"/>
              <w:rPr>
                <w:rFonts w:ascii="宋体" w:hAnsi="宋体"/>
                <w:b/>
                <w:color w:val="auto"/>
                <w:szCs w:val="21"/>
                <w:highlight w:val="none"/>
              </w:rPr>
            </w:pPr>
            <w:r>
              <w:rPr>
                <w:rFonts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56691D1">
            <w:pPr>
              <w:spacing w:line="360" w:lineRule="auto"/>
              <w:jc w:val="left"/>
              <w:rPr>
                <w:rFonts w:ascii="宋体" w:hAnsi="宋体"/>
                <w:b/>
                <w:color w:val="auto"/>
                <w:szCs w:val="21"/>
                <w:highlight w:val="none"/>
              </w:rPr>
            </w:pPr>
            <w:r>
              <w:rPr>
                <w:rFonts w:ascii="宋体" w:hAnsi="宋体"/>
                <w:b/>
                <w:color w:val="auto"/>
                <w:szCs w:val="21"/>
                <w:highlight w:val="none"/>
              </w:rPr>
              <w:t>3.采用银行、保险机构出具的保函的，必须为无条件保函，否则不予签订合同。</w:t>
            </w:r>
          </w:p>
          <w:p w14:paraId="1AF4B434">
            <w:pPr>
              <w:spacing w:line="360" w:lineRule="auto"/>
              <w:jc w:val="left"/>
              <w:rPr>
                <w:rFonts w:ascii="宋体" w:hAnsi="宋体" w:cs="宋体"/>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6C2128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C1D9820">
            <w:pPr>
              <w:spacing w:line="360" w:lineRule="auto"/>
              <w:jc w:val="center"/>
              <w:rPr>
                <w:rFonts w:ascii="宋体" w:hAnsi="宋体"/>
                <w:color w:val="auto"/>
                <w:szCs w:val="21"/>
                <w:highlight w:val="none"/>
              </w:rPr>
            </w:pPr>
            <w:bookmarkStart w:id="92" w:name="_40.1"/>
            <w:bookmarkEnd w:id="92"/>
            <w:r>
              <w:rPr>
                <w:rFonts w:hint="eastAsia" w:ascii="宋体" w:hAnsi="宋体"/>
                <w:color w:val="auto"/>
                <w:szCs w:val="21"/>
                <w:highlight w:val="none"/>
              </w:rPr>
              <w:t>36.1</w:t>
            </w:r>
          </w:p>
        </w:tc>
        <w:tc>
          <w:tcPr>
            <w:tcW w:w="8670" w:type="dxa"/>
            <w:tcBorders>
              <w:top w:val="single" w:color="auto" w:sz="4" w:space="0"/>
              <w:left w:val="single" w:color="auto" w:sz="4" w:space="0"/>
              <w:bottom w:val="single" w:color="auto" w:sz="4" w:space="0"/>
              <w:right w:val="single" w:color="auto" w:sz="4" w:space="0"/>
            </w:tcBorders>
            <w:vAlign w:val="center"/>
          </w:tcPr>
          <w:p w14:paraId="3661B47B">
            <w:pPr>
              <w:spacing w:line="360" w:lineRule="auto"/>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5D5596A4">
            <w:pPr>
              <w:spacing w:line="360" w:lineRule="auto"/>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3781081E">
            <w:pPr>
              <w:spacing w:line="360" w:lineRule="auto"/>
              <w:rPr>
                <w:rFonts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0D537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F08CF02">
            <w:pPr>
              <w:spacing w:line="360" w:lineRule="auto"/>
              <w:jc w:val="center"/>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670" w:type="dxa"/>
            <w:tcBorders>
              <w:top w:val="single" w:color="auto" w:sz="4" w:space="0"/>
              <w:left w:val="single" w:color="auto" w:sz="4" w:space="0"/>
              <w:bottom w:val="single" w:color="auto" w:sz="4" w:space="0"/>
              <w:right w:val="single" w:color="auto" w:sz="4" w:space="0"/>
            </w:tcBorders>
            <w:vAlign w:val="center"/>
          </w:tcPr>
          <w:p w14:paraId="1FFA6A5A">
            <w:pPr>
              <w:spacing w:line="360" w:lineRule="auto"/>
              <w:rPr>
                <w:rFonts w:ascii="宋体" w:hAnsi="宋体"/>
                <w:color w:val="auto"/>
                <w:szCs w:val="21"/>
                <w:highlight w:val="none"/>
              </w:rPr>
            </w:pPr>
            <w:r>
              <w:rPr>
                <w:rFonts w:hint="eastAsia" w:ascii="宋体" w:hAnsi="宋体"/>
                <w:color w:val="auto"/>
                <w:szCs w:val="21"/>
                <w:highlight w:val="none"/>
              </w:rPr>
              <w:t>接收质疑函方式：以书面形式</w:t>
            </w:r>
          </w:p>
          <w:p w14:paraId="64CEC460">
            <w:pPr>
              <w:spacing w:line="360" w:lineRule="auto"/>
              <w:rPr>
                <w:rFonts w:ascii="宋体" w:hAnsi="宋体"/>
                <w:color w:val="auto"/>
                <w:szCs w:val="21"/>
                <w:highlight w:val="none"/>
              </w:rPr>
            </w:pPr>
            <w:r>
              <w:rPr>
                <w:rFonts w:hint="eastAsia" w:ascii="宋体" w:hAnsi="宋体"/>
                <w:color w:val="auto"/>
                <w:szCs w:val="21"/>
                <w:highlight w:val="none"/>
              </w:rPr>
              <w:t>质疑联系部门及联系方式：云之龙咨询集团有限公司，联系电话：0774-3859935，通讯地址：（梧州市蒙山县东江南路西三巷2号(城南新区华美水岸明珠第33栋12号)）</w:t>
            </w:r>
          </w:p>
          <w:p w14:paraId="6B50943A">
            <w:pPr>
              <w:spacing w:line="360" w:lineRule="auto"/>
              <w:rPr>
                <w:rFonts w:ascii="宋体" w:hAnsi="宋体"/>
                <w:color w:val="auto"/>
                <w:szCs w:val="21"/>
                <w:highlight w:val="none"/>
              </w:rPr>
            </w:pPr>
            <w:r>
              <w:rPr>
                <w:rFonts w:hint="eastAsia" w:hAnsi="宋体" w:cs="宋体"/>
                <w:color w:val="auto"/>
                <w:highlight w:val="none"/>
              </w:rPr>
              <w:t>业务时间：工作日每天上午</w:t>
            </w:r>
            <w:r>
              <w:rPr>
                <w:rFonts w:hAnsi="宋体" w:cs="宋体"/>
                <w:color w:val="auto"/>
                <w:highlight w:val="none"/>
              </w:rPr>
              <w:t>8</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12</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分，下午</w:t>
            </w:r>
            <w:r>
              <w:rPr>
                <w:rFonts w:hAnsi="宋体" w:cs="宋体"/>
                <w:color w:val="auto"/>
                <w:highlight w:val="none"/>
              </w:rPr>
              <w:t>3</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6</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w:t>
            </w:r>
          </w:p>
        </w:tc>
      </w:tr>
      <w:tr w14:paraId="29BD08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51D37BB">
            <w:pPr>
              <w:spacing w:line="360" w:lineRule="auto"/>
              <w:jc w:val="center"/>
              <w:rPr>
                <w:rFonts w:ascii="宋体" w:hAnsi="宋体"/>
                <w:color w:val="auto"/>
                <w:szCs w:val="21"/>
                <w:highlight w:val="none"/>
              </w:rPr>
            </w:pPr>
            <w:bookmarkStart w:id="93" w:name="_42"/>
            <w:bookmarkEnd w:id="93"/>
            <w:bookmarkStart w:id="94" w:name="_41"/>
            <w:bookmarkEnd w:id="94"/>
            <w:bookmarkStart w:id="95" w:name="_Hlt17709148"/>
            <w:r>
              <w:rPr>
                <w:rFonts w:hint="eastAsia" w:ascii="宋体" w:hAnsi="宋体"/>
                <w:color w:val="auto"/>
                <w:szCs w:val="21"/>
                <w:highlight w:val="none"/>
              </w:rPr>
              <w:t>3</w:t>
            </w:r>
            <w:bookmarkEnd w:id="95"/>
            <w:r>
              <w:rPr>
                <w:rFonts w:ascii="宋体" w:hAnsi="宋体"/>
                <w:color w:val="auto"/>
                <w:szCs w:val="21"/>
                <w:highlight w:val="none"/>
              </w:rPr>
              <w:t>9.1</w:t>
            </w:r>
          </w:p>
        </w:tc>
        <w:tc>
          <w:tcPr>
            <w:tcW w:w="8670" w:type="dxa"/>
            <w:tcBorders>
              <w:top w:val="single" w:color="auto" w:sz="4" w:space="0"/>
              <w:left w:val="single" w:color="auto" w:sz="4" w:space="0"/>
              <w:bottom w:val="single" w:color="auto" w:sz="4" w:space="0"/>
              <w:right w:val="single" w:color="auto" w:sz="4" w:space="0"/>
            </w:tcBorders>
            <w:vAlign w:val="center"/>
          </w:tcPr>
          <w:p w14:paraId="5CEFE749">
            <w:pPr>
              <w:pStyle w:val="26"/>
              <w:spacing w:line="360" w:lineRule="auto"/>
              <w:rPr>
                <w:rFonts w:hAnsi="宋体" w:cs="宋体"/>
                <w:color w:val="auto"/>
                <w:sz w:val="21"/>
                <w:highlight w:val="none"/>
              </w:rPr>
            </w:pPr>
            <w:r>
              <w:rPr>
                <w:rFonts w:hint="eastAsia" w:hAnsi="宋体" w:cs="宋体"/>
                <w:color w:val="auto"/>
                <w:sz w:val="21"/>
                <w:highlight w:val="none"/>
              </w:rPr>
              <w:t>1.采购代理费支付方式：</w:t>
            </w:r>
          </w:p>
          <w:p w14:paraId="7A88BA00">
            <w:pPr>
              <w:pStyle w:val="26"/>
              <w:spacing w:line="360" w:lineRule="auto"/>
              <w:rPr>
                <w:rFonts w:hAnsi="宋体" w:cs="宋体"/>
                <w:color w:val="auto"/>
                <w:sz w:val="21"/>
                <w:highlight w:val="none"/>
              </w:rPr>
            </w:pPr>
            <w:r>
              <w:rPr>
                <w:rFonts w:hint="eastAsia" w:hAnsi="宋体"/>
                <w:color w:val="auto"/>
                <w:highlight w:val="none"/>
              </w:rPr>
              <w:t xml:space="preserve">☑ </w:t>
            </w:r>
            <w:r>
              <w:rPr>
                <w:rFonts w:hint="eastAsia" w:hAnsi="宋体" w:cs="宋体"/>
                <w:color w:val="auto"/>
                <w:sz w:val="21"/>
                <w:highlight w:val="none"/>
              </w:rPr>
              <w:t>本项目采购代理费在发布中标结果公告后5日内，由中标供应商一次性向采购代理机构支付。</w:t>
            </w:r>
          </w:p>
          <w:p w14:paraId="6A549413">
            <w:pPr>
              <w:pStyle w:val="26"/>
              <w:spacing w:line="360" w:lineRule="auto"/>
              <w:rPr>
                <w:rFonts w:hAnsi="宋体" w:cs="宋体"/>
                <w:color w:val="auto"/>
                <w:sz w:val="21"/>
                <w:highlight w:val="none"/>
              </w:rPr>
            </w:pPr>
            <w:r>
              <w:rPr>
                <w:rFonts w:hint="eastAsia" w:hAnsi="宋体" w:cs="宋体"/>
                <w:color w:val="auto"/>
                <w:sz w:val="21"/>
                <w:highlight w:val="none"/>
              </w:rPr>
              <w:t>□采购人支付。</w:t>
            </w:r>
          </w:p>
          <w:p w14:paraId="49C18354">
            <w:pPr>
              <w:pStyle w:val="26"/>
              <w:spacing w:line="360" w:lineRule="auto"/>
              <w:rPr>
                <w:rFonts w:hAnsi="宋体" w:cs="宋体"/>
                <w:color w:val="auto"/>
                <w:sz w:val="21"/>
                <w:highlight w:val="none"/>
              </w:rPr>
            </w:pPr>
            <w:r>
              <w:rPr>
                <w:rFonts w:hint="eastAsia" w:hAnsi="宋体" w:cs="宋体"/>
                <w:color w:val="auto"/>
                <w:sz w:val="21"/>
                <w:highlight w:val="none"/>
              </w:rPr>
              <w:t>2.采购代理费收取标准：</w:t>
            </w:r>
          </w:p>
          <w:p w14:paraId="1FD812F9">
            <w:pPr>
              <w:pStyle w:val="26"/>
              <w:spacing w:line="360" w:lineRule="auto"/>
              <w:rPr>
                <w:rFonts w:hAnsi="宋体" w:cs="宋体"/>
                <w:color w:val="auto"/>
                <w:sz w:val="21"/>
                <w:highlight w:val="none"/>
              </w:rPr>
            </w:pPr>
            <w:r>
              <w:rPr>
                <w:rFonts w:hint="eastAsia" w:hAnsi="宋体"/>
                <w:color w:val="auto"/>
                <w:highlight w:val="none"/>
              </w:rPr>
              <w:t>☑</w:t>
            </w:r>
            <w:r>
              <w:rPr>
                <w:rFonts w:hint="eastAsia" w:hAnsi="宋体" w:cs="宋体"/>
                <w:color w:val="auto"/>
                <w:sz w:val="21"/>
                <w:highlight w:val="none"/>
              </w:rPr>
              <w:t>中标金额为计费额，按本须知正文第</w:t>
            </w:r>
            <w:r>
              <w:rPr>
                <w:rFonts w:hAnsi="宋体" w:cs="宋体"/>
                <w:color w:val="auto"/>
                <w:sz w:val="21"/>
                <w:highlight w:val="none"/>
              </w:rPr>
              <w:t>39</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条规定的收费计算标准货物招标采用差额定率累进法计算出收费基准价格，采购代理收费以收费基准价格</w:t>
            </w:r>
            <w:r>
              <w:rPr>
                <w:rFonts w:hint="eastAsia" w:hAnsi="宋体" w:cs="宋体"/>
                <w:color w:val="auto"/>
                <w:sz w:val="21"/>
                <w:highlight w:val="none"/>
                <w:lang w:val="en-US" w:eastAsia="zh-CN"/>
              </w:rPr>
              <w:t>下浮20%</w:t>
            </w:r>
            <w:r>
              <w:rPr>
                <w:rFonts w:hint="eastAsia" w:hAnsi="宋体" w:cs="宋体"/>
                <w:color w:val="auto"/>
                <w:sz w:val="21"/>
                <w:highlight w:val="none"/>
              </w:rPr>
              <w:t>收取。</w:t>
            </w:r>
          </w:p>
          <w:p w14:paraId="3F5C8BAF">
            <w:pPr>
              <w:pStyle w:val="26"/>
              <w:spacing w:line="360" w:lineRule="auto"/>
              <w:rPr>
                <w:rFonts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p>
          <w:p w14:paraId="5C679F60">
            <w:pPr>
              <w:pStyle w:val="26"/>
              <w:spacing w:line="360" w:lineRule="auto"/>
              <w:rPr>
                <w:rFonts w:hAnsi="宋体" w:cs="宋体"/>
                <w:color w:val="auto"/>
                <w:sz w:val="21"/>
                <w:highlight w:val="none"/>
              </w:rPr>
            </w:pPr>
            <w:r>
              <w:rPr>
                <w:rFonts w:hint="eastAsia" w:hAnsi="宋体" w:cs="宋体"/>
                <w:color w:val="auto"/>
                <w:sz w:val="21"/>
                <w:highlight w:val="none"/>
              </w:rPr>
              <w:t>3. 采购代理费收取银行账户</w:t>
            </w:r>
          </w:p>
          <w:p w14:paraId="0E5A07CF">
            <w:pPr>
              <w:pStyle w:val="262"/>
              <w:spacing w:line="360" w:lineRule="auto"/>
              <w:rPr>
                <w:rFonts w:hAnsi="宋体" w:cs="宋体"/>
                <w:b/>
                <w:bCs/>
                <w:color w:val="auto"/>
                <w:highlight w:val="none"/>
                <w:u w:val="single"/>
              </w:rPr>
            </w:pPr>
            <w:r>
              <w:rPr>
                <w:rFonts w:hint="eastAsia" w:hAnsi="宋体" w:cs="宋体"/>
                <w:b/>
                <w:bCs/>
                <w:color w:val="auto"/>
                <w:highlight w:val="none"/>
                <w:u w:val="single"/>
              </w:rPr>
              <w:t>户名：云之龙咨询集团有限公司蒙山分公司</w:t>
            </w:r>
          </w:p>
          <w:p w14:paraId="2EEA5330">
            <w:pPr>
              <w:pStyle w:val="262"/>
              <w:spacing w:line="360" w:lineRule="auto"/>
              <w:rPr>
                <w:rFonts w:hAnsi="宋体" w:cs="宋体"/>
                <w:b/>
                <w:bCs/>
                <w:color w:val="auto"/>
                <w:highlight w:val="none"/>
                <w:u w:val="single"/>
              </w:rPr>
            </w:pPr>
            <w:r>
              <w:rPr>
                <w:rFonts w:hint="eastAsia" w:hAnsi="宋体" w:cs="宋体"/>
                <w:b/>
                <w:bCs/>
                <w:color w:val="auto"/>
                <w:highlight w:val="none"/>
                <w:u w:val="single"/>
              </w:rPr>
              <w:t>账号：660000022985200018</w:t>
            </w:r>
          </w:p>
          <w:p w14:paraId="6E861ABF">
            <w:pPr>
              <w:pStyle w:val="26"/>
              <w:spacing w:line="360" w:lineRule="auto"/>
              <w:rPr>
                <w:rFonts w:hAnsi="宋体" w:cs="宋体"/>
                <w:color w:val="auto"/>
                <w:sz w:val="21"/>
                <w:highlight w:val="none"/>
              </w:rPr>
            </w:pPr>
            <w:r>
              <w:rPr>
                <w:rFonts w:hint="eastAsia" w:hAnsi="宋体" w:cs="宋体"/>
                <w:b/>
                <w:bCs/>
                <w:color w:val="auto"/>
                <w:sz w:val="21"/>
                <w:highlight w:val="none"/>
                <w:u w:val="single"/>
              </w:rPr>
              <w:t>开户行：桂林银行梧州河西支行</w:t>
            </w:r>
          </w:p>
        </w:tc>
      </w:tr>
      <w:tr w14:paraId="4D35C1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3EB8FF3">
            <w:pPr>
              <w:spacing w:line="360" w:lineRule="auto"/>
              <w:jc w:val="center"/>
              <w:rPr>
                <w:rFonts w:ascii="宋体" w:hAnsi="宋体"/>
                <w:color w:val="auto"/>
                <w:szCs w:val="21"/>
                <w:highlight w:val="none"/>
              </w:rPr>
            </w:pPr>
            <w:r>
              <w:rPr>
                <w:rFonts w:ascii="宋体" w:hAnsi="宋体"/>
                <w:color w:val="auto"/>
                <w:szCs w:val="21"/>
                <w:highlight w:val="none"/>
              </w:rPr>
              <w:t>40.1</w:t>
            </w:r>
          </w:p>
        </w:tc>
        <w:tc>
          <w:tcPr>
            <w:tcW w:w="8670" w:type="dxa"/>
            <w:tcBorders>
              <w:top w:val="single" w:color="auto" w:sz="4" w:space="0"/>
              <w:left w:val="single" w:color="auto" w:sz="4" w:space="0"/>
              <w:bottom w:val="single" w:color="auto" w:sz="4" w:space="0"/>
              <w:right w:val="single" w:color="auto" w:sz="4" w:space="0"/>
            </w:tcBorders>
            <w:vAlign w:val="center"/>
          </w:tcPr>
          <w:p w14:paraId="0EFE4F52">
            <w:pPr>
              <w:spacing w:line="360" w:lineRule="auto"/>
              <w:rPr>
                <w:rFonts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6310AE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258941D">
            <w:pPr>
              <w:spacing w:line="360" w:lineRule="auto"/>
              <w:jc w:val="center"/>
              <w:rPr>
                <w:rFonts w:ascii="宋体" w:hAnsi="宋体"/>
                <w:color w:val="auto"/>
                <w:szCs w:val="21"/>
                <w:highlight w:val="none"/>
              </w:rPr>
            </w:pPr>
            <w:r>
              <w:rPr>
                <w:rFonts w:ascii="宋体" w:hAnsi="宋体"/>
                <w:color w:val="auto"/>
                <w:szCs w:val="21"/>
                <w:highlight w:val="none"/>
              </w:rPr>
              <w:t>40.2</w:t>
            </w:r>
          </w:p>
        </w:tc>
        <w:tc>
          <w:tcPr>
            <w:tcW w:w="8670" w:type="dxa"/>
            <w:tcBorders>
              <w:top w:val="single" w:color="auto" w:sz="4" w:space="0"/>
              <w:left w:val="single" w:color="auto" w:sz="4" w:space="0"/>
              <w:bottom w:val="single" w:color="auto" w:sz="4" w:space="0"/>
              <w:right w:val="single" w:color="auto" w:sz="4" w:space="0"/>
            </w:tcBorders>
            <w:vAlign w:val="center"/>
          </w:tcPr>
          <w:p w14:paraId="3B36F0AE">
            <w:pPr>
              <w:pStyle w:val="26"/>
              <w:spacing w:line="360" w:lineRule="auto"/>
              <w:rPr>
                <w:rFonts w:hAnsi="宋体" w:cs="宋体"/>
                <w:bCs/>
                <w:color w:val="auto"/>
                <w:sz w:val="21"/>
                <w:highlight w:val="none"/>
              </w:rPr>
            </w:pPr>
            <w:r>
              <w:rPr>
                <w:rFonts w:hint="eastAsia" w:hAnsi="宋体" w:cs="宋体"/>
                <w:bCs/>
                <w:color w:val="auto"/>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5BC1C60">
            <w:pPr>
              <w:pStyle w:val="26"/>
              <w:spacing w:line="360" w:lineRule="auto"/>
              <w:rPr>
                <w:rFonts w:hAnsi="宋体" w:cs="宋体"/>
                <w:bCs/>
                <w:color w:val="auto"/>
                <w:sz w:val="21"/>
                <w:highlight w:val="none"/>
              </w:rPr>
            </w:pPr>
            <w:r>
              <w:rPr>
                <w:rFonts w:hint="eastAsia" w:hAnsi="宋体" w:cs="宋体"/>
                <w:bCs/>
                <w:color w:val="auto"/>
                <w:sz w:val="21"/>
                <w:highlight w:val="none"/>
              </w:rPr>
              <w:t>2.本招标文件所称的“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5C996E8F">
            <w:pPr>
              <w:pStyle w:val="26"/>
              <w:spacing w:line="360" w:lineRule="auto"/>
              <w:rPr>
                <w:rFonts w:hAnsi="宋体" w:cs="宋体"/>
                <w:bCs/>
                <w:color w:val="auto"/>
                <w:sz w:val="21"/>
                <w:highlight w:val="none"/>
              </w:rPr>
            </w:pPr>
            <w:r>
              <w:rPr>
                <w:rFonts w:hint="eastAsia" w:hAnsi="宋体" w:cs="宋体"/>
                <w:bCs/>
                <w:color w:val="auto"/>
                <w:sz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5333C12">
            <w:pPr>
              <w:pStyle w:val="26"/>
              <w:spacing w:line="360" w:lineRule="auto"/>
              <w:rPr>
                <w:rFonts w:hAnsi="宋体" w:cs="宋体"/>
                <w:bCs/>
                <w:color w:val="auto"/>
                <w:sz w:val="21"/>
                <w:highlight w:val="none"/>
              </w:rPr>
            </w:pPr>
            <w:r>
              <w:rPr>
                <w:rFonts w:hint="eastAsia" w:hAnsi="宋体" w:cs="宋体"/>
                <w:bCs/>
                <w:color w:val="auto"/>
                <w:sz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19942308">
            <w:pPr>
              <w:pStyle w:val="26"/>
              <w:spacing w:line="360" w:lineRule="auto"/>
              <w:rPr>
                <w:color w:val="auto"/>
                <w:sz w:val="21"/>
                <w:highlight w:val="none"/>
              </w:rPr>
            </w:pPr>
            <w:r>
              <w:rPr>
                <w:rFonts w:hint="eastAsia" w:hAnsi="宋体" w:cs="宋体"/>
                <w:bCs/>
                <w:color w:val="auto"/>
                <w:sz w:val="21"/>
                <w:highlight w:val="none"/>
              </w:rPr>
              <w:t>5.本招标文件所称的“以上”“以下”“以内”“届满”，包括本数；所称的“不满”“超过”“以外”，不包括本数。</w:t>
            </w:r>
          </w:p>
        </w:tc>
      </w:tr>
    </w:tbl>
    <w:p w14:paraId="12160BE3">
      <w:pPr>
        <w:rPr>
          <w:rFonts w:ascii="宋体" w:hAnsi="宋体"/>
          <w:color w:val="auto"/>
          <w:sz w:val="24"/>
          <w:szCs w:val="20"/>
          <w:highlight w:val="none"/>
        </w:rPr>
      </w:pPr>
    </w:p>
    <w:p w14:paraId="72D2AD1F">
      <w:pPr>
        <w:rPr>
          <w:rFonts w:ascii="宋体" w:hAnsi="宋体"/>
          <w:color w:val="auto"/>
          <w:sz w:val="24"/>
          <w:szCs w:val="20"/>
          <w:highlight w:val="none"/>
        </w:rPr>
      </w:pPr>
    </w:p>
    <w:p w14:paraId="17487E2B">
      <w:pPr>
        <w:pStyle w:val="4"/>
        <w:keepNext w:val="0"/>
        <w:keepLines w:val="0"/>
        <w:jc w:val="center"/>
        <w:rPr>
          <w:color w:val="auto"/>
          <w:highlight w:val="none"/>
        </w:rPr>
      </w:pPr>
      <w:r>
        <w:rPr>
          <w:color w:val="auto"/>
          <w:highlight w:val="none"/>
        </w:rPr>
        <w:br w:type="page" w:clear="all"/>
      </w:r>
      <w:r>
        <w:rPr>
          <w:rFonts w:hint="eastAsia"/>
          <w:color w:val="auto"/>
          <w:highlight w:val="none"/>
        </w:rPr>
        <w:t>投标人须知正文</w:t>
      </w:r>
    </w:p>
    <w:p w14:paraId="531CED7E">
      <w:pPr>
        <w:pStyle w:val="4"/>
        <w:keepNext w:val="0"/>
        <w:keepLines w:val="0"/>
        <w:jc w:val="center"/>
        <w:rPr>
          <w:color w:val="auto"/>
          <w:highlight w:val="none"/>
        </w:rPr>
      </w:pPr>
      <w:r>
        <w:rPr>
          <w:rFonts w:hint="eastAsia"/>
          <w:color w:val="auto"/>
          <w:highlight w:val="none"/>
        </w:rPr>
        <w:t>一、总  则</w:t>
      </w:r>
    </w:p>
    <w:p w14:paraId="17CFEB9E">
      <w:pPr>
        <w:pStyle w:val="6"/>
        <w:keepNext w:val="0"/>
        <w:keepLines w:val="0"/>
        <w:spacing w:before="0" w:after="0" w:line="360" w:lineRule="auto"/>
        <w:ind w:left="420"/>
        <w:rPr>
          <w:rFonts w:ascii="黑体" w:hAnsi="黑体" w:eastAsia="黑体"/>
          <w:color w:val="auto"/>
          <w:sz w:val="24"/>
          <w:highlight w:val="none"/>
        </w:rPr>
      </w:pPr>
      <w:bookmarkStart w:id="96" w:name="_Toc254970527"/>
      <w:bookmarkStart w:id="97" w:name="_Toc254970668"/>
      <w:r>
        <w:rPr>
          <w:rFonts w:hint="eastAsia" w:ascii="黑体" w:hAnsi="黑体" w:eastAsia="黑体"/>
          <w:color w:val="auto"/>
          <w:sz w:val="24"/>
          <w:highlight w:val="none"/>
        </w:rPr>
        <w:t>1.适用范围</w:t>
      </w:r>
      <w:bookmarkEnd w:id="96"/>
      <w:bookmarkEnd w:id="97"/>
    </w:p>
    <w:p w14:paraId="1E8ED50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88E6193">
      <w:pPr>
        <w:spacing w:line="360" w:lineRule="auto"/>
        <w:ind w:firstLine="420"/>
        <w:jc w:val="left"/>
        <w:rPr>
          <w:rFonts w:ascii="宋体" w:hAnsi="宋体" w:cs="宋体"/>
          <w:color w:val="auto"/>
          <w:spacing w:val="-6"/>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394238EB">
      <w:pPr>
        <w:pStyle w:val="6"/>
        <w:keepNext w:val="0"/>
        <w:keepLines w:val="0"/>
        <w:spacing w:before="0" w:after="0" w:line="360" w:lineRule="auto"/>
        <w:ind w:left="420"/>
        <w:rPr>
          <w:rFonts w:ascii="黑体" w:hAnsi="黑体" w:eastAsia="黑体"/>
          <w:color w:val="auto"/>
          <w:sz w:val="24"/>
          <w:highlight w:val="none"/>
        </w:rPr>
      </w:pPr>
      <w:bookmarkStart w:id="98" w:name="_Toc254970669"/>
      <w:bookmarkStart w:id="99" w:name="_Toc254970528"/>
      <w:r>
        <w:rPr>
          <w:rFonts w:hint="eastAsia" w:ascii="黑体" w:hAnsi="黑体" w:eastAsia="黑体"/>
          <w:color w:val="auto"/>
          <w:sz w:val="24"/>
          <w:highlight w:val="none"/>
        </w:rPr>
        <w:t>2.定义</w:t>
      </w:r>
      <w:bookmarkEnd w:id="98"/>
      <w:bookmarkEnd w:id="99"/>
    </w:p>
    <w:p w14:paraId="3C8E5428">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3B3F52A1">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0751CB00">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67E570AD">
      <w:pPr>
        <w:pStyle w:val="7"/>
        <w:spacing w:line="360" w:lineRule="auto"/>
        <w:rPr>
          <w:rFonts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68208718">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2.5“货物”是指各种形态和种类的物品，包括原材料、燃料、设备、产品等。</w:t>
      </w:r>
    </w:p>
    <w:p w14:paraId="42EB934A">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2.6“售后服务” 是指商品出售以后所提供的各种服务，包含但不限于投标人须承担的备品备件、包装、运输、装卸、保险、货到就位以及安装、调试、培训、质保以及其他各种服务。</w:t>
      </w:r>
    </w:p>
    <w:p w14:paraId="627E431D">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2.7“书面形式”是指合同书、信件和数据电文（包括电报、电传、传真、电子数据交换和电子邮件）等可以有形地表现所载内容的形式。</w:t>
      </w:r>
    </w:p>
    <w:p w14:paraId="20E1A972">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2.8“实质性要求”是指招标文件中已经指明不满足则投标无效的条款，或者不能负偏离的条款，或者采购需求中带“▲”的条款。</w:t>
      </w:r>
    </w:p>
    <w:p w14:paraId="0C2E4233">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 xml:space="preserve">2.9 </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65AE5273">
      <w:pPr>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2.10</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6B9E0142">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s="宋体"/>
          <w:color w:val="auto"/>
          <w:szCs w:val="21"/>
          <w:highlight w:val="none"/>
        </w:rPr>
        <w:t>“允许负偏离的条款”是指采购需求中的不属于“实质性要求”的条款。</w:t>
      </w:r>
      <w:bookmarkStart w:id="100" w:name="_Toc254970529"/>
      <w:bookmarkStart w:id="101" w:name="_Toc254970670"/>
    </w:p>
    <w:p w14:paraId="27A32801">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bookmarkEnd w:id="100"/>
      <w:bookmarkEnd w:id="101"/>
      <w:r>
        <w:rPr>
          <w:rFonts w:hint="eastAsia" w:ascii="黑体" w:hAnsi="黑体" w:eastAsia="黑体"/>
          <w:color w:val="auto"/>
          <w:sz w:val="24"/>
          <w:highlight w:val="none"/>
        </w:rPr>
        <w:t>投标人的资格要求</w:t>
      </w:r>
    </w:p>
    <w:p w14:paraId="39427EE9">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投标人的资格要求详见“投标人须知前附表”。</w:t>
      </w:r>
    </w:p>
    <w:p w14:paraId="470B9499">
      <w:pPr>
        <w:pStyle w:val="6"/>
        <w:keepNext w:val="0"/>
        <w:keepLines w:val="0"/>
        <w:spacing w:before="0" w:after="0" w:line="360" w:lineRule="auto"/>
        <w:ind w:left="420"/>
        <w:rPr>
          <w:rFonts w:ascii="黑体" w:hAnsi="黑体" w:eastAsia="黑体"/>
          <w:color w:val="auto"/>
          <w:sz w:val="24"/>
          <w:highlight w:val="none"/>
        </w:rPr>
      </w:pPr>
      <w:bookmarkStart w:id="102" w:name="_Toc254970671"/>
      <w:bookmarkStart w:id="103" w:name="_Toc254970530"/>
      <w:r>
        <w:rPr>
          <w:rFonts w:hint="eastAsia" w:ascii="黑体" w:hAnsi="黑体" w:eastAsia="黑体"/>
          <w:color w:val="auto"/>
          <w:sz w:val="24"/>
          <w:highlight w:val="none"/>
        </w:rPr>
        <w:t>4.投标委托</w:t>
      </w:r>
      <w:bookmarkEnd w:id="102"/>
      <w:bookmarkEnd w:id="103"/>
    </w:p>
    <w:p w14:paraId="22509743">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08C7AB7A">
      <w:pPr>
        <w:pStyle w:val="6"/>
        <w:keepNext w:val="0"/>
        <w:keepLines w:val="0"/>
        <w:spacing w:before="0" w:after="0" w:line="360" w:lineRule="auto"/>
        <w:ind w:left="420"/>
        <w:rPr>
          <w:rFonts w:ascii="黑体" w:hAnsi="黑体" w:eastAsia="黑体"/>
          <w:color w:val="auto"/>
          <w:sz w:val="24"/>
          <w:highlight w:val="none"/>
        </w:rPr>
      </w:pPr>
      <w:bookmarkStart w:id="104" w:name="_5.投标费用"/>
      <w:bookmarkEnd w:id="104"/>
      <w:bookmarkStart w:id="105" w:name="_Toc254970672"/>
      <w:bookmarkStart w:id="106" w:name="_Toc254970531"/>
      <w:r>
        <w:rPr>
          <w:rFonts w:hint="eastAsia" w:ascii="黑体" w:hAnsi="黑体" w:eastAsia="黑体"/>
          <w:color w:val="auto"/>
          <w:sz w:val="24"/>
          <w:highlight w:val="none"/>
        </w:rPr>
        <w:t>5.投标费用</w:t>
      </w:r>
      <w:bookmarkEnd w:id="105"/>
      <w:bookmarkEnd w:id="106"/>
    </w:p>
    <w:p w14:paraId="6F0A1B65">
      <w:pPr>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71C9D4BE">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6.联合体投标</w:t>
      </w:r>
    </w:p>
    <w:p w14:paraId="66F3825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26DB6306">
      <w:pPr>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4972B1D9">
      <w:pPr>
        <w:pStyle w:val="6"/>
        <w:keepNext w:val="0"/>
        <w:keepLines w:val="0"/>
        <w:spacing w:before="0" w:after="0" w:line="360" w:lineRule="auto"/>
        <w:ind w:firstLine="424"/>
        <w:rPr>
          <w:rFonts w:ascii="黑体" w:hAnsi="黑体" w:eastAsia="黑体"/>
          <w:color w:val="auto"/>
          <w:sz w:val="24"/>
          <w:highlight w:val="none"/>
        </w:rPr>
      </w:pPr>
      <w:r>
        <w:rPr>
          <w:rFonts w:hint="eastAsia" w:ascii="宋体" w:hAnsi="宋体"/>
          <w:b w:val="0"/>
          <w:bCs/>
          <w:color w:val="auto"/>
          <w:sz w:val="21"/>
          <w:szCs w:val="21"/>
          <w:highlight w:val="none"/>
        </w:rPr>
        <w:t>6.3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501DB56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1EC56659">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7.1本项目不允许转包。</w:t>
      </w:r>
    </w:p>
    <w:p w14:paraId="15F418B6">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5064B052">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41CD0817">
      <w:pPr>
        <w:pStyle w:val="6"/>
        <w:keepNext w:val="0"/>
        <w:keepLines w:val="0"/>
        <w:spacing w:before="0" w:after="0" w:line="360" w:lineRule="auto"/>
        <w:ind w:left="420"/>
        <w:rPr>
          <w:rFonts w:ascii="黑体" w:hAnsi="黑体" w:eastAsia="黑体"/>
          <w:color w:val="auto"/>
          <w:sz w:val="24"/>
          <w:highlight w:val="none"/>
        </w:rPr>
      </w:pPr>
      <w:bookmarkStart w:id="107" w:name="_Toc254970673"/>
      <w:bookmarkStart w:id="108" w:name="_Toc254970532"/>
      <w:r>
        <w:rPr>
          <w:rFonts w:hint="eastAsia" w:ascii="黑体" w:hAnsi="黑体" w:eastAsia="黑体"/>
          <w:color w:val="auto"/>
          <w:sz w:val="24"/>
          <w:highlight w:val="none"/>
        </w:rPr>
        <w:t>8.特别说明</w:t>
      </w:r>
      <w:bookmarkEnd w:id="107"/>
      <w:bookmarkEnd w:id="108"/>
    </w:p>
    <w:p w14:paraId="71BC2D13">
      <w:pPr>
        <w:pStyle w:val="6"/>
        <w:keepNext w:val="0"/>
        <w:keepLines w:val="0"/>
        <w:spacing w:before="0" w:after="0" w:line="360" w:lineRule="auto"/>
        <w:ind w:firstLine="420"/>
        <w:rPr>
          <w:rFonts w:ascii="宋体" w:hAnsi="宋体"/>
          <w:b w:val="0"/>
          <w:color w:val="auto"/>
          <w:sz w:val="21"/>
          <w:szCs w:val="21"/>
          <w:highlight w:val="none"/>
        </w:rPr>
      </w:pPr>
      <w:bookmarkStart w:id="109" w:name="_8.1提供相同品牌产品且通过资格审查、符合性审查的不同投标人参加同一合"/>
      <w:bookmarkEnd w:id="109"/>
      <w:r>
        <w:rPr>
          <w:rFonts w:ascii="宋体" w:hAnsi="宋体"/>
          <w:b w:val="0"/>
          <w:color w:val="auto"/>
          <w:sz w:val="21"/>
          <w:szCs w:val="21"/>
          <w:highlight w:val="none"/>
        </w:rPr>
        <w:fldChar w:fldCharType="begin"/>
      </w:r>
      <w:r>
        <w:rPr>
          <w:rFonts w:ascii="宋体" w:hAnsi="宋体"/>
          <w:b w:val="0"/>
          <w:color w:val="auto"/>
          <w:sz w:val="21"/>
          <w:szCs w:val="21"/>
          <w:highlight w:val="none"/>
        </w:rPr>
        <w:instrText xml:space="preserve"> HYPERLINK  \l "_8.1" </w:instrText>
      </w:r>
      <w:r>
        <w:rPr>
          <w:rFonts w:ascii="宋体" w:hAnsi="宋体"/>
          <w:b w:val="0"/>
          <w:color w:val="auto"/>
          <w:sz w:val="21"/>
          <w:szCs w:val="21"/>
          <w:highlight w:val="none"/>
        </w:rPr>
        <w:fldChar w:fldCharType="separate"/>
      </w:r>
      <w:r>
        <w:rPr>
          <w:rFonts w:hint="eastAsia" w:ascii="宋体" w:hAnsi="宋体"/>
          <w:b w:val="0"/>
          <w:color w:val="auto"/>
          <w:sz w:val="21"/>
          <w:szCs w:val="21"/>
          <w:highlight w:val="none"/>
        </w:rPr>
        <w:t>8.1</w:t>
      </w:r>
      <w:r>
        <w:rPr>
          <w:rFonts w:ascii="宋体" w:hAnsi="宋体"/>
          <w:b w:val="0"/>
          <w:color w:val="auto"/>
          <w:sz w:val="21"/>
          <w:szCs w:val="21"/>
          <w:highlight w:val="none"/>
        </w:rPr>
        <w:fldChar w:fldCharType="end"/>
      </w:r>
      <w:r>
        <w:rPr>
          <w:rFonts w:hint="eastAsia" w:ascii="宋体" w:hAnsi="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auto"/>
          <w:sz w:val="22"/>
          <w:szCs w:val="22"/>
          <w:highlight w:val="none"/>
        </w:rPr>
        <w:t>其他投标无效。</w:t>
      </w:r>
    </w:p>
    <w:p w14:paraId="5B1A201F">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供应商推荐资格；评审得分相同的，由采购人或者采购人委托评标委员会按照“投标人须知前附表”规定的方式确定一个投标人获得中标供应商推荐资格，其他同品牌投标人不作为中标候选人。</w:t>
      </w:r>
    </w:p>
    <w:p w14:paraId="144F2699">
      <w:pPr>
        <w:pStyle w:val="26"/>
        <w:spacing w:line="360" w:lineRule="auto"/>
        <w:ind w:left="2" w:firstLine="420"/>
        <w:rPr>
          <w:rFonts w:hAnsi="宋体"/>
          <w:color w:val="auto"/>
          <w:sz w:val="21"/>
          <w:highlight w:val="none"/>
        </w:rPr>
      </w:pPr>
      <w:r>
        <w:rPr>
          <w:rFonts w:hint="eastAsia" w:hAnsi="宋体"/>
          <w:color w:val="auto"/>
          <w:sz w:val="21"/>
          <w:highlight w:val="none"/>
        </w:rPr>
        <w:t>非单一产品采购项目，多家投标人提供的核心产品品牌相同的，</w:t>
      </w:r>
      <w:r>
        <w:rPr>
          <w:rFonts w:hint="eastAsia" w:hAnsi="宋体"/>
          <w:color w:val="auto"/>
          <w:sz w:val="22"/>
          <w:szCs w:val="22"/>
          <w:highlight w:val="none"/>
        </w:rPr>
        <w:t>按前两款规定处理</w:t>
      </w:r>
      <w:r>
        <w:rPr>
          <w:rFonts w:hint="eastAsia" w:hAnsi="宋体"/>
          <w:color w:val="auto"/>
          <w:sz w:val="21"/>
          <w:highlight w:val="none"/>
        </w:rPr>
        <w:t>。</w:t>
      </w:r>
    </w:p>
    <w:p w14:paraId="3B886D2F">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14:paraId="7BD1875A">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 xml:space="preserve"> 8.3投标人应仔细阅读招标文件的所有内容，按照招标文件的要求提交投标文件，并对所提供的全部资料的真实性承担法律责任。</w:t>
      </w:r>
    </w:p>
    <w:p w14:paraId="30427B63">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 xml:space="preserve"> 8.4投标人在投标活动中提供任何虚假材料，将报监管部门查处；中标后发现的，中标供应商须依照《中华人民共和国消费者权益保护法》规定赔偿采购人，且民事赔偿并不免除违法投标人的行政与刑事责任。</w:t>
      </w:r>
    </w:p>
    <w:p w14:paraId="018449D4">
      <w:pPr>
        <w:pStyle w:val="7"/>
        <w:spacing w:line="360" w:lineRule="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5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B10FAB8">
      <w:pPr>
        <w:pStyle w:val="7"/>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656F413B">
      <w:pPr>
        <w:widowControl/>
        <w:shd w:val="clear" w:color="auto" w:fill="FFFFFF"/>
        <w:spacing w:before="30" w:after="30" w:line="360" w:lineRule="auto"/>
        <w:jc w:val="center"/>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827905" cy="762635"/>
                    </a:xfrm>
                    <a:prstGeom prst="rect">
                      <a:avLst/>
                    </a:prstGeom>
                    <a:noFill/>
                    <a:ln>
                      <a:noFill/>
                    </a:ln>
                  </pic:spPr>
                </pic:pic>
              </a:graphicData>
            </a:graphic>
          </wp:inline>
        </w:drawing>
      </w:r>
      <w:r>
        <w:rPr>
          <w:rFonts w:ascii="宋体" w:hAnsi="宋体" w:cs="宋体"/>
          <w:color w:val="auto"/>
          <w:sz w:val="24"/>
          <w:highlight w:val="none"/>
        </w:rPr>
        <w:fldChar w:fldCharType="end"/>
      </w:r>
    </w:p>
    <w:p w14:paraId="7826584F">
      <w:pPr>
        <w:pStyle w:val="7"/>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216D3C5">
      <w:pPr>
        <w:pStyle w:val="7"/>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70C71D2E">
      <w:pPr>
        <w:pStyle w:val="7"/>
        <w:spacing w:line="360" w:lineRule="auto"/>
        <w:rPr>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1B76E37">
      <w:pPr>
        <w:pStyle w:val="7"/>
        <w:rPr>
          <w:color w:val="auto"/>
          <w:highlight w:val="none"/>
        </w:rPr>
      </w:pPr>
    </w:p>
    <w:p w14:paraId="150BFB3D">
      <w:pPr>
        <w:pStyle w:val="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07B2230A">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57F6DBDF">
      <w:pPr>
        <w:pStyle w:val="26"/>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）参加采购活动前3年内与</w:t>
      </w:r>
      <w:r>
        <w:rPr>
          <w:rFonts w:hint="eastAsia" w:hAnsi="宋体"/>
          <w:color w:val="auto"/>
          <w:sz w:val="21"/>
          <w:highlight w:val="none"/>
        </w:rPr>
        <w:t>供应商</w:t>
      </w:r>
      <w:r>
        <w:rPr>
          <w:rFonts w:hAnsi="宋体"/>
          <w:color w:val="auto"/>
          <w:sz w:val="21"/>
          <w:highlight w:val="none"/>
        </w:rPr>
        <w:t>存在劳动关系；</w:t>
      </w:r>
    </w:p>
    <w:p w14:paraId="345DDE6B">
      <w:pPr>
        <w:pStyle w:val="26"/>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）参加采购活动前3年内担任</w:t>
      </w:r>
      <w:r>
        <w:rPr>
          <w:rFonts w:hint="eastAsia" w:hAnsi="宋体"/>
          <w:color w:val="auto"/>
          <w:sz w:val="21"/>
          <w:highlight w:val="none"/>
        </w:rPr>
        <w:t>供应商</w:t>
      </w:r>
      <w:r>
        <w:rPr>
          <w:rFonts w:hAnsi="宋体"/>
          <w:color w:val="auto"/>
          <w:sz w:val="21"/>
          <w:highlight w:val="none"/>
        </w:rPr>
        <w:t>的董事、监事；</w:t>
      </w:r>
    </w:p>
    <w:p w14:paraId="102A71A3">
      <w:pPr>
        <w:pStyle w:val="26"/>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）参加采购活动前3年内是</w:t>
      </w:r>
      <w:r>
        <w:rPr>
          <w:rFonts w:hint="eastAsia" w:hAnsi="宋体"/>
          <w:color w:val="auto"/>
          <w:sz w:val="21"/>
          <w:highlight w:val="none"/>
        </w:rPr>
        <w:t>供应商</w:t>
      </w:r>
      <w:r>
        <w:rPr>
          <w:rFonts w:hAnsi="宋体"/>
          <w:color w:val="auto"/>
          <w:sz w:val="21"/>
          <w:highlight w:val="none"/>
        </w:rPr>
        <w:t>的控股股东或者实际控制人；</w:t>
      </w:r>
    </w:p>
    <w:p w14:paraId="4756279F">
      <w:pPr>
        <w:pStyle w:val="26"/>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4</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的法定代表人或者负责人有夫妻、直系血亲、三代以内旁系血亲或者近姻亲关系；</w:t>
      </w:r>
    </w:p>
    <w:p w14:paraId="4F3ADB73">
      <w:pPr>
        <w:pStyle w:val="26"/>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5</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有其他可能影响政府采购活动公平、公正进行的关系。</w:t>
      </w:r>
    </w:p>
    <w:p w14:paraId="200198B4">
      <w:pPr>
        <w:pStyle w:val="26"/>
        <w:spacing w:line="360" w:lineRule="auto"/>
        <w:ind w:left="2" w:firstLine="420"/>
        <w:rPr>
          <w:rFonts w:hAnsi="宋体"/>
          <w:color w:val="auto"/>
          <w:sz w:val="21"/>
          <w:highlight w:val="none"/>
        </w:rPr>
      </w:pPr>
      <w:r>
        <w:rPr>
          <w:rFonts w:hint="eastAsia" w:hAnsi="宋体"/>
          <w:color w:val="auto"/>
          <w:sz w:val="21"/>
          <w:highlight w:val="none"/>
        </w:rPr>
        <w:t>供应商</w:t>
      </w:r>
      <w:r>
        <w:rPr>
          <w:rFonts w:hAnsi="宋体"/>
          <w:color w:val="auto"/>
          <w:sz w:val="21"/>
          <w:highlight w:val="none"/>
        </w:rPr>
        <w:t>认为采购人员及相关人员与其他</w:t>
      </w:r>
      <w:r>
        <w:rPr>
          <w:rFonts w:hint="eastAsia" w:hAnsi="宋体"/>
          <w:color w:val="auto"/>
          <w:sz w:val="21"/>
          <w:highlight w:val="none"/>
        </w:rPr>
        <w:t>供应商</w:t>
      </w:r>
      <w:r>
        <w:rPr>
          <w:rFonts w:hAnsi="宋体"/>
          <w:color w:val="auto"/>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784C07A1">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17CDAE51">
      <w:pPr>
        <w:pStyle w:val="26"/>
        <w:spacing w:line="360" w:lineRule="auto"/>
        <w:ind w:left="2" w:firstLine="422"/>
        <w:rPr>
          <w:rFonts w:hAnsi="宋体"/>
          <w:b/>
          <w:color w:val="auto"/>
          <w:sz w:val="21"/>
          <w:highlight w:val="none"/>
        </w:rPr>
      </w:pPr>
      <w:r>
        <w:rPr>
          <w:rFonts w:hint="eastAsia" w:hAnsi="宋体"/>
          <w:b/>
          <w:color w:val="auto"/>
          <w:sz w:val="21"/>
          <w:highlight w:val="none"/>
        </w:rPr>
        <w:t xml:space="preserve">（1）不同投标人的投标文件由同一单位或者个人编制，或不同投标人报名的IP地址一致的；或不同投标人投标设备信息（包括但不限于：IP地址、MAC地址、硬盘号、CPU号、主板号）一致的； </w:t>
      </w:r>
    </w:p>
    <w:p w14:paraId="48A51299">
      <w:pPr>
        <w:pStyle w:val="26"/>
        <w:spacing w:line="360" w:lineRule="auto"/>
        <w:ind w:left="2" w:firstLine="422"/>
        <w:rPr>
          <w:rFonts w:hAnsi="宋体"/>
          <w:b/>
          <w:color w:val="auto"/>
          <w:sz w:val="21"/>
          <w:highlight w:val="none"/>
        </w:rPr>
      </w:pPr>
      <w:r>
        <w:rPr>
          <w:rFonts w:hint="eastAsia" w:hAnsi="宋体"/>
          <w:b/>
          <w:color w:val="auto"/>
          <w:sz w:val="21"/>
          <w:highlight w:val="none"/>
        </w:rPr>
        <w:t>（2）不同投标人委托同一单位或者个人办理投标事宜；</w:t>
      </w:r>
    </w:p>
    <w:p w14:paraId="7FC741C2">
      <w:pPr>
        <w:pStyle w:val="26"/>
        <w:spacing w:line="360" w:lineRule="auto"/>
        <w:ind w:left="2" w:firstLine="422"/>
        <w:rPr>
          <w:rFonts w:hAnsi="宋体"/>
          <w:b/>
          <w:color w:val="auto"/>
          <w:sz w:val="21"/>
          <w:highlight w:val="none"/>
        </w:rPr>
      </w:pPr>
      <w:r>
        <w:rPr>
          <w:rFonts w:hint="eastAsia" w:hAnsi="宋体"/>
          <w:b/>
          <w:color w:val="auto"/>
          <w:sz w:val="21"/>
          <w:highlight w:val="none"/>
        </w:rPr>
        <w:t>（3）不同的投标人的投标文件载明的项目管理员为同一个人；</w:t>
      </w:r>
    </w:p>
    <w:p w14:paraId="1A32A8F0">
      <w:pPr>
        <w:pStyle w:val="26"/>
        <w:spacing w:line="360" w:lineRule="auto"/>
        <w:ind w:left="2" w:firstLine="422"/>
        <w:rPr>
          <w:rFonts w:hAnsi="宋体"/>
          <w:b/>
          <w:color w:val="auto"/>
          <w:sz w:val="21"/>
          <w:highlight w:val="none"/>
        </w:rPr>
      </w:pPr>
      <w:r>
        <w:rPr>
          <w:rFonts w:hint="eastAsia" w:hAnsi="宋体"/>
          <w:b/>
          <w:color w:val="auto"/>
          <w:sz w:val="21"/>
          <w:highlight w:val="none"/>
        </w:rPr>
        <w:t>（4）不同投标人的投标文件异常一致或者投标报价呈规律性差异；</w:t>
      </w:r>
    </w:p>
    <w:p w14:paraId="2487C399">
      <w:pPr>
        <w:pStyle w:val="26"/>
        <w:spacing w:line="360" w:lineRule="auto"/>
        <w:ind w:left="2" w:firstLine="422"/>
        <w:rPr>
          <w:rFonts w:hAnsi="宋体"/>
          <w:b/>
          <w:color w:val="auto"/>
          <w:sz w:val="21"/>
          <w:highlight w:val="none"/>
        </w:rPr>
      </w:pPr>
      <w:r>
        <w:rPr>
          <w:rFonts w:hint="eastAsia" w:hAnsi="宋体"/>
          <w:b/>
          <w:color w:val="auto"/>
          <w:sz w:val="21"/>
          <w:highlight w:val="none"/>
        </w:rPr>
        <w:t>（5）不同投标人的投标文件相互混装；</w:t>
      </w:r>
    </w:p>
    <w:p w14:paraId="07679835">
      <w:pPr>
        <w:pStyle w:val="26"/>
        <w:spacing w:line="360" w:lineRule="auto"/>
        <w:ind w:left="2" w:firstLine="422"/>
        <w:rPr>
          <w:rFonts w:hAnsi="宋体"/>
          <w:b/>
          <w:color w:val="auto"/>
          <w:sz w:val="21"/>
          <w:highlight w:val="none"/>
        </w:rPr>
      </w:pPr>
      <w:r>
        <w:rPr>
          <w:rFonts w:hint="eastAsia" w:hAnsi="宋体"/>
          <w:b/>
          <w:color w:val="auto"/>
          <w:sz w:val="21"/>
          <w:highlight w:val="none"/>
        </w:rPr>
        <w:t>（6）不同投标人的投标保证金从同一单位或者个人账户转出。</w:t>
      </w:r>
    </w:p>
    <w:p w14:paraId="2C46D1A4">
      <w:pPr>
        <w:pStyle w:val="6"/>
        <w:keepNext w:val="0"/>
        <w:keepLines w:val="0"/>
        <w:spacing w:before="0" w:after="0" w:line="360" w:lineRule="auto"/>
        <w:ind w:left="420"/>
        <w:rPr>
          <w:rFonts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33E556BF">
      <w:pPr>
        <w:pStyle w:val="26"/>
        <w:spacing w:line="360" w:lineRule="auto"/>
        <w:ind w:left="2" w:firstLine="420"/>
        <w:rPr>
          <w:rFonts w:hAnsi="宋体"/>
          <w:color w:val="auto"/>
          <w:sz w:val="21"/>
          <w:highlight w:val="none"/>
        </w:rPr>
      </w:pPr>
      <w:r>
        <w:rPr>
          <w:rFonts w:hint="eastAsia" w:hAnsi="宋体"/>
          <w:color w:val="auto"/>
          <w:sz w:val="21"/>
          <w:highlight w:val="none"/>
        </w:rPr>
        <w:t>（1）供应商直接或者间接从采购人或者采购代理机构处获得其他供应商的相关信息并修改其投标文件或者响应文件；</w:t>
      </w:r>
    </w:p>
    <w:p w14:paraId="003DB2E2">
      <w:pPr>
        <w:pStyle w:val="26"/>
        <w:spacing w:line="360" w:lineRule="auto"/>
        <w:ind w:left="2" w:firstLine="420"/>
        <w:rPr>
          <w:rFonts w:hAnsi="宋体"/>
          <w:color w:val="auto"/>
          <w:sz w:val="21"/>
          <w:highlight w:val="none"/>
        </w:rPr>
      </w:pPr>
      <w:r>
        <w:rPr>
          <w:rFonts w:hint="eastAsia" w:hAnsi="宋体"/>
          <w:color w:val="auto"/>
          <w:sz w:val="21"/>
          <w:highlight w:val="none"/>
        </w:rPr>
        <w:t>（2）供应商按照采购人或者采购代理机构的授意撤换、修改投标文件或者响应文件；</w:t>
      </w:r>
    </w:p>
    <w:p w14:paraId="5A04453E">
      <w:pPr>
        <w:pStyle w:val="26"/>
        <w:spacing w:line="360" w:lineRule="auto"/>
        <w:ind w:left="2" w:firstLine="420"/>
        <w:rPr>
          <w:rFonts w:hAnsi="宋体"/>
          <w:color w:val="auto"/>
          <w:sz w:val="21"/>
          <w:highlight w:val="none"/>
        </w:rPr>
      </w:pPr>
      <w:r>
        <w:rPr>
          <w:rFonts w:hint="eastAsia" w:hAnsi="宋体"/>
          <w:color w:val="auto"/>
          <w:sz w:val="21"/>
          <w:highlight w:val="none"/>
        </w:rPr>
        <w:t>（3）供应商之间协商报价、技术方案等投标文件或者响应文件的实质性内容；</w:t>
      </w:r>
    </w:p>
    <w:p w14:paraId="70E13DC1">
      <w:pPr>
        <w:pStyle w:val="26"/>
        <w:spacing w:line="360" w:lineRule="auto"/>
        <w:ind w:left="2" w:firstLine="420"/>
        <w:rPr>
          <w:rFonts w:hAnsi="宋体"/>
          <w:color w:val="auto"/>
          <w:sz w:val="21"/>
          <w:highlight w:val="none"/>
        </w:rPr>
      </w:pPr>
      <w:r>
        <w:rPr>
          <w:rFonts w:hint="eastAsia" w:hAnsi="宋体"/>
          <w:color w:val="auto"/>
          <w:sz w:val="21"/>
          <w:highlight w:val="none"/>
        </w:rPr>
        <w:t>（4）属于同一集团、协会、商会等组织成员的供应商按照该组织要求协同参加政府采购活动；</w:t>
      </w:r>
    </w:p>
    <w:p w14:paraId="0C0B025D">
      <w:pPr>
        <w:pStyle w:val="26"/>
        <w:spacing w:line="360" w:lineRule="auto"/>
        <w:ind w:left="2" w:firstLine="420"/>
        <w:rPr>
          <w:rFonts w:hAnsi="宋体"/>
          <w:color w:val="auto"/>
          <w:sz w:val="21"/>
          <w:highlight w:val="none"/>
        </w:rPr>
      </w:pPr>
      <w:r>
        <w:rPr>
          <w:rFonts w:hint="eastAsia" w:hAnsi="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1D6656F8">
      <w:pPr>
        <w:pStyle w:val="26"/>
        <w:spacing w:line="360" w:lineRule="auto"/>
        <w:ind w:left="2" w:firstLine="420"/>
        <w:rPr>
          <w:rFonts w:hAnsi="宋体"/>
          <w:color w:val="auto"/>
          <w:sz w:val="21"/>
          <w:highlight w:val="none"/>
        </w:rPr>
      </w:pPr>
      <w:r>
        <w:rPr>
          <w:rFonts w:hint="eastAsia" w:hAnsi="宋体"/>
          <w:color w:val="auto"/>
          <w:sz w:val="21"/>
          <w:highlight w:val="none"/>
        </w:rPr>
        <w:t>（6）供应商之间商定部分供应商放弃参加政府采购活动或者放弃中标；</w:t>
      </w:r>
    </w:p>
    <w:p w14:paraId="7A232FDF">
      <w:pPr>
        <w:pStyle w:val="26"/>
        <w:spacing w:line="360" w:lineRule="auto"/>
        <w:ind w:left="2" w:firstLine="420"/>
        <w:rPr>
          <w:rFonts w:hAnsi="宋体"/>
          <w:color w:val="auto"/>
          <w:sz w:val="21"/>
          <w:highlight w:val="none"/>
        </w:rPr>
      </w:pPr>
      <w:r>
        <w:rPr>
          <w:rFonts w:hint="eastAsia" w:hAnsi="宋体"/>
          <w:color w:val="auto"/>
          <w:sz w:val="21"/>
          <w:highlight w:val="none"/>
        </w:rPr>
        <w:t>（7）供应商与采购人或者采购代理机构之间、供应商相互之间，为谋求特定供应商中标或者排斥其他供应商的其他串通行为。</w:t>
      </w:r>
    </w:p>
    <w:p w14:paraId="32F07EAA">
      <w:pPr>
        <w:pStyle w:val="26"/>
        <w:spacing w:line="360" w:lineRule="auto"/>
        <w:ind w:left="2" w:firstLine="422"/>
        <w:rPr>
          <w:rFonts w:hAnsi="宋体"/>
          <w:b/>
          <w:color w:val="auto"/>
          <w:sz w:val="21"/>
          <w:highlight w:val="none"/>
        </w:rPr>
      </w:pPr>
    </w:p>
    <w:p w14:paraId="4F3814F3">
      <w:pPr>
        <w:pStyle w:val="4"/>
        <w:keepNext w:val="0"/>
        <w:keepLines w:val="0"/>
        <w:jc w:val="center"/>
        <w:rPr>
          <w:color w:val="auto"/>
          <w:highlight w:val="none"/>
        </w:rPr>
      </w:pPr>
      <w:bookmarkStart w:id="110" w:name="_Toc254970675"/>
      <w:bookmarkStart w:id="111" w:name="_Toc254970534"/>
      <w:r>
        <w:rPr>
          <w:rFonts w:hint="eastAsia"/>
          <w:color w:val="auto"/>
          <w:highlight w:val="none"/>
        </w:rPr>
        <w:t>二、招标文件</w:t>
      </w:r>
      <w:bookmarkEnd w:id="110"/>
      <w:bookmarkEnd w:id="111"/>
    </w:p>
    <w:p w14:paraId="35889C46">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10.招标文件的组成</w:t>
      </w:r>
    </w:p>
    <w:p w14:paraId="54DFF5C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（1）招标公告；</w:t>
      </w:r>
    </w:p>
    <w:p w14:paraId="2EE4D705">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（2）采购需求； </w:t>
      </w:r>
    </w:p>
    <w:p w14:paraId="1C199ABC">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（3）投标人须知；</w:t>
      </w:r>
    </w:p>
    <w:p w14:paraId="1D51CF74">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（4）评标方法及评标标准；</w:t>
      </w:r>
    </w:p>
    <w:p w14:paraId="66904E9C">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（5）拟签订的合同文本；</w:t>
      </w:r>
    </w:p>
    <w:p w14:paraId="49249CB9">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（6）投标文件格式。</w:t>
      </w:r>
    </w:p>
    <w:p w14:paraId="1C9D4E2F">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59CD26E8">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E5A7736">
      <w:pPr>
        <w:pStyle w:val="26"/>
        <w:spacing w:line="360" w:lineRule="auto"/>
        <w:ind w:firstLine="420"/>
        <w:rPr>
          <w:rFonts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5F9C1FCB">
      <w:pPr>
        <w:pStyle w:val="26"/>
        <w:spacing w:line="360" w:lineRule="auto"/>
        <w:ind w:firstLine="420"/>
        <w:rPr>
          <w:rFonts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112"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bookmarkEnd w:id="112"/>
    </w:p>
    <w:p w14:paraId="037C8C09">
      <w:pPr>
        <w:pStyle w:val="4"/>
        <w:keepNext w:val="0"/>
        <w:keepLines w:val="0"/>
        <w:jc w:val="center"/>
        <w:rPr>
          <w:color w:val="auto"/>
          <w:highlight w:val="none"/>
        </w:rPr>
      </w:pPr>
      <w:bookmarkStart w:id="113" w:name="_Toc254970676"/>
      <w:bookmarkStart w:id="114" w:name="_Toc254970535"/>
      <w:r>
        <w:rPr>
          <w:rFonts w:hint="eastAsia"/>
          <w:color w:val="auto"/>
          <w:highlight w:val="none"/>
        </w:rPr>
        <w:t>三、投标文件的编制</w:t>
      </w:r>
      <w:bookmarkEnd w:id="113"/>
      <w:bookmarkEnd w:id="114"/>
    </w:p>
    <w:p w14:paraId="5C14EE37">
      <w:pPr>
        <w:pStyle w:val="6"/>
        <w:keepNext w:val="0"/>
        <w:keepLines w:val="0"/>
        <w:spacing w:before="0" w:after="0" w:line="360" w:lineRule="auto"/>
        <w:ind w:left="420"/>
        <w:rPr>
          <w:rFonts w:ascii="黑体" w:hAnsi="黑体" w:eastAsia="黑体"/>
          <w:color w:val="auto"/>
          <w:sz w:val="24"/>
          <w:highlight w:val="none"/>
        </w:rPr>
      </w:pPr>
      <w:bookmarkStart w:id="115" w:name="_Toc254970536"/>
      <w:bookmarkStart w:id="116" w:name="_Toc254970677"/>
      <w:r>
        <w:rPr>
          <w:rFonts w:hint="eastAsia" w:ascii="黑体" w:hAnsi="黑体" w:eastAsia="黑体"/>
          <w:color w:val="auto"/>
          <w:sz w:val="24"/>
          <w:highlight w:val="none"/>
        </w:rPr>
        <w:t>12.投标文件的编制原则</w:t>
      </w:r>
    </w:p>
    <w:p w14:paraId="2A038F9F">
      <w:pPr>
        <w:spacing w:line="360" w:lineRule="auto"/>
        <w:ind w:firstLine="420"/>
        <w:jc w:val="left"/>
        <w:rPr>
          <w:rFonts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65A97FD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13.投标文件的组成</w:t>
      </w:r>
      <w:bookmarkEnd w:id="115"/>
      <w:bookmarkEnd w:id="116"/>
    </w:p>
    <w:p w14:paraId="329ADE2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投标文件由报价文件、资格证明文件、商务及技术文件三部分组成。</w:t>
      </w:r>
    </w:p>
    <w:p w14:paraId="7A489591">
      <w:pPr>
        <w:pStyle w:val="6"/>
        <w:keepNext w:val="0"/>
        <w:keepLines w:val="0"/>
        <w:spacing w:before="0" w:after="0" w:line="360" w:lineRule="auto"/>
        <w:ind w:left="420"/>
        <w:rPr>
          <w:rFonts w:ascii="宋体" w:hAnsi="宋体"/>
          <w:b w:val="0"/>
          <w:color w:val="auto"/>
          <w:sz w:val="21"/>
          <w:szCs w:val="21"/>
          <w:highlight w:val="none"/>
        </w:rPr>
      </w:pPr>
      <w:bookmarkStart w:id="117" w:name="_13.1报价文件:_具体材料见“投标人须知前附表”。"/>
      <w:bookmarkEnd w:id="117"/>
      <w:r>
        <w:rPr>
          <w:rFonts w:hint="eastAsia" w:ascii="宋体" w:hAnsi="宋体"/>
          <w:b w:val="0"/>
          <w:color w:val="auto"/>
          <w:sz w:val="21"/>
          <w:szCs w:val="21"/>
          <w:highlight w:val="none"/>
        </w:rPr>
        <w:t>（1）报价文件：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4D9EC600">
      <w:pPr>
        <w:pStyle w:val="6"/>
        <w:keepNext w:val="0"/>
        <w:keepLines w:val="0"/>
        <w:spacing w:before="0" w:after="0" w:line="360" w:lineRule="auto"/>
        <w:ind w:left="420"/>
        <w:rPr>
          <w:rFonts w:ascii="宋体" w:hAnsi="宋体"/>
          <w:b w:val="0"/>
          <w:color w:val="auto"/>
          <w:sz w:val="21"/>
          <w:szCs w:val="21"/>
          <w:highlight w:val="none"/>
        </w:rPr>
      </w:pPr>
      <w:bookmarkStart w:id="118" w:name="_13.2资格证明文件：具体材料见“投标人须知前附表”。"/>
      <w:bookmarkEnd w:id="118"/>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5F1EBE3F">
      <w:pPr>
        <w:pStyle w:val="6"/>
        <w:keepNext w:val="0"/>
        <w:keepLines w:val="0"/>
        <w:spacing w:before="0" w:after="0" w:line="360" w:lineRule="auto"/>
        <w:ind w:left="420"/>
        <w:rPr>
          <w:rFonts w:ascii="宋体" w:hAnsi="宋体"/>
          <w:b w:val="0"/>
          <w:color w:val="auto"/>
          <w:sz w:val="21"/>
          <w:szCs w:val="21"/>
          <w:highlight w:val="none"/>
        </w:rPr>
      </w:pPr>
      <w:bookmarkStart w:id="119" w:name="_13.3商务文件:_具体材料见“投标人须知前附表”。"/>
      <w:bookmarkEnd w:id="119"/>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）商务及技术文件：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39756555">
      <w:pPr>
        <w:pStyle w:val="6"/>
        <w:keepNext w:val="0"/>
        <w:keepLines w:val="0"/>
        <w:spacing w:before="0" w:after="0" w:line="360" w:lineRule="auto"/>
        <w:ind w:left="420"/>
        <w:rPr>
          <w:rFonts w:ascii="黑体" w:hAnsi="黑体" w:eastAsia="黑体"/>
          <w:color w:val="auto"/>
          <w:sz w:val="24"/>
          <w:highlight w:val="none"/>
        </w:rPr>
      </w:pPr>
      <w:bookmarkStart w:id="120" w:name="_13.5投标文件电子版：具体材料见“投标人须知前附表”。"/>
      <w:bookmarkEnd w:id="120"/>
      <w:bookmarkStart w:id="121" w:name="_13.4技术文件：具体材料见“投标人须知前附表”。"/>
      <w:bookmarkEnd w:id="121"/>
      <w:bookmarkStart w:id="122" w:name="_Toc254970678"/>
      <w:bookmarkStart w:id="123" w:name="_Toc254970537"/>
      <w:r>
        <w:rPr>
          <w:rFonts w:hint="eastAsia" w:ascii="黑体" w:hAnsi="黑体" w:eastAsia="黑体"/>
          <w:color w:val="auto"/>
          <w:sz w:val="24"/>
          <w:highlight w:val="none"/>
        </w:rPr>
        <w:t>14.投标文件的语言及计量</w:t>
      </w:r>
      <w:bookmarkEnd w:id="122"/>
      <w:bookmarkEnd w:id="123"/>
    </w:p>
    <w:p w14:paraId="67BD3DAD">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14.1语言文字</w:t>
      </w:r>
    </w:p>
    <w:p w14:paraId="61F400D8">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8D146FE">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3F9D6706">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olor w:val="auto"/>
          <w:sz w:val="21"/>
          <w:szCs w:val="21"/>
          <w:highlight w:val="none"/>
        </w:rPr>
        <w:t>否则视同未响应。</w:t>
      </w:r>
    </w:p>
    <w:p w14:paraId="1486287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15.投标的风险</w:t>
      </w:r>
    </w:p>
    <w:p w14:paraId="79CB74E2">
      <w:pPr>
        <w:pStyle w:val="26"/>
        <w:spacing w:line="360" w:lineRule="auto"/>
        <w:ind w:firstLine="420"/>
        <w:jc w:val="left"/>
        <w:rPr>
          <w:rFonts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0D4FF485">
      <w:pPr>
        <w:pStyle w:val="6"/>
        <w:keepNext w:val="0"/>
        <w:keepLines w:val="0"/>
        <w:spacing w:before="0" w:after="0" w:line="360" w:lineRule="auto"/>
        <w:ind w:left="420"/>
        <w:rPr>
          <w:rFonts w:ascii="黑体" w:hAnsi="黑体" w:eastAsia="黑体"/>
          <w:color w:val="auto"/>
          <w:sz w:val="24"/>
          <w:highlight w:val="none"/>
        </w:rPr>
      </w:pPr>
      <w:bookmarkStart w:id="124" w:name="_Toc254970679"/>
      <w:bookmarkStart w:id="125" w:name="_Toc254970538"/>
      <w:r>
        <w:rPr>
          <w:rFonts w:hint="eastAsia" w:ascii="黑体" w:hAnsi="黑体" w:eastAsia="黑体"/>
          <w:color w:val="auto"/>
          <w:sz w:val="24"/>
          <w:highlight w:val="none"/>
        </w:rPr>
        <w:t>16.投标报价</w:t>
      </w:r>
      <w:bookmarkEnd w:id="124"/>
      <w:bookmarkEnd w:id="125"/>
    </w:p>
    <w:p w14:paraId="4F6453E1">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56F2B61B">
      <w:pPr>
        <w:pStyle w:val="6"/>
        <w:keepNext w:val="0"/>
        <w:keepLines w:val="0"/>
        <w:spacing w:before="0" w:after="0" w:line="360" w:lineRule="auto"/>
        <w:ind w:left="420"/>
        <w:rPr>
          <w:rFonts w:ascii="宋体" w:hAnsi="宋体"/>
          <w:b w:val="0"/>
          <w:color w:val="auto"/>
          <w:sz w:val="21"/>
          <w:szCs w:val="21"/>
          <w:highlight w:val="none"/>
        </w:rPr>
      </w:pPr>
      <w:bookmarkStart w:id="126" w:name="_16.2投标报价具体定义见投标人须知前附表。"/>
      <w:bookmarkEnd w:id="126"/>
      <w:r>
        <w:rPr>
          <w:rFonts w:hint="eastAsia" w:ascii="宋体" w:hAnsi="宋体"/>
          <w:b w:val="0"/>
          <w:color w:val="auto"/>
          <w:sz w:val="21"/>
          <w:szCs w:val="21"/>
          <w:highlight w:val="none"/>
        </w:rPr>
        <w:t>16.2投标报价具体包括内容详见“投标人须知前附表”。</w:t>
      </w:r>
    </w:p>
    <w:p w14:paraId="3840FBB5">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300516B0">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17.投标有效期</w:t>
      </w:r>
    </w:p>
    <w:p w14:paraId="4E441FCD">
      <w:pPr>
        <w:pStyle w:val="6"/>
        <w:keepNext w:val="0"/>
        <w:keepLines w:val="0"/>
        <w:spacing w:before="0" w:after="0" w:line="360" w:lineRule="auto"/>
        <w:ind w:firstLine="420"/>
        <w:rPr>
          <w:rFonts w:ascii="宋体" w:hAnsi="宋体"/>
          <w:b w:val="0"/>
          <w:color w:val="auto"/>
          <w:sz w:val="21"/>
          <w:szCs w:val="21"/>
          <w:highlight w:val="none"/>
        </w:rPr>
      </w:pPr>
      <w:bookmarkStart w:id="127" w:name="_17.1投标有效期应按“投标人须知中的前附表”规定的期限。"/>
      <w:bookmarkEnd w:id="127"/>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2684C85A">
      <w:pPr>
        <w:pStyle w:val="6"/>
        <w:keepNext w:val="0"/>
        <w:keepLines w:val="0"/>
        <w:spacing w:before="0" w:after="0" w:line="360" w:lineRule="auto"/>
        <w:ind w:firstLine="424"/>
        <w:rPr>
          <w:rFonts w:ascii="宋体" w:hAnsi="宋体"/>
          <w:b w:val="0"/>
          <w:color w:val="auto"/>
          <w:sz w:val="21"/>
          <w:szCs w:val="21"/>
          <w:highlight w:val="none"/>
        </w:rPr>
      </w:pPr>
      <w:r>
        <w:rPr>
          <w:rFonts w:hint="eastAsia" w:ascii="宋体" w:hAnsi="宋体"/>
          <w:b w:val="0"/>
          <w:color w:val="auto"/>
          <w:sz w:val="21"/>
          <w:szCs w:val="21"/>
          <w:highlight w:val="none"/>
        </w:rPr>
        <w:t>17.2</w:t>
      </w:r>
      <w:bookmarkStart w:id="128" w:name="_Toc254970681"/>
      <w:bookmarkStart w:id="129" w:name="_Toc254970540"/>
      <w:r>
        <w:rPr>
          <w:rFonts w:hint="eastAsia" w:ascii="宋体" w:hAnsi="宋体"/>
          <w:b w:val="0"/>
          <w:color w:val="auto"/>
          <w:sz w:val="21"/>
          <w:szCs w:val="21"/>
          <w:highlight w:val="none"/>
        </w:rPr>
        <w:t xml:space="preserve"> 投标有效期应按招标文件规定的期限作出承诺，具体详见“投标人须知前附表”。</w:t>
      </w:r>
      <w:r>
        <w:rPr>
          <w:rFonts w:hint="eastAsia" w:ascii="宋体" w:hAnsi="宋体"/>
          <w:color w:val="auto"/>
          <w:sz w:val="21"/>
          <w:szCs w:val="21"/>
          <w:highlight w:val="none"/>
        </w:rPr>
        <w:t>承诺的投标有效期低于招标文件规定期限的，按无效投标处理</w:t>
      </w:r>
      <w:r>
        <w:rPr>
          <w:rFonts w:hint="eastAsia" w:ascii="宋体" w:hAnsi="宋体"/>
          <w:b w:val="0"/>
          <w:color w:val="auto"/>
          <w:sz w:val="21"/>
          <w:szCs w:val="21"/>
          <w:highlight w:val="none"/>
        </w:rPr>
        <w:t>。</w:t>
      </w:r>
    </w:p>
    <w:p w14:paraId="4F06E61B">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28"/>
      <w:bookmarkEnd w:id="129"/>
    </w:p>
    <w:p w14:paraId="56B6899A">
      <w:pPr>
        <w:pStyle w:val="6"/>
        <w:keepNext w:val="0"/>
        <w:keepLines w:val="0"/>
        <w:spacing w:before="0" w:after="0" w:line="360" w:lineRule="auto"/>
        <w:ind w:left="420"/>
        <w:rPr>
          <w:rFonts w:ascii="宋体" w:hAnsi="宋体"/>
          <w:b w:val="0"/>
          <w:color w:val="auto"/>
          <w:sz w:val="21"/>
          <w:szCs w:val="21"/>
          <w:highlight w:val="none"/>
        </w:rPr>
      </w:pPr>
    </w:p>
    <w:p w14:paraId="33C9B316">
      <w:pPr>
        <w:pStyle w:val="6"/>
        <w:keepNext w:val="0"/>
        <w:keepLines w:val="0"/>
        <w:spacing w:before="0" w:after="0" w:line="360" w:lineRule="auto"/>
        <w:ind w:left="420"/>
        <w:rPr>
          <w:rFonts w:ascii="黑体" w:hAnsi="黑体" w:eastAsia="黑体"/>
          <w:color w:val="auto"/>
          <w:sz w:val="24"/>
          <w:highlight w:val="none"/>
        </w:rPr>
      </w:pPr>
      <w:bookmarkStart w:id="130" w:name="_18.投标保证金"/>
      <w:bookmarkEnd w:id="130"/>
      <w:bookmarkStart w:id="131" w:name="_Toc254970682"/>
      <w:bookmarkStart w:id="132" w:name="_Toc254970541"/>
      <w:r>
        <w:rPr>
          <w:rFonts w:hint="eastAsia" w:ascii="黑体" w:hAnsi="黑体" w:eastAsia="黑体"/>
          <w:color w:val="auto"/>
          <w:sz w:val="24"/>
          <w:highlight w:val="none"/>
        </w:rPr>
        <w:t>18.投标保证金</w:t>
      </w:r>
      <w:bookmarkEnd w:id="131"/>
      <w:bookmarkEnd w:id="132"/>
    </w:p>
    <w:p w14:paraId="5BE81A2C">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7240F940">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41A70256">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 xml:space="preserve">未中标供应商的投标保证金自中标通知书发出之日起5个工作日内退还；中标供应商的投标保证金自政府采购合同签订之日起5个工作日内退还。 </w:t>
      </w:r>
    </w:p>
    <w:p w14:paraId="3F118146">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1D9920B7">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1688CE7F">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（1）投标人在投标有效期内撤销投标文件的；</w:t>
      </w:r>
    </w:p>
    <w:p w14:paraId="19669297">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（2）未按规定提交履约保证金的；</w:t>
      </w:r>
    </w:p>
    <w:p w14:paraId="0F126407">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4F942AB9">
      <w:pPr>
        <w:spacing w:line="360" w:lineRule="auto"/>
        <w:ind w:firstLine="411"/>
        <w:rPr>
          <w:rFonts w:ascii="宋体" w:hAnsi="宋体"/>
          <w:color w:val="auto"/>
          <w:szCs w:val="21"/>
          <w:highlight w:val="none"/>
        </w:rPr>
      </w:pPr>
      <w:r>
        <w:rPr>
          <w:rFonts w:hint="eastAsia" w:ascii="宋体" w:hAnsi="宋体"/>
          <w:color w:val="auto"/>
          <w:szCs w:val="21"/>
          <w:highlight w:val="none"/>
        </w:rPr>
        <w:t>（4）中标供应商无正当理由不与采购人签订合同的；</w:t>
      </w:r>
    </w:p>
    <w:p w14:paraId="0237CE4E">
      <w:pPr>
        <w:spacing w:line="360" w:lineRule="auto"/>
        <w:ind w:firstLine="420"/>
        <w:rPr>
          <w:rFonts w:ascii="宋体" w:hAnsi="宋体"/>
          <w:color w:val="auto"/>
          <w:szCs w:val="21"/>
          <w:highlight w:val="none"/>
        </w:rPr>
      </w:pPr>
      <w:r>
        <w:rPr>
          <w:rFonts w:hint="eastAsia" w:ascii="宋体" w:hAnsi="宋体"/>
          <w:color w:val="auto"/>
          <w:szCs w:val="21"/>
          <w:highlight w:val="none"/>
        </w:rPr>
        <w:t>（5）投标人出现本章第9.2、9.3情形的；</w:t>
      </w:r>
    </w:p>
    <w:p w14:paraId="31F24AAC">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p>
    <w:p w14:paraId="37277524">
      <w:pPr>
        <w:pStyle w:val="6"/>
        <w:keepNext w:val="0"/>
        <w:keepLines w:val="0"/>
        <w:spacing w:before="0" w:after="0" w:line="360" w:lineRule="auto"/>
        <w:ind w:left="420"/>
        <w:rPr>
          <w:rFonts w:ascii="黑体" w:hAnsi="黑体" w:eastAsia="黑体"/>
          <w:color w:val="auto"/>
          <w:sz w:val="24"/>
          <w:highlight w:val="none"/>
        </w:rPr>
      </w:pPr>
      <w:bookmarkStart w:id="133" w:name="_Toc254970683"/>
      <w:bookmarkStart w:id="134" w:name="_Toc254970542"/>
      <w:r>
        <w:rPr>
          <w:rFonts w:hint="eastAsia" w:ascii="黑体" w:hAnsi="黑体" w:eastAsia="黑体"/>
          <w:color w:val="auto"/>
          <w:sz w:val="24"/>
          <w:highlight w:val="none"/>
        </w:rPr>
        <w:t>19.投标文件的</w:t>
      </w:r>
      <w:bookmarkEnd w:id="133"/>
      <w:bookmarkEnd w:id="134"/>
      <w:r>
        <w:rPr>
          <w:rFonts w:hint="eastAsia" w:ascii="黑体" w:hAnsi="黑体" w:eastAsia="黑体"/>
          <w:color w:val="auto"/>
          <w:sz w:val="24"/>
          <w:highlight w:val="none"/>
        </w:rPr>
        <w:t>编制</w:t>
      </w:r>
    </w:p>
    <w:p w14:paraId="7FC5A996">
      <w:pPr>
        <w:pStyle w:val="6"/>
        <w:keepNext w:val="0"/>
        <w:keepLines w:val="0"/>
        <w:numPr>
          <w:ilvl w:val="4"/>
          <w:numId w:val="4"/>
        </w:numPr>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w:t>
      </w:r>
      <w:bookmarkStart w:id="135" w:name="_Toc254970685"/>
      <w:bookmarkStart w:id="136" w:name="_Toc254970544"/>
      <w:r>
        <w:rPr>
          <w:rFonts w:hint="eastAsia" w:ascii="宋体" w:hAnsi="宋体"/>
          <w:b w:val="0"/>
          <w:color w:val="auto"/>
          <w:sz w:val="21"/>
          <w:szCs w:val="21"/>
          <w:highlight w:val="none"/>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5D07D295">
      <w:pPr>
        <w:pStyle w:val="6"/>
        <w:keepNext w:val="0"/>
        <w:keepLines w:val="0"/>
        <w:numPr>
          <w:ilvl w:val="4"/>
          <w:numId w:val="4"/>
        </w:numPr>
        <w:spacing w:before="0" w:after="0" w:line="360" w:lineRule="auto"/>
        <w:ind w:firstLine="315"/>
        <w:rPr>
          <w:rFonts w:ascii="宋体" w:hAnsi="宋体"/>
          <w:b w:val="0"/>
          <w:color w:val="auto"/>
          <w:sz w:val="21"/>
          <w:szCs w:val="21"/>
          <w:highlight w:val="none"/>
        </w:rPr>
      </w:pPr>
      <w:bookmarkStart w:id="137" w:name="_19.2投标文件应按报价文件、资格证明文件、商务文件、技术文件分别编制"/>
      <w:bookmarkEnd w:id="137"/>
      <w:r>
        <w:rPr>
          <w:rFonts w:hint="eastAsia" w:ascii="宋体" w:hAnsi="宋体"/>
          <w:b w:val="0"/>
          <w:color w:val="auto"/>
          <w:sz w:val="21"/>
          <w:szCs w:val="21"/>
          <w:highlight w:val="none"/>
        </w:rPr>
        <w:t xml:space="preserve"> 19.2为确保网上操作合法、有效和安全，投标人应当在投标截止时间前完成在广西政府采购云平台的身份认证，确保在电子投标过程中能够对相关数据电文进行加密和使用电子签章。</w:t>
      </w:r>
    </w:p>
    <w:p w14:paraId="102677F9">
      <w:pPr>
        <w:pStyle w:val="6"/>
        <w:keepNext w:val="0"/>
        <w:keepLines w:val="0"/>
        <w:numPr>
          <w:ilvl w:val="4"/>
          <w:numId w:val="4"/>
        </w:numPr>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19.3投标文件须由投标人在规定位置签字（或者电子签名）、盖章（具体以投标人须知前附表或投标文件格式规定为准），</w:t>
      </w:r>
      <w:r>
        <w:rPr>
          <w:rFonts w:hint="eastAsia" w:ascii="宋体" w:hAnsi="宋体"/>
          <w:bCs/>
          <w:color w:val="auto"/>
          <w:sz w:val="21"/>
          <w:szCs w:val="21"/>
          <w:highlight w:val="none"/>
        </w:rPr>
        <w:t>否则按无效投标处理</w:t>
      </w:r>
      <w:r>
        <w:rPr>
          <w:rFonts w:hint="eastAsia" w:ascii="宋体" w:hAnsi="宋体"/>
          <w:b w:val="0"/>
          <w:color w:val="auto"/>
          <w:sz w:val="21"/>
          <w:szCs w:val="21"/>
          <w:highlight w:val="none"/>
        </w:rPr>
        <w:t>。</w:t>
      </w:r>
    </w:p>
    <w:p w14:paraId="2ED536C4">
      <w:pPr>
        <w:pStyle w:val="6"/>
        <w:keepNext w:val="0"/>
        <w:keepLines w:val="0"/>
        <w:numPr>
          <w:ilvl w:val="4"/>
          <w:numId w:val="4"/>
        </w:numPr>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olor w:val="auto"/>
          <w:sz w:val="21"/>
          <w:szCs w:val="21"/>
          <w:highlight w:val="none"/>
        </w:rPr>
        <w:t>否则按无效投标处理</w:t>
      </w:r>
      <w:r>
        <w:rPr>
          <w:rFonts w:hint="eastAsia" w:ascii="宋体" w:hAnsi="宋体"/>
          <w:b w:val="0"/>
          <w:color w:val="auto"/>
          <w:sz w:val="21"/>
          <w:szCs w:val="21"/>
          <w:highlight w:val="none"/>
        </w:rPr>
        <w:t>。</w:t>
      </w:r>
    </w:p>
    <w:p w14:paraId="44A2D698">
      <w:pPr>
        <w:pStyle w:val="6"/>
        <w:keepNext w:val="0"/>
        <w:keepLines w:val="0"/>
        <w:numPr>
          <w:ilvl w:val="4"/>
          <w:numId w:val="4"/>
        </w:numPr>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360F5372">
      <w:pPr>
        <w:spacing w:line="360" w:lineRule="auto"/>
        <w:ind w:firstLine="480"/>
        <w:rPr>
          <w:rFonts w:ascii="黑体" w:hAnsi="黑体" w:eastAsia="黑体"/>
          <w:color w:val="auto"/>
          <w:sz w:val="24"/>
          <w:highlight w:val="none"/>
        </w:rPr>
      </w:pPr>
      <w:r>
        <w:rPr>
          <w:rFonts w:hint="eastAsia" w:ascii="黑体" w:hAnsi="黑体" w:eastAsia="黑体"/>
          <w:color w:val="auto"/>
          <w:sz w:val="24"/>
          <w:highlight w:val="none"/>
        </w:rPr>
        <w:t>20.电子备份投标文件</w:t>
      </w:r>
    </w:p>
    <w:p w14:paraId="0501082C">
      <w:pPr>
        <w:spacing w:line="360" w:lineRule="auto"/>
        <w:ind w:firstLine="420"/>
        <w:rPr>
          <w:rFonts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w:t>
      </w:r>
      <w:r>
        <w:rPr>
          <w:rFonts w:hint="eastAsia" w:hAnsi="宋体"/>
          <w:bCs/>
          <w:color w:val="auto"/>
          <w:szCs w:val="21"/>
          <w:highlight w:val="none"/>
        </w:rPr>
        <w:t>详见在“投标人须知前附表”。</w:t>
      </w:r>
    </w:p>
    <w:p w14:paraId="13A3259A">
      <w:pPr>
        <w:pStyle w:val="6"/>
        <w:keepNext w:val="0"/>
        <w:keepLines w:val="0"/>
        <w:numPr>
          <w:ilvl w:val="4"/>
          <w:numId w:val="4"/>
        </w:numPr>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21.投标文件的提交</w:t>
      </w:r>
    </w:p>
    <w:p w14:paraId="74E63F76">
      <w:pPr>
        <w:spacing w:line="360" w:lineRule="auto"/>
        <w:ind w:firstLine="420"/>
        <w:rPr>
          <w:rFonts w:hAnsi="宋体"/>
          <w:b/>
          <w:color w:val="auto"/>
          <w:highlight w:val="none"/>
        </w:rPr>
      </w:pPr>
      <w:bookmarkStart w:id="138" w:name="_21.1投标人必须在“投标人须知中的前附表”规定的投标文件接收时间和投"/>
      <w:bookmarkEnd w:id="138"/>
      <w:r>
        <w:rPr>
          <w:rFonts w:hAnsi="宋体"/>
          <w:bCs/>
          <w:color w:val="auto"/>
          <w:szCs w:val="21"/>
          <w:highlight w:val="none"/>
        </w:rPr>
        <w:t>21.1</w:t>
      </w:r>
      <w:r>
        <w:rPr>
          <w:rFonts w:hint="eastAsia" w:hAnsi="宋体"/>
          <w:bCs/>
          <w:color w:val="auto"/>
          <w:szCs w:val="21"/>
          <w:highlight w:val="none"/>
        </w:rPr>
        <w:t>投标人必须在“投标人须知前附表”规定的</w:t>
      </w:r>
      <w:r>
        <w:rPr>
          <w:rFonts w:hint="eastAsia" w:ascii="宋体" w:hAnsi="宋体"/>
          <w:color w:val="auto"/>
          <w:szCs w:val="21"/>
          <w:highlight w:val="none"/>
        </w:rPr>
        <w:t>提交投标文件截止时间前将</w:t>
      </w:r>
      <w:r>
        <w:rPr>
          <w:rFonts w:hint="eastAsia" w:hAnsi="宋体"/>
          <w:bCs/>
          <w:color w:val="auto"/>
          <w:szCs w:val="21"/>
          <w:highlight w:val="none"/>
        </w:rPr>
        <w:t>电子投标文件提交至投标地点。电子投标文件应在制作完成后，在投标截止时间前通过有效数字证书（</w:t>
      </w:r>
      <w:r>
        <w:rPr>
          <w:rFonts w:hAnsi="宋体"/>
          <w:bCs/>
          <w:color w:val="auto"/>
          <w:szCs w:val="21"/>
          <w:highlight w:val="none"/>
        </w:rPr>
        <w:t>CA</w:t>
      </w:r>
      <w:r>
        <w:rPr>
          <w:rFonts w:hint="eastAsia" w:hAnsi="宋体"/>
          <w:bCs/>
          <w:color w:val="auto"/>
          <w:szCs w:val="21"/>
          <w:highlight w:val="none"/>
        </w:rPr>
        <w:t>认证锁）进行电子签章、加密，然后通过网络将加密的电子投标文件递交至</w:t>
      </w:r>
      <w:r>
        <w:rPr>
          <w:rFonts w:hint="eastAsia" w:ascii="宋体" w:hAnsi="宋体"/>
          <w:b/>
          <w:color w:val="auto"/>
          <w:szCs w:val="21"/>
          <w:highlight w:val="none"/>
        </w:rPr>
        <w:t>广西政府采购云平台</w:t>
      </w:r>
      <w:r>
        <w:rPr>
          <w:rFonts w:hint="eastAsia" w:hAnsi="宋体"/>
          <w:bCs/>
          <w:color w:val="auto"/>
          <w:szCs w:val="21"/>
          <w:highlight w:val="none"/>
        </w:rPr>
        <w:t>。</w:t>
      </w:r>
      <w:r>
        <w:rPr>
          <w:rFonts w:hAnsi="宋体"/>
          <w:bCs/>
          <w:color w:val="auto"/>
          <w:szCs w:val="21"/>
          <w:highlight w:val="none"/>
        </w:rPr>
        <w:t xml:space="preserve"> </w:t>
      </w:r>
      <w:r>
        <w:rPr>
          <w:rFonts w:hAnsi="宋体"/>
          <w:b/>
          <w:color w:val="auto"/>
          <w:highlight w:val="none"/>
        </w:rPr>
        <w:t xml:space="preserve"> </w:t>
      </w:r>
    </w:p>
    <w:p w14:paraId="401D8CC0">
      <w:pPr>
        <w:spacing w:line="360" w:lineRule="auto"/>
        <w:ind w:firstLine="422"/>
        <w:rPr>
          <w:rFonts w:ascii="宋体" w:hAnsi="宋体"/>
          <w:b/>
          <w:color w:val="auto"/>
          <w:szCs w:val="20"/>
          <w:highlight w:val="none"/>
        </w:rPr>
      </w:pPr>
      <w:r>
        <w:rPr>
          <w:rFonts w:hint="eastAsia" w:ascii="宋体" w:hAnsi="宋体"/>
          <w:b/>
          <w:color w:val="auto"/>
          <w:szCs w:val="21"/>
          <w:highlight w:val="none"/>
        </w:rPr>
        <w:t>21.2未在规定时间内提交或者未按照招标文件要求加密的电子投标文件，广西政府采购云平台将拒收。</w:t>
      </w:r>
    </w:p>
    <w:p w14:paraId="48AD7765">
      <w:pPr>
        <w:pStyle w:val="6"/>
        <w:keepNext w:val="0"/>
        <w:keepLines w:val="0"/>
        <w:numPr>
          <w:ilvl w:val="4"/>
          <w:numId w:val="4"/>
        </w:numPr>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41CA28C5">
      <w:pPr>
        <w:spacing w:line="360" w:lineRule="auto"/>
        <w:ind w:firstLine="420"/>
        <w:jc w:val="left"/>
        <w:rPr>
          <w:rFonts w:ascii="宋体" w:hAnsi="宋体"/>
          <w:color w:val="auto"/>
          <w:szCs w:val="21"/>
          <w:highlight w:val="none"/>
        </w:rPr>
      </w:pPr>
      <w:bookmarkStart w:id="139" w:name="_Toc254970543"/>
      <w:bookmarkStart w:id="140" w:name="_Toc254970684"/>
      <w:r>
        <w:rPr>
          <w:rFonts w:hint="eastAsia" w:ascii="宋体" w:hAnsi="宋体" w:cs="宋体"/>
          <w:color w:val="auto"/>
          <w:szCs w:val="21"/>
          <w:highlight w:val="none"/>
        </w:rPr>
        <w:t>22.1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依次进入“服务中心”中查看</w:t>
      </w:r>
      <w:r>
        <w:rPr>
          <w:rFonts w:hint="eastAsia" w:ascii="宋体" w:hAnsi="宋体" w:cs="宋体"/>
          <w:color w:val="auto"/>
          <w:szCs w:val="21"/>
          <w:highlight w:val="none"/>
        </w:rPr>
        <w:t xml:space="preserve"> “电子投标文件制作与投送教程”）</w:t>
      </w:r>
      <w:bookmarkEnd w:id="139"/>
      <w:bookmarkEnd w:id="140"/>
    </w:p>
    <w:p w14:paraId="038AE78F">
      <w:pPr>
        <w:pStyle w:val="274"/>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02E212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35E0D950">
      <w:pPr>
        <w:pStyle w:val="4"/>
        <w:keepNext w:val="0"/>
        <w:keepLines w:val="0"/>
        <w:jc w:val="center"/>
        <w:rPr>
          <w:color w:val="auto"/>
          <w:highlight w:val="none"/>
        </w:rPr>
      </w:pPr>
      <w:r>
        <w:rPr>
          <w:rFonts w:hint="eastAsia"/>
          <w:color w:val="auto"/>
          <w:highlight w:val="none"/>
        </w:rPr>
        <w:t>四、开    标</w:t>
      </w:r>
      <w:bookmarkEnd w:id="135"/>
      <w:bookmarkEnd w:id="136"/>
    </w:p>
    <w:p w14:paraId="0DFDA10B">
      <w:pPr>
        <w:pStyle w:val="6"/>
        <w:keepNext w:val="0"/>
        <w:keepLines w:val="0"/>
        <w:spacing w:before="0" w:after="0" w:line="360" w:lineRule="auto"/>
        <w:ind w:left="420"/>
        <w:rPr>
          <w:rFonts w:ascii="黑体" w:hAnsi="黑体" w:eastAsia="黑体"/>
          <w:color w:val="auto"/>
          <w:sz w:val="24"/>
          <w:highlight w:val="none"/>
        </w:rPr>
      </w:pPr>
      <w:bookmarkStart w:id="141" w:name="_23.开标时间和地点"/>
      <w:bookmarkEnd w:id="141"/>
      <w:r>
        <w:rPr>
          <w:rFonts w:hint="eastAsia" w:ascii="黑体" w:hAnsi="黑体" w:eastAsia="黑体"/>
          <w:color w:val="auto"/>
          <w:sz w:val="24"/>
          <w:highlight w:val="none"/>
        </w:rPr>
        <w:t>23.开标时间和地点</w:t>
      </w:r>
    </w:p>
    <w:p w14:paraId="5617D858">
      <w:pPr>
        <w:spacing w:line="360" w:lineRule="auto"/>
        <w:ind w:firstLine="420"/>
        <w:rPr>
          <w:rFonts w:hAnsi="宋体"/>
          <w:bCs/>
          <w:color w:val="auto"/>
          <w:highlight w:val="none"/>
        </w:rPr>
      </w:pPr>
      <w:r>
        <w:rPr>
          <w:rFonts w:hint="eastAsia" w:hAnsi="宋体"/>
          <w:bCs/>
          <w:color w:val="auto"/>
          <w:highlight w:val="none"/>
        </w:rPr>
        <w:t>开标时间及地点详见“投标人须知前附表”</w:t>
      </w:r>
    </w:p>
    <w:p w14:paraId="6BD38E65">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24.开标程序</w:t>
      </w:r>
    </w:p>
    <w:p w14:paraId="2E0A9E25">
      <w:pPr>
        <w:pStyle w:val="7"/>
        <w:spacing w:line="360" w:lineRule="auto"/>
        <w:rPr>
          <w:color w:val="auto"/>
          <w:highlight w:val="none"/>
        </w:rPr>
      </w:pPr>
      <w:r>
        <w:rPr>
          <w:color w:val="auto"/>
          <w:highlight w:val="none"/>
        </w:rPr>
        <w:t>24.1</w:t>
      </w:r>
      <w:r>
        <w:rPr>
          <w:rFonts w:hint="eastAsia"/>
          <w:color w:val="auto"/>
          <w:highlight w:val="none"/>
        </w:rPr>
        <w:t>提交投标文件截止时间止，投标人不足</w:t>
      </w:r>
      <w:r>
        <w:rPr>
          <w:color w:val="auto"/>
          <w:highlight w:val="none"/>
        </w:rPr>
        <w:t>3</w:t>
      </w:r>
      <w:r>
        <w:rPr>
          <w:rFonts w:hint="eastAsia"/>
          <w:color w:val="auto"/>
          <w:highlight w:val="none"/>
        </w:rPr>
        <w:t>家的，不得开标。</w:t>
      </w:r>
    </w:p>
    <w:p w14:paraId="6861C92E">
      <w:pPr>
        <w:pStyle w:val="7"/>
        <w:spacing w:line="360" w:lineRule="auto"/>
        <w:rPr>
          <w:color w:val="auto"/>
          <w:highlight w:val="none"/>
        </w:rPr>
      </w:pPr>
      <w:r>
        <w:rPr>
          <w:color w:val="auto"/>
          <w:highlight w:val="none"/>
        </w:rPr>
        <w:t>24.2</w:t>
      </w:r>
      <w:r>
        <w:rPr>
          <w:rFonts w:hint="eastAsia"/>
          <w:color w:val="auto"/>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0A6FDE74">
      <w:pPr>
        <w:pStyle w:val="7"/>
        <w:spacing w:line="360" w:lineRule="auto"/>
        <w:rPr>
          <w:color w:val="auto"/>
          <w:highlight w:val="none"/>
        </w:rPr>
      </w:pPr>
      <w:r>
        <w:rPr>
          <w:color w:val="auto"/>
          <w:highlight w:val="none"/>
        </w:rPr>
        <w:t>24.3</w:t>
      </w:r>
      <w:r>
        <w:rPr>
          <w:rFonts w:hint="eastAsia"/>
          <w:color w:val="auto"/>
          <w:highlight w:val="none"/>
        </w:rPr>
        <w:t>开标程序</w:t>
      </w:r>
    </w:p>
    <w:p w14:paraId="00B5BB78">
      <w:pPr>
        <w:pStyle w:val="7"/>
        <w:spacing w:line="360" w:lineRule="auto"/>
        <w:rPr>
          <w:color w:val="auto"/>
          <w:highlight w:val="none"/>
        </w:rPr>
      </w:pPr>
      <w:r>
        <w:rPr>
          <w:rFonts w:hint="eastAsia"/>
          <w:color w:val="auto"/>
          <w:highlight w:val="none"/>
        </w:rPr>
        <w:t>（</w:t>
      </w:r>
      <w:r>
        <w:rPr>
          <w:color w:val="auto"/>
          <w:highlight w:val="none"/>
        </w:rPr>
        <w:t>1</w:t>
      </w:r>
      <w:r>
        <w:rPr>
          <w:rFonts w:hint="eastAsia"/>
          <w:color w:val="auto"/>
          <w:highlight w:val="none"/>
        </w:rPr>
        <w:t>）解密电子投标文件。广西政府采购云平台按开标时间自动提取所有投标文件。采购代理机构依托广西政府采购云平台向各投标人发出电子加密投标文件【开始解密】通知，由投标人按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w:t>
      </w:r>
      <w:r>
        <w:rPr>
          <w:color w:val="auto"/>
          <w:highlight w:val="none"/>
        </w:rPr>
        <w:t>CA</w:t>
      </w:r>
      <w:r>
        <w:rPr>
          <w:rFonts w:hint="eastAsia"/>
          <w:color w:val="auto"/>
          <w:highlight w:val="none"/>
        </w:rPr>
        <w:t>锁准时登录到广西政府采购云平台电子开标大厅签到并对电子投标文件解密。</w:t>
      </w:r>
      <w:r>
        <w:rPr>
          <w:rFonts w:hint="eastAsia"/>
          <w:b/>
          <w:color w:val="auto"/>
          <w:highlight w:val="none"/>
        </w:rPr>
        <w:t>投标人未在规定的时间内解密投标文件或者解密失败的，</w:t>
      </w:r>
      <w:r>
        <w:rPr>
          <w:rFonts w:hint="eastAsia" w:ascii="宋体" w:hAnsi="宋体"/>
          <w:b/>
          <w:color w:val="auto"/>
          <w:szCs w:val="21"/>
          <w:highlight w:val="none"/>
        </w:rPr>
        <w:t>投标人的投标文件作无效处理</w:t>
      </w:r>
      <w:r>
        <w:rPr>
          <w:rFonts w:hint="eastAsia"/>
          <w:b/>
          <w:color w:val="auto"/>
          <w:highlight w:val="none"/>
        </w:rPr>
        <w:t>。</w:t>
      </w:r>
    </w:p>
    <w:p w14:paraId="56E5AE54">
      <w:pPr>
        <w:pStyle w:val="7"/>
        <w:spacing w:line="360" w:lineRule="auto"/>
        <w:rPr>
          <w:color w:val="auto"/>
          <w:highlight w:val="none"/>
        </w:rPr>
      </w:pPr>
      <w:r>
        <w:rPr>
          <w:rFonts w:hint="eastAsia"/>
          <w:color w:val="auto"/>
          <w:highlight w:val="none"/>
        </w:rPr>
        <w:t>（</w:t>
      </w:r>
      <w:r>
        <w:rPr>
          <w:color w:val="auto"/>
          <w:highlight w:val="none"/>
        </w:rPr>
        <w:t>2</w:t>
      </w:r>
      <w:r>
        <w:rPr>
          <w:rFonts w:hint="eastAsia"/>
          <w:color w:val="auto"/>
          <w:highlight w:val="none"/>
        </w:rPr>
        <w:t>）电子唱标。投标文件解密结束，宣布的内容均在广西政府采购云平台远程开标大厅展示，具体详见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445DAE26">
      <w:pPr>
        <w:pStyle w:val="7"/>
        <w:spacing w:line="360" w:lineRule="auto"/>
        <w:rPr>
          <w:color w:val="auto"/>
          <w:highlight w:val="none"/>
        </w:rPr>
      </w:pPr>
      <w:r>
        <w:rPr>
          <w:rFonts w:hint="eastAsia"/>
          <w:color w:val="auto"/>
          <w:highlight w:val="none"/>
        </w:rPr>
        <w:t>（</w:t>
      </w:r>
      <w:r>
        <w:rPr>
          <w:color w:val="auto"/>
          <w:highlight w:val="none"/>
        </w:rPr>
        <w:t>3</w:t>
      </w:r>
      <w:r>
        <w:rPr>
          <w:rFonts w:hint="eastAsia"/>
          <w:color w:val="auto"/>
          <w:highlight w:val="none"/>
        </w:rPr>
        <w:t>）开标过程由采购代理机构如实记录，并电子留痕，由参加电子开标的各投标人代表对电子开标记录在开标记录公布后</w:t>
      </w:r>
      <w:r>
        <w:rPr>
          <w:color w:val="auto"/>
          <w:highlight w:val="none"/>
        </w:rPr>
        <w:t>15</w:t>
      </w:r>
      <w:r>
        <w:rPr>
          <w:rFonts w:hint="eastAsia"/>
          <w:color w:val="auto"/>
          <w:highlight w:val="none"/>
        </w:rPr>
        <w:t>分钟内进行当场校核及勘误，并线上确认是否有异议，未确认的视同认可开标结果。</w:t>
      </w:r>
    </w:p>
    <w:p w14:paraId="58EEC0BE">
      <w:pPr>
        <w:pStyle w:val="7"/>
        <w:spacing w:line="360" w:lineRule="auto"/>
        <w:rPr>
          <w:color w:val="auto"/>
          <w:highlight w:val="none"/>
        </w:rPr>
      </w:pPr>
      <w:r>
        <w:rPr>
          <w:rFonts w:hint="eastAsia"/>
          <w:color w:val="auto"/>
          <w:highlight w:val="none"/>
        </w:rPr>
        <w:t>（</w:t>
      </w:r>
      <w:r>
        <w:rPr>
          <w:color w:val="auto"/>
          <w:highlight w:val="none"/>
        </w:rPr>
        <w:t>4</w:t>
      </w:r>
      <w:r>
        <w:rPr>
          <w:rFonts w:hint="eastAsia"/>
          <w:color w:val="auto"/>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5A652A2A">
      <w:pPr>
        <w:pStyle w:val="7"/>
        <w:spacing w:line="360" w:lineRule="auto"/>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）开标结束。</w:t>
      </w:r>
    </w:p>
    <w:p w14:paraId="760F71BC">
      <w:pPr>
        <w:pStyle w:val="26"/>
        <w:spacing w:line="360" w:lineRule="auto"/>
        <w:ind w:firstLine="420"/>
        <w:rPr>
          <w:rFonts w:hAnsi="宋体"/>
          <w:color w:val="auto"/>
          <w:sz w:val="21"/>
          <w:highlight w:val="none"/>
        </w:rPr>
      </w:pPr>
      <w:r>
        <w:rPr>
          <w:rFonts w:hint="eastAsia"/>
          <w:color w:val="auto"/>
          <w:sz w:val="21"/>
          <w:highlight w:val="none"/>
        </w:rPr>
        <w:t>特别说明：如遇广西政府采购云平台电子化开标或评审程序调整的，按调整后执行。</w:t>
      </w:r>
    </w:p>
    <w:p w14:paraId="498B2964">
      <w:pPr>
        <w:pStyle w:val="26"/>
        <w:spacing w:line="360" w:lineRule="auto"/>
        <w:ind w:left="689" w:hanging="210"/>
        <w:rPr>
          <w:rFonts w:hAnsi="宋体"/>
          <w:color w:val="auto"/>
          <w:sz w:val="21"/>
          <w:highlight w:val="none"/>
        </w:rPr>
      </w:pPr>
    </w:p>
    <w:p w14:paraId="7ABFB0F9">
      <w:pPr>
        <w:pStyle w:val="4"/>
        <w:keepNext w:val="0"/>
        <w:keepLines w:val="0"/>
        <w:jc w:val="center"/>
        <w:rPr>
          <w:color w:val="auto"/>
          <w:highlight w:val="none"/>
        </w:rPr>
      </w:pPr>
      <w:r>
        <w:rPr>
          <w:rFonts w:hint="eastAsia"/>
          <w:color w:val="auto"/>
          <w:highlight w:val="none"/>
        </w:rPr>
        <w:t>五、资格审查</w:t>
      </w:r>
    </w:p>
    <w:p w14:paraId="26F543E2">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25.资格审查</w:t>
      </w:r>
    </w:p>
    <w:p w14:paraId="2A39FFA8">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采购人或者采购代理机构通过电子开评标系统依据招标文件对电子投标文件进行线上资格审查</w:t>
      </w:r>
      <w:r>
        <w:rPr>
          <w:rFonts w:ascii="宋体" w:hAnsi="宋体"/>
          <w:b w:val="0"/>
          <w:color w:val="auto"/>
          <w:sz w:val="21"/>
          <w:szCs w:val="21"/>
          <w:highlight w:val="none"/>
        </w:rPr>
        <w:t>。</w:t>
      </w:r>
    </w:p>
    <w:p w14:paraId="0E119F9C">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5524D366">
      <w:pPr>
        <w:pStyle w:val="6"/>
        <w:keepNext w:val="0"/>
        <w:keepLines w:val="0"/>
        <w:numPr>
          <w:ilvl w:val="0"/>
          <w:numId w:val="0"/>
        </w:numPr>
        <w:spacing w:before="0" w:after="0" w:line="360" w:lineRule="auto"/>
        <w:ind w:firstLine="422"/>
        <w:rPr>
          <w:rFonts w:ascii="宋体" w:hAnsi="宋体"/>
          <w:color w:val="auto"/>
          <w:sz w:val="21"/>
          <w:szCs w:val="21"/>
          <w:highlight w:val="none"/>
        </w:rPr>
      </w:pPr>
      <w:bookmarkStart w:id="142" w:name="_25.3_投标人有下列情形之一的，资格审查不通过而导致其投标无效："/>
      <w:bookmarkEnd w:id="142"/>
      <w:r>
        <w:rPr>
          <w:rFonts w:hint="eastAsia" w:ascii="宋体" w:hAnsi="宋体"/>
          <w:color w:val="auto"/>
          <w:sz w:val="21"/>
          <w:szCs w:val="21"/>
          <w:highlight w:val="none"/>
        </w:rPr>
        <w:t>25.3 投标人有下列情形之一的，资格审查不通过，作无效投标处理：</w:t>
      </w:r>
    </w:p>
    <w:p w14:paraId="00CEE4F2">
      <w:pPr>
        <w:pStyle w:val="26"/>
        <w:spacing w:line="360" w:lineRule="auto"/>
        <w:ind w:firstLine="422"/>
        <w:rPr>
          <w:rFonts w:hAnsi="宋体"/>
          <w:b/>
          <w:color w:val="auto"/>
          <w:sz w:val="21"/>
          <w:highlight w:val="none"/>
        </w:rPr>
      </w:pPr>
      <w:r>
        <w:rPr>
          <w:rFonts w:hint="eastAsia" w:hAnsi="宋体"/>
          <w:b/>
          <w:color w:val="auto"/>
          <w:sz w:val="21"/>
          <w:highlight w:val="none"/>
        </w:rPr>
        <w:t>（1）不具备招标文件中规定的资格要求的；</w:t>
      </w:r>
    </w:p>
    <w:p w14:paraId="1C31D92E">
      <w:pPr>
        <w:pStyle w:val="26"/>
        <w:spacing w:line="360" w:lineRule="auto"/>
        <w:ind w:firstLine="422"/>
        <w:rPr>
          <w:rFonts w:hAnsi="宋体"/>
          <w:b/>
          <w:color w:val="auto"/>
          <w:sz w:val="21"/>
          <w:highlight w:val="none"/>
        </w:rPr>
      </w:pPr>
      <w:r>
        <w:rPr>
          <w:rFonts w:hint="eastAsia" w:hAnsi="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3F657535">
      <w:pPr>
        <w:pStyle w:val="26"/>
        <w:spacing w:line="360" w:lineRule="auto"/>
        <w:ind w:firstLine="422"/>
        <w:rPr>
          <w:rFonts w:hAnsi="宋体"/>
          <w:b/>
          <w:color w:val="auto"/>
          <w:sz w:val="21"/>
          <w:highlight w:val="none"/>
        </w:rPr>
      </w:pPr>
      <w:r>
        <w:rPr>
          <w:rFonts w:hint="eastAsia" w:hAnsi="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324E39C6">
      <w:pPr>
        <w:pStyle w:val="26"/>
        <w:spacing w:line="360" w:lineRule="auto"/>
        <w:ind w:firstLine="422"/>
        <w:rPr>
          <w:rFonts w:hAnsi="宋体"/>
          <w:b/>
          <w:color w:val="auto"/>
          <w:sz w:val="21"/>
          <w:highlight w:val="none"/>
        </w:rPr>
      </w:pPr>
      <w:r>
        <w:rPr>
          <w:rFonts w:hint="eastAsia" w:hAnsi="宋体"/>
          <w:b/>
          <w:color w:val="auto"/>
          <w:sz w:val="21"/>
          <w:highlight w:val="none"/>
        </w:rPr>
        <w:t>（4）投标文件中的资格证明文件缺少任一项“投标人须知前附表”资格证明文件规定“必须提供”的文件资料的；</w:t>
      </w:r>
    </w:p>
    <w:p w14:paraId="7E0B360B">
      <w:pPr>
        <w:pStyle w:val="26"/>
        <w:spacing w:line="360" w:lineRule="auto"/>
        <w:ind w:firstLine="422"/>
        <w:rPr>
          <w:rFonts w:hAnsi="宋体"/>
          <w:b/>
          <w:color w:val="auto"/>
          <w:sz w:val="21"/>
          <w:highlight w:val="none"/>
        </w:rPr>
      </w:pPr>
      <w:r>
        <w:rPr>
          <w:rFonts w:hint="eastAsia" w:hAnsi="宋体"/>
          <w:b/>
          <w:color w:val="auto"/>
          <w:sz w:val="21"/>
          <w:highlight w:val="none"/>
        </w:rPr>
        <w:t>（5）投标文件中的资格证明文件出现任一项不符合“投标人须知前附表”资格证明文件规定“必须提供”的文件资料要求或者无效的。</w:t>
      </w:r>
    </w:p>
    <w:p w14:paraId="0F255164">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25B01384">
      <w:pPr>
        <w:pStyle w:val="26"/>
        <w:spacing w:line="360" w:lineRule="auto"/>
        <w:ind w:left="689" w:hanging="210"/>
        <w:rPr>
          <w:rFonts w:hAnsi="宋体"/>
          <w:color w:val="auto"/>
          <w:sz w:val="21"/>
          <w:highlight w:val="none"/>
        </w:rPr>
      </w:pPr>
    </w:p>
    <w:p w14:paraId="6EE96C8B">
      <w:pPr>
        <w:pStyle w:val="4"/>
        <w:keepNext w:val="0"/>
        <w:keepLines w:val="0"/>
        <w:jc w:val="center"/>
        <w:rPr>
          <w:color w:val="auto"/>
          <w:highlight w:val="none"/>
        </w:rPr>
      </w:pPr>
      <w:r>
        <w:rPr>
          <w:rFonts w:hint="eastAsia"/>
          <w:color w:val="auto"/>
          <w:highlight w:val="none"/>
        </w:rPr>
        <w:t>六、评   标</w:t>
      </w:r>
    </w:p>
    <w:p w14:paraId="0BF5F62D">
      <w:pPr>
        <w:pStyle w:val="6"/>
        <w:keepNext w:val="0"/>
        <w:keepLines w:val="0"/>
        <w:spacing w:before="0" w:after="0" w:line="360" w:lineRule="auto"/>
        <w:ind w:left="420"/>
        <w:rPr>
          <w:rFonts w:ascii="黑体" w:hAnsi="黑体" w:eastAsia="黑体"/>
          <w:color w:val="auto"/>
          <w:sz w:val="24"/>
          <w:highlight w:val="none"/>
        </w:rPr>
      </w:pPr>
      <w:bookmarkStart w:id="143" w:name="_26.组建评标委员会"/>
      <w:bookmarkEnd w:id="143"/>
      <w:r>
        <w:rPr>
          <w:rFonts w:hint="eastAsia" w:ascii="黑体" w:hAnsi="黑体" w:eastAsia="黑体"/>
          <w:color w:val="auto"/>
          <w:sz w:val="24"/>
          <w:highlight w:val="none"/>
        </w:rPr>
        <w:t>26.组建评标委员会</w:t>
      </w:r>
    </w:p>
    <w:p w14:paraId="75F1E28D">
      <w:pPr>
        <w:pStyle w:val="26"/>
        <w:spacing w:line="360" w:lineRule="auto"/>
        <w:ind w:firstLine="420"/>
        <w:rPr>
          <w:rFonts w:hAnsi="宋体"/>
          <w:color w:val="auto"/>
          <w:sz w:val="21"/>
          <w:highlight w:val="none"/>
        </w:rPr>
      </w:pPr>
      <w:r>
        <w:rPr>
          <w:rFonts w:hint="eastAsia" w:hAnsi="宋体"/>
          <w:color w:val="auto"/>
          <w:sz w:val="21"/>
          <w:highlight w:val="none"/>
        </w:rPr>
        <w:t>26.1评标委员会由采购人代表和评审专家组成，具体人数详见“投标人须知前附表”，其中评审专家不得少于成员总数的三分之二。</w:t>
      </w:r>
    </w:p>
    <w:p w14:paraId="5B8D42FE">
      <w:pPr>
        <w:pStyle w:val="26"/>
        <w:spacing w:line="360" w:lineRule="auto"/>
        <w:ind w:left="2" w:firstLine="420"/>
        <w:rPr>
          <w:rFonts w:hAnsi="宋体"/>
          <w:color w:val="auto"/>
          <w:sz w:val="21"/>
          <w:highlight w:val="none"/>
        </w:rPr>
      </w:pPr>
      <w:r>
        <w:rPr>
          <w:rFonts w:hint="eastAsia" w:hAnsi="宋体"/>
          <w:color w:val="auto"/>
          <w:sz w:val="21"/>
          <w:highlight w:val="none"/>
        </w:rPr>
        <w:t>26.2参加过采购项目前期咨询论证的专家，不得参加该采购项目的评审活动。</w:t>
      </w:r>
    </w:p>
    <w:p w14:paraId="554FE935">
      <w:pPr>
        <w:pStyle w:val="26"/>
        <w:spacing w:line="360" w:lineRule="auto"/>
        <w:ind w:left="2" w:firstLine="420"/>
        <w:rPr>
          <w:rFonts w:hAnsi="宋体"/>
          <w:color w:val="auto"/>
          <w:sz w:val="21"/>
          <w:highlight w:val="none"/>
        </w:rPr>
      </w:pPr>
      <w:r>
        <w:rPr>
          <w:rFonts w:hint="eastAsia" w:hAnsi="宋体"/>
          <w:color w:val="auto"/>
          <w:sz w:val="21"/>
          <w:highlight w:val="none"/>
        </w:rPr>
        <w:t>26.3</w:t>
      </w:r>
      <w:r>
        <w:rPr>
          <w:rFonts w:hint="eastAsia" w:hAnsi="宋体"/>
          <w:bCs/>
          <w:color w:val="auto"/>
          <w:sz w:val="21"/>
          <w:highlight w:val="none"/>
        </w:rPr>
        <w:t>采购代理机构应当基于广西政府采购云平台抽（选）取评审专家。</w:t>
      </w:r>
    </w:p>
    <w:p w14:paraId="75B2756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27.评标的依据</w:t>
      </w:r>
    </w:p>
    <w:p w14:paraId="5A4F3135">
      <w:pPr>
        <w:pStyle w:val="26"/>
        <w:spacing w:line="360" w:lineRule="auto"/>
        <w:ind w:firstLine="420"/>
        <w:rPr>
          <w:rFonts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 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2B1FA608">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28.评标原则</w:t>
      </w:r>
    </w:p>
    <w:p w14:paraId="78314A55">
      <w:pPr>
        <w:pStyle w:val="26"/>
        <w:spacing w:line="360" w:lineRule="auto"/>
        <w:ind w:firstLine="420"/>
        <w:rPr>
          <w:rFonts w:hAnsi="宋体"/>
          <w:color w:val="auto"/>
          <w:sz w:val="21"/>
          <w:highlight w:val="none"/>
        </w:rPr>
      </w:pPr>
      <w:r>
        <w:rPr>
          <w:rFonts w:hint="eastAsia" w:hAnsi="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5FD9F62">
      <w:pPr>
        <w:pStyle w:val="26"/>
        <w:spacing w:line="360" w:lineRule="auto"/>
        <w:ind w:firstLine="420"/>
        <w:rPr>
          <w:rFonts w:hAnsi="宋体"/>
          <w:color w:val="auto"/>
          <w:sz w:val="21"/>
          <w:highlight w:val="none"/>
        </w:rPr>
      </w:pPr>
      <w:r>
        <w:rPr>
          <w:rFonts w:hint="eastAsia" w:hAnsi="宋体"/>
          <w:color w:val="auto"/>
          <w:sz w:val="21"/>
          <w:highlight w:val="none"/>
        </w:rPr>
        <w:t>28.2</w:t>
      </w:r>
      <w:bookmarkStart w:id="144" w:name="_28.3评标方法。本项目将按须知前附表规定的评标办法进行评标，具体评标"/>
      <w:bookmarkEnd w:id="144"/>
      <w:r>
        <w:rPr>
          <w:rFonts w:hint="eastAsia" w:hAnsi="宋体"/>
          <w:color w:val="auto"/>
          <w:sz w:val="21"/>
          <w:highlight w:val="none"/>
        </w:rPr>
        <w:t>评委表决。评标委员会成员对需要共同认定的事项存在争议的，应当按照少数服从多数的原则作出结论。</w:t>
      </w:r>
    </w:p>
    <w:p w14:paraId="3DD839DC">
      <w:pPr>
        <w:pStyle w:val="26"/>
        <w:spacing w:line="360" w:lineRule="auto"/>
        <w:ind w:firstLine="42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B307CCC">
      <w:pPr>
        <w:pStyle w:val="26"/>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7E3069B5">
      <w:pPr>
        <w:pStyle w:val="6"/>
        <w:keepNext w:val="0"/>
        <w:keepLines w:val="0"/>
        <w:spacing w:before="0" w:after="0" w:line="360" w:lineRule="auto"/>
        <w:ind w:left="420"/>
        <w:rPr>
          <w:rFonts w:ascii="黑体" w:hAnsi="黑体" w:eastAsia="黑体"/>
          <w:color w:val="auto"/>
          <w:sz w:val="21"/>
          <w:szCs w:val="21"/>
          <w:highlight w:val="none"/>
        </w:rPr>
      </w:pPr>
      <w:r>
        <w:rPr>
          <w:rFonts w:hint="eastAsia" w:ascii="黑体" w:hAnsi="黑体" w:eastAsia="黑体"/>
          <w:color w:val="auto"/>
          <w:sz w:val="21"/>
          <w:szCs w:val="21"/>
          <w:highlight w:val="none"/>
        </w:rPr>
        <w:t>29.评标方法及中标候选人推荐</w:t>
      </w:r>
    </w:p>
    <w:p w14:paraId="22544F86">
      <w:pPr>
        <w:pStyle w:val="26"/>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177B8A72">
      <w:pPr>
        <w:pStyle w:val="26"/>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9.2</w:t>
      </w:r>
      <w:r>
        <w:rPr>
          <w:rFonts w:hAnsi="宋体" w:cs="宋体"/>
          <w:color w:val="auto"/>
          <w:sz w:val="21"/>
          <w:highlight w:val="none"/>
        </w:rPr>
        <w:t xml:space="preserve"> </w:t>
      </w:r>
      <w:r>
        <w:rPr>
          <w:rFonts w:hint="eastAsia" w:hAnsi="宋体" w:cs="宋体"/>
          <w:color w:val="auto"/>
          <w:sz w:val="21"/>
          <w:highlight w:val="none"/>
        </w:rPr>
        <w:t>商务/技术要求</w:t>
      </w:r>
      <w:r>
        <w:rPr>
          <w:rFonts w:hint="eastAsia" w:hAnsi="宋体"/>
          <w:color w:val="auto"/>
          <w:sz w:val="21"/>
          <w:highlight w:val="none"/>
        </w:rPr>
        <w:t>允许负偏离的条款数</w:t>
      </w:r>
      <w:r>
        <w:rPr>
          <w:rFonts w:hAnsi="宋体"/>
          <w:color w:val="auto"/>
          <w:sz w:val="21"/>
          <w:highlight w:val="none"/>
        </w:rPr>
        <w:t>详见</w:t>
      </w:r>
      <w:r>
        <w:rPr>
          <w:rFonts w:hint="eastAsia" w:hAnsi="宋体"/>
          <w:color w:val="auto"/>
          <w:sz w:val="21"/>
          <w:highlight w:val="none"/>
        </w:rPr>
        <w:t>“投标人须知前附表”。</w:t>
      </w:r>
    </w:p>
    <w:p w14:paraId="797AE4D1">
      <w:pPr>
        <w:pStyle w:val="26"/>
        <w:spacing w:line="360" w:lineRule="auto"/>
        <w:ind w:firstLine="420"/>
        <w:rPr>
          <w:rFonts w:hAnsi="宋体" w:cs="宋体"/>
          <w:color w:val="auto"/>
          <w:sz w:val="21"/>
          <w:highlight w:val="none"/>
        </w:rPr>
      </w:pPr>
      <w:r>
        <w:rPr>
          <w:rFonts w:hint="eastAsia" w:hAnsi="宋体"/>
          <w:color w:val="auto"/>
          <w:sz w:val="21"/>
          <w:highlight w:val="none"/>
        </w:rPr>
        <w:t>2</w:t>
      </w:r>
      <w:r>
        <w:rPr>
          <w:rFonts w:hAnsi="宋体"/>
          <w:color w:val="auto"/>
          <w:sz w:val="21"/>
          <w:highlight w:val="none"/>
        </w:rPr>
        <w:t>9.3</w:t>
      </w:r>
      <w:r>
        <w:rPr>
          <w:rFonts w:hAnsi="宋体" w:cs="宋体"/>
          <w:color w:val="auto"/>
          <w:sz w:val="21"/>
          <w:highlight w:val="none"/>
        </w:rPr>
        <w:t xml:space="preserve"> </w:t>
      </w:r>
      <w:r>
        <w:rPr>
          <w:rFonts w:hAnsi="宋体"/>
          <w:color w:val="auto"/>
          <w:sz w:val="21"/>
          <w:highlight w:val="none"/>
        </w:rPr>
        <w:t>中标候选人推荐数量详见</w:t>
      </w:r>
      <w:r>
        <w:rPr>
          <w:rFonts w:hint="eastAsia" w:hAnsi="宋体"/>
          <w:color w:val="auto"/>
          <w:sz w:val="21"/>
          <w:highlight w:val="none"/>
        </w:rPr>
        <w:t>“投标人须知前附表”。</w:t>
      </w:r>
    </w:p>
    <w:p w14:paraId="7AA928F9">
      <w:pPr>
        <w:spacing w:line="360" w:lineRule="auto"/>
        <w:ind w:firstLine="420"/>
        <w:rPr>
          <w:rFonts w:hAnsi="宋体"/>
          <w:color w:val="auto"/>
          <w:szCs w:val="21"/>
          <w:highlight w:val="none"/>
        </w:rPr>
      </w:pPr>
      <w:r>
        <w:rPr>
          <w:rFonts w:hint="eastAsia" w:hAnsi="宋体"/>
          <w:color w:val="auto"/>
          <w:szCs w:val="21"/>
          <w:highlight w:val="none"/>
        </w:rPr>
        <w:t>29.</w:t>
      </w:r>
      <w:r>
        <w:rPr>
          <w:rFonts w:hAnsi="宋体"/>
          <w:color w:val="auto"/>
          <w:szCs w:val="21"/>
          <w:highlight w:val="none"/>
        </w:rPr>
        <w:t>4</w:t>
      </w:r>
      <w:r>
        <w:rPr>
          <w:rFonts w:hint="eastAsia" w:hAnsi="宋体"/>
          <w:color w:val="auto"/>
          <w:szCs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4695CCD2">
      <w:pPr>
        <w:spacing w:line="360" w:lineRule="auto"/>
        <w:ind w:firstLine="420"/>
        <w:rPr>
          <w:rFonts w:hAnsi="宋体"/>
          <w:color w:val="auto"/>
          <w:szCs w:val="21"/>
          <w:highlight w:val="none"/>
        </w:rPr>
      </w:pPr>
      <w:r>
        <w:rPr>
          <w:rFonts w:hint="eastAsia" w:hAnsi="宋体"/>
          <w:color w:val="auto"/>
          <w:szCs w:val="21"/>
          <w:highlight w:val="none"/>
        </w:rPr>
        <w:t xml:space="preserve">（1）电子交易平台发生故障而无法登录访问的； </w:t>
      </w:r>
    </w:p>
    <w:p w14:paraId="7BDF7192">
      <w:pPr>
        <w:spacing w:line="360" w:lineRule="auto"/>
        <w:ind w:firstLine="420"/>
        <w:rPr>
          <w:rFonts w:hAnsi="宋体"/>
          <w:color w:val="auto"/>
          <w:szCs w:val="21"/>
          <w:highlight w:val="none"/>
        </w:rPr>
      </w:pPr>
      <w:r>
        <w:rPr>
          <w:rFonts w:hint="eastAsia" w:hAnsi="宋体"/>
          <w:color w:val="auto"/>
          <w:szCs w:val="21"/>
          <w:highlight w:val="none"/>
        </w:rPr>
        <w:t>（2）电子交易平台应用或数据库出现错误，不能进行正常操作的；</w:t>
      </w:r>
    </w:p>
    <w:p w14:paraId="4614F3B6">
      <w:pPr>
        <w:spacing w:line="360" w:lineRule="auto"/>
        <w:ind w:firstLine="420"/>
        <w:rPr>
          <w:rFonts w:hAnsi="宋体"/>
          <w:color w:val="auto"/>
          <w:szCs w:val="21"/>
          <w:highlight w:val="none"/>
        </w:rPr>
      </w:pPr>
      <w:r>
        <w:rPr>
          <w:rFonts w:hint="eastAsia" w:hAnsi="宋体"/>
          <w:color w:val="auto"/>
          <w:szCs w:val="21"/>
          <w:highlight w:val="none"/>
        </w:rPr>
        <w:t>（3）电子交易平台发现严重安全漏洞，有潜在泄密危险的；</w:t>
      </w:r>
    </w:p>
    <w:p w14:paraId="2CD668C2">
      <w:pPr>
        <w:spacing w:line="360" w:lineRule="auto"/>
        <w:ind w:firstLine="420"/>
        <w:rPr>
          <w:rFonts w:hAnsi="宋体"/>
          <w:color w:val="auto"/>
          <w:szCs w:val="21"/>
          <w:highlight w:val="none"/>
        </w:rPr>
      </w:pPr>
      <w:r>
        <w:rPr>
          <w:rFonts w:hint="eastAsia" w:hAnsi="宋体"/>
          <w:color w:val="auto"/>
          <w:szCs w:val="21"/>
          <w:highlight w:val="none"/>
        </w:rPr>
        <w:t xml:space="preserve">（4）病毒发作导致不能进行正常操作的； </w:t>
      </w:r>
    </w:p>
    <w:p w14:paraId="387D9393">
      <w:pPr>
        <w:spacing w:line="360" w:lineRule="auto"/>
        <w:ind w:firstLine="420"/>
        <w:rPr>
          <w:rFonts w:hAnsi="宋体"/>
          <w:color w:val="auto"/>
          <w:szCs w:val="21"/>
          <w:highlight w:val="none"/>
        </w:rPr>
      </w:pPr>
      <w:r>
        <w:rPr>
          <w:rFonts w:hint="eastAsia" w:hAnsi="宋体"/>
          <w:color w:val="auto"/>
          <w:szCs w:val="21"/>
          <w:highlight w:val="none"/>
        </w:rPr>
        <w:t>（5）其他无法保证电子交易的公平、公正和安全的情况。</w:t>
      </w:r>
    </w:p>
    <w:p w14:paraId="4493319D">
      <w:pPr>
        <w:spacing w:line="360" w:lineRule="auto"/>
        <w:ind w:firstLine="420"/>
        <w:rPr>
          <w:rFonts w:hAnsi="宋体"/>
          <w:color w:val="auto"/>
          <w:szCs w:val="21"/>
          <w:highlight w:val="none"/>
        </w:rPr>
      </w:pPr>
      <w:r>
        <w:rPr>
          <w:rFonts w:hint="eastAsia" w:hAnsi="宋体"/>
          <w:color w:val="auto"/>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DE32B40">
      <w:pPr>
        <w:spacing w:line="360" w:lineRule="auto"/>
        <w:ind w:firstLine="420"/>
        <w:rPr>
          <w:rFonts w:ascii="宋体" w:hAnsi="宋体"/>
          <w:color w:val="auto"/>
          <w:szCs w:val="21"/>
          <w:highlight w:val="none"/>
        </w:rPr>
      </w:pPr>
      <w:r>
        <w:rPr>
          <w:rFonts w:hint="eastAsia" w:ascii="宋体" w:hAnsi="宋体"/>
          <w:color w:val="auto"/>
          <w:szCs w:val="21"/>
          <w:highlight w:val="none"/>
        </w:rPr>
        <w:t>29.5出现下列情形之一的，应予废标：</w:t>
      </w:r>
    </w:p>
    <w:p w14:paraId="6EFF2092">
      <w:pPr>
        <w:spacing w:line="360" w:lineRule="auto"/>
        <w:ind w:firstLine="420"/>
        <w:rPr>
          <w:rFonts w:ascii="宋体" w:hAnsi="宋体"/>
          <w:color w:val="auto"/>
          <w:szCs w:val="21"/>
          <w:highlight w:val="none"/>
        </w:rPr>
      </w:pPr>
      <w:r>
        <w:rPr>
          <w:rFonts w:hint="eastAsia" w:ascii="宋体" w:hAnsi="宋体"/>
          <w:color w:val="auto"/>
          <w:szCs w:val="21"/>
          <w:highlight w:val="none"/>
        </w:rPr>
        <w:t>（1）符合专业条件的供应商或者对招标文件作实质响应的供应商不足三家的；</w:t>
      </w:r>
    </w:p>
    <w:p w14:paraId="4C917793">
      <w:pPr>
        <w:spacing w:line="360" w:lineRule="auto"/>
        <w:ind w:firstLine="420"/>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03A52A08">
      <w:pPr>
        <w:spacing w:line="360" w:lineRule="auto"/>
        <w:ind w:firstLine="420"/>
        <w:rPr>
          <w:rFonts w:ascii="宋体" w:hAnsi="宋体"/>
          <w:color w:val="auto"/>
          <w:szCs w:val="21"/>
          <w:highlight w:val="none"/>
        </w:rPr>
      </w:pPr>
      <w:r>
        <w:rPr>
          <w:rFonts w:hint="eastAsia" w:ascii="宋体" w:hAnsi="宋体"/>
          <w:color w:val="auto"/>
          <w:szCs w:val="21"/>
          <w:highlight w:val="none"/>
        </w:rPr>
        <w:t>（3）投标人的报价均超过了采购预算，采购人不能支付的；</w:t>
      </w:r>
    </w:p>
    <w:p w14:paraId="724A3066">
      <w:pPr>
        <w:spacing w:line="360" w:lineRule="auto"/>
        <w:ind w:firstLine="420"/>
        <w:rPr>
          <w:rFonts w:ascii="宋体" w:hAnsi="宋体"/>
          <w:color w:val="auto"/>
          <w:szCs w:val="21"/>
          <w:highlight w:val="none"/>
        </w:rPr>
      </w:pPr>
      <w:r>
        <w:rPr>
          <w:rFonts w:hint="eastAsia" w:ascii="宋体" w:hAnsi="宋体"/>
          <w:color w:val="auto"/>
          <w:szCs w:val="21"/>
          <w:highlight w:val="none"/>
        </w:rPr>
        <w:t>（4）因重大变故，采购任务取消的。</w:t>
      </w:r>
    </w:p>
    <w:p w14:paraId="232F9B70">
      <w:pPr>
        <w:spacing w:line="360" w:lineRule="auto"/>
        <w:ind w:firstLine="420"/>
        <w:rPr>
          <w:rFonts w:ascii="宋体" w:hAnsi="宋体"/>
          <w:color w:val="auto"/>
          <w:szCs w:val="21"/>
          <w:highlight w:val="none"/>
        </w:rPr>
      </w:pPr>
      <w:r>
        <w:rPr>
          <w:rFonts w:hint="eastAsia" w:ascii="宋体" w:hAnsi="宋体"/>
          <w:color w:val="auto"/>
          <w:szCs w:val="21"/>
          <w:highlight w:val="none"/>
        </w:rPr>
        <w:t>废标后，采购人应当将废标理由通知所有投标人。</w:t>
      </w:r>
    </w:p>
    <w:p w14:paraId="746ADE31">
      <w:pPr>
        <w:pStyle w:val="26"/>
        <w:spacing w:line="360" w:lineRule="auto"/>
        <w:rPr>
          <w:rFonts w:hAnsi="宋体"/>
          <w:color w:val="auto"/>
          <w:sz w:val="21"/>
          <w:highlight w:val="none"/>
        </w:rPr>
      </w:pPr>
    </w:p>
    <w:p w14:paraId="42DAFB15">
      <w:pPr>
        <w:pStyle w:val="4"/>
        <w:keepNext w:val="0"/>
        <w:keepLines w:val="0"/>
        <w:jc w:val="center"/>
        <w:rPr>
          <w:color w:val="auto"/>
          <w:highlight w:val="none"/>
        </w:rPr>
      </w:pPr>
      <w:bookmarkStart w:id="145" w:name="_Toc254970546"/>
      <w:bookmarkStart w:id="146" w:name="_Toc254970687"/>
      <w:r>
        <w:rPr>
          <w:rFonts w:hint="eastAsia"/>
          <w:color w:val="auto"/>
          <w:highlight w:val="none"/>
        </w:rPr>
        <w:t>七、</w:t>
      </w:r>
      <w:bookmarkEnd w:id="145"/>
      <w:bookmarkEnd w:id="146"/>
      <w:r>
        <w:rPr>
          <w:rFonts w:hint="eastAsia"/>
          <w:color w:val="auto"/>
          <w:highlight w:val="none"/>
        </w:rPr>
        <w:t>中标和合同</w:t>
      </w:r>
    </w:p>
    <w:p w14:paraId="65DF2314">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30</w:t>
      </w:r>
      <w:r>
        <w:rPr>
          <w:rFonts w:ascii="黑体" w:hAnsi="黑体" w:eastAsia="黑体"/>
          <w:color w:val="auto"/>
          <w:sz w:val="24"/>
          <w:highlight w:val="none"/>
        </w:rPr>
        <w:t xml:space="preserve"> </w:t>
      </w:r>
      <w:r>
        <w:rPr>
          <w:rFonts w:hint="eastAsia" w:ascii="黑体" w:hAnsi="黑体" w:eastAsia="黑体"/>
          <w:color w:val="auto"/>
          <w:sz w:val="24"/>
          <w:highlight w:val="none"/>
        </w:rPr>
        <w:t>.确定中标供应商</w:t>
      </w:r>
    </w:p>
    <w:p w14:paraId="3C5196EC">
      <w:pPr>
        <w:pStyle w:val="6"/>
        <w:keepNext w:val="0"/>
        <w:keepLines w:val="0"/>
        <w:spacing w:before="0" w:after="0" w:line="360" w:lineRule="auto"/>
        <w:ind w:firstLine="420"/>
        <w:rPr>
          <w:rFonts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2117C1B7">
      <w:pPr>
        <w:spacing w:line="360" w:lineRule="auto"/>
        <w:ind w:firstLine="420"/>
        <w:rPr>
          <w:rFonts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采购人在收到评标报告5个工作日内未按评标报告推荐的中标候选人顺序确定中标供应商，又不能说明合法理由的，视同按评标报告推荐的顺序确定排名第一的中标候选人为中标供应商。</w:t>
      </w:r>
    </w:p>
    <w:p w14:paraId="276F4520">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31. 结果公告</w:t>
      </w:r>
    </w:p>
    <w:p w14:paraId="72BBA694">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供应商确定之日起2个工作日内，在省级以上财政部门指定的媒体上公告中标结果，招标文件应当随中标结果同时公告。采购人或者采购代理发出中标通知书前，应当对中标供应商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23F26052">
      <w:pPr>
        <w:spacing w:line="360" w:lineRule="auto"/>
        <w:ind w:firstLine="420"/>
        <w:rPr>
          <w:rFonts w:ascii="宋体" w:hAnsi="宋体"/>
          <w:color w:val="auto"/>
          <w:szCs w:val="21"/>
          <w:highlight w:val="none"/>
        </w:rPr>
      </w:pPr>
      <w:r>
        <w:rPr>
          <w:rFonts w:hint="eastAsia" w:ascii="宋体" w:hAnsi="宋体"/>
          <w:color w:val="auto"/>
          <w:szCs w:val="21"/>
          <w:highlight w:val="none"/>
        </w:rPr>
        <w:t>以上信息查询记录及相关证据与招标文件一并保存。</w:t>
      </w:r>
    </w:p>
    <w:p w14:paraId="2465FAA4">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774D18AD">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1.3</w:t>
      </w:r>
      <w:r>
        <w:rPr>
          <w:rFonts w:hint="eastAsia" w:ascii="宋体" w:hAnsi="宋体"/>
          <w:b w:val="0"/>
          <w:color w:val="auto"/>
          <w:sz w:val="21"/>
          <w:szCs w:val="21"/>
          <w:highlight w:val="none"/>
        </w:rPr>
        <w:t>采购人、采购代理机构应当随中标结果公开中标供应商的《关于符合本国产品标准的声明函》或有关证明文件。</w:t>
      </w:r>
    </w:p>
    <w:p w14:paraId="63B8A067">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3CEE7D7D">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 xml:space="preserve">   </w:t>
      </w:r>
      <w:r>
        <w:rPr>
          <w:rFonts w:hint="eastAsia" w:ascii="宋体" w:hAnsi="宋体"/>
          <w:b w:val="0"/>
          <w:color w:val="auto"/>
          <w:sz w:val="21"/>
          <w:szCs w:val="21"/>
          <w:highlight w:val="none"/>
        </w:rPr>
        <w:t>在发布中标公告的同时，采购代理机构向中标供应商通过广西政府采购云平台发出电子中标通知书。对未通过资格审查的投标人，应当告知其未通过的原因；采用综合评分办法评审的，还应当告知未中标供应商本人的评审得分与排序。</w:t>
      </w:r>
    </w:p>
    <w:p w14:paraId="2450F7BC">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513C9A2C">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1CF370A3">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34.合同授予标准</w:t>
      </w:r>
    </w:p>
    <w:p w14:paraId="4234F136">
      <w:pPr>
        <w:spacing w:line="360" w:lineRule="auto"/>
        <w:ind w:firstLine="420"/>
        <w:rPr>
          <w:rFonts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合同将授予被确定实质上响应招标文件要求，具备履行合同能力的中标供应商。</w:t>
      </w:r>
    </w:p>
    <w:p w14:paraId="04166FD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35.履约保证金</w:t>
      </w:r>
    </w:p>
    <w:p w14:paraId="6BCD9964">
      <w:pPr>
        <w:pStyle w:val="6"/>
        <w:keepNext w:val="0"/>
        <w:keepLines w:val="0"/>
        <w:spacing w:before="0" w:after="0" w:line="360" w:lineRule="auto"/>
        <w:ind w:firstLine="315"/>
        <w:rPr>
          <w:rFonts w:ascii="宋体" w:hAnsi="宋体"/>
          <w:b w:val="0"/>
          <w:color w:val="auto"/>
          <w:sz w:val="21"/>
          <w:szCs w:val="21"/>
          <w:highlight w:val="none"/>
        </w:rPr>
      </w:pPr>
      <w:bookmarkStart w:id="147" w:name="_39.1中标人须于签订合同前按本须知前附表规定的金额转账或电汇到指定账"/>
      <w:bookmarkEnd w:id="147"/>
      <w:r>
        <w:rPr>
          <w:rFonts w:ascii="宋体" w:hAnsi="宋体"/>
          <w:b w:val="0"/>
          <w:color w:val="auto"/>
          <w:sz w:val="21"/>
          <w:szCs w:val="21"/>
          <w:highlight w:val="none"/>
        </w:rPr>
        <w:t xml:space="preserve"> </w:t>
      </w: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履约保证金的金额、提交方式、缴纳期限、退付的时间和条件详见 “投标人须知前附表”。中标供应商未按规定提交履约保证金的，视为拒绝与采购人签订合同。</w:t>
      </w:r>
    </w:p>
    <w:p w14:paraId="49828F0F">
      <w:pPr>
        <w:pStyle w:val="6"/>
        <w:keepNext w:val="0"/>
        <w:keepLines w:val="0"/>
        <w:spacing w:before="0" w:after="0" w:line="360" w:lineRule="auto"/>
        <w:ind w:firstLine="316"/>
        <w:rPr>
          <w:rFonts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b w:val="0"/>
          <w:bCs/>
          <w:color w:val="auto"/>
          <w:sz w:val="21"/>
          <w:szCs w:val="21"/>
          <w:highlight w:val="none"/>
        </w:rPr>
        <w:t>35.2在履约保证金退还日期前，若中标供应商的开户名称、开户银行、账号有变动的，请以书面形式通知履约保证金收取单位，否则由此产生的后果由中标供应商自行承担。</w:t>
      </w:r>
    </w:p>
    <w:p w14:paraId="30B7047F">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36.签订合同</w:t>
      </w:r>
    </w:p>
    <w:p w14:paraId="78345200">
      <w:pPr>
        <w:pStyle w:val="6"/>
        <w:keepNext w:val="0"/>
        <w:keepLines w:val="0"/>
        <w:spacing w:before="0" w:after="0" w:line="360" w:lineRule="auto"/>
        <w:ind w:firstLine="315"/>
        <w:rPr>
          <w:rFonts w:ascii="宋体" w:hAnsi="宋体"/>
          <w:b w:val="0"/>
          <w:color w:val="auto"/>
          <w:sz w:val="21"/>
          <w:szCs w:val="21"/>
          <w:highlight w:val="none"/>
        </w:rPr>
      </w:pPr>
      <w:bookmarkStart w:id="148" w:name="_40.1投标人接到中标通知书后，按须知前附表规定向采购人出示相关资格证"/>
      <w:bookmarkEnd w:id="148"/>
      <w:r>
        <w:rPr>
          <w:rFonts w:hint="eastAsia" w:ascii="宋体" w:hAnsi="宋体"/>
          <w:b w:val="0"/>
          <w:color w:val="auto"/>
          <w:sz w:val="21"/>
          <w:szCs w:val="21"/>
          <w:highlight w:val="none"/>
        </w:rPr>
        <w:t xml:space="preserve"> </w:t>
      </w:r>
      <w:r>
        <w:rPr>
          <w:rFonts w:hint="eastAsia" w:ascii="宋体" w:hAnsi="宋体"/>
          <w:color w:val="auto"/>
          <w:sz w:val="21"/>
          <w:szCs w:val="21"/>
          <w:highlight w:val="none"/>
        </w:rPr>
        <w:t>36.1签订电子采购合同：中标供应商领取电子中标通知书后，在</w:t>
      </w:r>
      <w:r>
        <w:rPr>
          <w:rFonts w:hint="eastAsia" w:ascii="宋体" w:hAnsi="宋体"/>
          <w:color w:val="auto"/>
          <w:sz w:val="21"/>
          <w:szCs w:val="21"/>
          <w:highlight w:val="none"/>
          <w:lang w:val="zh-CN"/>
        </w:rPr>
        <w:t>规定的日期、时间、地点，由法定代表人或其授权代表与采购人代表签订电子采购合同。如中标供应商为联合体的，由联合体成员各方法定代表人或其授权代表与采购人代表签订合同。</w:t>
      </w:r>
    </w:p>
    <w:p w14:paraId="0A3AD05A">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0D57B409">
      <w:pPr>
        <w:pStyle w:val="6"/>
        <w:keepNext w:val="0"/>
        <w:keepLines w:val="0"/>
        <w:numPr>
          <w:ilvl w:val="0"/>
          <w:numId w:val="0"/>
        </w:numPr>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78A27E9B">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CDFE923">
      <w:pPr>
        <w:spacing w:line="360" w:lineRule="auto"/>
        <w:ind w:firstLine="420"/>
        <w:rPr>
          <w:rFonts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4FF9BB1">
      <w:pPr>
        <w:spacing w:line="360" w:lineRule="auto"/>
        <w:ind w:firstLine="420"/>
        <w:rPr>
          <w:rFonts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5D047CB6">
      <w:pPr>
        <w:spacing w:line="360" w:lineRule="auto"/>
        <w:ind w:firstLine="420"/>
        <w:rPr>
          <w:rFonts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103140CA">
      <w:pPr>
        <w:spacing w:line="360" w:lineRule="auto"/>
        <w:ind w:firstLine="420"/>
        <w:rPr>
          <w:rFonts w:ascii="宋体" w:hAnsi="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4C8F43B9">
      <w:pPr>
        <w:pStyle w:val="6"/>
        <w:keepNext w:val="0"/>
        <w:keepLines w:val="0"/>
        <w:spacing w:before="0" w:after="0" w:line="360" w:lineRule="auto"/>
        <w:ind w:left="420"/>
        <w:rPr>
          <w:rFonts w:ascii="黑体" w:hAnsi="黑体" w:eastAsia="黑体"/>
          <w:color w:val="auto"/>
          <w:sz w:val="24"/>
          <w:highlight w:val="none"/>
        </w:rPr>
      </w:pPr>
      <w:bookmarkStart w:id="149" w:name="_41.政府采购合同公告"/>
      <w:bookmarkEnd w:id="149"/>
      <w:r>
        <w:rPr>
          <w:rFonts w:hint="eastAsia" w:ascii="黑体" w:hAnsi="黑体" w:eastAsia="黑体"/>
          <w:color w:val="auto"/>
          <w:sz w:val="24"/>
          <w:highlight w:val="none"/>
        </w:rPr>
        <w:t>37.政府采购合同公告</w:t>
      </w:r>
    </w:p>
    <w:p w14:paraId="2F25EED8">
      <w:pPr>
        <w:pStyle w:val="26"/>
        <w:spacing w:line="360" w:lineRule="auto"/>
        <w:ind w:firstLine="420"/>
        <w:rPr>
          <w:rFonts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5D4897C1">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44F2A54C">
      <w:pPr>
        <w:pStyle w:val="7"/>
        <w:spacing w:line="360" w:lineRule="auto"/>
        <w:rPr>
          <w:rFonts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2BBC3AD0">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6F290E1C">
      <w:pPr>
        <w:pStyle w:val="26"/>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150F2C21">
      <w:pPr>
        <w:pStyle w:val="26"/>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021CAD75">
      <w:pPr>
        <w:pStyle w:val="26"/>
        <w:spacing w:line="360" w:lineRule="auto"/>
        <w:ind w:firstLine="420"/>
        <w:rPr>
          <w:rFonts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21370F36">
      <w:pPr>
        <w:pStyle w:val="6"/>
        <w:keepNext w:val="0"/>
        <w:keepLines w:val="0"/>
        <w:spacing w:before="0" w:after="0" w:line="360" w:lineRule="auto"/>
        <w:ind w:firstLine="315"/>
        <w:rPr>
          <w:rFonts w:ascii="宋体" w:hAnsi="宋体"/>
          <w:b w:val="0"/>
          <w:color w:val="auto"/>
          <w:sz w:val="21"/>
          <w:szCs w:val="21"/>
          <w:highlight w:val="none"/>
        </w:rPr>
      </w:pP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584F5CD1">
      <w:pPr>
        <w:pStyle w:val="26"/>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77A8925E">
      <w:pPr>
        <w:pStyle w:val="26"/>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19041530">
      <w:pPr>
        <w:pStyle w:val="26"/>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4CADA1C9">
      <w:pPr>
        <w:pStyle w:val="26"/>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3C248392">
      <w:pPr>
        <w:pStyle w:val="26"/>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5FD852ED">
      <w:pPr>
        <w:pStyle w:val="26"/>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08F2349A">
      <w:pPr>
        <w:pStyle w:val="26"/>
        <w:spacing w:line="360" w:lineRule="auto"/>
        <w:ind w:firstLine="420"/>
        <w:rPr>
          <w:rFonts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4ED8BE01">
      <w:pPr>
        <w:pStyle w:val="6"/>
        <w:keepNext w:val="0"/>
        <w:keepLines w:val="0"/>
        <w:spacing w:before="0" w:after="0" w:line="360" w:lineRule="auto"/>
        <w:ind w:firstLine="420"/>
        <w:rPr>
          <w:rFonts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6BFDFFD5">
      <w:pPr>
        <w:pStyle w:val="26"/>
        <w:spacing w:line="360" w:lineRule="auto"/>
        <w:rPr>
          <w:rFonts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0A4C758F">
      <w:pPr>
        <w:pStyle w:val="26"/>
        <w:spacing w:line="360" w:lineRule="auto"/>
        <w:rPr>
          <w:rFonts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3246A712">
      <w:pPr>
        <w:pStyle w:val="26"/>
        <w:spacing w:line="360" w:lineRule="auto"/>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5B843940">
      <w:pPr>
        <w:pStyle w:val="26"/>
        <w:spacing w:line="360" w:lineRule="auto"/>
        <w:ind w:firstLine="420"/>
        <w:rPr>
          <w:rFonts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A9532AC">
      <w:pPr>
        <w:pStyle w:val="4"/>
        <w:keepNext w:val="0"/>
        <w:keepLines w:val="0"/>
        <w:jc w:val="center"/>
        <w:rPr>
          <w:color w:val="auto"/>
          <w:highlight w:val="none"/>
        </w:rPr>
      </w:pPr>
      <w:r>
        <w:rPr>
          <w:rFonts w:hint="eastAsia"/>
          <w:color w:val="auto"/>
          <w:highlight w:val="none"/>
        </w:rPr>
        <w:t>八、其他事项</w:t>
      </w:r>
    </w:p>
    <w:p w14:paraId="48C5FC4D">
      <w:pPr>
        <w:pStyle w:val="6"/>
        <w:keepNext w:val="0"/>
        <w:keepLines w:val="0"/>
        <w:spacing w:before="0" w:after="0" w:line="360" w:lineRule="auto"/>
        <w:ind w:left="420"/>
        <w:rPr>
          <w:rFonts w:ascii="黑体" w:hAnsi="黑体" w:eastAsia="黑体"/>
          <w:color w:val="auto"/>
          <w:sz w:val="24"/>
          <w:highlight w:val="none"/>
        </w:rPr>
      </w:pPr>
      <w:bookmarkStart w:id="150" w:name="_42.代理服务费"/>
      <w:bookmarkEnd w:id="150"/>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.采购代理费</w:t>
      </w:r>
    </w:p>
    <w:p w14:paraId="6E6CEDB6">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.1采购代理费收取标准及缴费账户详见“投标人须知前附表”，投标人为联合体的，可以由联合体中的一方或者多方共同交纳采购代理费。</w:t>
      </w:r>
    </w:p>
    <w:p w14:paraId="63E853DB">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.2采购代理费收费标准：</w:t>
      </w:r>
    </w:p>
    <w:p w14:paraId="62E5D265">
      <w:pPr>
        <w:spacing w:line="360" w:lineRule="auto"/>
        <w:rPr>
          <w:rFonts w:ascii="宋体" w:hAnsi="宋体"/>
          <w:color w:val="auto"/>
          <w:szCs w:val="21"/>
          <w:highlight w:val="none"/>
        </w:rPr>
      </w:pPr>
    </w:p>
    <w:tbl>
      <w:tblPr>
        <w:tblStyle w:val="52"/>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2635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5C564BA">
            <w:pPr>
              <w:spacing w:line="360" w:lineRule="auto"/>
              <w:rPr>
                <w:rFonts w:ascii="宋体" w:hAnsi="宋体"/>
                <w:color w:val="auto"/>
                <w:szCs w:val="21"/>
                <w:highlight w:val="none"/>
              </w:rPr>
            </w:pPr>
            <w:r>
              <w:rPr>
                <w:rFonts w:hint="eastAsia" w:ascii="宋体" w:hAnsi="宋体"/>
                <w:color w:val="auto"/>
                <w:szCs w:val="21"/>
                <w:highlight w:val="none"/>
              </w:rPr>
              <w:t xml:space="preserve">               费率</w:t>
            </w:r>
          </w:p>
          <w:p w14:paraId="20B60CF6">
            <w:pPr>
              <w:spacing w:line="360" w:lineRule="auto"/>
              <w:rPr>
                <w:rFonts w:ascii="宋体" w:hAnsi="宋体"/>
                <w:color w:val="auto"/>
                <w:szCs w:val="21"/>
                <w:highlight w:val="none"/>
              </w:rPr>
            </w:pPr>
            <w:r>
              <w:rPr>
                <w:rFonts w:hint="eastAsia" w:ascii="宋体" w:hAnsi="宋体"/>
                <w:color w:val="auto"/>
                <w:szCs w:val="21"/>
                <w:highlight w:val="none"/>
              </w:rPr>
              <w:t>中标金额</w:t>
            </w:r>
          </w:p>
        </w:tc>
        <w:tc>
          <w:tcPr>
            <w:tcW w:w="1659" w:type="dxa"/>
            <w:tcBorders>
              <w:top w:val="single" w:color="auto" w:sz="4" w:space="0"/>
              <w:left w:val="single" w:color="auto" w:sz="4" w:space="0"/>
              <w:bottom w:val="single" w:color="auto" w:sz="4" w:space="0"/>
              <w:right w:val="single" w:color="auto" w:sz="4" w:space="0"/>
            </w:tcBorders>
            <w:vAlign w:val="center"/>
          </w:tcPr>
          <w:p w14:paraId="031C0799">
            <w:pPr>
              <w:spacing w:line="360" w:lineRule="auto"/>
              <w:ind w:firstLine="105"/>
              <w:jc w:val="center"/>
              <w:rPr>
                <w:rFonts w:ascii="宋体" w:hAnsi="宋体"/>
                <w:color w:val="auto"/>
                <w:szCs w:val="21"/>
                <w:highlight w:val="none"/>
              </w:rPr>
            </w:pPr>
            <w:r>
              <w:rPr>
                <w:rFonts w:hint="eastAsia" w:ascii="宋体" w:hAnsi="宋体"/>
                <w:color w:val="auto"/>
                <w:szCs w:val="21"/>
                <w:highlight w:val="none"/>
              </w:rPr>
              <w:t>货物招标</w:t>
            </w:r>
          </w:p>
        </w:tc>
        <w:tc>
          <w:tcPr>
            <w:tcW w:w="1687" w:type="dxa"/>
            <w:tcBorders>
              <w:top w:val="single" w:color="auto" w:sz="4" w:space="0"/>
              <w:left w:val="single" w:color="auto" w:sz="4" w:space="0"/>
              <w:bottom w:val="single" w:color="auto" w:sz="4" w:space="0"/>
              <w:right w:val="single" w:color="auto" w:sz="4" w:space="0"/>
            </w:tcBorders>
            <w:vAlign w:val="center"/>
          </w:tcPr>
          <w:p w14:paraId="655C1DF8">
            <w:pPr>
              <w:spacing w:line="360" w:lineRule="auto"/>
              <w:jc w:val="center"/>
              <w:rPr>
                <w:rFonts w:ascii="宋体" w:hAnsi="宋体"/>
                <w:color w:val="auto"/>
                <w:szCs w:val="21"/>
                <w:highlight w:val="none"/>
              </w:rPr>
            </w:pPr>
            <w:r>
              <w:rPr>
                <w:rFonts w:hint="eastAsia" w:ascii="宋体" w:hAnsi="宋体"/>
                <w:color w:val="auto"/>
                <w:szCs w:val="21"/>
                <w:highlight w:val="none"/>
              </w:rPr>
              <w:t>服务招标</w:t>
            </w:r>
          </w:p>
        </w:tc>
        <w:tc>
          <w:tcPr>
            <w:tcW w:w="1659" w:type="dxa"/>
            <w:tcBorders>
              <w:top w:val="single" w:color="auto" w:sz="4" w:space="0"/>
              <w:left w:val="single" w:color="auto" w:sz="4" w:space="0"/>
              <w:bottom w:val="single" w:color="auto" w:sz="4" w:space="0"/>
              <w:right w:val="single" w:color="auto" w:sz="4" w:space="0"/>
            </w:tcBorders>
            <w:vAlign w:val="center"/>
          </w:tcPr>
          <w:p w14:paraId="19F6A570">
            <w:pPr>
              <w:spacing w:line="360" w:lineRule="auto"/>
              <w:jc w:val="center"/>
              <w:rPr>
                <w:rFonts w:ascii="宋体" w:hAnsi="宋体"/>
                <w:color w:val="auto"/>
                <w:szCs w:val="21"/>
                <w:highlight w:val="none"/>
              </w:rPr>
            </w:pPr>
            <w:r>
              <w:rPr>
                <w:rFonts w:hint="eastAsia" w:ascii="宋体" w:hAnsi="宋体"/>
                <w:color w:val="auto"/>
                <w:szCs w:val="21"/>
                <w:highlight w:val="none"/>
              </w:rPr>
              <w:t>工程招标</w:t>
            </w:r>
          </w:p>
        </w:tc>
      </w:tr>
      <w:tr w14:paraId="1A44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F2A6211">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tcPr>
          <w:p w14:paraId="48012302">
            <w:pPr>
              <w:spacing w:line="360" w:lineRule="auto"/>
              <w:rPr>
                <w:rFonts w:ascii="宋体" w:hAnsi="宋体"/>
                <w:color w:val="auto"/>
                <w:szCs w:val="21"/>
                <w:highlight w:val="none"/>
              </w:rPr>
            </w:pPr>
            <w:r>
              <w:rPr>
                <w:rFonts w:hint="eastAsia" w:ascii="宋体" w:hAnsi="宋体" w:cs="宋体"/>
                <w:color w:val="auto"/>
                <w:szCs w:val="21"/>
                <w:highlight w:val="none"/>
              </w:rPr>
              <w:t xml:space="preserve">  1.5%                </w:t>
            </w:r>
          </w:p>
        </w:tc>
        <w:tc>
          <w:tcPr>
            <w:tcW w:w="1687" w:type="dxa"/>
            <w:tcBorders>
              <w:top w:val="single" w:color="auto" w:sz="4" w:space="0"/>
              <w:left w:val="single" w:color="auto" w:sz="4" w:space="0"/>
              <w:bottom w:val="single" w:color="auto" w:sz="4" w:space="0"/>
              <w:right w:val="single" w:color="auto" w:sz="4" w:space="0"/>
            </w:tcBorders>
          </w:tcPr>
          <w:p w14:paraId="6EA8CEE1">
            <w:pPr>
              <w:spacing w:line="360" w:lineRule="auto"/>
              <w:ind w:firstLine="210"/>
              <w:rPr>
                <w:rFonts w:ascii="宋体" w:hAnsi="宋体"/>
                <w:color w:val="auto"/>
                <w:szCs w:val="21"/>
                <w:highlight w:val="none"/>
              </w:rPr>
            </w:pPr>
            <w:r>
              <w:rPr>
                <w:rFonts w:hint="eastAsia" w:ascii="宋体" w:hAnsi="宋体" w:cs="宋体"/>
                <w:color w:val="auto"/>
                <w:szCs w:val="21"/>
                <w:highlight w:val="none"/>
              </w:rPr>
              <w:t>1.5%</w:t>
            </w:r>
          </w:p>
        </w:tc>
        <w:tc>
          <w:tcPr>
            <w:tcW w:w="1659" w:type="dxa"/>
            <w:tcBorders>
              <w:top w:val="single" w:color="auto" w:sz="4" w:space="0"/>
              <w:left w:val="single" w:color="auto" w:sz="4" w:space="0"/>
              <w:bottom w:val="single" w:color="auto" w:sz="4" w:space="0"/>
              <w:right w:val="single" w:color="auto" w:sz="4" w:space="0"/>
            </w:tcBorders>
          </w:tcPr>
          <w:p w14:paraId="5D156EB2">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1.0% </w:t>
            </w:r>
          </w:p>
        </w:tc>
      </w:tr>
      <w:tr w14:paraId="2476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0AE2F6E">
            <w:pPr>
              <w:spacing w:line="360" w:lineRule="auto"/>
              <w:rPr>
                <w:rFonts w:ascii="宋体" w:hAnsi="宋体"/>
                <w:color w:val="auto"/>
                <w:szCs w:val="21"/>
                <w:highlight w:val="none"/>
              </w:rPr>
            </w:pPr>
            <w:r>
              <w:rPr>
                <w:rFonts w:hint="eastAsia" w:ascii="宋体" w:hAnsi="宋体"/>
                <w:color w:val="auto"/>
                <w:szCs w:val="21"/>
                <w:highlight w:val="none"/>
              </w:rPr>
              <w:t>100万元～500万元</w:t>
            </w:r>
          </w:p>
        </w:tc>
        <w:tc>
          <w:tcPr>
            <w:tcW w:w="1659" w:type="dxa"/>
            <w:tcBorders>
              <w:top w:val="single" w:color="auto" w:sz="4" w:space="0"/>
              <w:left w:val="single" w:color="auto" w:sz="4" w:space="0"/>
              <w:bottom w:val="single" w:color="auto" w:sz="4" w:space="0"/>
              <w:right w:val="single" w:color="auto" w:sz="4" w:space="0"/>
            </w:tcBorders>
          </w:tcPr>
          <w:p w14:paraId="455E7889">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1.1%                 </w:t>
            </w:r>
          </w:p>
        </w:tc>
        <w:tc>
          <w:tcPr>
            <w:tcW w:w="1687" w:type="dxa"/>
            <w:tcBorders>
              <w:top w:val="single" w:color="auto" w:sz="4" w:space="0"/>
              <w:left w:val="single" w:color="auto" w:sz="4" w:space="0"/>
              <w:bottom w:val="single" w:color="auto" w:sz="4" w:space="0"/>
              <w:right w:val="single" w:color="auto" w:sz="4" w:space="0"/>
            </w:tcBorders>
          </w:tcPr>
          <w:p w14:paraId="5442F6FC">
            <w:pPr>
              <w:spacing w:line="360" w:lineRule="auto"/>
              <w:ind w:firstLine="210"/>
              <w:rPr>
                <w:rFonts w:ascii="宋体" w:hAnsi="宋体"/>
                <w:color w:val="auto"/>
                <w:szCs w:val="21"/>
                <w:highlight w:val="none"/>
              </w:rPr>
            </w:pPr>
            <w:r>
              <w:rPr>
                <w:rFonts w:hint="eastAsia" w:ascii="宋体" w:hAnsi="宋体" w:cs="宋体"/>
                <w:color w:val="auto"/>
                <w:szCs w:val="21"/>
                <w:highlight w:val="none"/>
              </w:rPr>
              <w:t>0.8%</w:t>
            </w:r>
          </w:p>
        </w:tc>
        <w:tc>
          <w:tcPr>
            <w:tcW w:w="1659" w:type="dxa"/>
            <w:tcBorders>
              <w:top w:val="single" w:color="auto" w:sz="4" w:space="0"/>
              <w:left w:val="single" w:color="auto" w:sz="4" w:space="0"/>
              <w:bottom w:val="single" w:color="auto" w:sz="4" w:space="0"/>
              <w:right w:val="single" w:color="auto" w:sz="4" w:space="0"/>
            </w:tcBorders>
          </w:tcPr>
          <w:p w14:paraId="280A0BDF">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0.7% </w:t>
            </w:r>
          </w:p>
        </w:tc>
      </w:tr>
      <w:tr w14:paraId="7551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6A3048C">
            <w:pPr>
              <w:spacing w:line="360" w:lineRule="auto"/>
              <w:rPr>
                <w:rFonts w:ascii="宋体" w:hAnsi="宋体"/>
                <w:color w:val="auto"/>
                <w:szCs w:val="21"/>
                <w:highlight w:val="none"/>
              </w:rPr>
            </w:pPr>
            <w:r>
              <w:rPr>
                <w:rFonts w:hint="eastAsia" w:ascii="宋体" w:hAnsi="宋体"/>
                <w:color w:val="auto"/>
                <w:szCs w:val="21"/>
                <w:highlight w:val="none"/>
              </w:rPr>
              <w:t>500万元～1000万元</w:t>
            </w:r>
          </w:p>
        </w:tc>
        <w:tc>
          <w:tcPr>
            <w:tcW w:w="1659" w:type="dxa"/>
            <w:tcBorders>
              <w:top w:val="single" w:color="auto" w:sz="4" w:space="0"/>
              <w:left w:val="single" w:color="auto" w:sz="4" w:space="0"/>
              <w:bottom w:val="single" w:color="auto" w:sz="4" w:space="0"/>
              <w:right w:val="single" w:color="auto" w:sz="4" w:space="0"/>
            </w:tcBorders>
          </w:tcPr>
          <w:p w14:paraId="16F26925">
            <w:pPr>
              <w:spacing w:line="360" w:lineRule="auto"/>
              <w:rPr>
                <w:rFonts w:ascii="宋体" w:hAnsi="宋体"/>
                <w:color w:val="auto"/>
                <w:szCs w:val="21"/>
                <w:highlight w:val="none"/>
              </w:rPr>
            </w:pPr>
            <w:r>
              <w:rPr>
                <w:rFonts w:hint="eastAsia" w:ascii="宋体" w:hAnsi="宋体" w:cs="宋体"/>
                <w:color w:val="auto"/>
                <w:szCs w:val="21"/>
                <w:highlight w:val="none"/>
              </w:rPr>
              <w:t xml:space="preserve">  0.8%                </w:t>
            </w:r>
          </w:p>
        </w:tc>
        <w:tc>
          <w:tcPr>
            <w:tcW w:w="1687" w:type="dxa"/>
            <w:tcBorders>
              <w:top w:val="single" w:color="auto" w:sz="4" w:space="0"/>
              <w:left w:val="single" w:color="auto" w:sz="4" w:space="0"/>
              <w:bottom w:val="single" w:color="auto" w:sz="4" w:space="0"/>
              <w:right w:val="single" w:color="auto" w:sz="4" w:space="0"/>
            </w:tcBorders>
          </w:tcPr>
          <w:p w14:paraId="6CB874B3">
            <w:pPr>
              <w:spacing w:line="360" w:lineRule="auto"/>
              <w:ind w:firstLine="210"/>
              <w:rPr>
                <w:rFonts w:ascii="宋体" w:hAnsi="宋体"/>
                <w:color w:val="auto"/>
                <w:szCs w:val="21"/>
                <w:highlight w:val="none"/>
              </w:rPr>
            </w:pPr>
            <w:r>
              <w:rPr>
                <w:rFonts w:hint="eastAsia" w:ascii="宋体" w:hAnsi="宋体" w:cs="宋体"/>
                <w:color w:val="auto"/>
                <w:szCs w:val="21"/>
                <w:highlight w:val="none"/>
              </w:rPr>
              <w:t>0.45%</w:t>
            </w:r>
          </w:p>
        </w:tc>
        <w:tc>
          <w:tcPr>
            <w:tcW w:w="1659" w:type="dxa"/>
            <w:tcBorders>
              <w:top w:val="single" w:color="auto" w:sz="4" w:space="0"/>
              <w:left w:val="single" w:color="auto" w:sz="4" w:space="0"/>
              <w:bottom w:val="single" w:color="auto" w:sz="4" w:space="0"/>
              <w:right w:val="single" w:color="auto" w:sz="4" w:space="0"/>
            </w:tcBorders>
          </w:tcPr>
          <w:p w14:paraId="7B61E312">
            <w:pPr>
              <w:spacing w:line="360" w:lineRule="auto"/>
              <w:ind w:firstLine="210"/>
              <w:rPr>
                <w:rFonts w:ascii="宋体" w:hAnsi="宋体"/>
                <w:color w:val="auto"/>
                <w:szCs w:val="21"/>
                <w:highlight w:val="none"/>
              </w:rPr>
            </w:pPr>
            <w:r>
              <w:rPr>
                <w:rFonts w:hint="eastAsia" w:ascii="宋体" w:hAnsi="宋体" w:cs="宋体"/>
                <w:color w:val="auto"/>
                <w:szCs w:val="21"/>
                <w:highlight w:val="none"/>
              </w:rPr>
              <w:t>0.55%</w:t>
            </w:r>
          </w:p>
        </w:tc>
      </w:tr>
      <w:tr w14:paraId="0CD6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553B46D">
            <w:pPr>
              <w:spacing w:line="360" w:lineRule="auto"/>
              <w:rPr>
                <w:rFonts w:ascii="宋体" w:hAnsi="宋体"/>
                <w:color w:val="auto"/>
                <w:szCs w:val="21"/>
                <w:highlight w:val="none"/>
              </w:rPr>
            </w:pPr>
            <w:r>
              <w:rPr>
                <w:rFonts w:hint="eastAsia" w:ascii="宋体" w:hAnsi="宋体"/>
                <w:color w:val="auto"/>
                <w:szCs w:val="21"/>
                <w:highlight w:val="none"/>
              </w:rPr>
              <w:t>1000万元～5000万元</w:t>
            </w:r>
          </w:p>
        </w:tc>
        <w:tc>
          <w:tcPr>
            <w:tcW w:w="1659" w:type="dxa"/>
            <w:tcBorders>
              <w:top w:val="single" w:color="auto" w:sz="4" w:space="0"/>
              <w:left w:val="single" w:color="auto" w:sz="4" w:space="0"/>
              <w:bottom w:val="single" w:color="auto" w:sz="4" w:space="0"/>
              <w:right w:val="single" w:color="auto" w:sz="4" w:space="0"/>
            </w:tcBorders>
          </w:tcPr>
          <w:p w14:paraId="373D94F0">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0.5%                </w:t>
            </w:r>
          </w:p>
        </w:tc>
        <w:tc>
          <w:tcPr>
            <w:tcW w:w="1687" w:type="dxa"/>
            <w:tcBorders>
              <w:top w:val="single" w:color="auto" w:sz="4" w:space="0"/>
              <w:left w:val="single" w:color="auto" w:sz="4" w:space="0"/>
              <w:bottom w:val="single" w:color="auto" w:sz="4" w:space="0"/>
              <w:right w:val="single" w:color="auto" w:sz="4" w:space="0"/>
            </w:tcBorders>
          </w:tcPr>
          <w:p w14:paraId="50877EC6">
            <w:pPr>
              <w:spacing w:line="360" w:lineRule="auto"/>
              <w:ind w:firstLine="210"/>
              <w:rPr>
                <w:rFonts w:ascii="宋体" w:hAnsi="宋体"/>
                <w:color w:val="auto"/>
                <w:szCs w:val="21"/>
                <w:highlight w:val="none"/>
              </w:rPr>
            </w:pPr>
            <w:r>
              <w:rPr>
                <w:rFonts w:hint="eastAsia" w:ascii="宋体" w:hAnsi="宋体" w:cs="宋体"/>
                <w:color w:val="auto"/>
                <w:szCs w:val="21"/>
                <w:highlight w:val="none"/>
              </w:rPr>
              <w:t>0.25%</w:t>
            </w:r>
          </w:p>
        </w:tc>
        <w:tc>
          <w:tcPr>
            <w:tcW w:w="1659" w:type="dxa"/>
            <w:tcBorders>
              <w:top w:val="single" w:color="auto" w:sz="4" w:space="0"/>
              <w:left w:val="single" w:color="auto" w:sz="4" w:space="0"/>
              <w:bottom w:val="single" w:color="auto" w:sz="4" w:space="0"/>
              <w:right w:val="single" w:color="auto" w:sz="4" w:space="0"/>
            </w:tcBorders>
          </w:tcPr>
          <w:p w14:paraId="7917459F">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0.35% </w:t>
            </w:r>
          </w:p>
        </w:tc>
      </w:tr>
      <w:tr w14:paraId="595C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A7C9084">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tcPr>
          <w:p w14:paraId="07C0EDD3">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0.25%                 </w:t>
            </w:r>
          </w:p>
        </w:tc>
        <w:tc>
          <w:tcPr>
            <w:tcW w:w="1687" w:type="dxa"/>
            <w:tcBorders>
              <w:top w:val="single" w:color="auto" w:sz="4" w:space="0"/>
              <w:left w:val="single" w:color="auto" w:sz="4" w:space="0"/>
              <w:bottom w:val="single" w:color="auto" w:sz="4" w:space="0"/>
              <w:right w:val="single" w:color="auto" w:sz="4" w:space="0"/>
            </w:tcBorders>
          </w:tcPr>
          <w:p w14:paraId="0F707147">
            <w:pPr>
              <w:spacing w:line="360" w:lineRule="auto"/>
              <w:ind w:firstLine="210"/>
              <w:rPr>
                <w:rFonts w:ascii="宋体" w:hAnsi="宋体"/>
                <w:color w:val="auto"/>
                <w:szCs w:val="21"/>
                <w:highlight w:val="none"/>
              </w:rPr>
            </w:pPr>
            <w:r>
              <w:rPr>
                <w:rFonts w:hint="eastAsia" w:ascii="宋体" w:hAnsi="宋体" w:cs="宋体"/>
                <w:color w:val="auto"/>
                <w:szCs w:val="21"/>
                <w:highlight w:val="none"/>
              </w:rPr>
              <w:t>0.1%</w:t>
            </w:r>
          </w:p>
        </w:tc>
        <w:tc>
          <w:tcPr>
            <w:tcW w:w="1659" w:type="dxa"/>
            <w:tcBorders>
              <w:top w:val="single" w:color="auto" w:sz="4" w:space="0"/>
              <w:left w:val="single" w:color="auto" w:sz="4" w:space="0"/>
              <w:bottom w:val="single" w:color="auto" w:sz="4" w:space="0"/>
              <w:right w:val="single" w:color="auto" w:sz="4" w:space="0"/>
            </w:tcBorders>
          </w:tcPr>
          <w:p w14:paraId="67B6580E">
            <w:pPr>
              <w:spacing w:line="360" w:lineRule="auto"/>
              <w:ind w:firstLine="210"/>
              <w:rPr>
                <w:rFonts w:ascii="宋体" w:hAnsi="宋体"/>
                <w:color w:val="auto"/>
                <w:szCs w:val="21"/>
                <w:highlight w:val="none"/>
              </w:rPr>
            </w:pPr>
            <w:r>
              <w:rPr>
                <w:rFonts w:hint="eastAsia" w:ascii="宋体" w:hAnsi="宋体" w:cs="宋体"/>
                <w:color w:val="auto"/>
                <w:szCs w:val="21"/>
                <w:highlight w:val="none"/>
              </w:rPr>
              <w:t>0.2%</w:t>
            </w:r>
          </w:p>
        </w:tc>
      </w:tr>
      <w:tr w14:paraId="33BD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DB5CBDF">
            <w:pPr>
              <w:spacing w:line="360" w:lineRule="auto"/>
              <w:rPr>
                <w:rFonts w:ascii="宋体" w:hAnsi="宋体"/>
                <w:color w:val="auto"/>
                <w:szCs w:val="21"/>
                <w:highlight w:val="none"/>
              </w:rPr>
            </w:pPr>
            <w:r>
              <w:rPr>
                <w:rFonts w:hint="eastAsia" w:ascii="宋体" w:hAnsi="宋体"/>
                <w:color w:val="auto"/>
                <w:szCs w:val="21"/>
                <w:highlight w:val="none"/>
              </w:rPr>
              <w:t>1亿元～5亿元</w:t>
            </w:r>
          </w:p>
        </w:tc>
        <w:tc>
          <w:tcPr>
            <w:tcW w:w="1659" w:type="dxa"/>
            <w:tcBorders>
              <w:top w:val="single" w:color="auto" w:sz="4" w:space="0"/>
              <w:left w:val="single" w:color="auto" w:sz="4" w:space="0"/>
              <w:bottom w:val="single" w:color="auto" w:sz="4" w:space="0"/>
              <w:right w:val="single" w:color="auto" w:sz="4" w:space="0"/>
            </w:tcBorders>
          </w:tcPr>
          <w:p w14:paraId="225B07E6">
            <w:pPr>
              <w:spacing w:line="360" w:lineRule="auto"/>
              <w:ind w:firstLine="210"/>
              <w:rPr>
                <w:rFonts w:ascii="宋体" w:hAnsi="宋体"/>
                <w:color w:val="auto"/>
                <w:szCs w:val="21"/>
                <w:highlight w:val="none"/>
              </w:rPr>
            </w:pPr>
            <w:r>
              <w:rPr>
                <w:rFonts w:hint="eastAsia" w:ascii="宋体" w:hAnsi="宋体"/>
                <w:color w:val="auto"/>
                <w:szCs w:val="21"/>
                <w:highlight w:val="none"/>
              </w:rPr>
              <w:t>0.05%</w:t>
            </w:r>
          </w:p>
        </w:tc>
        <w:tc>
          <w:tcPr>
            <w:tcW w:w="1687" w:type="dxa"/>
            <w:tcBorders>
              <w:top w:val="single" w:color="auto" w:sz="4" w:space="0"/>
              <w:left w:val="single" w:color="auto" w:sz="4" w:space="0"/>
              <w:bottom w:val="single" w:color="auto" w:sz="4" w:space="0"/>
              <w:right w:val="single" w:color="auto" w:sz="4" w:space="0"/>
            </w:tcBorders>
          </w:tcPr>
          <w:p w14:paraId="194ACCE3">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c>
          <w:tcPr>
            <w:tcW w:w="1659" w:type="dxa"/>
            <w:tcBorders>
              <w:top w:val="single" w:color="auto" w:sz="4" w:space="0"/>
              <w:left w:val="single" w:color="auto" w:sz="4" w:space="0"/>
              <w:bottom w:val="single" w:color="auto" w:sz="4" w:space="0"/>
              <w:right w:val="single" w:color="auto" w:sz="4" w:space="0"/>
            </w:tcBorders>
          </w:tcPr>
          <w:p w14:paraId="65A2DB22">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r>
      <w:tr w14:paraId="34EA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95C979B">
            <w:pPr>
              <w:spacing w:line="360" w:lineRule="auto"/>
              <w:rPr>
                <w:rFonts w:ascii="宋体" w:hAnsi="宋体"/>
                <w:color w:val="auto"/>
                <w:szCs w:val="21"/>
                <w:highlight w:val="none"/>
              </w:rPr>
            </w:pPr>
            <w:r>
              <w:rPr>
                <w:rFonts w:hint="eastAsia" w:ascii="宋体" w:hAnsi="宋体"/>
                <w:color w:val="auto"/>
                <w:szCs w:val="21"/>
                <w:highlight w:val="none"/>
              </w:rPr>
              <w:t>5亿元～10亿元</w:t>
            </w:r>
          </w:p>
        </w:tc>
        <w:tc>
          <w:tcPr>
            <w:tcW w:w="1659" w:type="dxa"/>
            <w:tcBorders>
              <w:top w:val="single" w:color="auto" w:sz="4" w:space="0"/>
              <w:left w:val="single" w:color="auto" w:sz="4" w:space="0"/>
              <w:bottom w:val="single" w:color="auto" w:sz="4" w:space="0"/>
              <w:right w:val="single" w:color="auto" w:sz="4" w:space="0"/>
            </w:tcBorders>
          </w:tcPr>
          <w:p w14:paraId="4030BAC6">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c>
          <w:tcPr>
            <w:tcW w:w="1687" w:type="dxa"/>
            <w:tcBorders>
              <w:top w:val="single" w:color="auto" w:sz="4" w:space="0"/>
              <w:left w:val="single" w:color="auto" w:sz="4" w:space="0"/>
              <w:bottom w:val="single" w:color="auto" w:sz="4" w:space="0"/>
              <w:right w:val="single" w:color="auto" w:sz="4" w:space="0"/>
            </w:tcBorders>
          </w:tcPr>
          <w:p w14:paraId="287A10E1">
            <w:pPr>
              <w:spacing w:line="360" w:lineRule="auto"/>
              <w:rPr>
                <w:rFonts w:ascii="宋体" w:hAnsi="宋体"/>
                <w:color w:val="auto"/>
                <w:szCs w:val="21"/>
                <w:highlight w:val="none"/>
              </w:rPr>
            </w:pPr>
            <w:r>
              <w:rPr>
                <w:rFonts w:hint="eastAsia" w:ascii="宋体" w:hAnsi="宋体"/>
                <w:color w:val="auto"/>
                <w:szCs w:val="21"/>
                <w:highlight w:val="none"/>
              </w:rPr>
              <w:t xml:space="preserve">  0.035%</w:t>
            </w:r>
          </w:p>
        </w:tc>
        <w:tc>
          <w:tcPr>
            <w:tcW w:w="1659" w:type="dxa"/>
            <w:tcBorders>
              <w:top w:val="single" w:color="auto" w:sz="4" w:space="0"/>
              <w:left w:val="single" w:color="auto" w:sz="4" w:space="0"/>
              <w:bottom w:val="single" w:color="auto" w:sz="4" w:space="0"/>
              <w:right w:val="single" w:color="auto" w:sz="4" w:space="0"/>
            </w:tcBorders>
          </w:tcPr>
          <w:p w14:paraId="6DE63E22">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r>
      <w:tr w14:paraId="55C8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713C7DF">
            <w:pPr>
              <w:spacing w:line="360" w:lineRule="auto"/>
              <w:rPr>
                <w:rFonts w:ascii="宋体" w:hAnsi="宋体"/>
                <w:color w:val="auto"/>
                <w:szCs w:val="21"/>
                <w:highlight w:val="none"/>
              </w:rPr>
            </w:pPr>
            <w:r>
              <w:rPr>
                <w:rFonts w:hint="eastAsia" w:ascii="宋体" w:hAnsi="宋体"/>
                <w:color w:val="auto"/>
                <w:szCs w:val="21"/>
                <w:highlight w:val="none"/>
              </w:rPr>
              <w:t>10亿元～50亿元</w:t>
            </w:r>
          </w:p>
        </w:tc>
        <w:tc>
          <w:tcPr>
            <w:tcW w:w="1659" w:type="dxa"/>
            <w:tcBorders>
              <w:top w:val="single" w:color="auto" w:sz="4" w:space="0"/>
              <w:left w:val="single" w:color="auto" w:sz="4" w:space="0"/>
              <w:bottom w:val="single" w:color="auto" w:sz="4" w:space="0"/>
              <w:right w:val="single" w:color="auto" w:sz="4" w:space="0"/>
            </w:tcBorders>
          </w:tcPr>
          <w:p w14:paraId="3CE77374">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c>
          <w:tcPr>
            <w:tcW w:w="1687" w:type="dxa"/>
            <w:tcBorders>
              <w:top w:val="single" w:color="auto" w:sz="4" w:space="0"/>
              <w:left w:val="single" w:color="auto" w:sz="4" w:space="0"/>
              <w:bottom w:val="single" w:color="auto" w:sz="4" w:space="0"/>
              <w:right w:val="single" w:color="auto" w:sz="4" w:space="0"/>
            </w:tcBorders>
          </w:tcPr>
          <w:p w14:paraId="164500E2">
            <w:pPr>
              <w:spacing w:line="360" w:lineRule="auto"/>
              <w:ind w:firstLine="210"/>
              <w:rPr>
                <w:rFonts w:ascii="宋体" w:hAnsi="宋体"/>
                <w:color w:val="auto"/>
                <w:szCs w:val="21"/>
                <w:highlight w:val="none"/>
              </w:rPr>
            </w:pPr>
            <w:r>
              <w:rPr>
                <w:rFonts w:hint="eastAsia" w:ascii="宋体" w:hAnsi="宋体"/>
                <w:color w:val="auto"/>
                <w:szCs w:val="21"/>
                <w:highlight w:val="none"/>
              </w:rPr>
              <w:t>0.008%</w:t>
            </w:r>
          </w:p>
        </w:tc>
        <w:tc>
          <w:tcPr>
            <w:tcW w:w="1659" w:type="dxa"/>
            <w:tcBorders>
              <w:top w:val="single" w:color="auto" w:sz="4" w:space="0"/>
              <w:left w:val="single" w:color="auto" w:sz="4" w:space="0"/>
              <w:bottom w:val="single" w:color="auto" w:sz="4" w:space="0"/>
              <w:right w:val="single" w:color="auto" w:sz="4" w:space="0"/>
            </w:tcBorders>
          </w:tcPr>
          <w:p w14:paraId="703FAC79">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r>
      <w:tr w14:paraId="7AEE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C629CE7">
            <w:pPr>
              <w:spacing w:line="360" w:lineRule="auto"/>
              <w:rPr>
                <w:rFonts w:ascii="宋体" w:hAnsi="宋体"/>
                <w:color w:val="auto"/>
                <w:szCs w:val="21"/>
                <w:highlight w:val="none"/>
              </w:rPr>
            </w:pPr>
            <w:r>
              <w:rPr>
                <w:rFonts w:hint="eastAsia" w:ascii="宋体" w:hAnsi="宋体"/>
                <w:color w:val="auto"/>
                <w:szCs w:val="21"/>
                <w:highlight w:val="none"/>
              </w:rPr>
              <w:t>50亿元～100亿元</w:t>
            </w:r>
          </w:p>
        </w:tc>
        <w:tc>
          <w:tcPr>
            <w:tcW w:w="1659" w:type="dxa"/>
            <w:tcBorders>
              <w:top w:val="single" w:color="auto" w:sz="4" w:space="0"/>
              <w:left w:val="single" w:color="auto" w:sz="4" w:space="0"/>
              <w:bottom w:val="single" w:color="auto" w:sz="4" w:space="0"/>
              <w:right w:val="single" w:color="auto" w:sz="4" w:space="0"/>
            </w:tcBorders>
          </w:tcPr>
          <w:p w14:paraId="3E2A0C28">
            <w:pPr>
              <w:spacing w:line="360" w:lineRule="auto"/>
              <w:rPr>
                <w:rFonts w:ascii="宋体" w:hAnsi="宋体"/>
                <w:color w:val="auto"/>
                <w:szCs w:val="21"/>
                <w:highlight w:val="none"/>
              </w:rPr>
            </w:pPr>
            <w:r>
              <w:rPr>
                <w:rFonts w:hint="eastAsia" w:ascii="宋体" w:hAnsi="宋体"/>
                <w:color w:val="auto"/>
                <w:szCs w:val="21"/>
                <w:highlight w:val="none"/>
              </w:rPr>
              <w:t xml:space="preserve"> 0.006%</w:t>
            </w:r>
          </w:p>
        </w:tc>
        <w:tc>
          <w:tcPr>
            <w:tcW w:w="1687" w:type="dxa"/>
            <w:tcBorders>
              <w:top w:val="single" w:color="auto" w:sz="4" w:space="0"/>
              <w:left w:val="single" w:color="auto" w:sz="4" w:space="0"/>
              <w:bottom w:val="single" w:color="auto" w:sz="4" w:space="0"/>
              <w:right w:val="single" w:color="auto" w:sz="4" w:space="0"/>
            </w:tcBorders>
          </w:tcPr>
          <w:p w14:paraId="6E2123E2">
            <w:pPr>
              <w:spacing w:line="360" w:lineRule="auto"/>
              <w:ind w:firstLine="210"/>
              <w:rPr>
                <w:rFonts w:ascii="宋体" w:hAnsi="宋体"/>
                <w:color w:val="auto"/>
                <w:szCs w:val="21"/>
                <w:highlight w:val="none"/>
              </w:rPr>
            </w:pPr>
            <w:r>
              <w:rPr>
                <w:rFonts w:hint="eastAsia" w:ascii="宋体" w:hAnsi="宋体"/>
                <w:color w:val="auto"/>
                <w:szCs w:val="21"/>
                <w:highlight w:val="none"/>
              </w:rPr>
              <w:t>0.006%</w:t>
            </w:r>
          </w:p>
        </w:tc>
        <w:tc>
          <w:tcPr>
            <w:tcW w:w="1659" w:type="dxa"/>
            <w:tcBorders>
              <w:top w:val="single" w:color="auto" w:sz="4" w:space="0"/>
              <w:left w:val="single" w:color="auto" w:sz="4" w:space="0"/>
              <w:bottom w:val="single" w:color="auto" w:sz="4" w:space="0"/>
              <w:right w:val="single" w:color="auto" w:sz="4" w:space="0"/>
            </w:tcBorders>
          </w:tcPr>
          <w:p w14:paraId="086A8EA4">
            <w:pPr>
              <w:spacing w:line="360" w:lineRule="auto"/>
              <w:ind w:firstLine="105"/>
              <w:rPr>
                <w:rFonts w:ascii="宋体" w:hAnsi="宋体"/>
                <w:color w:val="auto"/>
                <w:szCs w:val="21"/>
                <w:highlight w:val="none"/>
              </w:rPr>
            </w:pPr>
            <w:r>
              <w:rPr>
                <w:rFonts w:hint="eastAsia" w:ascii="宋体" w:hAnsi="宋体"/>
                <w:color w:val="auto"/>
                <w:szCs w:val="21"/>
                <w:highlight w:val="none"/>
              </w:rPr>
              <w:t>0.006%</w:t>
            </w:r>
          </w:p>
        </w:tc>
      </w:tr>
      <w:tr w14:paraId="1E3F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67B4C97">
            <w:pPr>
              <w:spacing w:line="360" w:lineRule="auto"/>
              <w:rPr>
                <w:rFonts w:ascii="宋体" w:hAnsi="宋体"/>
                <w:color w:val="auto"/>
                <w:szCs w:val="21"/>
                <w:highlight w:val="none"/>
              </w:rPr>
            </w:pPr>
            <w:r>
              <w:rPr>
                <w:rFonts w:hint="eastAsia" w:ascii="宋体" w:hAnsi="宋体"/>
                <w:color w:val="auto"/>
                <w:szCs w:val="21"/>
                <w:highlight w:val="none"/>
              </w:rPr>
              <w:t>100亿以上</w:t>
            </w:r>
          </w:p>
        </w:tc>
        <w:tc>
          <w:tcPr>
            <w:tcW w:w="1659" w:type="dxa"/>
            <w:tcBorders>
              <w:top w:val="single" w:color="auto" w:sz="4" w:space="0"/>
              <w:left w:val="single" w:color="auto" w:sz="4" w:space="0"/>
              <w:bottom w:val="single" w:color="auto" w:sz="4" w:space="0"/>
              <w:right w:val="single" w:color="auto" w:sz="4" w:space="0"/>
            </w:tcBorders>
          </w:tcPr>
          <w:p w14:paraId="33360802">
            <w:pPr>
              <w:spacing w:line="360" w:lineRule="auto"/>
              <w:rPr>
                <w:rFonts w:ascii="宋体" w:hAnsi="宋体"/>
                <w:color w:val="auto"/>
                <w:szCs w:val="21"/>
                <w:highlight w:val="none"/>
              </w:rPr>
            </w:pPr>
            <w:r>
              <w:rPr>
                <w:rFonts w:hint="eastAsia" w:ascii="宋体" w:hAnsi="宋体"/>
                <w:color w:val="auto"/>
                <w:szCs w:val="21"/>
                <w:highlight w:val="none"/>
              </w:rPr>
              <w:t xml:space="preserve"> 0.004%</w:t>
            </w:r>
          </w:p>
        </w:tc>
        <w:tc>
          <w:tcPr>
            <w:tcW w:w="1687" w:type="dxa"/>
            <w:tcBorders>
              <w:top w:val="single" w:color="auto" w:sz="4" w:space="0"/>
              <w:left w:val="single" w:color="auto" w:sz="4" w:space="0"/>
              <w:bottom w:val="single" w:color="auto" w:sz="4" w:space="0"/>
              <w:right w:val="single" w:color="auto" w:sz="4" w:space="0"/>
            </w:tcBorders>
          </w:tcPr>
          <w:p w14:paraId="3ADE15AF">
            <w:pPr>
              <w:spacing w:line="360" w:lineRule="auto"/>
              <w:ind w:firstLine="210"/>
              <w:rPr>
                <w:rFonts w:ascii="宋体" w:hAnsi="宋体"/>
                <w:color w:val="auto"/>
                <w:szCs w:val="21"/>
                <w:highlight w:val="none"/>
              </w:rPr>
            </w:pPr>
            <w:r>
              <w:rPr>
                <w:rFonts w:hint="eastAsia" w:ascii="宋体" w:hAnsi="宋体"/>
                <w:color w:val="auto"/>
                <w:szCs w:val="21"/>
                <w:highlight w:val="none"/>
              </w:rPr>
              <w:t>0.004%</w:t>
            </w:r>
          </w:p>
        </w:tc>
        <w:tc>
          <w:tcPr>
            <w:tcW w:w="1659" w:type="dxa"/>
            <w:tcBorders>
              <w:top w:val="single" w:color="auto" w:sz="4" w:space="0"/>
              <w:left w:val="single" w:color="auto" w:sz="4" w:space="0"/>
              <w:bottom w:val="single" w:color="auto" w:sz="4" w:space="0"/>
              <w:right w:val="single" w:color="auto" w:sz="4" w:space="0"/>
            </w:tcBorders>
          </w:tcPr>
          <w:p w14:paraId="74F2B60F">
            <w:pPr>
              <w:spacing w:line="360" w:lineRule="auto"/>
              <w:ind w:firstLine="105"/>
              <w:rPr>
                <w:rFonts w:ascii="宋体" w:hAnsi="宋体"/>
                <w:color w:val="auto"/>
                <w:szCs w:val="21"/>
                <w:highlight w:val="none"/>
              </w:rPr>
            </w:pPr>
            <w:r>
              <w:rPr>
                <w:rFonts w:hint="eastAsia" w:ascii="宋体" w:hAnsi="宋体"/>
                <w:color w:val="auto"/>
                <w:szCs w:val="21"/>
                <w:highlight w:val="none"/>
              </w:rPr>
              <w:t>0.004%</w:t>
            </w:r>
          </w:p>
        </w:tc>
      </w:tr>
    </w:tbl>
    <w:p w14:paraId="7EB98FB1">
      <w:pPr>
        <w:spacing w:line="360" w:lineRule="auto"/>
        <w:ind w:firstLine="42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2FCA762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0522C18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216652D3">
      <w:pPr>
        <w:spacing w:line="360" w:lineRule="auto"/>
        <w:ind w:firstLine="42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货物采购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6D841DC6">
      <w:pPr>
        <w:spacing w:line="360" w:lineRule="auto"/>
        <w:ind w:firstLine="420"/>
        <w:rPr>
          <w:rFonts w:ascii="宋体" w:hAnsi="宋体" w:cs="宋体"/>
          <w:color w:val="auto"/>
          <w:szCs w:val="21"/>
          <w:highlight w:val="none"/>
        </w:rPr>
      </w:pPr>
      <w:r>
        <w:rPr>
          <w:rFonts w:ascii="宋体" w:hAnsi="宋体" w:cs="宋体"/>
          <w:color w:val="auto"/>
          <w:szCs w:val="21"/>
          <w:highlight w:val="none"/>
        </w:rPr>
        <w:t>100 万元×</w:t>
      </w:r>
      <w:r>
        <w:rPr>
          <w:rFonts w:hint="eastAsia" w:ascii="宋体" w:hAnsi="宋体" w:cs="宋体"/>
          <w:color w:val="auto"/>
          <w:szCs w:val="21"/>
          <w:highlight w:val="none"/>
        </w:rPr>
        <w:t>1</w:t>
      </w:r>
      <w:r>
        <w:rPr>
          <w:rFonts w:ascii="宋体" w:hAnsi="宋体" w:cs="宋体"/>
          <w:color w:val="auto"/>
          <w:szCs w:val="21"/>
          <w:highlight w:val="none"/>
        </w:rPr>
        <w:t>.5 ％＝ 1.5 万元</w:t>
      </w:r>
    </w:p>
    <w:p w14:paraId="00772CD2">
      <w:pPr>
        <w:spacing w:line="360" w:lineRule="auto"/>
        <w:ind w:firstLine="420"/>
        <w:rPr>
          <w:rFonts w:ascii="宋体" w:hAnsi="宋体" w:cs="宋体"/>
          <w:color w:val="auto"/>
          <w:szCs w:val="21"/>
          <w:highlight w:val="none"/>
        </w:rPr>
      </w:pPr>
      <w:r>
        <w:rPr>
          <w:rFonts w:ascii="宋体" w:hAnsi="宋体" w:cs="宋体"/>
          <w:color w:val="auto"/>
          <w:szCs w:val="21"/>
          <w:highlight w:val="none"/>
        </w:rPr>
        <w:t>（ 200 － 100 ）万元 ×1.1％＝1.1万元</w:t>
      </w:r>
    </w:p>
    <w:p w14:paraId="76FF1960">
      <w:pPr>
        <w:pStyle w:val="26"/>
        <w:spacing w:line="360" w:lineRule="auto"/>
        <w:ind w:firstLine="42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1.1＝ 2.6 （万元）</w:t>
      </w:r>
    </w:p>
    <w:p w14:paraId="337D74B5">
      <w:pPr>
        <w:pStyle w:val="6"/>
        <w:keepNext w:val="0"/>
        <w:keepLines w:val="0"/>
        <w:spacing w:before="0" w:after="0" w:line="360" w:lineRule="auto"/>
        <w:rPr>
          <w:rFonts w:ascii="黑体" w:hAnsi="黑体" w:eastAsia="黑体"/>
          <w:color w:val="auto"/>
          <w:sz w:val="24"/>
          <w:highlight w:val="none"/>
        </w:rPr>
      </w:pPr>
      <w:r>
        <w:rPr>
          <w:rFonts w:ascii="黑体" w:hAnsi="黑体" w:eastAsia="黑体"/>
          <w:color w:val="auto"/>
          <w:sz w:val="24"/>
          <w:highlight w:val="none"/>
        </w:rPr>
        <w:t>40. 需要补充的其他内容</w:t>
      </w:r>
    </w:p>
    <w:p w14:paraId="6EF31A4B">
      <w:pPr>
        <w:pStyle w:val="26"/>
        <w:spacing w:line="360" w:lineRule="auto"/>
        <w:ind w:firstLine="420"/>
        <w:contextualSpacing/>
        <w:rPr>
          <w:rFonts w:hAnsi="宋体" w:cs="宋体"/>
          <w:color w:val="auto"/>
          <w:sz w:val="21"/>
          <w:highlight w:val="none"/>
        </w:rPr>
      </w:pPr>
      <w:r>
        <w:rPr>
          <w:rFonts w:hint="eastAsia" w:hAnsi="宋体" w:cs="宋体"/>
          <w:color w:val="auto"/>
          <w:sz w:val="21"/>
          <w:highlight w:val="none"/>
        </w:rPr>
        <w:t>40.1本招标文件解释规则详见“投标人须知前附表”。</w:t>
      </w:r>
    </w:p>
    <w:p w14:paraId="7F44A794">
      <w:pPr>
        <w:pStyle w:val="26"/>
        <w:spacing w:line="360" w:lineRule="auto"/>
        <w:ind w:firstLine="420"/>
        <w:contextualSpacing/>
        <w:rPr>
          <w:rFonts w:hAnsi="宋体" w:cs="宋体"/>
          <w:color w:val="auto"/>
          <w:sz w:val="21"/>
          <w:highlight w:val="none"/>
        </w:rPr>
      </w:pPr>
      <w:r>
        <w:rPr>
          <w:rFonts w:hint="eastAsia" w:hAnsi="宋体" w:cs="宋体"/>
          <w:color w:val="auto"/>
          <w:sz w:val="21"/>
          <w:highlight w:val="none"/>
        </w:rPr>
        <w:t>40.2 其他事项详见“投标人须知前附表”。</w:t>
      </w:r>
    </w:p>
    <w:p w14:paraId="07DDCE2F">
      <w:pPr>
        <w:pStyle w:val="26"/>
        <w:spacing w:line="360" w:lineRule="auto"/>
        <w:ind w:firstLine="420"/>
        <w:contextualSpacing/>
        <w:rPr>
          <w:rFonts w:hAnsi="宋体" w:cs="宋体"/>
          <w:color w:val="auto"/>
          <w:sz w:val="21"/>
          <w:highlight w:val="none"/>
        </w:rPr>
      </w:pPr>
      <w:r>
        <w:rPr>
          <w:rFonts w:hint="eastAsia" w:hAnsi="宋体" w:cs="宋体"/>
          <w:color w:val="auto"/>
          <w:sz w:val="21"/>
          <w:highlight w:val="none"/>
        </w:rPr>
        <w:t>40.3</w:t>
      </w:r>
      <w:bookmarkStart w:id="151" w:name="_Hlk65857140"/>
      <w:r>
        <w:rPr>
          <w:rFonts w:hint="eastAsia" w:hAnsi="宋体" w:cs="宋体"/>
          <w:color w:val="auto"/>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33B8676">
      <w:pPr>
        <w:pStyle w:val="26"/>
        <w:spacing w:line="360" w:lineRule="auto"/>
        <w:ind w:firstLine="42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DA24F34">
      <w:pPr>
        <w:pStyle w:val="26"/>
        <w:spacing w:line="360" w:lineRule="auto"/>
        <w:ind w:firstLine="42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56C58523">
      <w:pPr>
        <w:pStyle w:val="26"/>
        <w:spacing w:line="360" w:lineRule="auto"/>
        <w:ind w:firstLine="42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291644E">
      <w:pPr>
        <w:pStyle w:val="26"/>
        <w:spacing w:line="360" w:lineRule="auto"/>
        <w:ind w:firstLine="420"/>
        <w:contextualSpacing/>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4EC2074F">
      <w:pPr>
        <w:pStyle w:val="26"/>
        <w:spacing w:line="360" w:lineRule="auto"/>
        <w:ind w:firstLine="420"/>
        <w:contextualSpacing/>
        <w:rPr>
          <w:rFonts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bookmarkEnd w:id="151"/>
    </w:p>
    <w:p w14:paraId="049F4F06">
      <w:pPr>
        <w:pStyle w:val="18"/>
        <w:ind w:left="479" w:hanging="240"/>
        <w:rPr>
          <w:rFonts w:hAnsi="宋体"/>
          <w:color w:val="auto"/>
          <w:highlight w:val="none"/>
        </w:rPr>
      </w:pPr>
    </w:p>
    <w:p w14:paraId="6EA74D2D">
      <w:pPr>
        <w:pStyle w:val="26"/>
        <w:spacing w:before="120" w:after="120"/>
        <w:rPr>
          <w:rFonts w:hAnsi="宋体"/>
          <w:color w:val="auto"/>
          <w:highlight w:val="none"/>
        </w:rPr>
      </w:pPr>
    </w:p>
    <w:p w14:paraId="2348B9CD">
      <w:pPr>
        <w:pStyle w:val="26"/>
        <w:spacing w:before="120" w:after="120"/>
        <w:rPr>
          <w:rFonts w:hAnsi="宋体"/>
          <w:color w:val="auto"/>
          <w:highlight w:val="none"/>
        </w:rPr>
      </w:pPr>
    </w:p>
    <w:p w14:paraId="380CAA17">
      <w:pPr>
        <w:pStyle w:val="26"/>
        <w:spacing w:before="120" w:after="120"/>
        <w:rPr>
          <w:rFonts w:hAnsi="宋体"/>
          <w:color w:val="auto"/>
          <w:highlight w:val="none"/>
        </w:rPr>
      </w:pPr>
    </w:p>
    <w:p w14:paraId="58E60C2C">
      <w:pPr>
        <w:pStyle w:val="26"/>
        <w:spacing w:before="120" w:after="120"/>
        <w:rPr>
          <w:rFonts w:hAnsi="宋体"/>
          <w:color w:val="auto"/>
          <w:highlight w:val="none"/>
        </w:rPr>
      </w:pPr>
    </w:p>
    <w:p w14:paraId="0C6DC955">
      <w:pPr>
        <w:pStyle w:val="26"/>
        <w:spacing w:before="120" w:after="120"/>
        <w:rPr>
          <w:rFonts w:hAnsi="宋体"/>
          <w:color w:val="auto"/>
          <w:highlight w:val="none"/>
        </w:rPr>
      </w:pPr>
    </w:p>
    <w:p w14:paraId="6AD17115">
      <w:pPr>
        <w:pStyle w:val="26"/>
        <w:spacing w:before="120" w:after="120"/>
        <w:rPr>
          <w:rFonts w:hAnsi="宋体"/>
          <w:color w:val="auto"/>
          <w:highlight w:val="none"/>
        </w:rPr>
      </w:pPr>
    </w:p>
    <w:p w14:paraId="7FEC1D19">
      <w:pPr>
        <w:pStyle w:val="26"/>
        <w:spacing w:before="120" w:after="120"/>
        <w:rPr>
          <w:rFonts w:hAnsi="宋体"/>
          <w:color w:val="auto"/>
          <w:highlight w:val="none"/>
        </w:rPr>
      </w:pPr>
    </w:p>
    <w:p w14:paraId="20254CA2">
      <w:pPr>
        <w:pStyle w:val="26"/>
        <w:spacing w:before="120" w:after="120"/>
        <w:rPr>
          <w:rFonts w:hAnsi="宋体"/>
          <w:color w:val="auto"/>
          <w:highlight w:val="none"/>
        </w:rPr>
      </w:pPr>
    </w:p>
    <w:p w14:paraId="51F9A2C4">
      <w:pPr>
        <w:pStyle w:val="26"/>
        <w:spacing w:before="120" w:after="120"/>
        <w:rPr>
          <w:rFonts w:hAnsi="宋体"/>
          <w:color w:val="auto"/>
          <w:highlight w:val="none"/>
        </w:rPr>
      </w:pPr>
    </w:p>
    <w:p w14:paraId="70E610B7">
      <w:pPr>
        <w:pStyle w:val="26"/>
        <w:spacing w:before="120" w:after="120"/>
        <w:rPr>
          <w:rFonts w:hAnsi="宋体"/>
          <w:color w:val="auto"/>
          <w:highlight w:val="none"/>
        </w:rPr>
      </w:pPr>
    </w:p>
    <w:p w14:paraId="451C42AD">
      <w:pPr>
        <w:pStyle w:val="26"/>
        <w:spacing w:before="120" w:after="120"/>
        <w:rPr>
          <w:rFonts w:hAnsi="宋体"/>
          <w:color w:val="auto"/>
          <w:highlight w:val="none"/>
        </w:rPr>
      </w:pPr>
    </w:p>
    <w:p w14:paraId="6836CCF9">
      <w:pPr>
        <w:pStyle w:val="26"/>
        <w:spacing w:before="120" w:after="120"/>
        <w:rPr>
          <w:rFonts w:hAnsi="宋体"/>
          <w:color w:val="auto"/>
          <w:highlight w:val="none"/>
        </w:rPr>
      </w:pPr>
    </w:p>
    <w:p w14:paraId="19625C67">
      <w:pPr>
        <w:pStyle w:val="26"/>
        <w:spacing w:before="120" w:after="120"/>
        <w:rPr>
          <w:rFonts w:hAnsi="宋体"/>
          <w:color w:val="auto"/>
          <w:highlight w:val="none"/>
        </w:rPr>
      </w:pPr>
    </w:p>
    <w:p w14:paraId="6D7F9D21">
      <w:pPr>
        <w:rPr>
          <w:color w:val="auto"/>
          <w:highlight w:val="none"/>
        </w:rPr>
      </w:pPr>
      <w:bookmarkStart w:id="152" w:name="_Toc254970548"/>
      <w:bookmarkStart w:id="153" w:name="_Toc254970689"/>
      <w:bookmarkStart w:id="154" w:name="_Toc330456896"/>
      <w:bookmarkStart w:id="155" w:name="_Toc74320803"/>
      <w:r>
        <w:rPr>
          <w:rFonts w:hint="eastAsia"/>
          <w:color w:val="auto"/>
          <w:highlight w:val="none"/>
        </w:rPr>
        <w:br w:type="page" w:clear="all"/>
      </w:r>
    </w:p>
    <w:p w14:paraId="53BBE04A">
      <w:pPr>
        <w:pStyle w:val="2"/>
        <w:jc w:val="center"/>
        <w:rPr>
          <w:color w:val="auto"/>
          <w:highlight w:val="none"/>
        </w:rPr>
      </w:pPr>
      <w:r>
        <w:rPr>
          <w:rFonts w:hint="eastAsia"/>
          <w:color w:val="auto"/>
          <w:highlight w:val="none"/>
        </w:rPr>
        <w:t>第四章  评标方法及评标标准</w:t>
      </w:r>
      <w:bookmarkEnd w:id="152"/>
      <w:bookmarkEnd w:id="153"/>
      <w:bookmarkEnd w:id="154"/>
      <w:bookmarkEnd w:id="155"/>
    </w:p>
    <w:p w14:paraId="699866E6">
      <w:pPr>
        <w:pStyle w:val="4"/>
        <w:keepNext w:val="0"/>
        <w:keepLines w:val="0"/>
        <w:jc w:val="center"/>
        <w:rPr>
          <w:color w:val="auto"/>
          <w:sz w:val="30"/>
          <w:szCs w:val="30"/>
          <w:highlight w:val="none"/>
        </w:rPr>
      </w:pPr>
      <w:r>
        <w:rPr>
          <w:rFonts w:hint="eastAsia"/>
          <w:color w:val="auto"/>
          <w:sz w:val="30"/>
          <w:szCs w:val="30"/>
          <w:highlight w:val="none"/>
        </w:rPr>
        <w:t>一、评标方法</w:t>
      </w:r>
    </w:p>
    <w:p w14:paraId="16B0749A">
      <w:pPr>
        <w:pStyle w:val="26"/>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0A75F2C5">
      <w:pPr>
        <w:pStyle w:val="4"/>
        <w:keepNext w:val="0"/>
        <w:keepLines w:val="0"/>
        <w:jc w:val="center"/>
        <w:rPr>
          <w:color w:val="auto"/>
          <w:sz w:val="30"/>
          <w:szCs w:val="30"/>
          <w:highlight w:val="none"/>
        </w:rPr>
      </w:pPr>
      <w:r>
        <w:rPr>
          <w:rFonts w:hint="eastAsia"/>
          <w:color w:val="auto"/>
          <w:sz w:val="30"/>
          <w:szCs w:val="30"/>
          <w:highlight w:val="none"/>
        </w:rPr>
        <w:t>二、评标程序</w:t>
      </w:r>
    </w:p>
    <w:p w14:paraId="69EF133B">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1.符合性审查</w:t>
      </w:r>
    </w:p>
    <w:p w14:paraId="13C1A9F5">
      <w:pPr>
        <w:pStyle w:val="26"/>
        <w:spacing w:line="360" w:lineRule="auto"/>
        <w:ind w:left="1" w:firstLine="420"/>
        <w:rPr>
          <w:rFonts w:hAnsi="宋体"/>
          <w:b/>
          <w:color w:val="auto"/>
          <w:sz w:val="21"/>
          <w:highlight w:val="none"/>
        </w:rPr>
      </w:pPr>
      <w:r>
        <w:rPr>
          <w:rFonts w:hint="eastAsia" w:hAnsi="宋体"/>
          <w:b/>
          <w:color w:val="auto"/>
          <w:sz w:val="21"/>
          <w:highlight w:val="none"/>
        </w:rPr>
        <w:t>评标委员会应当对符合资格的投标人的投标文件进行投标报价、商务、技术等实质性内容符合性审查，以确定其是否满足招标文件的实质性要求。</w:t>
      </w:r>
    </w:p>
    <w:p w14:paraId="07A1E896">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69646807">
      <w:pPr>
        <w:spacing w:line="360" w:lineRule="auto"/>
        <w:ind w:firstLine="422"/>
        <w:rPr>
          <w:rFonts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4BF7D4D2">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7DAC54ED">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未提供“投标人须知前附表”第13条“报价文件”规定中“必须提供”的文件资料的；</w:t>
      </w:r>
    </w:p>
    <w:p w14:paraId="574303BA">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40F2EBAF">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zCs w:val="21"/>
          <w:highlight w:val="none"/>
        </w:rPr>
        <w:t>各分标报价超出招标文件相应分标规定最高限价，或者超出相应分标采购预算金额的；</w:t>
      </w:r>
    </w:p>
    <w:p w14:paraId="42486EBE">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6FCD4484">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zCs w:val="21"/>
          <w:highlight w:val="none"/>
        </w:rPr>
        <w:t>修正后的报价，投标人不确认的；</w:t>
      </w:r>
    </w:p>
    <w:p w14:paraId="30CA5F76">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条（2）或者第5</w:t>
      </w:r>
      <w:r>
        <w:rPr>
          <w:rFonts w:ascii="宋体" w:hAnsi="宋体"/>
          <w:b/>
          <w:color w:val="auto"/>
          <w:szCs w:val="21"/>
          <w:highlight w:val="none"/>
        </w:rPr>
        <w:t>.2条</w:t>
      </w:r>
      <w:r>
        <w:rPr>
          <w:rFonts w:hint="eastAsia" w:ascii="宋体" w:hAnsi="宋体"/>
          <w:b/>
          <w:color w:val="auto"/>
          <w:szCs w:val="21"/>
          <w:highlight w:val="none"/>
        </w:rPr>
        <w:t>（2）项情形的；</w:t>
      </w:r>
    </w:p>
    <w:p w14:paraId="5EBCEDBC">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10F92429">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2.2在商务及技术评审时，如发现下列情形之一的，将被视为投标无效：</w:t>
      </w:r>
    </w:p>
    <w:p w14:paraId="40ECEAB9">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投标文件未按招标文件要求签署、盖章的；</w:t>
      </w:r>
    </w:p>
    <w:p w14:paraId="5BF58D07">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委托代理人未能出具有效身份证或者出具的身份证与授权委托书中的信息不符的；</w:t>
      </w:r>
    </w:p>
    <w:p w14:paraId="76302CDE">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31362CFF">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0668FF4B">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允许负偏离的条款数超过“投标人须知前附表”规定项数的；</w:t>
      </w:r>
    </w:p>
    <w:p w14:paraId="05168CC2">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4D229DE8">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4410A64C">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4DC8835B">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20641A6B">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3B5644FA">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77A0F6F2">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招标文件明确不允许分包，投标文件拟分包的；</w:t>
      </w:r>
    </w:p>
    <w:p w14:paraId="752E90BB">
      <w:pPr>
        <w:pStyle w:val="20"/>
        <w:numPr>
          <w:ilvl w:val="0"/>
          <w:numId w:val="6"/>
        </w:numPr>
        <w:spacing w:line="360" w:lineRule="auto"/>
        <w:ind w:firstLine="413"/>
        <w:rPr>
          <w:rFonts w:ascii="宋体" w:hAnsi="宋体" w:eastAsia="宋体"/>
          <w:b/>
          <w:color w:val="auto"/>
          <w:sz w:val="21"/>
          <w:szCs w:val="21"/>
          <w:highlight w:val="none"/>
        </w:rPr>
      </w:pPr>
      <w:r>
        <w:rPr>
          <w:rFonts w:hint="eastAsia" w:ascii="宋体" w:hAnsi="宋体" w:eastAsia="宋体"/>
          <w:b/>
          <w:color w:val="auto"/>
          <w:sz w:val="21"/>
          <w:szCs w:val="21"/>
          <w:highlight w:val="none"/>
        </w:rPr>
        <w:t>虚假投标，或者出现其他情形而导致被评标委员会认定无效的；</w:t>
      </w:r>
    </w:p>
    <w:p w14:paraId="167348A7">
      <w:pPr>
        <w:pStyle w:val="20"/>
        <w:numPr>
          <w:ilvl w:val="0"/>
          <w:numId w:val="6"/>
        </w:numPr>
        <w:spacing w:line="360" w:lineRule="auto"/>
        <w:ind w:firstLine="413"/>
        <w:rPr>
          <w:rFonts w:ascii="宋体" w:hAnsi="宋体" w:eastAsia="宋体"/>
          <w:b/>
          <w:color w:val="auto"/>
          <w:sz w:val="21"/>
          <w:szCs w:val="21"/>
          <w:highlight w:val="none"/>
        </w:rPr>
      </w:pPr>
      <w:r>
        <w:rPr>
          <w:rFonts w:hint="eastAsia" w:ascii="宋体" w:hAnsi="宋体" w:eastAsia="宋体"/>
          <w:b/>
          <w:color w:val="auto"/>
          <w:sz w:val="21"/>
          <w:szCs w:val="21"/>
          <w:highlight w:val="none"/>
        </w:rPr>
        <w:t>招标文件未载明允许提供备选（替代）投标方案或明确不允许提供备选（替代）投标方案时，投标人提供了备选（替代）投标方案的；</w:t>
      </w:r>
    </w:p>
    <w:p w14:paraId="5FB6E5BD">
      <w:pPr>
        <w:pStyle w:val="20"/>
        <w:numPr>
          <w:ilvl w:val="0"/>
          <w:numId w:val="6"/>
        </w:numPr>
        <w:spacing w:line="360" w:lineRule="auto"/>
        <w:ind w:firstLine="413"/>
        <w:rPr>
          <w:rFonts w:ascii="宋体" w:hAnsi="宋体" w:eastAsia="宋体"/>
          <w:b/>
          <w:color w:val="auto"/>
          <w:sz w:val="21"/>
          <w:szCs w:val="21"/>
          <w:highlight w:val="none"/>
        </w:rPr>
      </w:pPr>
      <w:r>
        <w:rPr>
          <w:rFonts w:hint="eastAsia" w:ascii="宋体" w:hAnsi="宋体" w:eastAsia="宋体"/>
          <w:b/>
          <w:color w:val="auto"/>
          <w:sz w:val="21"/>
          <w:szCs w:val="21"/>
          <w:highlight w:val="none"/>
        </w:rPr>
        <w:t>未响应招标文件实质性要求的。</w:t>
      </w:r>
    </w:p>
    <w:p w14:paraId="069870E9">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法律、法规和招标文件规定的其他无效情形。</w:t>
      </w:r>
    </w:p>
    <w:p w14:paraId="213047AE">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543A980E">
      <w:pPr>
        <w:spacing w:line="360" w:lineRule="auto"/>
        <w:ind w:firstLine="420"/>
        <w:rPr>
          <w:rFonts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6E8339D">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51108C4">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298A3546">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362A91D3">
      <w:pPr>
        <w:pStyle w:val="6"/>
        <w:keepNext w:val="0"/>
        <w:keepLines w:val="0"/>
        <w:spacing w:before="0" w:after="0" w:line="360" w:lineRule="auto"/>
        <w:ind w:left="420"/>
        <w:rPr>
          <w:rFonts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1A292BDD">
      <w:pPr>
        <w:pStyle w:val="26"/>
        <w:spacing w:line="360" w:lineRule="auto"/>
        <w:ind w:firstLine="42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38847974">
      <w:pPr>
        <w:pStyle w:val="26"/>
        <w:spacing w:line="360" w:lineRule="auto"/>
        <w:ind w:firstLine="420"/>
        <w:rPr>
          <w:rFonts w:hAnsi="宋体"/>
          <w:color w:val="auto"/>
          <w:sz w:val="21"/>
          <w:highlight w:val="none"/>
        </w:rPr>
      </w:pPr>
      <w:r>
        <w:rPr>
          <w:rFonts w:hint="eastAsia" w:hAnsi="宋体"/>
          <w:color w:val="auto"/>
          <w:sz w:val="21"/>
          <w:highlight w:val="none"/>
        </w:rPr>
        <w:t>（2）大写金额和小写金额不一致的，以大写金额为准；</w:t>
      </w:r>
    </w:p>
    <w:p w14:paraId="4D342B82">
      <w:pPr>
        <w:pStyle w:val="26"/>
        <w:spacing w:line="360" w:lineRule="auto"/>
        <w:ind w:firstLine="42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6576084B">
      <w:pPr>
        <w:pStyle w:val="26"/>
        <w:spacing w:line="360" w:lineRule="auto"/>
        <w:ind w:firstLine="42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7C291EED">
      <w:pPr>
        <w:pStyle w:val="26"/>
        <w:spacing w:line="360" w:lineRule="auto"/>
        <w:ind w:firstLine="420"/>
        <w:rPr>
          <w:rFonts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sz w:val="21"/>
          <w:highlight w:val="none"/>
        </w:rPr>
        <w:t>其投标无效</w:t>
      </w:r>
      <w:r>
        <w:rPr>
          <w:rFonts w:hint="eastAsia" w:hAnsi="宋体"/>
          <w:color w:val="auto"/>
          <w:sz w:val="21"/>
          <w:highlight w:val="none"/>
        </w:rPr>
        <w:t>。</w:t>
      </w:r>
    </w:p>
    <w:p w14:paraId="509469B3">
      <w:pPr>
        <w:pStyle w:val="6"/>
        <w:keepNext w:val="0"/>
        <w:keepLines w:val="0"/>
        <w:spacing w:before="0" w:after="0" w:line="360" w:lineRule="auto"/>
        <w:rPr>
          <w:rFonts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68A7DEC0">
      <w:pPr>
        <w:spacing w:line="360" w:lineRule="auto"/>
        <w:ind w:firstLine="42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0B196D14">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697A5F5F">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16A9A7D1">
      <w:pPr>
        <w:spacing w:line="360" w:lineRule="auto"/>
        <w:ind w:firstLine="420"/>
        <w:rPr>
          <w:rFonts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0597AA69">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26713B70">
      <w:pPr>
        <w:spacing w:line="360" w:lineRule="auto"/>
        <w:ind w:firstLine="420"/>
        <w:rPr>
          <w:rFonts w:ascii="宋体" w:hAnsi="宋体"/>
          <w:color w:val="auto"/>
          <w:szCs w:val="21"/>
          <w:highlight w:val="none"/>
        </w:rPr>
      </w:pPr>
      <w:r>
        <w:rPr>
          <w:rFonts w:hint="eastAsia" w:ascii="宋体" w:hAnsi="宋体"/>
          <w:color w:val="auto"/>
          <w:szCs w:val="21"/>
          <w:highlight w:val="none"/>
        </w:rPr>
        <w:t>①投标报价低于全部通过符合性审查供应商投标报价平均值65%的，即投标报价＜全部通过符合性审查供应商投标报价平均值×65%；</w:t>
      </w:r>
    </w:p>
    <w:p w14:paraId="6102017D">
      <w:pPr>
        <w:spacing w:line="360" w:lineRule="auto"/>
        <w:ind w:firstLine="420"/>
        <w:rPr>
          <w:rFonts w:ascii="宋体" w:hAnsi="宋体"/>
          <w:color w:val="auto"/>
          <w:szCs w:val="21"/>
          <w:highlight w:val="none"/>
        </w:rPr>
      </w:pPr>
      <w:r>
        <w:rPr>
          <w:rFonts w:hint="eastAsia" w:ascii="宋体" w:hAnsi="宋体"/>
          <w:color w:val="auto"/>
          <w:szCs w:val="21"/>
          <w:highlight w:val="none"/>
        </w:rPr>
        <w:t>②投标报价低于通过符合性审查的次低报价供应商投标报价65%的，即投标报价＜通过符合性审查的次低报价供应商投标报价×65%；</w:t>
      </w:r>
    </w:p>
    <w:p w14:paraId="25001564">
      <w:pPr>
        <w:spacing w:line="360" w:lineRule="auto"/>
        <w:ind w:firstLine="420"/>
        <w:rPr>
          <w:rFonts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p>
    <w:p w14:paraId="0F417645">
      <w:pPr>
        <w:spacing w:line="360" w:lineRule="auto"/>
        <w:ind w:firstLine="420"/>
        <w:rPr>
          <w:rFonts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5D62FFD8">
      <w:pPr>
        <w:spacing w:line="360" w:lineRule="auto"/>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39FDE5F3">
      <w:pPr>
        <w:spacing w:line="360" w:lineRule="auto"/>
        <w:ind w:firstLine="420"/>
        <w:rPr>
          <w:rFonts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5C6B6501">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F0ECD61">
      <w:pPr>
        <w:spacing w:line="360" w:lineRule="auto"/>
        <w:ind w:firstLine="420"/>
        <w:rPr>
          <w:rFonts w:ascii="宋体" w:hAnsi="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15E9B8F0">
      <w:pPr>
        <w:spacing w:line="360" w:lineRule="auto"/>
        <w:ind w:firstLine="420"/>
        <w:rPr>
          <w:rFonts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42689997">
      <w:pPr>
        <w:spacing w:line="360" w:lineRule="auto"/>
        <w:ind w:firstLine="420"/>
        <w:rPr>
          <w:rFonts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41D91DDB">
      <w:pPr>
        <w:spacing w:line="360" w:lineRule="auto"/>
        <w:ind w:firstLine="420"/>
        <w:rPr>
          <w:rFonts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415B38E5">
      <w:pPr>
        <w:spacing w:line="360" w:lineRule="auto"/>
        <w:ind w:firstLine="420"/>
        <w:rPr>
          <w:rFonts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63A276F7">
      <w:pPr>
        <w:spacing w:line="360" w:lineRule="auto"/>
        <w:ind w:firstLine="424"/>
        <w:jc w:val="center"/>
        <w:rPr>
          <w:color w:val="auto"/>
          <w:highlight w:val="none"/>
        </w:rPr>
      </w:pPr>
      <w:r>
        <w:rPr>
          <w:color w:val="auto"/>
          <w:highlight w:val="none"/>
        </w:rPr>
        <w:br w:type="page" w:clear="all"/>
      </w:r>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6ABAD066">
      <w:pPr>
        <w:pStyle w:val="4"/>
        <w:keepNext w:val="0"/>
        <w:keepLines w:val="0"/>
        <w:jc w:val="center"/>
        <w:rPr>
          <w:color w:val="auto"/>
          <w:highlight w:val="none"/>
        </w:rPr>
      </w:pPr>
      <w:r>
        <w:rPr>
          <w:rFonts w:hint="eastAsia"/>
          <w:color w:val="auto"/>
          <w:highlight w:val="none"/>
        </w:rPr>
        <w:t>综合评分法</w:t>
      </w:r>
    </w:p>
    <w:p w14:paraId="1BD9BDC3">
      <w:pPr>
        <w:pStyle w:val="18"/>
        <w:rPr>
          <w:color w:val="auto"/>
          <w:highlight w:val="none"/>
        </w:rPr>
      </w:pPr>
    </w:p>
    <w:tbl>
      <w:tblPr>
        <w:tblStyle w:val="52"/>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711"/>
        <w:gridCol w:w="1905"/>
        <w:gridCol w:w="5277"/>
      </w:tblGrid>
      <w:tr w14:paraId="7C43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3" w:type="dxa"/>
            <w:gridSpan w:val="2"/>
            <w:vAlign w:val="center"/>
          </w:tcPr>
          <w:p w14:paraId="0B519A1D">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905" w:type="dxa"/>
            <w:vAlign w:val="center"/>
          </w:tcPr>
          <w:p w14:paraId="54920DD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评审因素</w:t>
            </w:r>
          </w:p>
        </w:tc>
        <w:tc>
          <w:tcPr>
            <w:tcW w:w="5277" w:type="dxa"/>
            <w:vAlign w:val="center"/>
          </w:tcPr>
          <w:p w14:paraId="02290F7A">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评标标准</w:t>
            </w:r>
          </w:p>
        </w:tc>
      </w:tr>
      <w:tr w14:paraId="7E7B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43D8A47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711" w:type="dxa"/>
            <w:vAlign w:val="center"/>
          </w:tcPr>
          <w:p w14:paraId="69297E02">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价格分</w:t>
            </w:r>
          </w:p>
          <w:p w14:paraId="77D3EF56">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（满分</w:t>
            </w:r>
            <w:r>
              <w:rPr>
                <w:rFonts w:hint="eastAsia" w:ascii="宋体" w:hAnsi="宋体" w:cs="宋体"/>
                <w:b/>
                <w:bCs/>
                <w:color w:val="auto"/>
                <w:szCs w:val="21"/>
                <w:highlight w:val="none"/>
                <w:u w:val="single"/>
              </w:rPr>
              <w:t>30</w:t>
            </w:r>
            <w:r>
              <w:rPr>
                <w:rFonts w:hint="eastAsia" w:ascii="宋体" w:hAnsi="宋体" w:cs="宋体"/>
                <w:b/>
                <w:bCs/>
                <w:color w:val="auto"/>
                <w:szCs w:val="21"/>
                <w:highlight w:val="none"/>
              </w:rPr>
              <w:t>分）</w:t>
            </w:r>
          </w:p>
          <w:p w14:paraId="1891A391">
            <w:pPr>
              <w:spacing w:line="360" w:lineRule="auto"/>
              <w:jc w:val="left"/>
              <w:rPr>
                <w:rFonts w:ascii="宋体" w:hAnsi="宋体" w:cs="宋体"/>
                <w:b/>
                <w:bCs/>
                <w:color w:val="auto"/>
                <w:szCs w:val="21"/>
                <w:highlight w:val="none"/>
              </w:rPr>
            </w:pPr>
          </w:p>
        </w:tc>
        <w:tc>
          <w:tcPr>
            <w:tcW w:w="1905" w:type="dxa"/>
            <w:vAlign w:val="center"/>
          </w:tcPr>
          <w:p w14:paraId="263CA5C1">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投标报价</w:t>
            </w:r>
          </w:p>
        </w:tc>
        <w:tc>
          <w:tcPr>
            <w:tcW w:w="5277" w:type="dxa"/>
            <w:vAlign w:val="center"/>
          </w:tcPr>
          <w:p w14:paraId="7FAF99CD">
            <w:pPr>
              <w:spacing w:line="360" w:lineRule="auto"/>
              <w:rPr>
                <w:rFonts w:ascii="宋体" w:hAnsi="宋体"/>
                <w:bCs/>
                <w:color w:val="auto"/>
                <w:szCs w:val="21"/>
                <w:highlight w:val="none"/>
              </w:rPr>
            </w:pPr>
            <w:r>
              <w:rPr>
                <w:rFonts w:hint="eastAsia" w:ascii="宋体" w:hAnsi="宋体"/>
                <w:bCs/>
                <w:color w:val="auto"/>
                <w:szCs w:val="21"/>
                <w:highlight w:val="none"/>
              </w:rPr>
              <w:t>（1）评标报价为投标人的投标报价进行政策性扣除后的价格，评标报价只是作为评标时使用。最终中标人的中标金额等于投标报价。</w:t>
            </w:r>
          </w:p>
          <w:p w14:paraId="0EAC52A0">
            <w:pPr>
              <w:spacing w:line="360" w:lineRule="auto"/>
              <w:rPr>
                <w:rFonts w:ascii="宋体" w:hAnsi="宋体" w:cs="宋体"/>
                <w:bCs/>
                <w:color w:val="auto"/>
                <w:szCs w:val="21"/>
                <w:highlight w:val="none"/>
              </w:rPr>
            </w:pPr>
            <w:r>
              <w:rPr>
                <w:rFonts w:hint="eastAsia" w:ascii="宋体" w:hAnsi="宋体" w:cs="宋体"/>
                <w:bCs/>
                <w:color w:val="auto"/>
                <w:szCs w:val="21"/>
                <w:highlight w:val="none"/>
              </w:rPr>
              <w:t>（2）本项目专门面向中小企业，不重复享受</w:t>
            </w:r>
            <w:r>
              <w:rPr>
                <w:rFonts w:hint="eastAsia"/>
                <w:color w:val="auto"/>
                <w:highlight w:val="none"/>
              </w:rPr>
              <w:t>中小企业政策性扣除</w:t>
            </w:r>
            <w:r>
              <w:rPr>
                <w:rFonts w:hint="eastAsia" w:ascii="宋体" w:hAnsi="宋体" w:cs="宋体"/>
                <w:bCs/>
                <w:color w:val="auto"/>
                <w:szCs w:val="21"/>
                <w:highlight w:val="none"/>
              </w:rPr>
              <w:t>扶持政策。</w:t>
            </w:r>
          </w:p>
          <w:p w14:paraId="03EA6F10">
            <w:pPr>
              <w:pStyle w:val="26"/>
              <w:spacing w:line="360" w:lineRule="auto"/>
              <w:rPr>
                <w:rFonts w:hAnsi="宋体"/>
                <w:color w:val="auto"/>
                <w:sz w:val="21"/>
                <w:highlight w:val="none"/>
              </w:rPr>
            </w:pPr>
            <w:r>
              <w:rPr>
                <w:rFonts w:hint="eastAsia" w:hAnsi="宋体"/>
                <w:color w:val="auto"/>
                <w:sz w:val="21"/>
                <w:highlight w:val="none"/>
              </w:rPr>
              <w:t>（3）本国产品政策性扣除计算方法。</w:t>
            </w:r>
          </w:p>
          <w:p w14:paraId="53B36F5C">
            <w:pPr>
              <w:pStyle w:val="26"/>
              <w:spacing w:line="360" w:lineRule="auto"/>
              <w:ind w:firstLine="420"/>
              <w:rPr>
                <w:rFonts w:hAnsi="宋体"/>
                <w:color w:val="auto"/>
                <w:sz w:val="21"/>
                <w:highlight w:val="none"/>
              </w:rPr>
            </w:pPr>
            <w:r>
              <w:rPr>
                <w:rFonts w:hint="eastAsia" w:hAnsi="宋体"/>
                <w:color w:val="auto"/>
                <w:sz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5C3FF41">
            <w:pPr>
              <w:pStyle w:val="26"/>
              <w:spacing w:line="360" w:lineRule="auto"/>
              <w:ind w:firstLine="420"/>
              <w:rPr>
                <w:rFonts w:hAnsi="宋体"/>
                <w:color w:val="auto"/>
                <w:sz w:val="21"/>
                <w:highlight w:val="none"/>
              </w:rPr>
            </w:pPr>
            <w:r>
              <w:rPr>
                <w:rFonts w:hint="eastAsia" w:hAnsi="宋体"/>
                <w:color w:val="auto"/>
                <w:sz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6B242A7E">
            <w:pPr>
              <w:pStyle w:val="26"/>
              <w:spacing w:line="360" w:lineRule="auto"/>
              <w:ind w:firstLine="420"/>
              <w:rPr>
                <w:rFonts w:hAnsi="宋体"/>
                <w:color w:val="auto"/>
                <w:sz w:val="21"/>
                <w:highlight w:val="none"/>
              </w:rPr>
            </w:pPr>
            <w:r>
              <w:rPr>
                <w:rFonts w:hint="eastAsia" w:hAnsi="宋体"/>
                <w:color w:val="auto"/>
                <w:sz w:val="21"/>
                <w:highlight w:val="none"/>
              </w:rPr>
              <w:t>供应商在其投标文件中提供《关于符合本国产品标准的声明函》或财政部会同有关部门规定的有关证明文件，出具符合要求的《声明函》或有关证明文件的，该产品视为本国产品。</w:t>
            </w:r>
          </w:p>
          <w:p w14:paraId="657F015B">
            <w:pPr>
              <w:spacing w:line="360" w:lineRule="auto"/>
              <w:ind w:firstLine="420"/>
              <w:rPr>
                <w:rFonts w:hAnsi="宋体"/>
                <w:color w:val="auto"/>
                <w:highlight w:val="none"/>
              </w:rPr>
            </w:pPr>
            <w:r>
              <w:rPr>
                <w:rFonts w:hint="eastAsia" w:hAnsi="宋体"/>
                <w:color w:val="auto"/>
                <w:highlight w:val="none"/>
              </w:rPr>
              <w:t>如果所有参与竞争的供应商均可享受本国产品价格评审优惠，则统一不进行价格扣除。</w:t>
            </w:r>
          </w:p>
          <w:p w14:paraId="5463FB51">
            <w:pPr>
              <w:pStyle w:val="26"/>
              <w:spacing w:line="360" w:lineRule="auto"/>
              <w:rPr>
                <w:rFonts w:hAnsi="宋体"/>
                <w:color w:val="auto"/>
                <w:sz w:val="21"/>
                <w:highlight w:val="none"/>
              </w:rPr>
            </w:pPr>
            <w:r>
              <w:rPr>
                <w:rFonts w:hint="eastAsia"/>
                <w:color w:val="auto"/>
                <w:highlight w:val="none"/>
              </w:rPr>
              <w:t>（4）</w:t>
            </w:r>
            <w:r>
              <w:rPr>
                <w:rFonts w:hint="eastAsia" w:hAnsi="宋体"/>
                <w:color w:val="auto"/>
                <w:sz w:val="21"/>
                <w:highlight w:val="none"/>
              </w:rPr>
              <w:t>用扣除后的价格参加评审。即评标报价=投标报价-本国产品政策性折扣，除上述情况外，评标报价=投标报价。</w:t>
            </w:r>
          </w:p>
          <w:p w14:paraId="1AAD248D">
            <w:pPr>
              <w:spacing w:line="360" w:lineRule="auto"/>
              <w:rPr>
                <w:rFonts w:ascii="宋体" w:hAnsi="宋体" w:cs="宋体"/>
                <w:bCs/>
                <w:color w:val="auto"/>
                <w:szCs w:val="21"/>
                <w:highlight w:val="none"/>
              </w:rPr>
            </w:pPr>
            <w:r>
              <w:rPr>
                <w:rFonts w:hint="eastAsia" w:ascii="宋体" w:hAnsi="宋体" w:cs="宋体"/>
                <w:bCs/>
                <w:color w:val="auto"/>
                <w:szCs w:val="21"/>
                <w:highlight w:val="none"/>
              </w:rPr>
              <w:t>（5）满足招标文件要求且评标报价最低的评标报价为评标基准价，其价格分为满分。</w:t>
            </w:r>
          </w:p>
          <w:p w14:paraId="7F5FEBB1">
            <w:pPr>
              <w:spacing w:line="360" w:lineRule="auto"/>
              <w:rPr>
                <w:rFonts w:ascii="宋体" w:hAnsi="宋体" w:cs="宋体"/>
                <w:bCs/>
                <w:color w:val="auto"/>
                <w:szCs w:val="21"/>
                <w:highlight w:val="none"/>
              </w:rPr>
            </w:pPr>
            <w:r>
              <w:rPr>
                <w:rFonts w:hint="eastAsia" w:ascii="宋体" w:hAnsi="宋体" w:cs="宋体"/>
                <w:bCs/>
                <w:color w:val="auto"/>
                <w:szCs w:val="21"/>
                <w:highlight w:val="none"/>
              </w:rPr>
              <w:t xml:space="preserve">（6）价格分计算公式：        </w:t>
            </w:r>
          </w:p>
          <w:p w14:paraId="1DE1E787">
            <w:pPr>
              <w:spacing w:line="360" w:lineRule="auto"/>
              <w:rPr>
                <w:rFonts w:ascii="宋体" w:hAnsi="宋体" w:cs="宋体"/>
                <w:bCs/>
                <w:color w:val="auto"/>
                <w:szCs w:val="21"/>
                <w:highlight w:val="none"/>
              </w:rPr>
            </w:pPr>
            <w:r>
              <w:rPr>
                <w:rFonts w:hint="eastAsia" w:ascii="宋体" w:hAnsi="宋体" w:cs="宋体"/>
                <w:bCs/>
                <w:color w:val="auto"/>
                <w:szCs w:val="21"/>
                <w:highlight w:val="none"/>
              </w:rPr>
              <w:t>价格分=（评标基准价／评标报价）×30分</w:t>
            </w:r>
          </w:p>
        </w:tc>
      </w:tr>
      <w:tr w14:paraId="5E29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7453E6F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711" w:type="dxa"/>
            <w:vMerge w:val="restart"/>
            <w:vAlign w:val="center"/>
          </w:tcPr>
          <w:p w14:paraId="51CFC886">
            <w:pPr>
              <w:spacing w:line="360" w:lineRule="auto"/>
              <w:ind w:left="-105" w:right="-105"/>
              <w:jc w:val="center"/>
              <w:rPr>
                <w:rFonts w:ascii="宋体" w:hAnsi="宋体" w:cs="宋体"/>
                <w:b/>
                <w:bCs/>
                <w:color w:val="auto"/>
                <w:szCs w:val="21"/>
                <w:highlight w:val="none"/>
              </w:rPr>
            </w:pPr>
            <w:r>
              <w:rPr>
                <w:rFonts w:hint="eastAsia" w:ascii="宋体" w:hAnsi="宋体" w:cs="宋体"/>
                <w:b/>
                <w:bCs/>
                <w:color w:val="auto"/>
                <w:szCs w:val="21"/>
                <w:highlight w:val="none"/>
              </w:rPr>
              <w:t>技术分</w:t>
            </w:r>
          </w:p>
          <w:p w14:paraId="2B4CAB33">
            <w:pPr>
              <w:spacing w:line="360" w:lineRule="auto"/>
              <w:ind w:left="-105" w:right="-105"/>
              <w:jc w:val="center"/>
              <w:rPr>
                <w:rFonts w:ascii="宋体" w:hAnsi="宋体" w:cs="宋体"/>
                <w:color w:val="auto"/>
                <w:spacing w:val="-18"/>
                <w:szCs w:val="21"/>
                <w:highlight w:val="none"/>
              </w:rPr>
            </w:pPr>
            <w:r>
              <w:rPr>
                <w:rFonts w:hint="eastAsia" w:ascii="宋体" w:hAnsi="宋体" w:cs="宋体"/>
                <w:b/>
                <w:color w:val="auto"/>
                <w:szCs w:val="21"/>
                <w:highlight w:val="none"/>
              </w:rPr>
              <w:t>（满分4</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分）</w:t>
            </w:r>
          </w:p>
        </w:tc>
        <w:tc>
          <w:tcPr>
            <w:tcW w:w="1905" w:type="dxa"/>
            <w:vAlign w:val="center"/>
          </w:tcPr>
          <w:p w14:paraId="37509A4C">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（1）设备性能分（满分30分）</w:t>
            </w:r>
          </w:p>
        </w:tc>
        <w:tc>
          <w:tcPr>
            <w:tcW w:w="5277" w:type="dxa"/>
            <w:vAlign w:val="center"/>
          </w:tcPr>
          <w:p w14:paraId="2A3C1620">
            <w:pPr>
              <w:spacing w:line="360" w:lineRule="auto"/>
              <w:rPr>
                <w:rFonts w:ascii="宋体" w:hAnsi="宋体" w:cs="宋体"/>
                <w:color w:val="auto"/>
                <w:szCs w:val="21"/>
                <w:highlight w:val="none"/>
              </w:rPr>
            </w:pPr>
            <w:r>
              <w:rPr>
                <w:rFonts w:hint="eastAsia" w:ascii="宋体" w:hAnsi="宋体" w:cs="宋体"/>
                <w:color w:val="auto"/>
                <w:szCs w:val="21"/>
                <w:highlight w:val="none"/>
              </w:rPr>
              <w:t>通过资格审查与符合性审查的投标人得基本分30分，无标记的一般技术参数，负偏离或漏项的每一项扣5分，最多扣完30分。</w:t>
            </w:r>
            <w:r>
              <w:rPr>
                <w:rFonts w:hint="eastAsia" w:ascii="宋体" w:hAnsi="宋体" w:cs="宋体"/>
                <w:bCs/>
                <w:color w:val="auto"/>
                <w:szCs w:val="21"/>
                <w:highlight w:val="none"/>
              </w:rPr>
              <w:t>技术参数</w:t>
            </w:r>
            <w:r>
              <w:rPr>
                <w:rFonts w:hint="eastAsia" w:ascii="宋体" w:hAnsi="宋体" w:cs="宋体"/>
                <w:color w:val="auto"/>
                <w:szCs w:val="21"/>
                <w:highlight w:val="none"/>
              </w:rPr>
              <w:t>负偏离的项数总和不能超过6项。</w:t>
            </w:r>
          </w:p>
        </w:tc>
      </w:tr>
      <w:tr w14:paraId="15A5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7AF2E61F">
            <w:pPr>
              <w:spacing w:line="360" w:lineRule="auto"/>
              <w:jc w:val="center"/>
              <w:rPr>
                <w:rFonts w:ascii="宋体" w:hAnsi="宋体" w:cs="宋体"/>
                <w:color w:val="auto"/>
                <w:szCs w:val="21"/>
                <w:highlight w:val="none"/>
              </w:rPr>
            </w:pPr>
          </w:p>
        </w:tc>
        <w:tc>
          <w:tcPr>
            <w:tcW w:w="1711" w:type="dxa"/>
            <w:vMerge w:val="continue"/>
            <w:vAlign w:val="center"/>
          </w:tcPr>
          <w:p w14:paraId="53731C4F">
            <w:pPr>
              <w:spacing w:line="360" w:lineRule="auto"/>
              <w:ind w:left="-105" w:right="-105"/>
              <w:jc w:val="center"/>
              <w:rPr>
                <w:rFonts w:ascii="宋体" w:hAnsi="宋体" w:cs="宋体"/>
                <w:b/>
                <w:color w:val="auto"/>
                <w:szCs w:val="21"/>
                <w:highlight w:val="none"/>
              </w:rPr>
            </w:pPr>
          </w:p>
        </w:tc>
        <w:tc>
          <w:tcPr>
            <w:tcW w:w="1905" w:type="dxa"/>
            <w:vAlign w:val="center"/>
          </w:tcPr>
          <w:p w14:paraId="0211F605">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（2）项目实施方案</w:t>
            </w:r>
          </w:p>
          <w:p w14:paraId="0617BFD6">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（满分1</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分）</w:t>
            </w:r>
          </w:p>
        </w:tc>
        <w:tc>
          <w:tcPr>
            <w:tcW w:w="5277" w:type="dxa"/>
            <w:vAlign w:val="center"/>
          </w:tcPr>
          <w:p w14:paraId="58273A0D">
            <w:pPr>
              <w:spacing w:line="360" w:lineRule="auto"/>
              <w:rPr>
                <w:rFonts w:ascii="宋体" w:hAnsi="宋体" w:cs="宋体"/>
                <w:color w:val="auto"/>
                <w:szCs w:val="21"/>
                <w:highlight w:val="none"/>
              </w:rPr>
            </w:pPr>
            <w:r>
              <w:rPr>
                <w:rFonts w:hint="eastAsia" w:ascii="宋体" w:hAnsi="宋体" w:cs="宋体"/>
                <w:color w:val="auto"/>
                <w:szCs w:val="21"/>
                <w:highlight w:val="none"/>
              </w:rPr>
              <w:t>评标委员会根据投标人制定的项目实施方案进行独立评审，包括：</w:t>
            </w:r>
          </w:p>
          <w:p w14:paraId="73EAF63A">
            <w:pPr>
              <w:spacing w:line="360" w:lineRule="auto"/>
              <w:rPr>
                <w:rFonts w:ascii="宋体" w:hAnsi="宋体" w:cs="宋体"/>
                <w:color w:val="auto"/>
                <w:szCs w:val="21"/>
                <w:highlight w:val="none"/>
              </w:rPr>
            </w:pPr>
            <w:r>
              <w:rPr>
                <w:rFonts w:hint="eastAsia" w:ascii="宋体" w:hAnsi="宋体" w:cs="宋体"/>
                <w:color w:val="auto"/>
                <w:szCs w:val="21"/>
                <w:highlight w:val="none"/>
              </w:rPr>
              <w:t>①项目实施方案包括管理措施、质量保证措施、风险防范等措施；</w:t>
            </w:r>
          </w:p>
          <w:p w14:paraId="17F5071C">
            <w:pPr>
              <w:spacing w:line="360" w:lineRule="auto"/>
              <w:rPr>
                <w:rFonts w:ascii="宋体" w:hAnsi="宋体" w:cs="宋体"/>
                <w:color w:val="auto"/>
                <w:szCs w:val="21"/>
                <w:highlight w:val="none"/>
              </w:rPr>
            </w:pPr>
            <w:r>
              <w:rPr>
                <w:rFonts w:hint="eastAsia" w:ascii="宋体" w:hAnsi="宋体" w:cs="宋体"/>
                <w:color w:val="auto"/>
                <w:szCs w:val="21"/>
                <w:highlight w:val="none"/>
              </w:rPr>
              <w:t>②实施流程、实施内容和项目进度表；</w:t>
            </w:r>
          </w:p>
          <w:p w14:paraId="2E1E7059">
            <w:pPr>
              <w:spacing w:line="360" w:lineRule="auto"/>
              <w:rPr>
                <w:rFonts w:ascii="宋体" w:hAnsi="宋体" w:cs="宋体"/>
                <w:color w:val="auto"/>
                <w:szCs w:val="21"/>
                <w:highlight w:val="none"/>
              </w:rPr>
            </w:pPr>
            <w:r>
              <w:rPr>
                <w:rFonts w:hint="eastAsia" w:ascii="宋体" w:hAnsi="宋体" w:cs="宋体"/>
                <w:color w:val="auto"/>
                <w:szCs w:val="21"/>
                <w:highlight w:val="none"/>
              </w:rPr>
              <w:t>③安装调试方案，分析安装调试环节重、难点和相应的应对策略。</w:t>
            </w:r>
          </w:p>
          <w:p w14:paraId="60C8E27E">
            <w:pPr>
              <w:spacing w:line="360" w:lineRule="auto"/>
              <w:rPr>
                <w:rFonts w:ascii="宋体" w:hAnsi="宋体" w:cs="宋体"/>
                <w:color w:val="auto"/>
                <w:szCs w:val="21"/>
                <w:highlight w:val="none"/>
              </w:rPr>
            </w:pPr>
            <w:r>
              <w:rPr>
                <w:rFonts w:hint="eastAsia" w:ascii="宋体" w:hAnsi="宋体" w:cs="宋体"/>
                <w:b/>
                <w:color w:val="auto"/>
                <w:highlight w:val="none"/>
              </w:rPr>
              <w:t>注：以上各个评分项，符合采购需求、内容全面、有针对性、有利于项目实施的每个得</w:t>
            </w:r>
            <w:r>
              <w:rPr>
                <w:rFonts w:hint="eastAsia" w:ascii="宋体" w:hAnsi="宋体" w:cs="宋体"/>
                <w:b/>
                <w:color w:val="auto"/>
                <w:highlight w:val="none"/>
                <w:lang w:val="en-US" w:eastAsia="zh-CN"/>
              </w:rPr>
              <w:t>5</w:t>
            </w:r>
            <w:r>
              <w:rPr>
                <w:rFonts w:hint="eastAsia" w:ascii="宋体" w:hAnsi="宋体" w:cs="宋体"/>
                <w:b/>
                <w:color w:val="auto"/>
                <w:highlight w:val="none"/>
              </w:rPr>
              <w:t>分，未提供</w:t>
            </w:r>
            <w:r>
              <w:rPr>
                <w:rFonts w:hint="eastAsia" w:ascii="宋体" w:hAnsi="宋体" w:cs="宋体"/>
                <w:b/>
                <w:color w:val="auto"/>
                <w:highlight w:val="none"/>
              </w:rPr>
              <w:t>或未满足上述要求</w:t>
            </w:r>
            <w:r>
              <w:rPr>
                <w:rFonts w:hint="eastAsia" w:ascii="宋体" w:hAnsi="宋体" w:cs="宋体"/>
                <w:b/>
                <w:color w:val="auto"/>
                <w:highlight w:val="none"/>
              </w:rPr>
              <w:t>的该项不得分。</w:t>
            </w:r>
          </w:p>
        </w:tc>
      </w:tr>
      <w:tr w14:paraId="46B1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1867DE0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1711" w:type="dxa"/>
            <w:vMerge w:val="restart"/>
            <w:vAlign w:val="center"/>
          </w:tcPr>
          <w:p w14:paraId="63BDB2BE">
            <w:pPr>
              <w:spacing w:line="360" w:lineRule="auto"/>
              <w:ind w:left="-105" w:right="-105"/>
              <w:jc w:val="center"/>
              <w:rPr>
                <w:rFonts w:ascii="宋体" w:hAnsi="宋体" w:cs="宋体"/>
                <w:b/>
                <w:bCs/>
                <w:color w:val="auto"/>
                <w:szCs w:val="21"/>
                <w:highlight w:val="none"/>
              </w:rPr>
            </w:pPr>
            <w:r>
              <w:rPr>
                <w:rFonts w:hint="eastAsia" w:ascii="宋体" w:hAnsi="宋体" w:cs="宋体"/>
                <w:b/>
                <w:bCs/>
                <w:color w:val="auto"/>
                <w:szCs w:val="21"/>
                <w:highlight w:val="none"/>
              </w:rPr>
              <w:t>商务分</w:t>
            </w:r>
          </w:p>
          <w:p w14:paraId="7F7F1B0E">
            <w:pPr>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（满分2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分）</w:t>
            </w:r>
          </w:p>
        </w:tc>
        <w:tc>
          <w:tcPr>
            <w:tcW w:w="1905" w:type="dxa"/>
            <w:vAlign w:val="center"/>
          </w:tcPr>
          <w:p w14:paraId="4A3DE7D7">
            <w:pPr>
              <w:widowControl/>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（1）售后服务方案（满分12分）</w:t>
            </w:r>
          </w:p>
        </w:tc>
        <w:tc>
          <w:tcPr>
            <w:tcW w:w="5277" w:type="dxa"/>
            <w:vAlign w:val="center"/>
          </w:tcPr>
          <w:p w14:paraId="43F3F168">
            <w:pPr>
              <w:spacing w:line="360" w:lineRule="auto"/>
              <w:rPr>
                <w:rFonts w:ascii="宋体" w:hAnsi="宋体" w:cs="宋体"/>
                <w:color w:val="auto"/>
                <w:szCs w:val="21"/>
                <w:highlight w:val="none"/>
              </w:rPr>
            </w:pPr>
            <w:r>
              <w:rPr>
                <w:rFonts w:hint="eastAsia" w:ascii="宋体" w:hAnsi="宋体" w:cs="宋体"/>
                <w:color w:val="auto"/>
                <w:szCs w:val="21"/>
                <w:highlight w:val="none"/>
              </w:rPr>
              <w:t>评标委员会根据投标人制定售后服务方案(包括质量全面保证、应急响应方案、排除故障响应时间、运维期内的保养方案)进行独立评审，包括：</w:t>
            </w:r>
          </w:p>
          <w:p w14:paraId="0080F582">
            <w:pPr>
              <w:spacing w:line="360" w:lineRule="auto"/>
              <w:rPr>
                <w:rFonts w:ascii="宋体" w:hAnsi="宋体" w:cs="宋体"/>
                <w:color w:val="auto"/>
                <w:szCs w:val="21"/>
                <w:highlight w:val="none"/>
              </w:rPr>
            </w:pPr>
            <w:r>
              <w:rPr>
                <w:rFonts w:hint="eastAsia" w:ascii="宋体" w:hAnsi="宋体" w:cs="宋体"/>
                <w:color w:val="auto"/>
                <w:szCs w:val="21"/>
                <w:highlight w:val="none"/>
              </w:rPr>
              <w:t>①设备的维护保养方案及质保期外的含零配件的优惠供应等内容；</w:t>
            </w:r>
          </w:p>
          <w:p w14:paraId="6E571DB8">
            <w:pPr>
              <w:spacing w:line="360" w:lineRule="auto"/>
              <w:rPr>
                <w:rFonts w:ascii="宋体" w:hAnsi="宋体" w:cs="宋体"/>
                <w:color w:val="auto"/>
                <w:szCs w:val="21"/>
                <w:highlight w:val="none"/>
              </w:rPr>
            </w:pPr>
            <w:r>
              <w:rPr>
                <w:rFonts w:hint="eastAsia" w:ascii="宋体" w:hAnsi="宋体" w:cs="宋体"/>
                <w:color w:val="auto"/>
                <w:szCs w:val="21"/>
                <w:highlight w:val="none"/>
              </w:rPr>
              <w:t>②应急响应方案（包括设备使用过程中的质量控制、操作规程、保养与管理，常见故障的排除、紧急情况的处理等）</w:t>
            </w:r>
          </w:p>
          <w:p w14:paraId="1F1BFD1B">
            <w:pPr>
              <w:spacing w:line="360" w:lineRule="auto"/>
              <w:rPr>
                <w:rFonts w:ascii="宋体" w:hAnsi="宋体" w:cs="宋体"/>
                <w:color w:val="auto"/>
                <w:szCs w:val="21"/>
                <w:highlight w:val="none"/>
              </w:rPr>
            </w:pPr>
            <w:r>
              <w:rPr>
                <w:rFonts w:hint="eastAsia" w:ascii="宋体" w:hAnsi="宋体" w:cs="宋体"/>
                <w:color w:val="auto"/>
                <w:szCs w:val="21"/>
                <w:highlight w:val="none"/>
              </w:rPr>
              <w:t>③后期服务运行机制。</w:t>
            </w:r>
          </w:p>
          <w:p w14:paraId="0FC9AAFC">
            <w:pPr>
              <w:spacing w:line="360" w:lineRule="auto"/>
              <w:rPr>
                <w:rFonts w:ascii="宋体" w:hAnsi="宋体" w:cs="宋体"/>
                <w:color w:val="auto"/>
                <w:szCs w:val="21"/>
                <w:highlight w:val="none"/>
              </w:rPr>
            </w:pPr>
            <w:r>
              <w:rPr>
                <w:rFonts w:hint="eastAsia" w:ascii="宋体" w:hAnsi="宋体" w:cs="宋体"/>
                <w:b/>
                <w:color w:val="auto"/>
                <w:highlight w:val="none"/>
              </w:rPr>
              <w:t>注：以上各个评分项，符合采购需求、内容全面、有针对性、有利于项目实施的每个得4分，未提供</w:t>
            </w:r>
            <w:r>
              <w:rPr>
                <w:rFonts w:hint="eastAsia" w:ascii="宋体" w:hAnsi="宋体" w:cs="宋体"/>
                <w:b/>
                <w:color w:val="auto"/>
                <w:highlight w:val="none"/>
              </w:rPr>
              <w:t>或未满足上述要求</w:t>
            </w:r>
            <w:r>
              <w:rPr>
                <w:rFonts w:hint="eastAsia" w:ascii="宋体" w:hAnsi="宋体" w:cs="宋体"/>
                <w:b/>
                <w:color w:val="auto"/>
                <w:highlight w:val="none"/>
              </w:rPr>
              <w:t>的该项不得分。</w:t>
            </w:r>
          </w:p>
        </w:tc>
      </w:tr>
      <w:tr w14:paraId="5EA7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19C57742">
            <w:pPr>
              <w:spacing w:line="360" w:lineRule="auto"/>
              <w:jc w:val="center"/>
              <w:rPr>
                <w:rFonts w:ascii="宋体" w:hAnsi="宋体" w:cs="宋体"/>
                <w:color w:val="auto"/>
                <w:szCs w:val="21"/>
                <w:highlight w:val="none"/>
              </w:rPr>
            </w:pPr>
          </w:p>
        </w:tc>
        <w:tc>
          <w:tcPr>
            <w:tcW w:w="1711" w:type="dxa"/>
            <w:vMerge w:val="continue"/>
            <w:vAlign w:val="center"/>
          </w:tcPr>
          <w:p w14:paraId="477CD453">
            <w:pPr>
              <w:spacing w:line="360" w:lineRule="auto"/>
              <w:jc w:val="center"/>
              <w:rPr>
                <w:rFonts w:ascii="宋体" w:hAnsi="宋体" w:cs="宋体"/>
                <w:b/>
                <w:color w:val="auto"/>
                <w:szCs w:val="21"/>
                <w:highlight w:val="none"/>
              </w:rPr>
            </w:pPr>
          </w:p>
        </w:tc>
        <w:tc>
          <w:tcPr>
            <w:tcW w:w="1905" w:type="dxa"/>
            <w:vAlign w:val="center"/>
          </w:tcPr>
          <w:p w14:paraId="1AEA5A95">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（2）技术培训方案（满分12分）</w:t>
            </w:r>
          </w:p>
        </w:tc>
        <w:tc>
          <w:tcPr>
            <w:tcW w:w="5277" w:type="dxa"/>
            <w:vAlign w:val="center"/>
          </w:tcPr>
          <w:p w14:paraId="2BA1C538">
            <w:pPr>
              <w:spacing w:line="360" w:lineRule="auto"/>
              <w:rPr>
                <w:rFonts w:ascii="宋体" w:hAnsi="宋体" w:cs="宋体"/>
                <w:color w:val="auto"/>
                <w:szCs w:val="21"/>
                <w:highlight w:val="none"/>
              </w:rPr>
            </w:pPr>
            <w:r>
              <w:rPr>
                <w:rFonts w:hint="eastAsia" w:ascii="宋体" w:hAnsi="宋体" w:cs="宋体"/>
                <w:color w:val="auto"/>
                <w:szCs w:val="21"/>
                <w:highlight w:val="none"/>
              </w:rPr>
              <w:t>评标委员会根据投标人制定的技术培训方案进行独立评审，包括:</w:t>
            </w:r>
          </w:p>
          <w:p w14:paraId="7817CCEF">
            <w:pPr>
              <w:spacing w:line="360" w:lineRule="auto"/>
              <w:rPr>
                <w:rFonts w:ascii="宋体" w:hAnsi="宋体" w:cs="宋体"/>
                <w:color w:val="auto"/>
                <w:szCs w:val="21"/>
                <w:highlight w:val="none"/>
              </w:rPr>
            </w:pPr>
            <w:r>
              <w:rPr>
                <w:rFonts w:hint="eastAsia" w:ascii="宋体" w:hAnsi="宋体" w:cs="宋体"/>
                <w:color w:val="auto"/>
                <w:szCs w:val="21"/>
                <w:highlight w:val="none"/>
              </w:rPr>
              <w:t>①培训计划及流程安排，其中培训对象包含设备管理员、系统管理人员、操作员、采购人维修技术员等；</w:t>
            </w:r>
          </w:p>
          <w:p w14:paraId="441DD3A0">
            <w:pPr>
              <w:spacing w:line="360" w:lineRule="auto"/>
              <w:rPr>
                <w:rFonts w:ascii="宋体" w:hAnsi="宋体" w:cs="宋体"/>
                <w:color w:val="auto"/>
                <w:szCs w:val="21"/>
                <w:highlight w:val="none"/>
              </w:rPr>
            </w:pPr>
            <w:r>
              <w:rPr>
                <w:rFonts w:hint="eastAsia" w:ascii="宋体" w:hAnsi="宋体" w:cs="宋体"/>
                <w:color w:val="auto"/>
                <w:szCs w:val="21"/>
                <w:highlight w:val="none"/>
              </w:rPr>
              <w:t>②培训课程及内容，包括但不限于培训内容、培训方式、培训教材、培训时间等；</w:t>
            </w:r>
          </w:p>
          <w:p w14:paraId="474C830E">
            <w:pPr>
              <w:spacing w:line="360" w:lineRule="auto"/>
              <w:rPr>
                <w:rFonts w:ascii="宋体" w:hAnsi="宋体" w:cs="宋体"/>
                <w:color w:val="auto"/>
                <w:szCs w:val="21"/>
                <w:highlight w:val="none"/>
              </w:rPr>
            </w:pPr>
            <w:r>
              <w:rPr>
                <w:rFonts w:hint="eastAsia" w:ascii="宋体" w:hAnsi="宋体" w:cs="宋体"/>
                <w:color w:val="auto"/>
                <w:szCs w:val="21"/>
                <w:highlight w:val="none"/>
              </w:rPr>
              <w:t>③培训评估与改进，包括但不限于培训效果跟踪、反馈机制等。</w:t>
            </w:r>
          </w:p>
          <w:p w14:paraId="5D4C996F">
            <w:pPr>
              <w:spacing w:line="360" w:lineRule="auto"/>
              <w:rPr>
                <w:rFonts w:ascii="宋体" w:hAnsi="宋体" w:cs="宋体"/>
                <w:color w:val="auto"/>
                <w:szCs w:val="21"/>
                <w:highlight w:val="none"/>
              </w:rPr>
            </w:pPr>
            <w:r>
              <w:rPr>
                <w:rFonts w:hint="eastAsia" w:ascii="宋体" w:hAnsi="宋体" w:cs="宋体"/>
                <w:b/>
                <w:color w:val="auto"/>
                <w:highlight w:val="none"/>
              </w:rPr>
              <w:t>注：以上各个评分项，符合采购需求、内容全面、有针对性、有利于项目实施的每个得4分，未提供</w:t>
            </w:r>
            <w:r>
              <w:rPr>
                <w:rFonts w:hint="eastAsia" w:ascii="宋体" w:hAnsi="宋体" w:cs="宋体"/>
                <w:b/>
                <w:color w:val="auto"/>
                <w:highlight w:val="none"/>
              </w:rPr>
              <w:t>或未满足上述要求</w:t>
            </w:r>
            <w:r>
              <w:rPr>
                <w:rFonts w:hint="eastAsia" w:ascii="宋体" w:hAnsi="宋体" w:cs="宋体"/>
                <w:b/>
                <w:color w:val="auto"/>
                <w:highlight w:val="none"/>
              </w:rPr>
              <w:t>的该项不得分。</w:t>
            </w:r>
          </w:p>
        </w:tc>
      </w:tr>
      <w:tr w14:paraId="480B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DA3449D">
            <w:pPr>
              <w:spacing w:line="360" w:lineRule="auto"/>
              <w:jc w:val="center"/>
              <w:rPr>
                <w:rFonts w:ascii="宋体" w:hAnsi="宋体" w:cs="宋体"/>
                <w:color w:val="auto"/>
                <w:szCs w:val="21"/>
                <w:highlight w:val="none"/>
              </w:rPr>
            </w:pPr>
          </w:p>
        </w:tc>
        <w:tc>
          <w:tcPr>
            <w:tcW w:w="1711" w:type="dxa"/>
            <w:vMerge w:val="continue"/>
            <w:vAlign w:val="center"/>
          </w:tcPr>
          <w:p w14:paraId="0B8C06B7">
            <w:pPr>
              <w:spacing w:line="360" w:lineRule="auto"/>
              <w:jc w:val="center"/>
              <w:rPr>
                <w:rFonts w:ascii="宋体" w:hAnsi="宋体" w:cs="宋体"/>
                <w:color w:val="auto"/>
                <w:szCs w:val="21"/>
                <w:highlight w:val="none"/>
              </w:rPr>
            </w:pPr>
          </w:p>
        </w:tc>
        <w:tc>
          <w:tcPr>
            <w:tcW w:w="1905" w:type="dxa"/>
            <w:vAlign w:val="center"/>
          </w:tcPr>
          <w:p w14:paraId="15EA5F7E">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）政策分</w:t>
            </w:r>
          </w:p>
          <w:p w14:paraId="5B5E236A">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（满分</w:t>
            </w:r>
            <w:r>
              <w:rPr>
                <w:rFonts w:hint="eastAsia" w:ascii="宋体" w:hAnsi="宋体" w:cs="宋体"/>
                <w:b/>
                <w:bCs/>
                <w:color w:val="auto"/>
                <w:szCs w:val="21"/>
                <w:highlight w:val="none"/>
                <w:u w:val="single"/>
              </w:rPr>
              <w:t>1</w:t>
            </w:r>
            <w:r>
              <w:rPr>
                <w:rFonts w:hint="eastAsia" w:ascii="宋体" w:hAnsi="宋体" w:cs="宋体"/>
                <w:b/>
                <w:bCs/>
                <w:color w:val="auto"/>
                <w:szCs w:val="21"/>
                <w:highlight w:val="none"/>
              </w:rPr>
              <w:t>分）</w:t>
            </w:r>
          </w:p>
          <w:p w14:paraId="45816DA7">
            <w:pPr>
              <w:spacing w:line="360" w:lineRule="auto"/>
              <w:jc w:val="center"/>
              <w:rPr>
                <w:rFonts w:ascii="宋体" w:hAnsi="宋体" w:cs="宋体"/>
                <w:b/>
                <w:bCs/>
                <w:color w:val="auto"/>
                <w:szCs w:val="21"/>
                <w:highlight w:val="none"/>
              </w:rPr>
            </w:pPr>
          </w:p>
        </w:tc>
        <w:tc>
          <w:tcPr>
            <w:tcW w:w="5277" w:type="dxa"/>
            <w:vAlign w:val="center"/>
          </w:tcPr>
          <w:p w14:paraId="115878D6">
            <w:pPr>
              <w:pStyle w:val="26"/>
              <w:spacing w:line="360" w:lineRule="auto"/>
              <w:rPr>
                <w:rFonts w:hAnsi="宋体" w:cs="宋体"/>
                <w:bCs/>
                <w:color w:val="auto"/>
                <w:sz w:val="21"/>
                <w:highlight w:val="none"/>
              </w:rPr>
            </w:pPr>
            <w:r>
              <w:rPr>
                <w:rFonts w:hint="eastAsia" w:hAnsi="宋体" w:cs="宋体"/>
                <w:bCs/>
                <w:color w:val="auto"/>
                <w:sz w:val="21"/>
                <w:highlight w:val="none"/>
              </w:rPr>
              <w:t>（1）属于财政部《节能产品政府采购品目清单》内优先采购（清单内未标注“★”的品目）的产品[投标文件中提供有效的认证证书复印件及品目清单（标注出投标产品在品目清单中所属的品目），并加盖投标人公章]，根据其所占项目（或者分标）投标报价比例得</w:t>
            </w:r>
            <w:r>
              <w:rPr>
                <w:rFonts w:hint="eastAsia" w:hAnsi="宋体" w:cs="宋体"/>
                <w:bCs/>
                <w:color w:val="auto"/>
                <w:sz w:val="21"/>
                <w:highlight w:val="none"/>
                <w:u w:val="single"/>
              </w:rPr>
              <w:t>0</w:t>
            </w:r>
            <w:r>
              <w:rPr>
                <w:rFonts w:hint="eastAsia" w:hAnsi="宋体" w:cs="宋体"/>
                <w:bCs/>
                <w:color w:val="auto"/>
                <w:sz w:val="21"/>
                <w:highlight w:val="none"/>
              </w:rPr>
              <w:t>至</w:t>
            </w:r>
            <w:r>
              <w:rPr>
                <w:rFonts w:hint="eastAsia" w:hAnsi="宋体" w:cs="宋体"/>
                <w:bCs/>
                <w:color w:val="auto"/>
                <w:sz w:val="21"/>
                <w:highlight w:val="none"/>
                <w:u w:val="single"/>
              </w:rPr>
              <w:t>0.5</w:t>
            </w:r>
            <w:r>
              <w:rPr>
                <w:rFonts w:hint="eastAsia" w:hAnsi="宋体" w:cs="宋体"/>
                <w:bCs/>
                <w:color w:val="auto"/>
                <w:sz w:val="21"/>
                <w:highlight w:val="none"/>
              </w:rPr>
              <w:t>分，满分</w:t>
            </w:r>
            <w:r>
              <w:rPr>
                <w:rFonts w:hint="eastAsia" w:hAnsi="宋体" w:cs="宋体"/>
                <w:bCs/>
                <w:color w:val="auto"/>
                <w:sz w:val="21"/>
                <w:highlight w:val="none"/>
                <w:u w:val="single"/>
              </w:rPr>
              <w:t>0.5</w:t>
            </w:r>
            <w:r>
              <w:rPr>
                <w:rFonts w:hint="eastAsia" w:hAnsi="宋体" w:cs="宋体"/>
                <w:bCs/>
                <w:color w:val="auto"/>
                <w:sz w:val="21"/>
                <w:highlight w:val="none"/>
              </w:rPr>
              <w:t>分。</w:t>
            </w:r>
          </w:p>
          <w:p w14:paraId="0A206311">
            <w:pPr>
              <w:pStyle w:val="26"/>
              <w:spacing w:line="360" w:lineRule="auto"/>
              <w:rPr>
                <w:rFonts w:hAnsi="宋体" w:cs="宋体"/>
                <w:bCs/>
                <w:color w:val="auto"/>
                <w:sz w:val="21"/>
                <w:highlight w:val="none"/>
              </w:rPr>
            </w:pPr>
            <w:r>
              <w:rPr>
                <w:rFonts w:hint="eastAsia" w:hAnsi="宋体" w:cs="宋体"/>
                <w:bCs/>
                <w:color w:val="auto"/>
                <w:sz w:val="21"/>
                <w:highlight w:val="none"/>
              </w:rPr>
              <w:t>（2）属于财政部《环境标志产品政府采购品目清单》内的产品[投标文件中提供有效的认证证书复印件及品目清单（标注出投标产品在品目清单中所属的品目），并加盖投标人公章]，根据其所占项目（或者分标）投标报价比例得</w:t>
            </w:r>
            <w:r>
              <w:rPr>
                <w:rFonts w:hint="eastAsia" w:hAnsi="宋体" w:cs="宋体"/>
                <w:bCs/>
                <w:color w:val="auto"/>
                <w:sz w:val="21"/>
                <w:highlight w:val="none"/>
                <w:u w:val="single"/>
              </w:rPr>
              <w:t>0</w:t>
            </w:r>
            <w:r>
              <w:rPr>
                <w:rFonts w:hint="eastAsia" w:hAnsi="宋体" w:cs="宋体"/>
                <w:bCs/>
                <w:color w:val="auto"/>
                <w:sz w:val="21"/>
                <w:highlight w:val="none"/>
              </w:rPr>
              <w:t>至</w:t>
            </w:r>
            <w:r>
              <w:rPr>
                <w:rFonts w:hint="eastAsia" w:hAnsi="宋体" w:cs="宋体"/>
                <w:bCs/>
                <w:color w:val="auto"/>
                <w:sz w:val="21"/>
                <w:highlight w:val="none"/>
                <w:u w:val="single"/>
              </w:rPr>
              <w:t>0.5</w:t>
            </w:r>
            <w:r>
              <w:rPr>
                <w:rFonts w:hint="eastAsia" w:hAnsi="宋体" w:cs="宋体"/>
                <w:bCs/>
                <w:color w:val="auto"/>
                <w:sz w:val="21"/>
                <w:highlight w:val="none"/>
              </w:rPr>
              <w:t>分，满分</w:t>
            </w:r>
            <w:r>
              <w:rPr>
                <w:rFonts w:hint="eastAsia" w:hAnsi="宋体" w:cs="宋体"/>
                <w:bCs/>
                <w:color w:val="auto"/>
                <w:sz w:val="21"/>
                <w:highlight w:val="none"/>
                <w:u w:val="single"/>
              </w:rPr>
              <w:t>0.5</w:t>
            </w:r>
            <w:r>
              <w:rPr>
                <w:rFonts w:hint="eastAsia" w:hAnsi="宋体" w:cs="宋体"/>
                <w:bCs/>
                <w:color w:val="auto"/>
                <w:sz w:val="21"/>
                <w:highlight w:val="none"/>
              </w:rPr>
              <w:t>分；</w:t>
            </w:r>
          </w:p>
          <w:p w14:paraId="178534EE">
            <w:pPr>
              <w:pStyle w:val="26"/>
              <w:spacing w:line="360" w:lineRule="auto"/>
              <w:rPr>
                <w:rFonts w:hAnsi="宋体" w:cs="宋体"/>
                <w:bCs/>
                <w:color w:val="auto"/>
                <w:sz w:val="21"/>
                <w:highlight w:val="none"/>
              </w:rPr>
            </w:pPr>
            <w:r>
              <w:rPr>
                <w:rFonts w:hint="eastAsia" w:hAnsi="宋体" w:cs="宋体"/>
                <w:b/>
                <w:bCs/>
                <w:color w:val="auto"/>
                <w:sz w:val="21"/>
                <w:highlight w:val="none"/>
              </w:rPr>
              <w:t>备注：</w:t>
            </w:r>
            <w:r>
              <w:rPr>
                <w:rFonts w:hint="eastAsia" w:hAnsi="宋体" w:cs="宋体"/>
                <w:bCs/>
                <w:color w:val="auto"/>
                <w:sz w:val="21"/>
                <w:highlight w:val="none"/>
              </w:rPr>
              <w:t>以上（1）（2）分值计算公式列举说明，如某投标人属于优先采购环境标志产品总值占本投标报价的比例为35.6%，那该项得分为0.5×0.356=0.178分；</w:t>
            </w:r>
          </w:p>
          <w:p w14:paraId="6C4C5950">
            <w:pPr>
              <w:pStyle w:val="26"/>
              <w:spacing w:line="360" w:lineRule="auto"/>
              <w:rPr>
                <w:rFonts w:hAnsi="宋体" w:cs="宋体"/>
                <w:color w:val="auto"/>
                <w:sz w:val="21"/>
                <w:highlight w:val="none"/>
              </w:rPr>
            </w:pPr>
            <w:r>
              <w:rPr>
                <w:rFonts w:hint="eastAsia" w:hAnsi="宋体" w:cs="宋体"/>
                <w:bCs/>
                <w:color w:val="auto"/>
                <w:sz w:val="21"/>
                <w:highlight w:val="none"/>
              </w:rPr>
              <w:t>（3）非节能、环境标志产品的不得分。</w:t>
            </w:r>
          </w:p>
        </w:tc>
      </w:tr>
      <w:tr w14:paraId="2505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5" w:type="dxa"/>
            <w:gridSpan w:val="4"/>
            <w:vAlign w:val="center"/>
          </w:tcPr>
          <w:p w14:paraId="72439058">
            <w:pPr>
              <w:pStyle w:val="26"/>
              <w:spacing w:line="360" w:lineRule="auto"/>
              <w:rPr>
                <w:rFonts w:hAnsi="宋体" w:cs="宋体"/>
                <w:b/>
                <w:bCs/>
                <w:color w:val="auto"/>
                <w:sz w:val="21"/>
                <w:highlight w:val="none"/>
              </w:rPr>
            </w:pPr>
            <w:r>
              <w:rPr>
                <w:rFonts w:hint="eastAsia" w:hAnsi="宋体" w:cs="宋体"/>
                <w:b/>
                <w:bCs/>
                <w:color w:val="auto"/>
                <w:sz w:val="21"/>
                <w:highlight w:val="none"/>
              </w:rPr>
              <w:t>总得分为以上各项评审因素得分合计。</w:t>
            </w:r>
          </w:p>
        </w:tc>
      </w:tr>
    </w:tbl>
    <w:p w14:paraId="5FB102B1">
      <w:pPr>
        <w:pStyle w:val="26"/>
        <w:spacing w:line="360" w:lineRule="auto"/>
        <w:ind w:firstLine="420"/>
        <w:rPr>
          <w:rFonts w:hAnsi="宋体"/>
          <w:bCs/>
          <w:color w:val="auto"/>
          <w:sz w:val="21"/>
          <w:highlight w:val="none"/>
        </w:rPr>
      </w:pPr>
      <w:r>
        <w:rPr>
          <w:rFonts w:hint="eastAsia" w:hAnsi="宋体"/>
          <w:bCs/>
          <w:color w:val="auto"/>
          <w:sz w:val="21"/>
          <w:highlight w:val="none"/>
        </w:rPr>
        <w:t>注：计分方法按四舍五入取至百分位</w:t>
      </w:r>
    </w:p>
    <w:p w14:paraId="24C12B27">
      <w:pPr>
        <w:pStyle w:val="26"/>
        <w:spacing w:line="360" w:lineRule="auto"/>
        <w:rPr>
          <w:rFonts w:hAnsi="宋体"/>
          <w:bCs/>
          <w:color w:val="auto"/>
          <w:sz w:val="21"/>
          <w:highlight w:val="none"/>
        </w:rPr>
      </w:pPr>
      <w:r>
        <w:rPr>
          <w:color w:val="auto"/>
          <w:highlight w:val="none"/>
        </w:rPr>
        <w:br w:type="page" w:clear="all"/>
      </w:r>
    </w:p>
    <w:p w14:paraId="21A12B65">
      <w:pPr>
        <w:rPr>
          <w:color w:val="auto"/>
          <w:sz w:val="30"/>
          <w:szCs w:val="30"/>
          <w:highlight w:val="none"/>
        </w:rPr>
      </w:pPr>
    </w:p>
    <w:p w14:paraId="3F0A8C52">
      <w:pPr>
        <w:pStyle w:val="4"/>
        <w:keepNext w:val="0"/>
        <w:keepLines w:val="0"/>
        <w:jc w:val="center"/>
        <w:rPr>
          <w:color w:val="auto"/>
          <w:sz w:val="30"/>
          <w:szCs w:val="30"/>
          <w:highlight w:val="none"/>
        </w:rPr>
      </w:pPr>
      <w:r>
        <w:rPr>
          <w:rFonts w:hint="eastAsia"/>
          <w:color w:val="auto"/>
          <w:sz w:val="30"/>
          <w:szCs w:val="30"/>
          <w:highlight w:val="none"/>
        </w:rPr>
        <w:t>四、中标候选人推荐</w:t>
      </w:r>
    </w:p>
    <w:p w14:paraId="12B5FC56">
      <w:pPr>
        <w:pStyle w:val="26"/>
        <w:spacing w:line="360" w:lineRule="auto"/>
        <w:contextualSpacing/>
        <w:rPr>
          <w:rFonts w:hAnsi="宋体"/>
          <w:b/>
          <w:bCs/>
          <w:color w:val="auto"/>
          <w:sz w:val="24"/>
          <w:szCs w:val="24"/>
          <w:highlight w:val="none"/>
        </w:rPr>
      </w:pPr>
      <w:r>
        <w:rPr>
          <w:rFonts w:hint="eastAsia" w:hAnsi="宋体"/>
          <w:b/>
          <w:bCs/>
          <w:color w:val="auto"/>
          <w:sz w:val="24"/>
          <w:szCs w:val="24"/>
          <w:highlight w:val="none"/>
        </w:rPr>
        <w:t>综合评分法</w:t>
      </w:r>
    </w:p>
    <w:p w14:paraId="6A9E1AD9">
      <w:pPr>
        <w:pStyle w:val="26"/>
        <w:spacing w:line="360" w:lineRule="auto"/>
        <w:ind w:firstLine="420"/>
        <w:contextualSpacing/>
        <w:rPr>
          <w:rFonts w:hAnsi="宋体"/>
          <w:color w:val="auto"/>
          <w:sz w:val="21"/>
          <w:highlight w:val="none"/>
        </w:rPr>
      </w:pPr>
      <w:r>
        <w:rPr>
          <w:rFonts w:hint="eastAsia" w:hAnsi="宋体"/>
          <w:color w:val="auto"/>
          <w:sz w:val="21"/>
          <w:highlight w:val="none"/>
        </w:rPr>
        <w:t>1</w:t>
      </w:r>
      <w:r>
        <w:rPr>
          <w:rFonts w:hAnsi="宋体"/>
          <w:color w:val="auto"/>
          <w:sz w:val="21"/>
          <w:highlight w:val="none"/>
        </w:rPr>
        <w:t>.</w:t>
      </w:r>
      <w:r>
        <w:rPr>
          <w:rFonts w:hint="eastAsia" w:hAnsi="宋体"/>
          <w:color w:val="auto"/>
          <w:sz w:val="21"/>
          <w:highlight w:val="none"/>
        </w:rPr>
        <w:t>评标委员会根据原始评标记录和评标结果编写评标报告，并通过电子交易平台向采购人、采购代理机构提交。</w:t>
      </w:r>
    </w:p>
    <w:p w14:paraId="4E78EC18">
      <w:pPr>
        <w:pStyle w:val="26"/>
        <w:spacing w:line="360" w:lineRule="auto"/>
        <w:ind w:firstLine="420"/>
        <w:contextualSpacing/>
        <w:rPr>
          <w:rFonts w:hAnsi="宋体"/>
          <w:color w:val="auto"/>
          <w:sz w:val="21"/>
          <w:highlight w:val="none"/>
        </w:rPr>
      </w:pPr>
      <w:r>
        <w:rPr>
          <w:rFonts w:hint="eastAsia" w:hAnsi="宋体"/>
          <w:color w:val="auto"/>
          <w:sz w:val="21"/>
          <w:highlight w:val="none"/>
        </w:rPr>
        <w:t>2</w:t>
      </w:r>
      <w:r>
        <w:rPr>
          <w:rFonts w:hAnsi="宋体"/>
          <w:color w:val="auto"/>
          <w:sz w:val="21"/>
          <w:highlight w:val="none"/>
        </w:rPr>
        <w:t>.</w:t>
      </w:r>
      <w:r>
        <w:rPr>
          <w:rFonts w:hint="eastAsia" w:hAnsi="宋体"/>
          <w:color w:val="auto"/>
          <w:sz w:val="21"/>
          <w:highlight w:val="none"/>
        </w:rPr>
        <w:t>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100638D4">
      <w:pPr>
        <w:spacing w:before="120" w:after="120" w:line="400" w:lineRule="exact"/>
        <w:rPr>
          <w:rFonts w:ascii="宋体" w:hAnsi="宋体"/>
          <w:b/>
          <w:color w:val="auto"/>
          <w:sz w:val="24"/>
          <w:highlight w:val="none"/>
        </w:rPr>
      </w:pPr>
    </w:p>
    <w:p w14:paraId="59BEC3E7">
      <w:pPr>
        <w:spacing w:before="120" w:after="120" w:line="400" w:lineRule="exact"/>
        <w:rPr>
          <w:rFonts w:ascii="宋体" w:hAnsi="宋体"/>
          <w:b/>
          <w:color w:val="auto"/>
          <w:sz w:val="24"/>
          <w:highlight w:val="none"/>
        </w:rPr>
      </w:pPr>
    </w:p>
    <w:p w14:paraId="066E592D">
      <w:pPr>
        <w:spacing w:before="120" w:after="120" w:line="400" w:lineRule="exact"/>
        <w:rPr>
          <w:rFonts w:ascii="宋体" w:hAnsi="宋体"/>
          <w:b/>
          <w:color w:val="auto"/>
          <w:sz w:val="24"/>
          <w:highlight w:val="none"/>
        </w:rPr>
      </w:pPr>
    </w:p>
    <w:p w14:paraId="525FC82C">
      <w:pPr>
        <w:spacing w:before="120" w:after="120" w:line="400" w:lineRule="exact"/>
        <w:rPr>
          <w:rFonts w:ascii="宋体" w:hAnsi="宋体"/>
          <w:b/>
          <w:color w:val="auto"/>
          <w:sz w:val="24"/>
          <w:highlight w:val="none"/>
        </w:rPr>
      </w:pPr>
    </w:p>
    <w:p w14:paraId="3F8F1BFF">
      <w:pPr>
        <w:spacing w:before="120" w:after="120" w:line="400" w:lineRule="exact"/>
        <w:rPr>
          <w:rFonts w:ascii="宋体" w:hAnsi="宋体"/>
          <w:b/>
          <w:color w:val="auto"/>
          <w:sz w:val="24"/>
          <w:highlight w:val="none"/>
        </w:rPr>
      </w:pPr>
    </w:p>
    <w:p w14:paraId="7031E192">
      <w:pPr>
        <w:spacing w:before="120" w:after="120" w:line="400" w:lineRule="exact"/>
        <w:rPr>
          <w:rFonts w:ascii="宋体" w:hAnsi="宋体"/>
          <w:b/>
          <w:color w:val="auto"/>
          <w:sz w:val="24"/>
          <w:highlight w:val="none"/>
        </w:rPr>
      </w:pPr>
    </w:p>
    <w:p w14:paraId="44A7995F">
      <w:pPr>
        <w:spacing w:before="120" w:after="120" w:line="400" w:lineRule="exact"/>
        <w:rPr>
          <w:rFonts w:ascii="宋体" w:hAnsi="宋体"/>
          <w:b/>
          <w:color w:val="auto"/>
          <w:sz w:val="24"/>
          <w:highlight w:val="none"/>
        </w:rPr>
      </w:pPr>
    </w:p>
    <w:p w14:paraId="6CB3AAC0">
      <w:pPr>
        <w:spacing w:before="120" w:after="120" w:line="400" w:lineRule="exact"/>
        <w:rPr>
          <w:rFonts w:ascii="宋体" w:hAnsi="宋体"/>
          <w:b/>
          <w:color w:val="auto"/>
          <w:sz w:val="24"/>
          <w:highlight w:val="none"/>
        </w:rPr>
      </w:pPr>
    </w:p>
    <w:p w14:paraId="43AA6E67">
      <w:pPr>
        <w:spacing w:before="120" w:after="120" w:line="400" w:lineRule="exact"/>
        <w:rPr>
          <w:rFonts w:ascii="宋体" w:hAnsi="宋体"/>
          <w:b/>
          <w:color w:val="auto"/>
          <w:sz w:val="24"/>
          <w:highlight w:val="none"/>
        </w:rPr>
      </w:pPr>
    </w:p>
    <w:p w14:paraId="7C5A398F">
      <w:pPr>
        <w:spacing w:before="120" w:after="120" w:line="400" w:lineRule="exact"/>
        <w:rPr>
          <w:rFonts w:ascii="宋体" w:hAnsi="宋体"/>
          <w:b/>
          <w:color w:val="auto"/>
          <w:sz w:val="24"/>
          <w:highlight w:val="none"/>
        </w:rPr>
      </w:pPr>
    </w:p>
    <w:p w14:paraId="2C5F227B">
      <w:pPr>
        <w:pStyle w:val="3"/>
        <w:keepNext w:val="0"/>
        <w:keepLines w:val="0"/>
        <w:jc w:val="center"/>
        <w:rPr>
          <w:color w:val="auto"/>
          <w:highlight w:val="none"/>
        </w:rPr>
      </w:pPr>
      <w:r>
        <w:rPr>
          <w:color w:val="auto"/>
          <w:highlight w:val="none"/>
        </w:rPr>
        <w:br w:type="page" w:clear="all"/>
      </w:r>
    </w:p>
    <w:p w14:paraId="58BA8227">
      <w:pPr>
        <w:pStyle w:val="3"/>
        <w:keepNext w:val="0"/>
        <w:keepLines w:val="0"/>
        <w:jc w:val="center"/>
        <w:rPr>
          <w:color w:val="auto"/>
          <w:highlight w:val="none"/>
        </w:rPr>
      </w:pPr>
    </w:p>
    <w:p w14:paraId="061FF839">
      <w:pPr>
        <w:pStyle w:val="3"/>
        <w:keepNext w:val="0"/>
        <w:keepLines w:val="0"/>
        <w:jc w:val="center"/>
        <w:rPr>
          <w:color w:val="auto"/>
          <w:highlight w:val="none"/>
        </w:rPr>
      </w:pPr>
    </w:p>
    <w:p w14:paraId="13826552">
      <w:pPr>
        <w:pStyle w:val="3"/>
        <w:keepNext w:val="0"/>
        <w:keepLines w:val="0"/>
        <w:jc w:val="center"/>
        <w:rPr>
          <w:color w:val="auto"/>
          <w:highlight w:val="none"/>
        </w:rPr>
      </w:pPr>
    </w:p>
    <w:p w14:paraId="0C75C0A0">
      <w:pPr>
        <w:pStyle w:val="3"/>
        <w:keepNext w:val="0"/>
        <w:keepLines w:val="0"/>
        <w:jc w:val="center"/>
        <w:rPr>
          <w:color w:val="auto"/>
          <w:highlight w:val="none"/>
        </w:rPr>
      </w:pPr>
    </w:p>
    <w:p w14:paraId="1C6B78B1">
      <w:pPr>
        <w:pStyle w:val="3"/>
        <w:keepNext w:val="0"/>
        <w:keepLines w:val="0"/>
        <w:jc w:val="center"/>
        <w:rPr>
          <w:color w:val="auto"/>
          <w:highlight w:val="none"/>
        </w:rPr>
      </w:pPr>
    </w:p>
    <w:p w14:paraId="6201EB7A">
      <w:pPr>
        <w:pStyle w:val="3"/>
        <w:keepNext w:val="0"/>
        <w:keepLines w:val="0"/>
        <w:jc w:val="center"/>
        <w:rPr>
          <w:color w:val="auto"/>
          <w:highlight w:val="none"/>
        </w:rPr>
      </w:pPr>
    </w:p>
    <w:p w14:paraId="7EB3849A">
      <w:pPr>
        <w:pStyle w:val="2"/>
        <w:jc w:val="center"/>
        <w:rPr>
          <w:color w:val="auto"/>
          <w:highlight w:val="none"/>
        </w:rPr>
      </w:pPr>
      <w:bookmarkStart w:id="156" w:name="_Toc74320804"/>
      <w:r>
        <w:rPr>
          <w:rFonts w:hint="eastAsia"/>
          <w:color w:val="auto"/>
          <w:highlight w:val="none"/>
        </w:rPr>
        <w:t>第五章  拟签订的合同文本</w:t>
      </w:r>
      <w:bookmarkEnd w:id="156"/>
    </w:p>
    <w:p w14:paraId="47F30D9E">
      <w:pPr>
        <w:jc w:val="center"/>
        <w:rPr>
          <w:rFonts w:ascii="宋体" w:hAnsi="宋体"/>
          <w:bCs/>
          <w:color w:val="auto"/>
          <w:sz w:val="32"/>
          <w:szCs w:val="32"/>
          <w:highlight w:val="none"/>
        </w:rPr>
      </w:pPr>
    </w:p>
    <w:p w14:paraId="525E4209">
      <w:pPr>
        <w:jc w:val="center"/>
        <w:rPr>
          <w:rFonts w:ascii="宋体" w:hAnsi="宋体"/>
          <w:bCs/>
          <w:color w:val="auto"/>
          <w:sz w:val="32"/>
          <w:szCs w:val="32"/>
          <w:highlight w:val="none"/>
        </w:rPr>
      </w:pPr>
    </w:p>
    <w:p w14:paraId="051832BB">
      <w:pPr>
        <w:jc w:val="center"/>
        <w:rPr>
          <w:rFonts w:ascii="宋体" w:hAnsi="宋体"/>
          <w:bCs/>
          <w:color w:val="auto"/>
          <w:sz w:val="32"/>
          <w:szCs w:val="32"/>
          <w:highlight w:val="none"/>
        </w:rPr>
      </w:pPr>
    </w:p>
    <w:p w14:paraId="0C5EF326">
      <w:pPr>
        <w:jc w:val="center"/>
        <w:rPr>
          <w:rFonts w:ascii="宋体" w:hAnsi="宋体"/>
          <w:bCs/>
          <w:color w:val="auto"/>
          <w:sz w:val="32"/>
          <w:szCs w:val="32"/>
          <w:highlight w:val="none"/>
        </w:rPr>
      </w:pPr>
    </w:p>
    <w:p w14:paraId="31A2A9A9">
      <w:pPr>
        <w:jc w:val="center"/>
        <w:rPr>
          <w:rFonts w:ascii="宋体" w:hAnsi="宋体"/>
          <w:bCs/>
          <w:color w:val="auto"/>
          <w:sz w:val="32"/>
          <w:szCs w:val="32"/>
          <w:highlight w:val="none"/>
        </w:rPr>
      </w:pPr>
    </w:p>
    <w:p w14:paraId="48537C5B">
      <w:pPr>
        <w:jc w:val="center"/>
        <w:rPr>
          <w:rFonts w:ascii="宋体" w:hAnsi="宋体"/>
          <w:bCs/>
          <w:color w:val="auto"/>
          <w:sz w:val="32"/>
          <w:szCs w:val="32"/>
          <w:highlight w:val="none"/>
        </w:rPr>
      </w:pPr>
    </w:p>
    <w:p w14:paraId="45D67F3B">
      <w:pPr>
        <w:jc w:val="center"/>
        <w:rPr>
          <w:rFonts w:ascii="宋体" w:hAnsi="宋体"/>
          <w:bCs/>
          <w:color w:val="auto"/>
          <w:sz w:val="32"/>
          <w:szCs w:val="32"/>
          <w:highlight w:val="none"/>
        </w:rPr>
      </w:pPr>
    </w:p>
    <w:p w14:paraId="50DBE1E9">
      <w:pPr>
        <w:jc w:val="center"/>
        <w:rPr>
          <w:rFonts w:ascii="宋体" w:hAnsi="宋体"/>
          <w:bCs/>
          <w:color w:val="auto"/>
          <w:sz w:val="32"/>
          <w:szCs w:val="32"/>
          <w:highlight w:val="none"/>
        </w:rPr>
      </w:pPr>
    </w:p>
    <w:p w14:paraId="1E767B91">
      <w:pPr>
        <w:jc w:val="center"/>
        <w:rPr>
          <w:rFonts w:ascii="宋体" w:hAnsi="宋体"/>
          <w:bCs/>
          <w:color w:val="auto"/>
          <w:sz w:val="32"/>
          <w:szCs w:val="32"/>
          <w:highlight w:val="none"/>
        </w:rPr>
      </w:pPr>
    </w:p>
    <w:p w14:paraId="426F2DF0">
      <w:pPr>
        <w:jc w:val="center"/>
        <w:rPr>
          <w:rFonts w:ascii="宋体" w:hAnsi="宋体"/>
          <w:bCs/>
          <w:color w:val="auto"/>
          <w:sz w:val="32"/>
          <w:szCs w:val="32"/>
          <w:highlight w:val="none"/>
        </w:rPr>
      </w:pPr>
    </w:p>
    <w:p w14:paraId="3E4215DF">
      <w:pPr>
        <w:jc w:val="center"/>
        <w:rPr>
          <w:rFonts w:ascii="宋体" w:hAnsi="宋体"/>
          <w:bCs/>
          <w:color w:val="auto"/>
          <w:sz w:val="32"/>
          <w:szCs w:val="32"/>
          <w:highlight w:val="none"/>
        </w:rPr>
      </w:pPr>
    </w:p>
    <w:p w14:paraId="084DE302">
      <w:pPr>
        <w:rPr>
          <w:rFonts w:ascii="宋体" w:hAnsi="宋体"/>
          <w:bCs/>
          <w:color w:val="auto"/>
          <w:sz w:val="32"/>
          <w:szCs w:val="32"/>
          <w:highlight w:val="none"/>
        </w:rPr>
      </w:pPr>
      <w:bookmarkStart w:id="157" w:name="_Hlk55381736"/>
      <w:r>
        <w:rPr>
          <w:rFonts w:ascii="宋体" w:hAnsi="宋体"/>
          <w:bCs/>
          <w:color w:val="auto"/>
          <w:sz w:val="32"/>
          <w:szCs w:val="32"/>
          <w:highlight w:val="none"/>
        </w:rPr>
        <w:t xml:space="preserve"> </w:t>
      </w:r>
    </w:p>
    <w:p w14:paraId="2F0A72C8">
      <w:pPr>
        <w:spacing w:line="360" w:lineRule="auto"/>
        <w:ind w:firstLine="640"/>
        <w:rPr>
          <w:rFonts w:ascii="宋体" w:hAnsi="宋体"/>
          <w:b/>
          <w:color w:val="auto"/>
          <w:sz w:val="32"/>
          <w:szCs w:val="32"/>
          <w:highlight w:val="none"/>
        </w:rPr>
      </w:pPr>
      <w:r>
        <w:rPr>
          <w:rFonts w:ascii="宋体" w:hAnsi="宋体"/>
          <w:bCs/>
          <w:color w:val="auto"/>
          <w:sz w:val="32"/>
          <w:szCs w:val="32"/>
          <w:highlight w:val="none"/>
        </w:rPr>
        <w:br w:type="page" w:clear="all"/>
      </w:r>
    </w:p>
    <w:p w14:paraId="3EE23F31">
      <w:pPr>
        <w:spacing w:line="360" w:lineRule="auto"/>
        <w:jc w:val="center"/>
        <w:rPr>
          <w:rFonts w:ascii="宋体" w:hAnsi="宋体"/>
          <w:b/>
          <w:bCs/>
          <w:color w:val="auto"/>
          <w:sz w:val="32"/>
          <w:szCs w:val="32"/>
          <w:highlight w:val="none"/>
        </w:rPr>
      </w:pPr>
    </w:p>
    <w:p w14:paraId="089F212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p>
    <w:p w14:paraId="5BC7B3A7">
      <w:pPr>
        <w:spacing w:line="360" w:lineRule="auto"/>
        <w:jc w:val="center"/>
        <w:rPr>
          <w:rFonts w:ascii="宋体" w:hAnsi="宋体"/>
          <w:b/>
          <w:bCs/>
          <w:color w:val="auto"/>
          <w:sz w:val="32"/>
          <w:szCs w:val="32"/>
          <w:highlight w:val="none"/>
        </w:rPr>
      </w:pPr>
    </w:p>
    <w:p w14:paraId="1743E962">
      <w:pPr>
        <w:spacing w:line="360" w:lineRule="auto"/>
        <w:ind w:right="480" w:firstLine="5250"/>
        <w:rPr>
          <w:rFonts w:ascii="宋体" w:hAnsi="宋体"/>
          <w:bCs/>
          <w:color w:val="auto"/>
          <w:szCs w:val="21"/>
          <w:highlight w:val="none"/>
          <w:u w:val="single"/>
        </w:rPr>
      </w:pPr>
      <w:r>
        <w:rPr>
          <w:rFonts w:hint="eastAsia" w:ascii="宋体" w:hAnsi="宋体"/>
          <w:bCs/>
          <w:color w:val="auto"/>
          <w:szCs w:val="21"/>
          <w:highlight w:val="none"/>
        </w:rPr>
        <w:t>合同编号：</w:t>
      </w:r>
    </w:p>
    <w:p w14:paraId="235D14AB">
      <w:pPr>
        <w:spacing w:line="360" w:lineRule="auto"/>
        <w:rPr>
          <w:rFonts w:ascii="宋体" w:hAnsi="宋体"/>
          <w:color w:val="auto"/>
          <w:szCs w:val="21"/>
          <w:highlight w:val="none"/>
        </w:rPr>
      </w:pPr>
    </w:p>
    <w:p w14:paraId="44EEA336">
      <w:pPr>
        <w:spacing w:line="360" w:lineRule="auto"/>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采购人（甲方）：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14:paraId="11F82636">
      <w:pPr>
        <w:spacing w:line="360" w:lineRule="auto"/>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供应商（乙方）：</w:t>
      </w:r>
      <w:r>
        <w:rPr>
          <w:rFonts w:hint="eastAsia" w:asciiTheme="minorEastAsia" w:hAnsiTheme="minorEastAsia" w:eastAsiaTheme="minorEastAsia" w:cstheme="minorEastAsia"/>
          <w:color w:val="auto"/>
          <w:szCs w:val="21"/>
          <w:highlight w:val="none"/>
          <w:u w:val="single"/>
        </w:rPr>
        <w:t xml:space="preserve">                          </w:t>
      </w:r>
    </w:p>
    <w:p w14:paraId="77DEA60D">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20"/>
          <w:szCs w:val="21"/>
          <w:highlight w:val="none"/>
        </w:rPr>
        <w:t>采 购 计 划 号：</w:t>
      </w:r>
      <w:r>
        <w:rPr>
          <w:rFonts w:hint="eastAsia" w:asciiTheme="minorEastAsia" w:hAnsiTheme="minorEastAsia" w:eastAsiaTheme="minorEastAsia" w:cstheme="minorEastAsia"/>
          <w:color w:val="auto"/>
          <w:szCs w:val="21"/>
          <w:highlight w:val="none"/>
          <w:u w:val="single"/>
        </w:rPr>
        <w:t xml:space="preserve">                         </w:t>
      </w:r>
    </w:p>
    <w:p w14:paraId="33954905">
      <w:pPr>
        <w:spacing w:line="360" w:lineRule="auto"/>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项目名称：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项目编号：</w:t>
      </w:r>
      <w:r>
        <w:rPr>
          <w:rFonts w:hint="eastAsia" w:asciiTheme="minorEastAsia" w:hAnsiTheme="minorEastAsia" w:eastAsiaTheme="minorEastAsia" w:cstheme="minorEastAsia"/>
          <w:color w:val="auto"/>
          <w:szCs w:val="21"/>
          <w:highlight w:val="none"/>
          <w:u w:val="single"/>
        </w:rPr>
        <w:t xml:space="preserve">                       </w:t>
      </w:r>
    </w:p>
    <w:p w14:paraId="011F07E2">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合同类型：</w:t>
      </w:r>
      <w:r>
        <w:rPr>
          <w:rFonts w:hint="eastAsia" w:asciiTheme="minorEastAsia" w:hAnsiTheme="minorEastAsia" w:eastAsiaTheme="minorEastAsia" w:cstheme="minorEastAsia"/>
          <w:color w:val="auto"/>
          <w:szCs w:val="21"/>
          <w:highlight w:val="none"/>
          <w:u w:val="single"/>
        </w:rPr>
        <w:t>买卖合同</w:t>
      </w:r>
    </w:p>
    <w:p w14:paraId="1E7E0C05">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本合同是否为中小企业预留合同：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bookmarkEnd w:id="157"/>
    <w:p w14:paraId="649FE805">
      <w:pPr>
        <w:spacing w:line="360" w:lineRule="auto"/>
        <w:rPr>
          <w:rFonts w:asciiTheme="minorEastAsia" w:hAnsiTheme="minorEastAsia" w:eastAsiaTheme="minorEastAsia" w:cstheme="minorEastAsia"/>
          <w:color w:val="auto"/>
          <w:szCs w:val="21"/>
          <w:highlight w:val="none"/>
        </w:rPr>
      </w:pPr>
    </w:p>
    <w:p w14:paraId="6594E2B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根据《中华人民共和国政府采购法》《中华人民共和国民法典》等法律、法规等规定，按照招标文件（采购文件）规定条款和中标供应商承诺，甲乙双方签订本合同。</w:t>
      </w:r>
    </w:p>
    <w:p w14:paraId="1BCB69CB">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65A65142">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1.供货一览表</w:t>
      </w:r>
    </w:p>
    <w:tbl>
      <w:tblPr>
        <w:tblStyle w:val="52"/>
        <w:tblW w:w="9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29"/>
        <w:gridCol w:w="876"/>
        <w:gridCol w:w="1399"/>
        <w:gridCol w:w="940"/>
        <w:gridCol w:w="860"/>
        <w:gridCol w:w="622"/>
        <w:gridCol w:w="1199"/>
        <w:gridCol w:w="1199"/>
        <w:gridCol w:w="720"/>
      </w:tblGrid>
      <w:tr w14:paraId="121A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671" w:type="dxa"/>
            <w:vAlign w:val="center"/>
          </w:tcPr>
          <w:p w14:paraId="388839E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29" w:type="dxa"/>
            <w:vAlign w:val="center"/>
          </w:tcPr>
          <w:p w14:paraId="5D212B9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产品</w:t>
            </w:r>
          </w:p>
          <w:p w14:paraId="5C929BF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876" w:type="dxa"/>
            <w:vAlign w:val="center"/>
          </w:tcPr>
          <w:p w14:paraId="7F77526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商标</w:t>
            </w:r>
          </w:p>
          <w:p w14:paraId="1FA2737F">
            <w:pPr>
              <w:spacing w:line="360" w:lineRule="auto"/>
              <w:jc w:val="center"/>
              <w:rPr>
                <w:rFonts w:ascii="宋体" w:hAnsi="宋体" w:cs="宋体"/>
                <w:color w:val="auto"/>
                <w:szCs w:val="21"/>
                <w:highlight w:val="none"/>
              </w:rPr>
            </w:pPr>
          </w:p>
        </w:tc>
        <w:tc>
          <w:tcPr>
            <w:tcW w:w="1399" w:type="dxa"/>
            <w:vAlign w:val="center"/>
          </w:tcPr>
          <w:p w14:paraId="36359C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规格</w:t>
            </w:r>
          </w:p>
          <w:p w14:paraId="41C8E5B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型号</w:t>
            </w:r>
          </w:p>
        </w:tc>
        <w:tc>
          <w:tcPr>
            <w:tcW w:w="940" w:type="dxa"/>
            <w:vAlign w:val="center"/>
          </w:tcPr>
          <w:p w14:paraId="5320F51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生产</w:t>
            </w:r>
          </w:p>
          <w:p w14:paraId="3267773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厂家</w:t>
            </w:r>
          </w:p>
        </w:tc>
        <w:tc>
          <w:tcPr>
            <w:tcW w:w="860" w:type="dxa"/>
            <w:vAlign w:val="center"/>
          </w:tcPr>
          <w:p w14:paraId="4655E04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622" w:type="dxa"/>
            <w:vAlign w:val="center"/>
          </w:tcPr>
          <w:p w14:paraId="678A1FC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199" w:type="dxa"/>
            <w:vAlign w:val="center"/>
          </w:tcPr>
          <w:p w14:paraId="38F28F5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4C7168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199" w:type="dxa"/>
            <w:vAlign w:val="center"/>
          </w:tcPr>
          <w:p w14:paraId="35C3C2C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金  额</w:t>
            </w:r>
          </w:p>
          <w:p w14:paraId="321548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720" w:type="dxa"/>
            <w:vAlign w:val="center"/>
          </w:tcPr>
          <w:p w14:paraId="7595E25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2EFE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71" w:type="dxa"/>
            <w:vAlign w:val="center"/>
          </w:tcPr>
          <w:p w14:paraId="0DB5CCCC">
            <w:pPr>
              <w:spacing w:line="360" w:lineRule="auto"/>
              <w:jc w:val="center"/>
              <w:rPr>
                <w:rFonts w:ascii="宋体" w:hAnsi="宋体" w:cs="宋体"/>
                <w:color w:val="auto"/>
                <w:szCs w:val="21"/>
                <w:highlight w:val="none"/>
              </w:rPr>
            </w:pPr>
          </w:p>
        </w:tc>
        <w:tc>
          <w:tcPr>
            <w:tcW w:w="1129" w:type="dxa"/>
            <w:vAlign w:val="center"/>
          </w:tcPr>
          <w:p w14:paraId="127E76C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w:t>
            </w:r>
          </w:p>
        </w:tc>
        <w:tc>
          <w:tcPr>
            <w:tcW w:w="876" w:type="dxa"/>
            <w:vAlign w:val="center"/>
          </w:tcPr>
          <w:p w14:paraId="18A0049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w:t>
            </w:r>
          </w:p>
        </w:tc>
        <w:tc>
          <w:tcPr>
            <w:tcW w:w="1399" w:type="dxa"/>
            <w:vAlign w:val="center"/>
          </w:tcPr>
          <w:p w14:paraId="4DDBF8B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w:t>
            </w:r>
          </w:p>
        </w:tc>
        <w:tc>
          <w:tcPr>
            <w:tcW w:w="940" w:type="dxa"/>
            <w:vAlign w:val="center"/>
          </w:tcPr>
          <w:p w14:paraId="0AE0FCE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w:t>
            </w:r>
          </w:p>
        </w:tc>
        <w:tc>
          <w:tcPr>
            <w:tcW w:w="860" w:type="dxa"/>
            <w:vAlign w:val="center"/>
          </w:tcPr>
          <w:p w14:paraId="7453699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w:t>
            </w:r>
          </w:p>
        </w:tc>
        <w:tc>
          <w:tcPr>
            <w:tcW w:w="622" w:type="dxa"/>
            <w:vAlign w:val="center"/>
          </w:tcPr>
          <w:p w14:paraId="3F066B6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w:t>
            </w:r>
          </w:p>
        </w:tc>
        <w:tc>
          <w:tcPr>
            <w:tcW w:w="1199" w:type="dxa"/>
            <w:vAlign w:val="center"/>
          </w:tcPr>
          <w:p w14:paraId="7452DB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w:t>
            </w:r>
          </w:p>
        </w:tc>
        <w:tc>
          <w:tcPr>
            <w:tcW w:w="1199" w:type="dxa"/>
            <w:vAlign w:val="center"/>
          </w:tcPr>
          <w:p w14:paraId="29C281D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w:t>
            </w:r>
          </w:p>
        </w:tc>
        <w:tc>
          <w:tcPr>
            <w:tcW w:w="720" w:type="dxa"/>
            <w:vAlign w:val="center"/>
          </w:tcPr>
          <w:p w14:paraId="25FB2670">
            <w:pPr>
              <w:spacing w:line="360" w:lineRule="auto"/>
              <w:jc w:val="center"/>
              <w:rPr>
                <w:rFonts w:ascii="宋体" w:hAnsi="宋体" w:cs="宋体"/>
                <w:color w:val="auto"/>
                <w:szCs w:val="21"/>
                <w:highlight w:val="none"/>
              </w:rPr>
            </w:pPr>
          </w:p>
        </w:tc>
      </w:tr>
      <w:tr w14:paraId="3685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615" w:type="dxa"/>
            <w:gridSpan w:val="10"/>
            <w:vAlign w:val="center"/>
          </w:tcPr>
          <w:p w14:paraId="708EEF7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hint="eastAsia" w:ascii="宋体" w:hAnsi="宋体" w:cs="宋体"/>
                <w:color w:val="auto"/>
                <w:spacing w:val="-6"/>
                <w:szCs w:val="21"/>
                <w:highlight w:val="none"/>
              </w:rPr>
              <w:t xml:space="preserve">   人民币</w:t>
            </w:r>
            <w:r>
              <w:rPr>
                <w:rFonts w:hint="eastAsia" w:ascii="宋体" w:hAnsi="宋体" w:cs="宋体"/>
                <w:color w:val="auto"/>
                <w:szCs w:val="21"/>
                <w:highlight w:val="none"/>
              </w:rPr>
              <w:t>（小写）：</w:t>
            </w:r>
            <w:r>
              <w:rPr>
                <w:rFonts w:hint="eastAsia" w:ascii="宋体" w:hAnsi="宋体" w:cs="宋体"/>
                <w:color w:val="auto"/>
                <w:spacing w:val="-6"/>
                <w:szCs w:val="21"/>
                <w:highlight w:val="none"/>
              </w:rPr>
              <w:t>（</w:t>
            </w:r>
            <w:r>
              <w:rPr>
                <w:rFonts w:ascii="Arial" w:hAnsi="Arial" w:cs="Arial"/>
                <w:color w:val="auto"/>
                <w:spacing w:val="-6"/>
                <w:szCs w:val="21"/>
                <w:highlight w:val="none"/>
              </w:rPr>
              <w:t>¥</w:t>
            </w:r>
            <w:r>
              <w:rPr>
                <w:rFonts w:hint="eastAsia" w:ascii="宋体" w:hAnsi="宋体" w:cs="宋体"/>
                <w:color w:val="auto"/>
                <w:spacing w:val="-6"/>
                <w:szCs w:val="21"/>
                <w:highlight w:val="none"/>
              </w:rPr>
              <w:t>）</w:t>
            </w:r>
            <w:r>
              <w:rPr>
                <w:rFonts w:hint="eastAsia" w:ascii="宋体" w:hAnsi="宋体" w:cs="宋体"/>
                <w:color w:val="auto"/>
                <w:szCs w:val="21"/>
                <w:highlight w:val="none"/>
              </w:rPr>
              <w:t xml:space="preserve">                </w:t>
            </w:r>
          </w:p>
        </w:tc>
      </w:tr>
      <w:tr w14:paraId="189A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615" w:type="dxa"/>
            <w:gridSpan w:val="10"/>
            <w:vAlign w:val="center"/>
          </w:tcPr>
          <w:p w14:paraId="3E1A78D6">
            <w:pPr>
              <w:spacing w:line="360" w:lineRule="auto"/>
              <w:ind w:firstLine="420"/>
              <w:rPr>
                <w:rFonts w:ascii="宋体" w:hAnsi="宋体" w:cs="宋体"/>
                <w:color w:val="auto"/>
                <w:szCs w:val="21"/>
                <w:highlight w:val="none"/>
              </w:rPr>
            </w:pPr>
          </w:p>
        </w:tc>
      </w:tr>
    </w:tbl>
    <w:p w14:paraId="7A63608C">
      <w:pPr>
        <w:spacing w:line="360" w:lineRule="auto"/>
        <w:ind w:right="420" w:firstLine="420"/>
        <w:rPr>
          <w:rFonts w:ascii="宋体" w:hAnsi="宋体" w:cs="宋体"/>
          <w:color w:val="auto"/>
          <w:szCs w:val="21"/>
          <w:highlight w:val="none"/>
        </w:rPr>
      </w:pPr>
      <w:r>
        <w:rPr>
          <w:rFonts w:hint="eastAsia" w:ascii="宋体" w:hAnsi="宋体" w:cs="宋体"/>
          <w:color w:val="auto"/>
          <w:szCs w:val="21"/>
          <w:highlight w:val="none"/>
        </w:rPr>
        <w:t>2.合同合计金额包括但不限于投标货物及其配件（附件）价款、包装费、运费、装卸费、保险费、搬运费、安装费、调试费、检验及检定验收费、计量检测费、售后服务费、培训费（如有）、税金等招标文件和投标文件规定及合同包含的所有风险、责任等应有的全部费用。</w:t>
      </w:r>
    </w:p>
    <w:p w14:paraId="517BDF08">
      <w:pPr>
        <w:spacing w:line="360" w:lineRule="auto"/>
        <w:ind w:right="420" w:firstLine="420"/>
        <w:rPr>
          <w:rFonts w:ascii="宋体" w:hAnsi="宋体" w:cs="宋体"/>
          <w:color w:val="auto"/>
          <w:szCs w:val="21"/>
          <w:highlight w:val="none"/>
        </w:rPr>
      </w:pPr>
      <w:r>
        <w:rPr>
          <w:rFonts w:hint="eastAsia" w:ascii="宋体" w:hAnsi="宋体" w:cs="宋体"/>
          <w:color w:val="auto"/>
          <w:szCs w:val="21"/>
          <w:highlight w:val="none"/>
        </w:rPr>
        <w:t>注：乙方自行考虑完成项目所需的辅材、杂配件等数量，合同金额中应包含全部内容，中标后甲方不再另行支付额外费用。</w:t>
      </w:r>
    </w:p>
    <w:p w14:paraId="18281FA2">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第二条　质量保证</w:t>
      </w:r>
    </w:p>
    <w:p w14:paraId="565248A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1.乙方所提供的货物型号、技术规格、技术参数等质量必须与报价文件和承诺相一致。</w:t>
      </w:r>
    </w:p>
    <w:p w14:paraId="2DB99DA9">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2.乙方所提供的货物出厂日期/生产日期必须全新、未使用的原装正品，且在正常安装、使用和保养条件下，其使用寿命期内各项指标均达到质量要求。</w:t>
      </w:r>
    </w:p>
    <w:p w14:paraId="44E22D51">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第三条　权利保证</w:t>
      </w:r>
    </w:p>
    <w:p w14:paraId="33F15CD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1.乙方应保证所提供货物在使用时不会侵犯任何第三方的专利权、商标权、工业设计权或其他权利。</w:t>
      </w:r>
    </w:p>
    <w:p w14:paraId="4D8434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2.乙方应按报价文件规定的时间向甲方提供使用货物的有关技术资料。</w:t>
      </w:r>
    </w:p>
    <w:p w14:paraId="63F1E2A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1909CC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4.乙方保证所交付的货物的所有权完全属于乙方且无任何抵押、质押、查封等产权瑕疵。</w:t>
      </w:r>
    </w:p>
    <w:p w14:paraId="33DB20B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第四条　包装和运输</w:t>
      </w:r>
    </w:p>
    <w:p w14:paraId="7881C1B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1.乙方提供的货物均应按报价文件要求的包装材料、包装标准、包装方式进行包装，每一包装单元内应附详细的装箱单、质量合格证和使用说明书。</w:t>
      </w:r>
    </w:p>
    <w:p w14:paraId="24F1C2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2.货物的运输方式：</w:t>
      </w:r>
      <w:r>
        <w:rPr>
          <w:rFonts w:hint="eastAsia" w:ascii="宋体" w:hAnsi="宋体" w:cs="宋体"/>
          <w:color w:val="auto"/>
          <w:szCs w:val="21"/>
          <w:highlight w:val="none"/>
          <w:u w:val="single"/>
        </w:rPr>
        <w:t>乙方自定。</w:t>
      </w:r>
    </w:p>
    <w:p w14:paraId="69BEAE4A">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3.乙方负责货物运输，货物运输合理损耗及计算方法：</w:t>
      </w:r>
      <w:r>
        <w:rPr>
          <w:rFonts w:hint="eastAsia" w:ascii="宋体" w:hAnsi="宋体" w:cs="宋体"/>
          <w:color w:val="auto"/>
          <w:szCs w:val="21"/>
          <w:highlight w:val="none"/>
          <w:u w:val="single"/>
        </w:rPr>
        <w:t>无。</w:t>
      </w:r>
    </w:p>
    <w:p w14:paraId="53314345">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第五条　交付和验收</w:t>
      </w:r>
    </w:p>
    <w:p w14:paraId="23EE879C">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1.交货时间：</w:t>
      </w:r>
      <w:r>
        <w:rPr>
          <w:rFonts w:hint="eastAsia" w:ascii="宋体" w:hAnsi="宋体" w:cs="宋体"/>
          <w:color w:val="auto"/>
          <w:szCs w:val="21"/>
          <w:highlight w:val="none"/>
          <w:u w:val="single"/>
        </w:rPr>
        <w:t>自签订合同之日起30天内完成安装、调试、培训工作。</w:t>
      </w:r>
    </w:p>
    <w:p w14:paraId="10D5217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u w:val="single"/>
        </w:rPr>
        <w:t xml:space="preserve">                    。</w:t>
      </w:r>
    </w:p>
    <w:p w14:paraId="5B71E27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ar-SA"/>
        </w:rPr>
        <w:t>.</w:t>
      </w:r>
      <w:r>
        <w:rPr>
          <w:rFonts w:hint="eastAsia" w:ascii="宋体" w:hAnsi="宋体" w:cs="宋体"/>
          <w:color w:val="auto"/>
          <w:szCs w:val="21"/>
          <w:highlight w:val="none"/>
        </w:rPr>
        <w:t xml:space="preserve"> 乙方提供不符合公告规定的、采购文件、投标文件承诺的或本合同规定的货物，甲方有权拒绝接受。</w:t>
      </w:r>
    </w:p>
    <w:p w14:paraId="3B09E25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3.乙方应将所提供货物的装箱清单、用户手册、原厂保修卡、随机资料、工具和备品、备件等交付给甲方，如有缺失应在一个星期内补齐，否则视为逾期交货。</w:t>
      </w:r>
    </w:p>
    <w:p w14:paraId="053C3DA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 甲方应当在到货并安装、调试完后</w:t>
      </w:r>
      <w:bookmarkStart w:id="158" w:name="OLE_LINK12"/>
      <w:bookmarkStart w:id="159" w:name="OLE_LINK11"/>
      <w:r>
        <w:rPr>
          <w:rFonts w:hint="eastAsia" w:ascii="宋体" w:hAnsi="宋体" w:cs="宋体"/>
          <w:color w:val="auto"/>
          <w:szCs w:val="21"/>
          <w:highlight w:val="none"/>
        </w:rPr>
        <w:t>一个月内进行验收</w:t>
      </w:r>
      <w:bookmarkEnd w:id="158"/>
      <w:bookmarkEnd w:id="159"/>
      <w:r>
        <w:rPr>
          <w:rFonts w:hint="eastAsia" w:ascii="宋体" w:hAnsi="宋体" w:cs="宋体"/>
          <w:color w:val="auto"/>
          <w:szCs w:val="21"/>
          <w:highlight w:val="none"/>
        </w:rPr>
        <w:t>。验收合格后由甲乙双方签署货物验收单并加盖采购单位公章，甲乙双方各执一份。</w:t>
      </w:r>
    </w:p>
    <w:p w14:paraId="73151B28">
      <w:pPr>
        <w:spacing w:after="200" w:line="500" w:lineRule="exact"/>
        <w:ind w:firstLine="420"/>
        <w:jc w:val="left"/>
        <w:rPr>
          <w:rFonts w:ascii="宋体" w:hAnsi="宋体" w:cs="宋体"/>
          <w:b/>
          <w:bCs/>
          <w:color w:val="auto"/>
          <w:sz w:val="24"/>
          <w:highlight w:val="none"/>
        </w:rPr>
      </w:pPr>
      <w:r>
        <w:rPr>
          <w:rFonts w:hint="eastAsia" w:ascii="宋体" w:hAnsi="宋体" w:cs="宋体"/>
          <w:color w:val="auto"/>
          <w:szCs w:val="21"/>
          <w:highlight w:val="none"/>
        </w:rPr>
        <w:t>5.对技术复杂或甲方认为有必要的货物，甲方可以委托国家认可的专业检测机构参与初步验收及最终验收，并由其出具质量检测报告。 如验收不合格，相关检测费用由乙方承担；如验收合格，检测费用由甲方承担，双方另有约定的除外。其验收时间以该项目验收方案确定的验收时间为准，验收结果以该项目验收报告结论为准。</w:t>
      </w:r>
      <w:r>
        <w:rPr>
          <w:rFonts w:hint="eastAsia" w:ascii="宋体" w:hAnsi="宋体" w:cs="宋体"/>
          <w:b/>
          <w:bCs/>
          <w:color w:val="auto"/>
          <w:sz w:val="24"/>
          <w:highlight w:val="none"/>
        </w:rPr>
        <w:t xml:space="preserve"> </w:t>
      </w:r>
    </w:p>
    <w:p w14:paraId="0BBFCD4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6.验收时甲乙方必须在现场，验收完毕后作出验收结果报告；验收费用由乙方负责。</w:t>
      </w:r>
    </w:p>
    <w:p w14:paraId="583337D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 甲方对验收有异议的，在验收后五个工作日内以书面形式向乙方提出，乙方应自收到甲方书面异议后五日内及时予以解决。</w:t>
      </w:r>
    </w:p>
    <w:p w14:paraId="3FF146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8.在验收过程中发现乙方有违约问题，可暂缓资金结算，待违约问题解决后，方可办理资金结算事宜。</w:t>
      </w:r>
    </w:p>
    <w:p w14:paraId="2617A8F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第六条　安装和培训</w:t>
      </w:r>
    </w:p>
    <w:p w14:paraId="74B92D2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1.甲方应提供必要安装条件（如场地、电源、水源等）。</w:t>
      </w:r>
    </w:p>
    <w:p w14:paraId="7F06C1FA">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2.乙方负责甲方有关人员的培训。培训时间：</w:t>
      </w:r>
      <w:r>
        <w:rPr>
          <w:rFonts w:hint="eastAsia" w:ascii="宋体" w:hAnsi="宋体" w:cs="宋体"/>
          <w:color w:val="auto"/>
          <w:szCs w:val="21"/>
          <w:highlight w:val="none"/>
          <w:u w:val="single"/>
        </w:rPr>
        <w:t>货物到货经安装、调试、验收合格后</w:t>
      </w:r>
      <w:r>
        <w:rPr>
          <w:rFonts w:hint="eastAsia" w:ascii="宋体" w:hAnsi="宋体" w:cs="宋体"/>
          <w:color w:val="auto"/>
          <w:szCs w:val="21"/>
          <w:highlight w:val="none"/>
        </w:rPr>
        <w:t>、地点：</w:t>
      </w:r>
      <w:r>
        <w:rPr>
          <w:rFonts w:hint="eastAsia" w:ascii="宋体" w:hAnsi="宋体" w:cs="宋体"/>
          <w:color w:val="auto"/>
          <w:szCs w:val="21"/>
          <w:highlight w:val="none"/>
          <w:u w:val="single"/>
        </w:rPr>
        <w:t>蒙山县生态移民发展中心。</w:t>
      </w:r>
    </w:p>
    <w:p w14:paraId="414CA1A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第七条  售后服务、质保期</w:t>
      </w:r>
    </w:p>
    <w:p w14:paraId="33E2A464">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1.</w:t>
      </w:r>
      <w:r>
        <w:rPr>
          <w:rFonts w:hint="eastAsia" w:ascii="宋体" w:hAnsi="宋体" w:cs="宋体"/>
          <w:color w:val="auto"/>
          <w:sz w:val="22"/>
          <w:szCs w:val="22"/>
          <w:highlight w:val="none"/>
          <w:lang w:bidi="ar"/>
        </w:rPr>
        <w:t>按国家有关产品三包规定执行“三包”，整机（含配件）质保期</w:t>
      </w:r>
      <w:r>
        <w:rPr>
          <w:rFonts w:hint="eastAsia" w:ascii="宋体" w:hAnsi="宋体" w:cs="宋体"/>
          <w:color w:val="auto"/>
          <w:sz w:val="22"/>
          <w:szCs w:val="22"/>
          <w:highlight w:val="none"/>
          <w:u w:val="single"/>
          <w:lang w:bidi="ar"/>
        </w:rPr>
        <w:t xml:space="preserve">     </w:t>
      </w:r>
      <w:r>
        <w:rPr>
          <w:rFonts w:hint="eastAsia" w:ascii="宋体" w:hAnsi="宋体" w:cs="宋体"/>
          <w:color w:val="auto"/>
          <w:sz w:val="22"/>
          <w:szCs w:val="22"/>
          <w:highlight w:val="none"/>
          <w:lang w:bidi="ar"/>
        </w:rPr>
        <w:t>年(质保期为验收合格之日起开始计算)</w:t>
      </w:r>
      <w:r>
        <w:rPr>
          <w:rFonts w:hint="eastAsia" w:ascii="宋体" w:hAnsi="宋体" w:cs="宋体"/>
          <w:color w:val="auto"/>
          <w:szCs w:val="21"/>
          <w:highlight w:val="none"/>
          <w:lang w:bidi="ar"/>
        </w:rPr>
        <w:t>。</w:t>
      </w:r>
    </w:p>
    <w:p w14:paraId="18C95B8F">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2.质保期内，非损耗件损坏或机台故障，由乙方安排人员更换零配件及对机台维修。</w:t>
      </w:r>
    </w:p>
    <w:p w14:paraId="7FCA3E82">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3.乙方须指派专人负责与甲方联系售后服务事宜。有固定的售后服务机构和技术人员，制定本项目服务标准、流程和保障措施。</w:t>
      </w:r>
    </w:p>
    <w:p w14:paraId="0CCCFEF6">
      <w:pPr>
        <w:spacing w:line="360" w:lineRule="auto"/>
        <w:ind w:firstLine="422"/>
        <w:rPr>
          <w:rFonts w:ascii="宋体" w:hAnsi="宋体" w:cs="宋体"/>
          <w:bCs/>
          <w:color w:val="auto"/>
          <w:szCs w:val="21"/>
          <w:highlight w:val="none"/>
        </w:rPr>
      </w:pPr>
      <w:r>
        <w:rPr>
          <w:rFonts w:hint="eastAsia" w:ascii="宋体" w:hAnsi="宋体" w:cs="宋体"/>
          <w:bCs/>
          <w:color w:val="auto"/>
          <w:szCs w:val="21"/>
          <w:highlight w:val="none"/>
        </w:rPr>
        <w:t>4.其余按厂家承诺。</w:t>
      </w:r>
    </w:p>
    <w:p w14:paraId="2F5DCF0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第八条　付款方式</w:t>
      </w:r>
    </w:p>
    <w:p w14:paraId="3CDCFB97">
      <w:pPr>
        <w:spacing w:line="360" w:lineRule="auto"/>
        <w:ind w:firstLine="420"/>
        <w:rPr>
          <w:rFonts w:ascii="宋体" w:hAnsi="宋体" w:cs="宋体"/>
          <w:color w:val="auto"/>
          <w:szCs w:val="21"/>
          <w:highlight w:val="none"/>
        </w:rPr>
      </w:pPr>
      <w:r>
        <w:rPr>
          <w:rFonts w:hint="eastAsia" w:ascii="宋体" w:hAnsi="宋体" w:cs="宋体"/>
          <w:bCs/>
          <w:color w:val="auto"/>
          <w:szCs w:val="21"/>
          <w:highlight w:val="none"/>
        </w:rPr>
        <w:t>1.</w:t>
      </w:r>
      <w:r>
        <w:rPr>
          <w:rFonts w:hint="eastAsia" w:ascii="宋体" w:hAnsi="宋体" w:cs="宋体"/>
          <w:color w:val="auto"/>
          <w:szCs w:val="21"/>
          <w:highlight w:val="none"/>
        </w:rPr>
        <w:t>当采购数量与实际使用数量不一致时，乙方应根据实际使用量供货，合同的最终结算金额按实际使用量乘以成交单价进行计算。</w:t>
      </w:r>
    </w:p>
    <w:p w14:paraId="04ACAFD8">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2.付款方式：</w:t>
      </w:r>
      <w:r>
        <w:rPr>
          <w:rFonts w:hint="eastAsia" w:ascii="宋体" w:hAnsi="宋体" w:cs="宋体"/>
          <w:color w:val="auto"/>
          <w:szCs w:val="21"/>
          <w:highlight w:val="none"/>
          <w:u w:val="single"/>
        </w:rPr>
        <w:t xml:space="preserve">               。</w:t>
      </w:r>
    </w:p>
    <w:p w14:paraId="6FE298BB">
      <w:pPr>
        <w:pStyle w:val="26"/>
        <w:spacing w:line="360" w:lineRule="auto"/>
        <w:ind w:firstLine="422"/>
        <w:rPr>
          <w:rFonts w:hAnsi="宋体" w:cs="宋体"/>
          <w:b/>
          <w:color w:val="auto"/>
          <w:sz w:val="21"/>
          <w:highlight w:val="none"/>
        </w:rPr>
      </w:pPr>
      <w:r>
        <w:rPr>
          <w:rFonts w:hint="eastAsia" w:hAnsi="宋体" w:cs="宋体"/>
          <w:b/>
          <w:color w:val="auto"/>
          <w:sz w:val="21"/>
          <w:highlight w:val="none"/>
        </w:rPr>
        <w:t>第九条　</w:t>
      </w:r>
      <w:r>
        <w:rPr>
          <w:rFonts w:hint="eastAsia" w:hAnsi="宋体" w:cs="宋体"/>
          <w:bCs/>
          <w:color w:val="auto"/>
          <w:sz w:val="21"/>
          <w:highlight w:val="none"/>
        </w:rPr>
        <w:t>税费本合同执行中相关的一切税费均由乙方负担。</w:t>
      </w:r>
    </w:p>
    <w:p w14:paraId="630A1EA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第十条  质量保证</w:t>
      </w:r>
    </w:p>
    <w:p w14:paraId="16474CC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1.乙方应按报价规定的货物性能、技术要求、质量标准向甲方提供未经使用的全新产品。不符合要求者，可按以下办法处理：</w:t>
      </w:r>
    </w:p>
    <w:p w14:paraId="48595325">
      <w:pPr>
        <w:pStyle w:val="26"/>
        <w:spacing w:line="360" w:lineRule="auto"/>
        <w:ind w:firstLine="420"/>
        <w:rPr>
          <w:rFonts w:hAnsi="宋体" w:cs="宋体"/>
          <w:color w:val="auto"/>
          <w:sz w:val="21"/>
          <w:highlight w:val="none"/>
        </w:rPr>
      </w:pPr>
      <w:r>
        <w:rPr>
          <w:rFonts w:hint="eastAsia" w:hAnsi="宋体" w:cs="宋体"/>
          <w:color w:val="auto"/>
          <w:sz w:val="21"/>
          <w:highlight w:val="none"/>
        </w:rPr>
        <w:t>退货处理：乙方应退还甲方支付的合同款，同时应承担该货物的直接费用（运输、保险、检验、货款利息及银行手续费等）。</w:t>
      </w:r>
    </w:p>
    <w:p w14:paraId="25D79F04">
      <w:pPr>
        <w:pStyle w:val="26"/>
        <w:spacing w:line="360" w:lineRule="auto"/>
        <w:ind w:firstLine="420"/>
        <w:rPr>
          <w:rFonts w:hAnsi="宋体" w:cs="宋体"/>
          <w:color w:val="auto"/>
          <w:sz w:val="21"/>
          <w:highlight w:val="none"/>
        </w:rPr>
      </w:pPr>
      <w:r>
        <w:rPr>
          <w:rFonts w:hint="eastAsia" w:hAnsi="宋体" w:cs="宋体"/>
          <w:color w:val="auto"/>
          <w:sz w:val="21"/>
          <w:highlight w:val="none"/>
        </w:rPr>
        <w:t>2.如在使用过程中发生质量问题，乙方在接到甲方通知后在</w:t>
      </w:r>
      <w:r>
        <w:rPr>
          <w:rFonts w:hint="eastAsia" w:hAnsi="宋体" w:cs="宋体"/>
          <w:color w:val="auto"/>
          <w:sz w:val="21"/>
          <w:highlight w:val="none"/>
          <w:u w:val="single"/>
        </w:rPr>
        <w:t>24</w:t>
      </w:r>
      <w:r>
        <w:rPr>
          <w:rFonts w:hint="eastAsia" w:hAnsi="宋体" w:cs="宋体"/>
          <w:color w:val="auto"/>
          <w:sz w:val="21"/>
          <w:highlight w:val="none"/>
        </w:rPr>
        <w:t>小时内到达甲方现场处理。若乙方未在约定时间内到达，每发生一次，应向甲方支付合同总价款 1% 的违约金。</w:t>
      </w:r>
    </w:p>
    <w:p w14:paraId="5BFC177F">
      <w:pPr>
        <w:pStyle w:val="26"/>
        <w:spacing w:line="360" w:lineRule="auto"/>
        <w:ind w:firstLine="420"/>
        <w:rPr>
          <w:rFonts w:hAnsi="宋体" w:cs="宋体"/>
          <w:color w:val="auto"/>
          <w:sz w:val="21"/>
          <w:highlight w:val="none"/>
        </w:rPr>
      </w:pPr>
      <w:r>
        <w:rPr>
          <w:rFonts w:hint="eastAsia" w:hAnsi="宋体" w:cs="宋体"/>
          <w:color w:val="auto"/>
          <w:sz w:val="21"/>
          <w:highlight w:val="none"/>
        </w:rPr>
        <w:t>3.在质保期内，乙方应对货物出现的质量及安全问题负责处理解决并承担一切费用。</w:t>
      </w:r>
    </w:p>
    <w:p w14:paraId="711E4211">
      <w:pPr>
        <w:pStyle w:val="26"/>
        <w:spacing w:line="360" w:lineRule="auto"/>
        <w:ind w:firstLine="413"/>
        <w:rPr>
          <w:rFonts w:hAnsi="宋体" w:cs="宋体"/>
          <w:b/>
          <w:color w:val="auto"/>
          <w:sz w:val="21"/>
          <w:highlight w:val="none"/>
        </w:rPr>
      </w:pPr>
      <w:r>
        <w:rPr>
          <w:rFonts w:hint="eastAsia" w:hAnsi="宋体" w:cs="宋体"/>
          <w:b/>
          <w:color w:val="auto"/>
          <w:sz w:val="21"/>
          <w:highlight w:val="none"/>
        </w:rPr>
        <w:t>第十一条  货物包装、发运及运输</w:t>
      </w:r>
    </w:p>
    <w:p w14:paraId="30D98BB3">
      <w:pPr>
        <w:pStyle w:val="26"/>
        <w:spacing w:line="360" w:lineRule="auto"/>
        <w:ind w:firstLine="420"/>
        <w:rPr>
          <w:rFonts w:hAnsi="宋体" w:cs="宋体"/>
          <w:color w:val="auto"/>
          <w:sz w:val="21"/>
          <w:highlight w:val="none"/>
        </w:rPr>
      </w:pPr>
      <w:r>
        <w:rPr>
          <w:rFonts w:hint="eastAsia" w:hAnsi="宋体" w:cs="宋体"/>
          <w:color w:val="auto"/>
          <w:sz w:val="21"/>
          <w:highlight w:val="none"/>
        </w:rPr>
        <w:t>1. 乙方应在货物发运前对其进行满足运输距离、防潮、防震、防锈和防破损装卸等要求包装，以保证货物安全运达甲方指定地点。</w:t>
      </w:r>
    </w:p>
    <w:p w14:paraId="24D11FE1">
      <w:pPr>
        <w:pStyle w:val="26"/>
        <w:spacing w:line="360" w:lineRule="auto"/>
        <w:ind w:firstLine="420"/>
        <w:rPr>
          <w:rFonts w:hAnsi="宋体" w:cs="宋体"/>
          <w:color w:val="auto"/>
          <w:sz w:val="21"/>
          <w:highlight w:val="none"/>
        </w:rPr>
      </w:pPr>
      <w:r>
        <w:rPr>
          <w:rFonts w:hint="eastAsia" w:hAnsi="宋体" w:cs="宋体"/>
          <w:color w:val="auto"/>
          <w:sz w:val="21"/>
          <w:highlight w:val="none"/>
        </w:rPr>
        <w:t>2. 使用说明书、质量检验证明书、随配附件和工具以及清单一并附于货物内。</w:t>
      </w:r>
    </w:p>
    <w:p w14:paraId="05C0CA04">
      <w:pPr>
        <w:pStyle w:val="26"/>
        <w:spacing w:line="360" w:lineRule="auto"/>
        <w:ind w:firstLine="420"/>
        <w:rPr>
          <w:rFonts w:hAnsi="宋体" w:cs="宋体"/>
          <w:color w:val="auto"/>
          <w:sz w:val="21"/>
          <w:highlight w:val="none"/>
        </w:rPr>
      </w:pPr>
      <w:r>
        <w:rPr>
          <w:rFonts w:hint="eastAsia" w:hAnsi="宋体" w:cs="宋体"/>
          <w:color w:val="auto"/>
          <w:sz w:val="21"/>
          <w:highlight w:val="none"/>
        </w:rPr>
        <w:t>3. 乙方在货物发运手续办理完毕后24小时内或货到甲方48小时前通知甲方，以准备接货。</w:t>
      </w:r>
    </w:p>
    <w:p w14:paraId="5012B5AC">
      <w:pPr>
        <w:pStyle w:val="26"/>
        <w:spacing w:line="360" w:lineRule="auto"/>
        <w:ind w:firstLine="420"/>
        <w:rPr>
          <w:rFonts w:hAnsi="宋体" w:cs="宋体"/>
          <w:color w:val="auto"/>
          <w:sz w:val="21"/>
          <w:highlight w:val="none"/>
        </w:rPr>
      </w:pPr>
      <w:r>
        <w:rPr>
          <w:rFonts w:hint="eastAsia" w:hAnsi="宋体" w:cs="宋体"/>
          <w:color w:val="auto"/>
          <w:sz w:val="21"/>
          <w:highlight w:val="none"/>
        </w:rPr>
        <w:t>4. 货物在验收合格交付甲方使用前发生的所有风险均由乙方负责。</w:t>
      </w:r>
    </w:p>
    <w:p w14:paraId="78D0667E">
      <w:pPr>
        <w:pStyle w:val="26"/>
        <w:spacing w:line="360" w:lineRule="auto"/>
        <w:ind w:right="26" w:firstLine="420"/>
        <w:rPr>
          <w:rFonts w:hAnsi="宋体" w:cs="宋体"/>
          <w:color w:val="auto"/>
          <w:spacing w:val="-8"/>
          <w:sz w:val="21"/>
          <w:highlight w:val="none"/>
        </w:rPr>
      </w:pPr>
      <w:r>
        <w:rPr>
          <w:rFonts w:hint="eastAsia" w:hAnsi="宋体" w:cs="宋体"/>
          <w:color w:val="auto"/>
          <w:sz w:val="21"/>
          <w:highlight w:val="none"/>
        </w:rPr>
        <w:t>5. 货</w:t>
      </w:r>
      <w:r>
        <w:rPr>
          <w:rFonts w:hint="eastAsia" w:hAnsi="宋体" w:cs="宋体"/>
          <w:color w:val="auto"/>
          <w:spacing w:val="-8"/>
          <w:sz w:val="21"/>
          <w:highlight w:val="none"/>
        </w:rPr>
        <w:t>物在规定的交付期限内由乙方送达甲方指定的地点，乙方同时需通知甲方货物已送达。</w:t>
      </w:r>
    </w:p>
    <w:p w14:paraId="6DF8D5E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第十二条　违约责任</w:t>
      </w:r>
    </w:p>
    <w:p w14:paraId="7E32C89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1.乙方所提供的货物规格、技术标准、材料等质量不合格存在质量问题的，甲方不予接收。                                       </w:t>
      </w:r>
    </w:p>
    <w:p w14:paraId="7D4578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2.乙方提供的货物如侵犯了第三方合法权益而引发的任何纠纷或诉讼，均由乙方负责处理并承担全部责任。</w:t>
      </w:r>
    </w:p>
    <w:p w14:paraId="6D1F7EC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3.因包装、运输引起的货物损坏，按质量不合格处罚。</w:t>
      </w:r>
    </w:p>
    <w:p w14:paraId="6C4EA56D">
      <w:pPr>
        <w:spacing w:after="200" w:line="500" w:lineRule="exact"/>
        <w:ind w:firstLine="420"/>
        <w:jc w:val="left"/>
        <w:rPr>
          <w:rFonts w:ascii="宋体" w:hAnsi="宋体" w:cs="宋体"/>
          <w:b/>
          <w:bCs/>
          <w:color w:val="auto"/>
          <w:szCs w:val="21"/>
          <w:highlight w:val="none"/>
        </w:rPr>
      </w:pPr>
      <w:r>
        <w:rPr>
          <w:rFonts w:hint="eastAsia" w:ascii="宋体" w:hAnsi="宋体" w:cs="宋体"/>
          <w:color w:val="auto"/>
          <w:szCs w:val="21"/>
          <w:highlight w:val="none"/>
        </w:rPr>
        <w:t xml:space="preserve">4.乙方逾期交货的，每延迟一日，每天向甲方偿付合同货款的3‰违约金，但违约金累计不得超过合同货款的5%，超过20天未交货的甲方有权单方解除合同，并要求乙方支付合同总额20%的违约金，违约金不足以弥补甲方损失的，乙方还应赔偿甲方全部损失。 </w:t>
      </w:r>
    </w:p>
    <w:p w14:paraId="202D356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5.乙方未按本合同和报价文件中规定的服务承诺提供售后服务的，乙方应按本合同款额的5%向甲方支付违约金。</w:t>
      </w:r>
    </w:p>
    <w:p w14:paraId="0167163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6.乙方提供的货物在质量保证期内，因设计、工艺或材料的缺陷和其它质量原因产生的问题，由乙方负责解决，并赔偿因此给甲方造成的经济损失。</w:t>
      </w:r>
    </w:p>
    <w:p w14:paraId="6ACC661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7.其它违约行为按合同货款额的5%收取违约金并赔偿甲方的经济损失。</w:t>
      </w:r>
    </w:p>
    <w:p w14:paraId="3E74807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8.如因乙方的违约行为，甲方为维权所产生的诉讼费、保全费、保函费、律师费、差旅费、调查费等均由乙方承担。</w:t>
      </w:r>
    </w:p>
    <w:p w14:paraId="1670C546">
      <w:pPr>
        <w:pStyle w:val="26"/>
        <w:spacing w:line="360" w:lineRule="auto"/>
        <w:ind w:firstLine="413"/>
        <w:rPr>
          <w:rFonts w:hAnsi="宋体" w:cs="宋体"/>
          <w:b/>
          <w:color w:val="auto"/>
          <w:sz w:val="21"/>
          <w:highlight w:val="none"/>
        </w:rPr>
      </w:pPr>
      <w:r>
        <w:rPr>
          <w:rFonts w:hint="eastAsia" w:hAnsi="宋体" w:cs="宋体"/>
          <w:b/>
          <w:color w:val="auto"/>
          <w:sz w:val="21"/>
          <w:highlight w:val="none"/>
        </w:rPr>
        <w:t>第十三条  不可抗力事件处理</w:t>
      </w:r>
    </w:p>
    <w:p w14:paraId="7F4CCDD1">
      <w:pPr>
        <w:pStyle w:val="26"/>
        <w:spacing w:line="360" w:lineRule="auto"/>
        <w:ind w:firstLine="420"/>
        <w:rPr>
          <w:rFonts w:hAnsi="宋体" w:cs="宋体"/>
          <w:color w:val="auto"/>
          <w:sz w:val="21"/>
          <w:highlight w:val="none"/>
        </w:rPr>
      </w:pPr>
      <w:r>
        <w:rPr>
          <w:rFonts w:hint="eastAsia" w:hAnsi="宋体" w:cs="宋体"/>
          <w:color w:val="auto"/>
          <w:sz w:val="21"/>
          <w:highlight w:val="none"/>
        </w:rPr>
        <w:t>1. 在合同有效期内，任何一方因不可抗力事件导致不能履行合同，则合同履行期可延长，其延长期与不可抗力影响期相同。</w:t>
      </w:r>
    </w:p>
    <w:p w14:paraId="4080BE64">
      <w:pPr>
        <w:pStyle w:val="26"/>
        <w:spacing w:line="360" w:lineRule="auto"/>
        <w:ind w:firstLine="420"/>
        <w:rPr>
          <w:rFonts w:hAnsi="宋体" w:cs="宋体"/>
          <w:color w:val="auto"/>
          <w:sz w:val="21"/>
          <w:highlight w:val="none"/>
        </w:rPr>
      </w:pPr>
      <w:r>
        <w:rPr>
          <w:rFonts w:hint="eastAsia" w:hAnsi="宋体" w:cs="宋体"/>
          <w:color w:val="auto"/>
          <w:sz w:val="21"/>
          <w:highlight w:val="none"/>
        </w:rPr>
        <w:t>2. 不可抗力事件发生后，应立即通知对方，并寄送有关权威机构出具的证明。</w:t>
      </w:r>
    </w:p>
    <w:p w14:paraId="2614D8B9">
      <w:pPr>
        <w:pStyle w:val="26"/>
        <w:spacing w:line="360" w:lineRule="auto"/>
        <w:ind w:firstLine="420"/>
        <w:rPr>
          <w:rFonts w:hAnsi="宋体" w:cs="宋体"/>
          <w:color w:val="auto"/>
          <w:sz w:val="21"/>
          <w:highlight w:val="none"/>
        </w:rPr>
      </w:pPr>
      <w:r>
        <w:rPr>
          <w:rFonts w:hint="eastAsia" w:hAnsi="宋体" w:cs="宋体"/>
          <w:color w:val="auto"/>
          <w:sz w:val="21"/>
          <w:highlight w:val="none"/>
        </w:rPr>
        <w:t>3. 不可抗力事件延续60天以上，双方应通过友好协商，确定是否继续履行合同。</w:t>
      </w:r>
    </w:p>
    <w:p w14:paraId="08CAF53F">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第十四条  合同争议解决</w:t>
      </w:r>
    </w:p>
    <w:p w14:paraId="6D2F22A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1.因货物质量问题发生争议的，应邀请国家认可的质量检测机构对货物质量进行鉴定。货物符合标准的，鉴定费由甲方承担；货物不符合标准的，鉴定费由乙方承担。</w:t>
      </w:r>
    </w:p>
    <w:p w14:paraId="4451B71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2.因履行本合同引起的或与本合同有关的争议，甲乙双方应首先通过友好协商解决，如果协商不能解决，可向甲方所在地人民法院提起诉讼。</w:t>
      </w:r>
    </w:p>
    <w:p w14:paraId="0DEAA7FC">
      <w:pPr>
        <w:spacing w:line="360" w:lineRule="auto"/>
        <w:ind w:firstLine="420"/>
        <w:rPr>
          <w:rFonts w:ascii="宋体" w:hAnsi="宋体" w:cs="宋体"/>
          <w:color w:val="auto"/>
          <w:sz w:val="24"/>
          <w:highlight w:val="none"/>
        </w:rPr>
      </w:pPr>
      <w:r>
        <w:rPr>
          <w:rFonts w:hint="eastAsia" w:ascii="宋体" w:hAnsi="宋体" w:cs="宋体"/>
          <w:color w:val="auto"/>
          <w:szCs w:val="21"/>
          <w:highlight w:val="none"/>
        </w:rPr>
        <w:t>3.诉讼期间，除涉及诉讼标的之条款外，不影响合同中其他无争议条款的继续履行。</w:t>
      </w:r>
    </w:p>
    <w:p w14:paraId="7E3B16DB">
      <w:pPr>
        <w:spacing w:line="360" w:lineRule="auto"/>
        <w:ind w:firstLine="420"/>
        <w:rPr>
          <w:rFonts w:hAnsi="宋体" w:cs="宋体"/>
          <w:color w:val="auto"/>
          <w:highlight w:val="none"/>
        </w:rPr>
      </w:pPr>
      <w:r>
        <w:rPr>
          <w:rFonts w:hint="eastAsia" w:ascii="宋体" w:hAnsi="宋体" w:cs="宋体"/>
          <w:b/>
          <w:color w:val="auto"/>
          <w:szCs w:val="21"/>
          <w:highlight w:val="none"/>
        </w:rPr>
        <w:t>第十五条  合同生效及其它</w:t>
      </w:r>
    </w:p>
    <w:p w14:paraId="3BE8C51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1.合同经双方法定代表人或授权委托代理人签字或盖章并加盖单位公章或合同专用章后生效。</w:t>
      </w:r>
    </w:p>
    <w:p w14:paraId="6BDF0FF3">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 合同执行中涉及采购资金和采购内容修改或补充的，须签书面补充协议方可作为主合同不可分割的一部分。</w:t>
      </w:r>
    </w:p>
    <w:p w14:paraId="6773C76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3.除《中华人民共和国政府采购法》第五十条规定的情形外，本合同一经签订，甲乙双方不得擅自变更、中止或者终止合同。</w:t>
      </w:r>
      <w:r>
        <w:rPr>
          <w:color w:val="auto"/>
          <w:highlight w:val="none"/>
        </w:rPr>
        <w:t>﻿</w:t>
      </w:r>
    </w:p>
    <w:p w14:paraId="5FB48F81">
      <w:pPr>
        <w:spacing w:line="440" w:lineRule="exact"/>
        <w:ind w:firstLine="420"/>
        <w:jc w:val="right"/>
        <w:rPr>
          <w:rFonts w:ascii="宋体" w:hAnsi="宋体" w:cs="宋体"/>
          <w:color w:val="auto"/>
          <w:szCs w:val="21"/>
          <w:highlight w:val="none"/>
        </w:rPr>
      </w:pPr>
      <w:r>
        <w:rPr>
          <w:rFonts w:hint="eastAsia" w:ascii="宋体" w:hAnsi="宋体" w:cs="宋体"/>
          <w:color w:val="auto"/>
          <w:szCs w:val="21"/>
          <w:highlight w:val="none"/>
        </w:rPr>
        <w:t>4.采购合同继续履行将损害国家利益和社会公共利益的，双方当事人应当变更、中止或者终止合同。有过错的一方应当承担赔偿责任，双方都有过错的，各自承担相应的责任。</w:t>
      </w:r>
    </w:p>
    <w:p w14:paraId="2CF23BB4">
      <w:pPr>
        <w:pStyle w:val="26"/>
        <w:spacing w:line="360" w:lineRule="auto"/>
        <w:ind w:firstLine="420"/>
        <w:rPr>
          <w:rFonts w:hAnsi="宋体" w:cs="宋体"/>
          <w:bCs/>
          <w:color w:val="auto"/>
          <w:sz w:val="21"/>
          <w:highlight w:val="none"/>
        </w:rPr>
      </w:pPr>
    </w:p>
    <w:p w14:paraId="63E93B2F">
      <w:pPr>
        <w:spacing w:line="360" w:lineRule="auto"/>
        <w:ind w:firstLine="211"/>
        <w:rPr>
          <w:rFonts w:ascii="宋体" w:hAnsi="宋体" w:cs="宋体"/>
          <w:b/>
          <w:color w:val="auto"/>
          <w:szCs w:val="21"/>
          <w:highlight w:val="none"/>
        </w:rPr>
      </w:pPr>
      <w:r>
        <w:rPr>
          <w:rFonts w:hint="eastAsia" w:ascii="宋体" w:hAnsi="宋体" w:cs="宋体"/>
          <w:b/>
          <w:color w:val="auto"/>
          <w:szCs w:val="21"/>
          <w:highlight w:val="none"/>
        </w:rPr>
        <w:t>第十六条　签订本合同依据</w:t>
      </w:r>
    </w:p>
    <w:p w14:paraId="05906F44">
      <w:pPr>
        <w:pStyle w:val="7"/>
        <w:spacing w:line="360" w:lineRule="auto"/>
        <w:rPr>
          <w:rFonts w:ascii="宋体" w:hAnsi="宋体" w:cs="宋体"/>
          <w:color w:val="auto"/>
          <w:szCs w:val="21"/>
          <w:highlight w:val="none"/>
        </w:rPr>
      </w:pPr>
      <w:r>
        <w:rPr>
          <w:rFonts w:hint="eastAsia" w:ascii="宋体" w:hAnsi="宋体" w:cs="宋体"/>
          <w:color w:val="auto"/>
          <w:szCs w:val="21"/>
          <w:highlight w:val="none"/>
        </w:rPr>
        <w:t>1.政府采购招标文件；</w:t>
      </w:r>
    </w:p>
    <w:p w14:paraId="11093A7B">
      <w:pPr>
        <w:pStyle w:val="7"/>
        <w:spacing w:line="360" w:lineRule="auto"/>
        <w:rPr>
          <w:rFonts w:ascii="宋体" w:hAnsi="宋体" w:cs="宋体"/>
          <w:color w:val="auto"/>
          <w:szCs w:val="21"/>
          <w:highlight w:val="none"/>
        </w:rPr>
      </w:pPr>
      <w:r>
        <w:rPr>
          <w:rFonts w:hint="eastAsia" w:ascii="宋体" w:hAnsi="宋体" w:cs="宋体"/>
          <w:color w:val="auto"/>
          <w:szCs w:val="21"/>
          <w:highlight w:val="none"/>
        </w:rPr>
        <w:t>2.乙方提供的投标文件；</w:t>
      </w:r>
    </w:p>
    <w:p w14:paraId="2A152BB2">
      <w:pPr>
        <w:pStyle w:val="7"/>
        <w:spacing w:line="360" w:lineRule="auto"/>
        <w:rPr>
          <w:rFonts w:ascii="宋体" w:hAnsi="宋体" w:cs="宋体"/>
          <w:color w:val="auto"/>
          <w:szCs w:val="21"/>
          <w:highlight w:val="none"/>
        </w:rPr>
      </w:pPr>
      <w:r>
        <w:rPr>
          <w:rFonts w:hint="eastAsia" w:ascii="宋体" w:hAnsi="宋体" w:cs="宋体"/>
          <w:color w:val="auto"/>
          <w:szCs w:val="21"/>
          <w:highlight w:val="none"/>
        </w:rPr>
        <w:t>3.中标通知书。</w:t>
      </w:r>
    </w:p>
    <w:p w14:paraId="093A092F">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第十七条　</w:t>
      </w:r>
      <w:r>
        <w:rPr>
          <w:rFonts w:hint="eastAsia" w:ascii="宋体" w:hAnsi="宋体" w:cs="宋体"/>
          <w:color w:val="auto"/>
          <w:szCs w:val="21"/>
          <w:highlight w:val="none"/>
        </w:rPr>
        <w:t>本合同一式伍份，具有同等法律效力。甲方贰份，乙方贰份，采购代理机构壹份。</w:t>
      </w:r>
    </w:p>
    <w:p w14:paraId="127F086C">
      <w:pPr>
        <w:spacing w:line="360" w:lineRule="auto"/>
        <w:ind w:firstLine="420"/>
        <w:rPr>
          <w:color w:val="auto"/>
          <w:highlight w:val="none"/>
        </w:rPr>
      </w:pPr>
      <w:r>
        <w:rPr>
          <w:rFonts w:hint="eastAsia" w:ascii="宋体" w:hAnsi="宋体" w:cs="宋体"/>
          <w:color w:val="auto"/>
          <w:szCs w:val="21"/>
          <w:highlight w:val="none"/>
        </w:rPr>
        <w:t>本合同甲乙双方法定代表人签字盖章后生效。</w:t>
      </w:r>
    </w:p>
    <w:p w14:paraId="2E72E17D">
      <w:pPr>
        <w:tabs>
          <w:tab w:val="left" w:pos="4395"/>
        </w:tabs>
        <w:spacing w:line="480" w:lineRule="exact"/>
        <w:rPr>
          <w:rFonts w:ascii="宋体" w:hAnsi="宋体"/>
          <w:b/>
          <w:color w:val="auto"/>
          <w:szCs w:val="21"/>
          <w:highlight w:val="none"/>
        </w:rPr>
      </w:pPr>
      <w:r>
        <w:rPr>
          <w:rFonts w:hint="eastAsia" w:ascii="宋体" w:hAnsi="宋体"/>
          <w:b/>
          <w:color w:val="auto"/>
          <w:szCs w:val="21"/>
          <w:highlight w:val="none"/>
        </w:rPr>
        <w:t>甲方（盖章）：</w:t>
      </w:r>
      <w:r>
        <w:rPr>
          <w:rFonts w:hint="eastAsia" w:ascii="宋体" w:hAnsi="宋体"/>
          <w:b/>
          <w:color w:val="auto"/>
          <w:szCs w:val="21"/>
          <w:highlight w:val="none"/>
        </w:rPr>
        <w:tab/>
      </w:r>
      <w:r>
        <w:rPr>
          <w:rFonts w:hint="eastAsia" w:ascii="宋体" w:hAnsi="宋体"/>
          <w:b/>
          <w:color w:val="auto"/>
          <w:szCs w:val="21"/>
          <w:highlight w:val="none"/>
        </w:rPr>
        <w:t>乙方（盖章）：</w:t>
      </w:r>
    </w:p>
    <w:p w14:paraId="0841527A">
      <w:pPr>
        <w:tabs>
          <w:tab w:val="left" w:pos="4395"/>
        </w:tabs>
        <w:spacing w:line="480" w:lineRule="exact"/>
        <w:rPr>
          <w:rFonts w:ascii="宋体" w:hAnsi="宋体"/>
          <w:b/>
          <w:color w:val="auto"/>
          <w:szCs w:val="21"/>
          <w:highlight w:val="none"/>
        </w:rPr>
      </w:pP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w:t>
      </w:r>
      <w:r>
        <w:rPr>
          <w:rFonts w:hint="eastAsia" w:ascii="宋体" w:hAnsi="宋体"/>
          <w:b/>
          <w:color w:val="auto"/>
          <w:szCs w:val="21"/>
          <w:highlight w:val="none"/>
        </w:rPr>
        <w:tab/>
      </w: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 xml:space="preserve">： </w:t>
      </w:r>
    </w:p>
    <w:p w14:paraId="4D05D289">
      <w:pPr>
        <w:tabs>
          <w:tab w:val="left" w:pos="4395"/>
        </w:tabs>
        <w:spacing w:line="480" w:lineRule="exact"/>
        <w:rPr>
          <w:rFonts w:ascii="宋体" w:hAnsi="宋体"/>
          <w:color w:val="auto"/>
          <w:szCs w:val="21"/>
          <w:highlight w:val="none"/>
        </w:rPr>
      </w:pPr>
    </w:p>
    <w:p w14:paraId="736A9ECB">
      <w:pPr>
        <w:tabs>
          <w:tab w:val="left" w:pos="4395"/>
        </w:tabs>
        <w:spacing w:line="480" w:lineRule="exact"/>
        <w:rPr>
          <w:rFonts w:ascii="宋体" w:hAnsi="宋体"/>
          <w:color w:val="auto"/>
          <w:szCs w:val="21"/>
          <w:highlight w:val="none"/>
        </w:rPr>
      </w:pPr>
      <w:r>
        <w:rPr>
          <w:rFonts w:hint="eastAsia" w:ascii="宋体" w:hAnsi="宋体"/>
          <w:color w:val="auto"/>
          <w:szCs w:val="21"/>
          <w:highlight w:val="none"/>
        </w:rPr>
        <w:t>签订日期：　　　年　　月　　日</w:t>
      </w:r>
      <w:r>
        <w:rPr>
          <w:rFonts w:hint="eastAsia" w:ascii="宋体" w:hAnsi="宋体"/>
          <w:color w:val="auto"/>
          <w:szCs w:val="21"/>
          <w:highlight w:val="none"/>
        </w:rPr>
        <w:tab/>
      </w:r>
      <w:r>
        <w:rPr>
          <w:rFonts w:hint="eastAsia" w:ascii="宋体" w:hAnsi="宋体"/>
          <w:color w:val="auto"/>
          <w:szCs w:val="21"/>
          <w:highlight w:val="none"/>
        </w:rPr>
        <w:t>签订日期：　　　年　　月　　日</w:t>
      </w:r>
    </w:p>
    <w:p w14:paraId="5C5AC775">
      <w:pPr>
        <w:tabs>
          <w:tab w:val="left" w:pos="4395"/>
        </w:tabs>
        <w:spacing w:line="48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开户名称：</w:t>
      </w:r>
    </w:p>
    <w:p w14:paraId="21A2BB22">
      <w:pPr>
        <w:tabs>
          <w:tab w:val="left" w:pos="4395"/>
        </w:tabs>
        <w:spacing w:line="48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银行账号：</w:t>
      </w:r>
    </w:p>
    <w:p w14:paraId="7AF1C2D7">
      <w:pPr>
        <w:tabs>
          <w:tab w:val="left" w:pos="4395"/>
        </w:tabs>
        <w:spacing w:line="480" w:lineRule="exact"/>
        <w:rPr>
          <w:rFonts w:ascii="宋体" w:hAnsi="宋体" w:cs="宋体"/>
          <w:color w:val="auto"/>
          <w:sz w:val="6"/>
          <w:szCs w:val="6"/>
          <w:highlight w:val="none"/>
        </w:rPr>
      </w:pPr>
      <w:r>
        <w:rPr>
          <w:rFonts w:hint="eastAsia" w:ascii="宋体" w:hAnsi="宋体"/>
          <w:color w:val="auto"/>
          <w:szCs w:val="21"/>
          <w:highlight w:val="none"/>
        </w:rPr>
        <w:tab/>
      </w:r>
      <w:r>
        <w:rPr>
          <w:rFonts w:hint="eastAsia" w:ascii="宋体" w:hAnsi="宋体"/>
          <w:color w:val="auto"/>
          <w:szCs w:val="21"/>
          <w:highlight w:val="none"/>
        </w:rPr>
        <w:t>开 户 行：</w:t>
      </w:r>
    </w:p>
    <w:p w14:paraId="27CCBADA">
      <w:pPr>
        <w:pStyle w:val="18"/>
        <w:rPr>
          <w:color w:val="auto"/>
          <w:highlight w:val="none"/>
        </w:rPr>
      </w:pPr>
      <w:r>
        <w:rPr>
          <w:rFonts w:ascii="宋体" w:hAnsi="宋体"/>
          <w:bCs/>
          <w:color w:val="auto"/>
          <w:sz w:val="32"/>
          <w:szCs w:val="32"/>
          <w:highlight w:val="none"/>
        </w:rPr>
        <w:br w:type="page" w:clear="all"/>
      </w:r>
    </w:p>
    <w:p w14:paraId="742903B3">
      <w:pPr>
        <w:jc w:val="center"/>
        <w:rPr>
          <w:rFonts w:ascii="宋体" w:hAnsi="宋体"/>
          <w:bCs/>
          <w:color w:val="auto"/>
          <w:sz w:val="32"/>
          <w:szCs w:val="32"/>
          <w:highlight w:val="none"/>
        </w:rPr>
      </w:pPr>
    </w:p>
    <w:p w14:paraId="647FE74E">
      <w:pPr>
        <w:pStyle w:val="2"/>
        <w:jc w:val="center"/>
        <w:rPr>
          <w:color w:val="auto"/>
          <w:highlight w:val="none"/>
        </w:rPr>
      </w:pPr>
      <w:bookmarkStart w:id="160" w:name="_Toc74320805"/>
    </w:p>
    <w:p w14:paraId="19D99027">
      <w:pPr>
        <w:pStyle w:val="2"/>
        <w:jc w:val="center"/>
        <w:rPr>
          <w:color w:val="auto"/>
          <w:highlight w:val="none"/>
        </w:rPr>
      </w:pPr>
    </w:p>
    <w:p w14:paraId="4A7BE276">
      <w:pPr>
        <w:pStyle w:val="2"/>
        <w:jc w:val="center"/>
        <w:rPr>
          <w:color w:val="auto"/>
          <w:highlight w:val="none"/>
        </w:rPr>
      </w:pPr>
    </w:p>
    <w:p w14:paraId="0DABAED9">
      <w:pPr>
        <w:pStyle w:val="2"/>
        <w:jc w:val="center"/>
        <w:rPr>
          <w:color w:val="auto"/>
          <w:highlight w:val="none"/>
        </w:rPr>
      </w:pPr>
      <w:r>
        <w:rPr>
          <w:rFonts w:hint="eastAsia"/>
          <w:color w:val="auto"/>
          <w:highlight w:val="none"/>
        </w:rPr>
        <w:t>第六章　投标文件格式</w:t>
      </w:r>
      <w:bookmarkEnd w:id="160"/>
    </w:p>
    <w:p w14:paraId="0E5F767A">
      <w:pPr>
        <w:spacing w:before="50" w:after="50"/>
        <w:outlineLvl w:val="1"/>
        <w:rPr>
          <w:rFonts w:ascii="宋体" w:hAnsi="宋体"/>
          <w:color w:val="auto"/>
          <w:sz w:val="32"/>
          <w:szCs w:val="20"/>
          <w:highlight w:val="none"/>
        </w:rPr>
      </w:pPr>
    </w:p>
    <w:p w14:paraId="7F50F045">
      <w:pPr>
        <w:spacing w:before="50" w:after="50"/>
        <w:outlineLvl w:val="1"/>
        <w:rPr>
          <w:rFonts w:ascii="宋体" w:hAnsi="宋体"/>
          <w:color w:val="auto"/>
          <w:sz w:val="32"/>
          <w:szCs w:val="20"/>
          <w:highlight w:val="none"/>
        </w:rPr>
      </w:pPr>
    </w:p>
    <w:p w14:paraId="5F1E91FB">
      <w:pPr>
        <w:spacing w:before="50" w:after="50"/>
        <w:outlineLvl w:val="1"/>
        <w:rPr>
          <w:rFonts w:ascii="宋体" w:hAnsi="宋体"/>
          <w:color w:val="auto"/>
          <w:sz w:val="32"/>
          <w:szCs w:val="20"/>
          <w:highlight w:val="none"/>
        </w:rPr>
      </w:pPr>
    </w:p>
    <w:p w14:paraId="32D34165">
      <w:pPr>
        <w:spacing w:before="50" w:after="50"/>
        <w:outlineLvl w:val="1"/>
        <w:rPr>
          <w:rFonts w:ascii="宋体" w:hAnsi="宋体"/>
          <w:color w:val="auto"/>
          <w:sz w:val="32"/>
          <w:szCs w:val="20"/>
          <w:highlight w:val="none"/>
        </w:rPr>
      </w:pPr>
    </w:p>
    <w:p w14:paraId="6D809927">
      <w:pPr>
        <w:spacing w:before="50" w:after="50"/>
        <w:outlineLvl w:val="1"/>
        <w:rPr>
          <w:rFonts w:ascii="宋体" w:hAnsi="宋体"/>
          <w:color w:val="auto"/>
          <w:sz w:val="32"/>
          <w:szCs w:val="20"/>
          <w:highlight w:val="none"/>
        </w:rPr>
      </w:pPr>
    </w:p>
    <w:p w14:paraId="798068B9">
      <w:pPr>
        <w:spacing w:before="50" w:after="50"/>
        <w:outlineLvl w:val="1"/>
        <w:rPr>
          <w:rFonts w:ascii="宋体" w:hAnsi="宋体"/>
          <w:color w:val="auto"/>
          <w:sz w:val="32"/>
          <w:szCs w:val="20"/>
          <w:highlight w:val="none"/>
        </w:rPr>
      </w:pPr>
    </w:p>
    <w:p w14:paraId="4E3E6F47">
      <w:pPr>
        <w:spacing w:before="50" w:after="50"/>
        <w:outlineLvl w:val="1"/>
        <w:rPr>
          <w:rFonts w:ascii="宋体" w:hAnsi="宋体"/>
          <w:color w:val="auto"/>
          <w:sz w:val="32"/>
          <w:szCs w:val="20"/>
          <w:highlight w:val="none"/>
        </w:rPr>
      </w:pPr>
    </w:p>
    <w:p w14:paraId="4C3FCA30">
      <w:pPr>
        <w:spacing w:before="50" w:after="50"/>
        <w:outlineLvl w:val="1"/>
        <w:rPr>
          <w:rFonts w:ascii="宋体" w:hAnsi="宋体"/>
          <w:color w:val="auto"/>
          <w:sz w:val="32"/>
          <w:szCs w:val="20"/>
          <w:highlight w:val="none"/>
        </w:rPr>
      </w:pPr>
    </w:p>
    <w:p w14:paraId="463C73A5">
      <w:pPr>
        <w:spacing w:before="50" w:after="50"/>
        <w:outlineLvl w:val="1"/>
        <w:rPr>
          <w:rFonts w:ascii="宋体" w:hAnsi="宋体"/>
          <w:color w:val="auto"/>
          <w:sz w:val="32"/>
          <w:szCs w:val="20"/>
          <w:highlight w:val="none"/>
        </w:rPr>
      </w:pPr>
    </w:p>
    <w:p w14:paraId="182D637A">
      <w:pPr>
        <w:spacing w:before="50" w:after="50"/>
        <w:outlineLvl w:val="1"/>
        <w:rPr>
          <w:rFonts w:ascii="宋体" w:hAnsi="宋体"/>
          <w:color w:val="auto"/>
          <w:sz w:val="32"/>
          <w:szCs w:val="20"/>
          <w:highlight w:val="none"/>
        </w:rPr>
      </w:pPr>
    </w:p>
    <w:p w14:paraId="204DED54">
      <w:pPr>
        <w:spacing w:before="50" w:after="50"/>
        <w:outlineLvl w:val="1"/>
        <w:rPr>
          <w:rFonts w:ascii="宋体" w:hAnsi="宋体"/>
          <w:color w:val="auto"/>
          <w:sz w:val="32"/>
          <w:szCs w:val="20"/>
          <w:highlight w:val="none"/>
        </w:rPr>
      </w:pPr>
    </w:p>
    <w:p w14:paraId="68967738">
      <w:pPr>
        <w:spacing w:before="50" w:after="50"/>
        <w:outlineLvl w:val="1"/>
        <w:rPr>
          <w:rFonts w:ascii="宋体" w:hAnsi="宋体"/>
          <w:color w:val="auto"/>
          <w:sz w:val="32"/>
          <w:szCs w:val="20"/>
          <w:highlight w:val="none"/>
        </w:rPr>
      </w:pPr>
    </w:p>
    <w:p w14:paraId="6F689906">
      <w:pPr>
        <w:spacing w:before="50" w:after="50"/>
        <w:outlineLvl w:val="1"/>
        <w:rPr>
          <w:rFonts w:ascii="宋体" w:hAnsi="宋体"/>
          <w:color w:val="auto"/>
          <w:sz w:val="32"/>
          <w:szCs w:val="20"/>
          <w:highlight w:val="none"/>
        </w:rPr>
      </w:pPr>
    </w:p>
    <w:p w14:paraId="1AC37AC9">
      <w:pPr>
        <w:spacing w:before="120" w:after="50"/>
        <w:jc w:val="center"/>
        <w:outlineLvl w:val="1"/>
        <w:rPr>
          <w:rFonts w:ascii="宋体" w:hAnsi="宋体"/>
          <w:color w:val="auto"/>
          <w:highlight w:val="none"/>
        </w:rPr>
      </w:pPr>
    </w:p>
    <w:p w14:paraId="584A3162">
      <w:pPr>
        <w:rPr>
          <w:b/>
          <w:color w:val="auto"/>
          <w:sz w:val="28"/>
          <w:szCs w:val="28"/>
          <w:highlight w:val="none"/>
        </w:rPr>
      </w:pPr>
      <w:bookmarkStart w:id="161" w:name="_Toc19686836"/>
      <w:bookmarkStart w:id="162" w:name="_Toc254970698"/>
      <w:bookmarkStart w:id="163" w:name="_Toc254970557"/>
    </w:p>
    <w:p w14:paraId="31555791">
      <w:pPr>
        <w:rPr>
          <w:b/>
          <w:color w:val="auto"/>
          <w:sz w:val="28"/>
          <w:szCs w:val="28"/>
          <w:highlight w:val="none"/>
        </w:rPr>
      </w:pPr>
    </w:p>
    <w:p w14:paraId="320D1CC9">
      <w:pPr>
        <w:rPr>
          <w:b/>
          <w:color w:val="auto"/>
          <w:sz w:val="28"/>
          <w:szCs w:val="28"/>
          <w:highlight w:val="none"/>
        </w:rPr>
      </w:pPr>
    </w:p>
    <w:p w14:paraId="3C160CF5">
      <w:pPr>
        <w:rPr>
          <w:b/>
          <w:color w:val="auto"/>
          <w:sz w:val="28"/>
          <w:szCs w:val="28"/>
          <w:highlight w:val="none"/>
        </w:rPr>
      </w:pPr>
      <w:r>
        <w:rPr>
          <w:rFonts w:hint="eastAsia"/>
          <w:b/>
          <w:color w:val="auto"/>
          <w:sz w:val="28"/>
          <w:szCs w:val="28"/>
          <w:highlight w:val="none"/>
        </w:rPr>
        <w:t>一、报价文件格式</w:t>
      </w:r>
      <w:bookmarkEnd w:id="161"/>
    </w:p>
    <w:p w14:paraId="34FBE6DA">
      <w:pPr>
        <w:spacing w:before="120" w:after="50" w:line="360" w:lineRule="auto"/>
        <w:ind w:left="142"/>
        <w:jc w:val="left"/>
        <w:rPr>
          <w:rFonts w:ascii="宋体" w:hAnsi="宋体"/>
          <w:b/>
          <w:color w:val="auto"/>
          <w:sz w:val="24"/>
          <w:highlight w:val="none"/>
        </w:rPr>
      </w:pPr>
      <w:r>
        <w:rPr>
          <w:rFonts w:hint="eastAsia" w:ascii="宋体" w:hAnsi="宋体"/>
          <w:b/>
          <w:color w:val="auto"/>
          <w:sz w:val="24"/>
          <w:highlight w:val="none"/>
        </w:rPr>
        <w:t xml:space="preserve">1. 报价文件封面格式： </w:t>
      </w:r>
    </w:p>
    <w:p w14:paraId="3ED3F67D">
      <w:pPr>
        <w:spacing w:before="120" w:after="50" w:line="360" w:lineRule="auto"/>
        <w:ind w:left="142"/>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64A3E336">
      <w:pPr>
        <w:spacing w:before="120" w:after="50" w:line="400" w:lineRule="exact"/>
        <w:jc w:val="left"/>
        <w:rPr>
          <w:rFonts w:ascii="宋体" w:hAnsi="宋体" w:eastAsia="方正小标宋简体"/>
          <w:bCs/>
          <w:color w:val="auto"/>
          <w:sz w:val="48"/>
          <w:szCs w:val="48"/>
          <w:highlight w:val="none"/>
        </w:rPr>
      </w:pPr>
    </w:p>
    <w:p w14:paraId="7E508B98">
      <w:pPr>
        <w:spacing w:before="120" w:after="50" w:line="4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报  价  文  件</w:t>
      </w:r>
    </w:p>
    <w:p w14:paraId="73084585">
      <w:pPr>
        <w:spacing w:before="120" w:after="50" w:line="400" w:lineRule="exact"/>
        <w:rPr>
          <w:rFonts w:ascii="宋体" w:hAnsi="宋体"/>
          <w:bCs/>
          <w:color w:val="auto"/>
          <w:sz w:val="24"/>
          <w:szCs w:val="20"/>
          <w:highlight w:val="none"/>
        </w:rPr>
      </w:pPr>
    </w:p>
    <w:p w14:paraId="1F5FF089">
      <w:pPr>
        <w:spacing w:before="120" w:after="50" w:line="400" w:lineRule="exact"/>
        <w:rPr>
          <w:rFonts w:ascii="宋体" w:hAnsi="宋体"/>
          <w:bCs/>
          <w:color w:val="auto"/>
          <w:sz w:val="24"/>
          <w:szCs w:val="20"/>
          <w:highlight w:val="none"/>
        </w:rPr>
      </w:pPr>
    </w:p>
    <w:p w14:paraId="3E9B7CEE">
      <w:pPr>
        <w:spacing w:before="120" w:after="50" w:line="400" w:lineRule="exact"/>
        <w:rPr>
          <w:rFonts w:ascii="宋体" w:hAnsi="宋体"/>
          <w:bCs/>
          <w:color w:val="auto"/>
          <w:sz w:val="24"/>
          <w:szCs w:val="20"/>
          <w:highlight w:val="none"/>
        </w:rPr>
      </w:pPr>
    </w:p>
    <w:p w14:paraId="6E148309">
      <w:pPr>
        <w:spacing w:before="120" w:after="50" w:line="400" w:lineRule="exact"/>
        <w:rPr>
          <w:rFonts w:ascii="宋体" w:hAnsi="宋体"/>
          <w:bCs/>
          <w:color w:val="auto"/>
          <w:sz w:val="24"/>
          <w:szCs w:val="20"/>
          <w:highlight w:val="none"/>
        </w:rPr>
      </w:pPr>
    </w:p>
    <w:p w14:paraId="23F3E28A">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项目名称： </w:t>
      </w:r>
    </w:p>
    <w:p w14:paraId="5E467BC2">
      <w:pPr>
        <w:spacing w:before="120" w:after="50" w:line="400" w:lineRule="exact"/>
        <w:ind w:firstLine="360"/>
        <w:rPr>
          <w:rFonts w:ascii="宋体" w:hAnsi="宋体"/>
          <w:bCs/>
          <w:color w:val="auto"/>
          <w:sz w:val="24"/>
          <w:highlight w:val="none"/>
        </w:rPr>
      </w:pPr>
    </w:p>
    <w:p w14:paraId="5106A116">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项目编号： </w:t>
      </w:r>
    </w:p>
    <w:p w14:paraId="065E9A25">
      <w:pPr>
        <w:spacing w:before="120" w:after="50" w:line="400" w:lineRule="exact"/>
        <w:ind w:firstLine="360"/>
        <w:rPr>
          <w:rFonts w:ascii="宋体" w:hAnsi="宋体"/>
          <w:bCs/>
          <w:color w:val="auto"/>
          <w:sz w:val="24"/>
          <w:highlight w:val="none"/>
        </w:rPr>
      </w:pPr>
    </w:p>
    <w:p w14:paraId="764C260D">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所投分标：</w:t>
      </w:r>
    </w:p>
    <w:p w14:paraId="625CABCB">
      <w:pPr>
        <w:spacing w:before="120" w:after="50" w:line="400" w:lineRule="exact"/>
        <w:ind w:firstLine="360"/>
        <w:rPr>
          <w:rFonts w:ascii="宋体" w:hAnsi="宋体"/>
          <w:bCs/>
          <w:color w:val="auto"/>
          <w:sz w:val="24"/>
          <w:highlight w:val="none"/>
        </w:rPr>
      </w:pPr>
    </w:p>
    <w:p w14:paraId="18377A51">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投标人名称：</w:t>
      </w:r>
    </w:p>
    <w:p w14:paraId="235C3AA9">
      <w:pPr>
        <w:spacing w:before="120" w:after="50" w:line="400" w:lineRule="exact"/>
        <w:ind w:firstLine="360"/>
        <w:rPr>
          <w:rFonts w:ascii="宋体" w:hAnsi="宋体"/>
          <w:bCs/>
          <w:color w:val="auto"/>
          <w:sz w:val="24"/>
          <w:highlight w:val="none"/>
        </w:rPr>
      </w:pPr>
    </w:p>
    <w:p w14:paraId="244338F1">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投标人地址：</w:t>
      </w:r>
    </w:p>
    <w:p w14:paraId="41EC3D55">
      <w:pPr>
        <w:pStyle w:val="7"/>
        <w:spacing w:before="50" w:after="50" w:line="400" w:lineRule="exact"/>
        <w:ind w:firstLine="960"/>
        <w:rPr>
          <w:rFonts w:ascii="宋体" w:hAnsi="宋体"/>
          <w:bCs/>
          <w:color w:val="auto"/>
          <w:sz w:val="24"/>
          <w:szCs w:val="24"/>
          <w:highlight w:val="none"/>
        </w:rPr>
      </w:pPr>
    </w:p>
    <w:p w14:paraId="1EF9C02B">
      <w:pPr>
        <w:spacing w:before="120" w:after="50" w:line="400" w:lineRule="exact"/>
        <w:rPr>
          <w:rFonts w:ascii="宋体" w:hAnsi="宋体"/>
          <w:color w:val="auto"/>
          <w:sz w:val="30"/>
          <w:szCs w:val="20"/>
          <w:highlight w:val="none"/>
        </w:rPr>
      </w:pPr>
      <w:r>
        <w:rPr>
          <w:rFonts w:hint="eastAsia" w:ascii="宋体" w:hAnsi="宋体"/>
          <w:color w:val="auto"/>
          <w:sz w:val="24"/>
          <w:highlight w:val="none"/>
        </w:rPr>
        <w:t xml:space="preserve">                                   年  月  日</w:t>
      </w:r>
    </w:p>
    <w:p w14:paraId="6E4E06BD">
      <w:pPr>
        <w:spacing w:before="120" w:after="50" w:line="360" w:lineRule="auto"/>
        <w:jc w:val="left"/>
        <w:rPr>
          <w:rFonts w:ascii="宋体" w:hAnsi="宋体"/>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426567B0">
      <w:pPr>
        <w:spacing w:before="50" w:after="12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47479B7C">
      <w:pPr>
        <w:spacing w:before="120" w:after="50"/>
        <w:rPr>
          <w:rFonts w:ascii="宋体" w:hAnsi="宋体"/>
          <w:b/>
          <w:color w:val="auto"/>
          <w:sz w:val="24"/>
          <w:highlight w:val="none"/>
        </w:rPr>
      </w:pPr>
    </w:p>
    <w:p w14:paraId="2124C801">
      <w:pPr>
        <w:spacing w:before="120" w:after="50"/>
        <w:rPr>
          <w:rFonts w:ascii="宋体" w:hAnsi="宋体"/>
          <w:b/>
          <w:color w:val="auto"/>
          <w:sz w:val="24"/>
          <w:highlight w:val="none"/>
        </w:rPr>
      </w:pPr>
    </w:p>
    <w:p w14:paraId="1B198DAE">
      <w:pPr>
        <w:spacing w:before="120" w:after="50"/>
        <w:rPr>
          <w:rFonts w:ascii="宋体" w:hAnsi="宋体"/>
          <w:b/>
          <w:color w:val="auto"/>
          <w:sz w:val="24"/>
          <w:highlight w:val="none"/>
        </w:rPr>
      </w:pPr>
    </w:p>
    <w:p w14:paraId="3E5D1258">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 投标函格式：</w:t>
      </w:r>
    </w:p>
    <w:p w14:paraId="13959469">
      <w:pPr>
        <w:spacing w:before="120" w:after="50" w:line="360" w:lineRule="auto"/>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 标 函</w:t>
      </w:r>
    </w:p>
    <w:p w14:paraId="6C6B3CD6">
      <w:pPr>
        <w:spacing w:before="120" w:after="50" w:line="320" w:lineRule="exact"/>
        <w:rPr>
          <w:rFonts w:ascii="宋体" w:hAnsi="宋体"/>
          <w:b/>
          <w:color w:val="auto"/>
          <w:sz w:val="32"/>
          <w:szCs w:val="32"/>
          <w:highlight w:val="none"/>
        </w:rPr>
      </w:pPr>
    </w:p>
    <w:p w14:paraId="6909BC86">
      <w:pPr>
        <w:spacing w:line="360" w:lineRule="auto"/>
        <w:contextualSpacing/>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35925857">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）的招标文件，签字代表______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4A53DE84">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据此函，我方宣布同意如下：</w:t>
      </w:r>
    </w:p>
    <w:p w14:paraId="0E8C50C9">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3803F8E6">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0B706D25">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3.本投标有效期自投标截止之日起</w:t>
      </w:r>
      <w:r>
        <w:rPr>
          <w:rFonts w:hint="eastAsia" w:ascii="宋体" w:hAnsi="宋体"/>
          <w:color w:val="auto"/>
          <w:sz w:val="24"/>
          <w:highlight w:val="none"/>
          <w:u w:val="single"/>
        </w:rPr>
        <w:t>120</w:t>
      </w:r>
      <w:r>
        <w:rPr>
          <w:rFonts w:hint="eastAsia" w:ascii="宋体" w:hAnsi="宋体"/>
          <w:color w:val="auto"/>
          <w:sz w:val="24"/>
          <w:highlight w:val="none"/>
        </w:rPr>
        <w:t>日。</w:t>
      </w:r>
    </w:p>
    <w:p w14:paraId="7317D2E5">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74028CB4">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20DCDCCA">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540EED8D">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5BBC0E97">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我方对本次投标文件进行注明如下：（两项内容中必须选择一项）</w:t>
      </w:r>
    </w:p>
    <w:p w14:paraId="5888A4ED">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内容中</w:t>
      </w:r>
      <w:r>
        <w:rPr>
          <w:rFonts w:hint="eastAsia" w:ascii="宋体" w:hAnsi="宋体"/>
          <w:color w:val="auto"/>
          <w:sz w:val="24"/>
          <w:highlight w:val="none"/>
        </w:rPr>
        <w:t>未</w:t>
      </w:r>
      <w:r>
        <w:rPr>
          <w:rFonts w:ascii="宋体" w:hAnsi="宋体" w:cs="宋体"/>
          <w:color w:val="auto"/>
          <w:sz w:val="24"/>
          <w:highlight w:val="none"/>
        </w:rPr>
        <w:t>涉及商业秘密</w:t>
      </w:r>
      <w:r>
        <w:rPr>
          <w:rFonts w:hint="eastAsia" w:ascii="宋体" w:hAnsi="宋体" w:cs="宋体"/>
          <w:color w:val="auto"/>
          <w:sz w:val="24"/>
          <w:highlight w:val="none"/>
        </w:rPr>
        <w:t>；</w:t>
      </w:r>
    </w:p>
    <w:p w14:paraId="0D2BEB6C">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涉及商业秘密</w:t>
      </w:r>
      <w:r>
        <w:rPr>
          <w:rFonts w:hint="eastAsia" w:ascii="宋体" w:hAnsi="宋体" w:cs="宋体"/>
          <w:color w:val="auto"/>
          <w:sz w:val="24"/>
          <w:highlight w:val="none"/>
        </w:rPr>
        <w:t>的</w:t>
      </w:r>
      <w:r>
        <w:rPr>
          <w:rFonts w:ascii="宋体" w:hAnsi="宋体" w:cs="宋体"/>
          <w:color w:val="auto"/>
          <w:sz w:val="24"/>
          <w:highlight w:val="none"/>
        </w:rPr>
        <w:t>内容</w:t>
      </w:r>
      <w:r>
        <w:rPr>
          <w:rFonts w:hint="eastAsia" w:ascii="宋体" w:hAnsi="宋体" w:cs="宋体"/>
          <w:color w:val="auto"/>
          <w:sz w:val="24"/>
          <w:highlight w:val="none"/>
        </w:rPr>
        <w:t>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8F3411C">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9.与本项目有关的一切正式往来信函请寄：</w:t>
      </w:r>
    </w:p>
    <w:p w14:paraId="5715B5D3">
      <w:pPr>
        <w:spacing w:line="360" w:lineRule="auto"/>
        <w:ind w:firstLine="480"/>
        <w:contextualSpacing/>
        <w:rPr>
          <w:rFonts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76ED33A5">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u w:val="single"/>
        </w:rPr>
        <w:t xml:space="preserve">        </w:t>
      </w: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电子邮箱：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4E33289">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1B167356">
      <w:pPr>
        <w:spacing w:line="360" w:lineRule="auto"/>
        <w:ind w:firstLine="480"/>
        <w:contextualSpacing/>
        <w:jc w:val="left"/>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银行账号：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7535B3F">
      <w:pPr>
        <w:pStyle w:val="18"/>
        <w:rPr>
          <w:color w:val="auto"/>
          <w:highlight w:val="none"/>
        </w:rPr>
      </w:pPr>
    </w:p>
    <w:p w14:paraId="63E051C8">
      <w:pPr>
        <w:spacing w:line="360" w:lineRule="auto"/>
        <w:ind w:firstLine="480"/>
        <w:contextualSpacing/>
        <w:jc w:val="left"/>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法定代表人或者委托代理人（签字或者电子签名）：_______ </w:t>
      </w:r>
    </w:p>
    <w:p w14:paraId="2FAE53F4">
      <w:pPr>
        <w:pStyle w:val="26"/>
        <w:spacing w:line="360" w:lineRule="auto"/>
        <w:contextualSpacing/>
        <w:jc w:val="center"/>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投标人名称（电子签章）：</w:t>
      </w:r>
    </w:p>
    <w:p w14:paraId="4DD77981">
      <w:pPr>
        <w:pStyle w:val="26"/>
        <w:spacing w:line="360" w:lineRule="auto"/>
        <w:contextualSpacing/>
        <w:rPr>
          <w:rFonts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5E5D16BD">
      <w:pPr>
        <w:spacing w:before="120" w:after="50"/>
        <w:jc w:val="left"/>
        <w:rPr>
          <w:rFonts w:ascii="宋体" w:hAnsi="宋体"/>
          <w:b/>
          <w:color w:val="auto"/>
          <w:sz w:val="24"/>
          <w:szCs w:val="20"/>
          <w:highlight w:val="none"/>
        </w:rPr>
      </w:pPr>
      <w:r>
        <w:rPr>
          <w:rFonts w:hAnsi="宋体"/>
          <w:color w:val="auto"/>
          <w:highlight w:val="none"/>
          <w:u w:val="single"/>
        </w:rPr>
        <w:br w:type="page" w:clear="all"/>
      </w:r>
      <w:r>
        <w:rPr>
          <w:rFonts w:hint="eastAsia" w:ascii="宋体" w:hAnsi="宋体"/>
          <w:b/>
          <w:color w:val="auto"/>
          <w:sz w:val="24"/>
          <w:highlight w:val="none"/>
        </w:rPr>
        <w:t>4. 开标一览表（货物类格式）</w:t>
      </w:r>
    </w:p>
    <w:p w14:paraId="343E3870">
      <w:pPr>
        <w:spacing w:before="50" w:after="50"/>
        <w:jc w:val="center"/>
        <w:rPr>
          <w:rFonts w:ascii="宋体" w:hAnsi="宋体"/>
          <w:b/>
          <w:color w:val="auto"/>
          <w:sz w:val="30"/>
          <w:highlight w:val="none"/>
        </w:rPr>
      </w:pPr>
      <w:r>
        <w:rPr>
          <w:rFonts w:hint="eastAsia" w:ascii="宋体" w:hAnsi="宋体"/>
          <w:b/>
          <w:color w:val="auto"/>
          <w:sz w:val="30"/>
          <w:highlight w:val="none"/>
        </w:rPr>
        <w:t>开标一览表</w:t>
      </w:r>
    </w:p>
    <w:p w14:paraId="5207EA1E">
      <w:pPr>
        <w:spacing w:before="50" w:after="50"/>
        <w:jc w:val="center"/>
        <w:rPr>
          <w:rFonts w:ascii="宋体" w:hAnsi="宋体"/>
          <w:b/>
          <w:color w:val="auto"/>
          <w:sz w:val="30"/>
          <w:szCs w:val="20"/>
          <w:highlight w:val="none"/>
        </w:rPr>
      </w:pPr>
    </w:p>
    <w:p w14:paraId="14AD5B0A">
      <w:pPr>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598A55D0">
      <w:pPr>
        <w:spacing w:before="50" w:after="50" w:line="360" w:lineRule="auto"/>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tbl>
      <w:tblPr>
        <w:tblStyle w:val="52"/>
        <w:tblW w:w="1010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8"/>
        <w:gridCol w:w="1491"/>
        <w:gridCol w:w="937"/>
        <w:gridCol w:w="1245"/>
        <w:gridCol w:w="1261"/>
        <w:gridCol w:w="1365"/>
        <w:gridCol w:w="930"/>
        <w:gridCol w:w="1515"/>
        <w:gridCol w:w="660"/>
      </w:tblGrid>
      <w:tr w14:paraId="55E7AD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2B0AFBD5">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序号</w:t>
            </w:r>
          </w:p>
        </w:tc>
        <w:tc>
          <w:tcPr>
            <w:tcW w:w="1491" w:type="dxa"/>
            <w:tcBorders>
              <w:top w:val="single" w:color="auto" w:sz="4" w:space="0"/>
              <w:left w:val="single" w:color="auto" w:sz="4" w:space="0"/>
              <w:bottom w:val="single" w:color="auto" w:sz="4" w:space="0"/>
              <w:right w:val="single" w:color="auto" w:sz="4" w:space="0"/>
            </w:tcBorders>
            <w:vAlign w:val="center"/>
          </w:tcPr>
          <w:p w14:paraId="5F6BEA1A">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标的的名称</w:t>
            </w:r>
          </w:p>
        </w:tc>
        <w:tc>
          <w:tcPr>
            <w:tcW w:w="937" w:type="dxa"/>
            <w:tcBorders>
              <w:top w:val="single" w:color="auto" w:sz="4" w:space="0"/>
              <w:left w:val="single" w:color="auto" w:sz="4" w:space="0"/>
              <w:bottom w:val="single" w:color="auto" w:sz="4" w:space="0"/>
              <w:right w:val="single" w:color="auto" w:sz="4" w:space="0"/>
            </w:tcBorders>
            <w:vAlign w:val="center"/>
          </w:tcPr>
          <w:p w14:paraId="4A00CB79">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品牌</w:t>
            </w:r>
          </w:p>
        </w:tc>
        <w:tc>
          <w:tcPr>
            <w:tcW w:w="1245" w:type="dxa"/>
            <w:tcBorders>
              <w:top w:val="single" w:color="auto" w:sz="4" w:space="0"/>
              <w:left w:val="single" w:color="auto" w:sz="4" w:space="0"/>
              <w:bottom w:val="single" w:color="auto" w:sz="4" w:space="0"/>
              <w:right w:val="single" w:color="auto" w:sz="4" w:space="0"/>
            </w:tcBorders>
            <w:vAlign w:val="center"/>
          </w:tcPr>
          <w:p w14:paraId="1B8ACD9B">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规格型号</w:t>
            </w:r>
          </w:p>
        </w:tc>
        <w:tc>
          <w:tcPr>
            <w:tcW w:w="1261" w:type="dxa"/>
            <w:tcBorders>
              <w:top w:val="single" w:color="auto" w:sz="4" w:space="0"/>
              <w:left w:val="single" w:color="auto" w:sz="4" w:space="0"/>
              <w:bottom w:val="single" w:color="auto" w:sz="4" w:space="0"/>
              <w:right w:val="single" w:color="auto" w:sz="4" w:space="0"/>
            </w:tcBorders>
            <w:vAlign w:val="center"/>
          </w:tcPr>
          <w:p w14:paraId="36FE7552">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生产厂家</w:t>
            </w:r>
          </w:p>
        </w:tc>
        <w:tc>
          <w:tcPr>
            <w:tcW w:w="1365" w:type="dxa"/>
            <w:tcBorders>
              <w:top w:val="single" w:color="auto" w:sz="4" w:space="0"/>
              <w:left w:val="single" w:color="auto" w:sz="4" w:space="0"/>
              <w:bottom w:val="single" w:color="auto" w:sz="4" w:space="0"/>
              <w:right w:val="single" w:color="auto" w:sz="4" w:space="0"/>
            </w:tcBorders>
            <w:vAlign w:val="center"/>
          </w:tcPr>
          <w:p w14:paraId="5AE7A59A">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数量及单位①</w:t>
            </w:r>
          </w:p>
        </w:tc>
        <w:tc>
          <w:tcPr>
            <w:tcW w:w="930" w:type="dxa"/>
            <w:tcBorders>
              <w:top w:val="single" w:color="auto" w:sz="4" w:space="0"/>
              <w:left w:val="single" w:color="auto" w:sz="4" w:space="0"/>
              <w:bottom w:val="single" w:color="auto" w:sz="4" w:space="0"/>
              <w:right w:val="single" w:color="auto" w:sz="4" w:space="0"/>
            </w:tcBorders>
            <w:vAlign w:val="center"/>
          </w:tcPr>
          <w:p w14:paraId="03C8E47C">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单价</w:t>
            </w:r>
          </w:p>
          <w:p w14:paraId="4CF20CDD">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②</w:t>
            </w:r>
          </w:p>
        </w:tc>
        <w:tc>
          <w:tcPr>
            <w:tcW w:w="1515" w:type="dxa"/>
            <w:tcBorders>
              <w:top w:val="single" w:color="auto" w:sz="4" w:space="0"/>
              <w:left w:val="single" w:color="auto" w:sz="4" w:space="0"/>
              <w:bottom w:val="single" w:color="auto" w:sz="4" w:space="0"/>
              <w:right w:val="single" w:color="auto" w:sz="4" w:space="0"/>
            </w:tcBorders>
            <w:vAlign w:val="center"/>
          </w:tcPr>
          <w:p w14:paraId="7CE44D61">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投标报价</w:t>
            </w:r>
          </w:p>
          <w:p w14:paraId="5D796CEF">
            <w:pPr>
              <w:spacing w:before="50" w:after="50" w:line="360" w:lineRule="auto"/>
              <w:jc w:val="center"/>
              <w:rPr>
                <w:rFonts w:ascii="宋体" w:hAnsi="宋体"/>
                <w:b/>
                <w:color w:val="auto"/>
                <w:sz w:val="24"/>
                <w:highlight w:val="none"/>
              </w:rPr>
            </w:pPr>
            <w:r>
              <w:rPr>
                <w:rFonts w:ascii="宋体" w:hAnsi="宋体"/>
                <w:b/>
                <w:color w:val="auto"/>
                <w:sz w:val="24"/>
                <w:highlight w:val="none"/>
              </w:rPr>
              <w:t>③</w:t>
            </w:r>
            <w:r>
              <w:rPr>
                <w:rFonts w:hint="eastAsia" w:ascii="宋体" w:hAnsi="宋体"/>
                <w:b/>
                <w:color w:val="auto"/>
                <w:sz w:val="24"/>
                <w:highlight w:val="none"/>
              </w:rPr>
              <w:t>=①×②</w:t>
            </w:r>
          </w:p>
        </w:tc>
        <w:tc>
          <w:tcPr>
            <w:tcW w:w="660" w:type="dxa"/>
            <w:tcBorders>
              <w:top w:val="single" w:color="auto" w:sz="4" w:space="0"/>
              <w:left w:val="single" w:color="auto" w:sz="4" w:space="0"/>
              <w:bottom w:val="single" w:color="auto" w:sz="4" w:space="0"/>
              <w:right w:val="single" w:color="auto" w:sz="4" w:space="0"/>
            </w:tcBorders>
            <w:vAlign w:val="center"/>
          </w:tcPr>
          <w:p w14:paraId="1654FFD8">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备注</w:t>
            </w:r>
          </w:p>
        </w:tc>
      </w:tr>
      <w:tr w14:paraId="27BD4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340A259D">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1</w:t>
            </w:r>
          </w:p>
        </w:tc>
        <w:tc>
          <w:tcPr>
            <w:tcW w:w="1491" w:type="dxa"/>
            <w:tcBorders>
              <w:top w:val="single" w:color="auto" w:sz="4" w:space="0"/>
              <w:left w:val="single" w:color="auto" w:sz="4" w:space="0"/>
              <w:bottom w:val="single" w:color="auto" w:sz="4" w:space="0"/>
              <w:right w:val="single" w:color="auto" w:sz="4" w:space="0"/>
            </w:tcBorders>
            <w:vAlign w:val="center"/>
          </w:tcPr>
          <w:p w14:paraId="0451D10E">
            <w:pPr>
              <w:spacing w:before="50" w:after="50" w:line="360" w:lineRule="auto"/>
              <w:jc w:val="center"/>
              <w:rPr>
                <w:rFonts w:ascii="宋体" w:hAnsi="宋体"/>
                <w:b/>
                <w:color w:val="auto"/>
                <w:sz w:val="24"/>
                <w:highlight w:val="none"/>
              </w:rPr>
            </w:pPr>
          </w:p>
        </w:tc>
        <w:tc>
          <w:tcPr>
            <w:tcW w:w="937" w:type="dxa"/>
            <w:tcBorders>
              <w:top w:val="single" w:color="auto" w:sz="4" w:space="0"/>
              <w:left w:val="single" w:color="auto" w:sz="4" w:space="0"/>
              <w:bottom w:val="single" w:color="auto" w:sz="4" w:space="0"/>
              <w:right w:val="single" w:color="auto" w:sz="4" w:space="0"/>
            </w:tcBorders>
            <w:vAlign w:val="center"/>
          </w:tcPr>
          <w:p w14:paraId="51CDB178">
            <w:pPr>
              <w:spacing w:before="50" w:after="50" w:line="360" w:lineRule="auto"/>
              <w:rPr>
                <w:rFonts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5B1E28F3">
            <w:pPr>
              <w:spacing w:before="50" w:after="50" w:line="360" w:lineRule="auto"/>
              <w:rPr>
                <w:rFonts w:ascii="宋体" w:hAnsi="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F15E2BF">
            <w:pPr>
              <w:spacing w:before="50" w:after="50" w:line="360" w:lineRule="auto"/>
              <w:rPr>
                <w:rFonts w:ascii="宋体" w:hAnsi="宋体"/>
                <w:color w:val="auto"/>
                <w:sz w:val="24"/>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75A88583">
            <w:pPr>
              <w:spacing w:before="50" w:after="50" w:line="360" w:lineRule="auto"/>
              <w:rPr>
                <w:rFonts w:ascii="宋体" w:hAnsi="宋体"/>
                <w:color w:val="auto"/>
                <w:sz w:val="24"/>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14:paraId="5D16E168">
            <w:pPr>
              <w:spacing w:before="50" w:after="50" w:line="360" w:lineRule="auto"/>
              <w:rPr>
                <w:rFonts w:ascii="宋体" w:hAnsi="宋体"/>
                <w:color w:val="auto"/>
                <w:sz w:val="24"/>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14:paraId="51D2457F">
            <w:pPr>
              <w:spacing w:before="50" w:after="50" w:line="360" w:lineRule="auto"/>
              <w:rPr>
                <w:rFonts w:ascii="宋体" w:hAnsi="宋体"/>
                <w:color w:val="auto"/>
                <w:sz w:val="24"/>
                <w:highlight w:val="none"/>
              </w:rPr>
            </w:pPr>
          </w:p>
        </w:tc>
        <w:tc>
          <w:tcPr>
            <w:tcW w:w="660" w:type="dxa"/>
            <w:tcBorders>
              <w:top w:val="single" w:color="auto" w:sz="4" w:space="0"/>
              <w:left w:val="single" w:color="auto" w:sz="4" w:space="0"/>
              <w:bottom w:val="single" w:color="auto" w:sz="4" w:space="0"/>
              <w:right w:val="single" w:color="auto" w:sz="4" w:space="0"/>
            </w:tcBorders>
            <w:vAlign w:val="center"/>
          </w:tcPr>
          <w:p w14:paraId="0AC0F680">
            <w:pPr>
              <w:spacing w:before="50" w:after="50" w:line="360" w:lineRule="auto"/>
              <w:rPr>
                <w:rFonts w:ascii="宋体" w:hAnsi="宋体"/>
                <w:color w:val="auto"/>
                <w:sz w:val="24"/>
                <w:highlight w:val="none"/>
              </w:rPr>
            </w:pPr>
          </w:p>
        </w:tc>
      </w:tr>
      <w:tr w14:paraId="6AB88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24295607">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2</w:t>
            </w:r>
          </w:p>
        </w:tc>
        <w:tc>
          <w:tcPr>
            <w:tcW w:w="1491" w:type="dxa"/>
            <w:tcBorders>
              <w:top w:val="single" w:color="auto" w:sz="4" w:space="0"/>
              <w:left w:val="single" w:color="auto" w:sz="4" w:space="0"/>
              <w:bottom w:val="single" w:color="auto" w:sz="4" w:space="0"/>
              <w:right w:val="single" w:color="auto" w:sz="4" w:space="0"/>
            </w:tcBorders>
            <w:vAlign w:val="center"/>
          </w:tcPr>
          <w:p w14:paraId="60D60403">
            <w:pPr>
              <w:spacing w:before="50" w:after="50" w:line="360" w:lineRule="auto"/>
              <w:jc w:val="center"/>
              <w:rPr>
                <w:rFonts w:ascii="宋体" w:hAnsi="宋体"/>
                <w:b/>
                <w:color w:val="auto"/>
                <w:sz w:val="24"/>
                <w:highlight w:val="none"/>
              </w:rPr>
            </w:pPr>
          </w:p>
        </w:tc>
        <w:tc>
          <w:tcPr>
            <w:tcW w:w="937" w:type="dxa"/>
            <w:tcBorders>
              <w:top w:val="single" w:color="auto" w:sz="4" w:space="0"/>
              <w:left w:val="single" w:color="auto" w:sz="4" w:space="0"/>
              <w:bottom w:val="single" w:color="auto" w:sz="4" w:space="0"/>
              <w:right w:val="single" w:color="auto" w:sz="4" w:space="0"/>
            </w:tcBorders>
            <w:vAlign w:val="center"/>
          </w:tcPr>
          <w:p w14:paraId="0D64CD25">
            <w:pPr>
              <w:spacing w:before="50" w:after="50" w:line="360" w:lineRule="auto"/>
              <w:rPr>
                <w:rFonts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6F1EC70D">
            <w:pPr>
              <w:spacing w:before="50" w:after="50" w:line="360" w:lineRule="auto"/>
              <w:rPr>
                <w:rFonts w:ascii="宋体" w:hAnsi="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AC729EC">
            <w:pPr>
              <w:spacing w:before="50" w:after="50" w:line="360" w:lineRule="auto"/>
              <w:rPr>
                <w:rFonts w:ascii="宋体" w:hAnsi="宋体"/>
                <w:color w:val="auto"/>
                <w:sz w:val="24"/>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15A0014D">
            <w:pPr>
              <w:spacing w:before="50" w:after="50" w:line="360" w:lineRule="auto"/>
              <w:rPr>
                <w:rFonts w:ascii="宋体" w:hAnsi="宋体"/>
                <w:color w:val="auto"/>
                <w:sz w:val="24"/>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14:paraId="365EB426">
            <w:pPr>
              <w:spacing w:before="50" w:after="50" w:line="360" w:lineRule="auto"/>
              <w:rPr>
                <w:rFonts w:ascii="宋体" w:hAnsi="宋体"/>
                <w:color w:val="auto"/>
                <w:sz w:val="24"/>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14:paraId="6A31F317">
            <w:pPr>
              <w:spacing w:before="50" w:after="50" w:line="360" w:lineRule="auto"/>
              <w:rPr>
                <w:rFonts w:ascii="宋体" w:hAnsi="宋体"/>
                <w:color w:val="auto"/>
                <w:sz w:val="24"/>
                <w:highlight w:val="none"/>
              </w:rPr>
            </w:pPr>
          </w:p>
        </w:tc>
        <w:tc>
          <w:tcPr>
            <w:tcW w:w="660" w:type="dxa"/>
            <w:tcBorders>
              <w:top w:val="single" w:color="auto" w:sz="4" w:space="0"/>
              <w:left w:val="single" w:color="auto" w:sz="4" w:space="0"/>
              <w:bottom w:val="single" w:color="auto" w:sz="4" w:space="0"/>
              <w:right w:val="single" w:color="auto" w:sz="4" w:space="0"/>
            </w:tcBorders>
            <w:vAlign w:val="center"/>
          </w:tcPr>
          <w:p w14:paraId="194798AB">
            <w:pPr>
              <w:spacing w:before="50" w:after="50" w:line="360" w:lineRule="auto"/>
              <w:rPr>
                <w:rFonts w:ascii="宋体" w:hAnsi="宋体"/>
                <w:color w:val="auto"/>
                <w:sz w:val="24"/>
                <w:highlight w:val="none"/>
              </w:rPr>
            </w:pPr>
          </w:p>
        </w:tc>
      </w:tr>
      <w:tr w14:paraId="3D7F1F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45153B26">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w:t>
            </w:r>
          </w:p>
        </w:tc>
        <w:tc>
          <w:tcPr>
            <w:tcW w:w="1491" w:type="dxa"/>
            <w:tcBorders>
              <w:top w:val="single" w:color="auto" w:sz="4" w:space="0"/>
              <w:left w:val="single" w:color="auto" w:sz="4" w:space="0"/>
              <w:bottom w:val="single" w:color="auto" w:sz="4" w:space="0"/>
              <w:right w:val="single" w:color="auto" w:sz="4" w:space="0"/>
            </w:tcBorders>
            <w:vAlign w:val="center"/>
          </w:tcPr>
          <w:p w14:paraId="5A8B0A61">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w:t>
            </w:r>
          </w:p>
        </w:tc>
        <w:tc>
          <w:tcPr>
            <w:tcW w:w="937" w:type="dxa"/>
            <w:tcBorders>
              <w:top w:val="single" w:color="auto" w:sz="4" w:space="0"/>
              <w:left w:val="single" w:color="auto" w:sz="4" w:space="0"/>
              <w:bottom w:val="single" w:color="auto" w:sz="4" w:space="0"/>
              <w:right w:val="single" w:color="auto" w:sz="4" w:space="0"/>
            </w:tcBorders>
            <w:vAlign w:val="center"/>
          </w:tcPr>
          <w:p w14:paraId="231A0275">
            <w:pPr>
              <w:spacing w:before="50" w:after="50" w:line="360" w:lineRule="auto"/>
              <w:rPr>
                <w:rFonts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37DD0677">
            <w:pPr>
              <w:spacing w:before="50" w:after="50" w:line="360" w:lineRule="auto"/>
              <w:rPr>
                <w:rFonts w:ascii="宋体" w:hAnsi="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54DD368">
            <w:pPr>
              <w:spacing w:before="50" w:after="50" w:line="360" w:lineRule="auto"/>
              <w:rPr>
                <w:rFonts w:ascii="宋体" w:hAnsi="宋体"/>
                <w:color w:val="auto"/>
                <w:sz w:val="24"/>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05B3FDE6">
            <w:pPr>
              <w:spacing w:before="50" w:after="50" w:line="360" w:lineRule="auto"/>
              <w:rPr>
                <w:rFonts w:ascii="宋体" w:hAnsi="宋体"/>
                <w:color w:val="auto"/>
                <w:sz w:val="24"/>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14:paraId="65200E1C">
            <w:pPr>
              <w:spacing w:before="50" w:after="50" w:line="360" w:lineRule="auto"/>
              <w:rPr>
                <w:rFonts w:ascii="宋体" w:hAnsi="宋体"/>
                <w:color w:val="auto"/>
                <w:sz w:val="24"/>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14:paraId="19CA32CC">
            <w:pPr>
              <w:spacing w:before="50" w:after="50" w:line="360" w:lineRule="auto"/>
              <w:rPr>
                <w:rFonts w:ascii="宋体" w:hAnsi="宋体"/>
                <w:color w:val="auto"/>
                <w:sz w:val="24"/>
                <w:highlight w:val="none"/>
              </w:rPr>
            </w:pPr>
          </w:p>
        </w:tc>
        <w:tc>
          <w:tcPr>
            <w:tcW w:w="660" w:type="dxa"/>
            <w:tcBorders>
              <w:top w:val="single" w:color="auto" w:sz="4" w:space="0"/>
              <w:left w:val="single" w:color="auto" w:sz="4" w:space="0"/>
              <w:bottom w:val="single" w:color="auto" w:sz="4" w:space="0"/>
              <w:right w:val="single" w:color="auto" w:sz="4" w:space="0"/>
            </w:tcBorders>
            <w:vAlign w:val="center"/>
          </w:tcPr>
          <w:p w14:paraId="7D0B81CA">
            <w:pPr>
              <w:spacing w:before="50" w:after="50" w:line="360" w:lineRule="auto"/>
              <w:rPr>
                <w:rFonts w:ascii="宋体" w:hAnsi="宋体"/>
                <w:color w:val="auto"/>
                <w:sz w:val="24"/>
                <w:highlight w:val="none"/>
              </w:rPr>
            </w:pPr>
          </w:p>
        </w:tc>
      </w:tr>
      <w:tr w14:paraId="58A89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0102" w:type="dxa"/>
            <w:gridSpan w:val="9"/>
            <w:tcBorders>
              <w:top w:val="single" w:color="auto" w:sz="4" w:space="0"/>
              <w:left w:val="single" w:color="auto" w:sz="4" w:space="0"/>
              <w:bottom w:val="single" w:color="auto" w:sz="4" w:space="0"/>
              <w:right w:val="single" w:color="auto" w:sz="4" w:space="0"/>
            </w:tcBorders>
            <w:vAlign w:val="center"/>
          </w:tcPr>
          <w:p w14:paraId="50F16B27">
            <w:pPr>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r w14:paraId="31363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0102" w:type="dxa"/>
            <w:gridSpan w:val="9"/>
            <w:tcBorders>
              <w:top w:val="single" w:color="auto" w:sz="4" w:space="0"/>
              <w:left w:val="single" w:color="auto" w:sz="4" w:space="0"/>
              <w:bottom w:val="single" w:color="auto" w:sz="4" w:space="0"/>
              <w:right w:val="single" w:color="auto" w:sz="4" w:space="0"/>
            </w:tcBorders>
            <w:vAlign w:val="center"/>
          </w:tcPr>
          <w:p w14:paraId="57429AB7">
            <w:pPr>
              <w:spacing w:before="50" w:after="50" w:line="360" w:lineRule="auto"/>
              <w:rPr>
                <w:rFonts w:ascii="宋体" w:hAnsi="宋体" w:cs="仿宋_GB2312"/>
                <w:iCs/>
                <w:color w:val="auto"/>
                <w:sz w:val="24"/>
                <w:highlight w:val="none"/>
                <w:u w:val="single"/>
              </w:rPr>
            </w:pPr>
            <w:r>
              <w:rPr>
                <w:rFonts w:hint="eastAsia" w:ascii="宋体" w:hAnsi="宋体" w:cs="仿宋_GB2312"/>
                <w:iCs/>
                <w:color w:val="auto"/>
                <w:sz w:val="24"/>
                <w:highlight w:val="none"/>
                <w:u w:val="single"/>
              </w:rPr>
              <w:t>投标产品中，属于本国产品总值为¥       （具体明细详见附表，附表格式自拟），占投标产品报价的比例为    %。</w:t>
            </w:r>
          </w:p>
        </w:tc>
      </w:tr>
    </w:tbl>
    <w:p w14:paraId="08DC0ACD">
      <w:pPr>
        <w:spacing w:line="360" w:lineRule="auto"/>
        <w:jc w:val="left"/>
        <w:rPr>
          <w:rFonts w:ascii="宋体" w:hAnsi="宋体"/>
          <w:color w:val="auto"/>
          <w:sz w:val="24"/>
          <w:highlight w:val="none"/>
        </w:rPr>
      </w:pPr>
      <w:r>
        <w:rPr>
          <w:rFonts w:hint="eastAsia" w:ascii="宋体" w:hAnsi="宋体"/>
          <w:color w:val="auto"/>
          <w:sz w:val="24"/>
          <w:highlight w:val="none"/>
        </w:rPr>
        <w:t xml:space="preserve">注： </w:t>
      </w:r>
    </w:p>
    <w:p w14:paraId="7C9705ED">
      <w:pPr>
        <w:spacing w:line="360" w:lineRule="auto"/>
        <w:ind w:firstLine="480"/>
        <w:jc w:val="left"/>
        <w:rPr>
          <w:rFonts w:ascii="宋体" w:hAnsi="宋体"/>
          <w:b/>
          <w:color w:val="auto"/>
          <w:sz w:val="24"/>
          <w:highlight w:val="none"/>
        </w:rPr>
      </w:pPr>
      <w:r>
        <w:rPr>
          <w:rFonts w:hint="eastAsia" w:ascii="宋体" w:hAnsi="宋体"/>
          <w:bCs/>
          <w:color w:val="auto"/>
          <w:sz w:val="24"/>
          <w:highlight w:val="none"/>
        </w:rPr>
        <w:t>1.</w:t>
      </w:r>
      <w:r>
        <w:rPr>
          <w:rFonts w:hint="eastAsia" w:ascii="宋体" w:hAnsi="宋体"/>
          <w:color w:val="auto"/>
          <w:sz w:val="24"/>
          <w:highlight w:val="none"/>
        </w:rPr>
        <w:t>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，否则按无效投标处理。</w:t>
      </w:r>
    </w:p>
    <w:p w14:paraId="48CB62C9">
      <w:pPr>
        <w:spacing w:line="360" w:lineRule="auto"/>
        <w:ind w:firstLine="480"/>
        <w:jc w:val="left"/>
        <w:rPr>
          <w:rFonts w:ascii="宋体" w:hAnsi="宋体"/>
          <w:color w:val="auto"/>
          <w:sz w:val="24"/>
          <w:highlight w:val="none"/>
        </w:rPr>
      </w:pPr>
      <w:r>
        <w:rPr>
          <w:rFonts w:hint="eastAsia" w:ascii="宋体" w:hAnsi="宋体"/>
          <w:color w:val="auto"/>
          <w:sz w:val="24"/>
          <w:highlight w:val="none"/>
        </w:rPr>
        <w:t>2.如有多分标，按分标分别提供开标一览表，</w:t>
      </w:r>
      <w:r>
        <w:rPr>
          <w:rFonts w:hint="eastAsia" w:ascii="宋体" w:hAnsi="宋体"/>
          <w:b/>
          <w:color w:val="auto"/>
          <w:sz w:val="24"/>
          <w:highlight w:val="none"/>
        </w:rPr>
        <w:t>否则按无效投标处理</w:t>
      </w:r>
      <w:r>
        <w:rPr>
          <w:rFonts w:hint="eastAsia" w:ascii="宋体" w:hAnsi="宋体"/>
          <w:color w:val="auto"/>
          <w:sz w:val="24"/>
          <w:highlight w:val="none"/>
        </w:rPr>
        <w:t>。</w:t>
      </w:r>
    </w:p>
    <w:p w14:paraId="3D99A571">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p>
    <w:p w14:paraId="4A6CB385">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472FDC7E">
      <w:pPr>
        <w:spacing w:line="360" w:lineRule="auto"/>
        <w:ind w:left="-3" w:right="-817" w:hanging="28"/>
        <w:rPr>
          <w:rFonts w:ascii="宋体" w:hAnsi="宋体"/>
          <w:color w:val="auto"/>
          <w:szCs w:val="21"/>
          <w:highlight w:val="none"/>
        </w:rPr>
      </w:pPr>
      <w:r>
        <w:rPr>
          <w:rFonts w:hint="eastAsia" w:ascii="宋体" w:hAnsi="宋体"/>
          <w:color w:val="auto"/>
          <w:sz w:val="24"/>
          <w:highlight w:val="none"/>
        </w:rPr>
        <w:t xml:space="preserve">                                  日期：    年   月   日</w:t>
      </w:r>
    </w:p>
    <w:p w14:paraId="122AAC30">
      <w:pPr>
        <w:rPr>
          <w:b/>
          <w:color w:val="auto"/>
          <w:sz w:val="28"/>
          <w:szCs w:val="28"/>
          <w:highlight w:val="none"/>
        </w:rPr>
      </w:pPr>
      <w:r>
        <w:rPr>
          <w:rFonts w:ascii="宋体" w:hAnsi="宋体"/>
          <w:b/>
          <w:bCs/>
          <w:color w:val="auto"/>
          <w:sz w:val="24"/>
          <w:highlight w:val="none"/>
        </w:rPr>
        <w:br w:type="page" w:clear="all"/>
      </w:r>
      <w:bookmarkStart w:id="164" w:name="_Toc19686837"/>
      <w:r>
        <w:rPr>
          <w:rFonts w:hint="eastAsia"/>
          <w:b/>
          <w:color w:val="auto"/>
          <w:sz w:val="28"/>
          <w:szCs w:val="28"/>
          <w:highlight w:val="none"/>
        </w:rPr>
        <w:t>二、资格证明文件格式</w:t>
      </w:r>
      <w:bookmarkEnd w:id="162"/>
      <w:bookmarkEnd w:id="163"/>
      <w:bookmarkEnd w:id="164"/>
    </w:p>
    <w:p w14:paraId="0A1C5BD2">
      <w:pPr>
        <w:spacing w:before="120" w:after="50" w:line="360" w:lineRule="auto"/>
        <w:jc w:val="left"/>
        <w:rPr>
          <w:rFonts w:ascii="宋体" w:hAnsi="宋体"/>
          <w:b/>
          <w:color w:val="auto"/>
          <w:sz w:val="24"/>
          <w:highlight w:val="none"/>
        </w:rPr>
      </w:pPr>
      <w:r>
        <w:rPr>
          <w:rFonts w:hint="eastAsia" w:ascii="宋体" w:hAnsi="宋体"/>
          <w:b/>
          <w:color w:val="auto"/>
          <w:sz w:val="24"/>
          <w:highlight w:val="none"/>
        </w:rPr>
        <w:t xml:space="preserve">1.资格证明文件封面格式： </w:t>
      </w:r>
    </w:p>
    <w:p w14:paraId="7CFB4B78">
      <w:pPr>
        <w:spacing w:before="120" w:after="50"/>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4F8B4609">
      <w:pPr>
        <w:spacing w:before="12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w:t>
      </w:r>
    </w:p>
    <w:p w14:paraId="2D0AA275">
      <w:pPr>
        <w:spacing w:before="120" w:after="50"/>
        <w:rPr>
          <w:rFonts w:ascii="宋体" w:hAnsi="宋体"/>
          <w:bCs/>
          <w:color w:val="auto"/>
          <w:sz w:val="24"/>
          <w:szCs w:val="20"/>
          <w:highlight w:val="none"/>
        </w:rPr>
      </w:pPr>
    </w:p>
    <w:p w14:paraId="0C073E85">
      <w:pPr>
        <w:spacing w:before="120" w:after="50"/>
        <w:rPr>
          <w:rFonts w:ascii="宋体" w:hAnsi="宋体"/>
          <w:bCs/>
          <w:color w:val="auto"/>
          <w:sz w:val="24"/>
          <w:szCs w:val="20"/>
          <w:highlight w:val="none"/>
        </w:rPr>
      </w:pPr>
    </w:p>
    <w:p w14:paraId="0CF629E5">
      <w:pPr>
        <w:spacing w:before="120" w:after="50"/>
        <w:rPr>
          <w:rFonts w:ascii="宋体" w:hAnsi="宋体"/>
          <w:bCs/>
          <w:color w:val="auto"/>
          <w:sz w:val="24"/>
          <w:szCs w:val="20"/>
          <w:highlight w:val="none"/>
        </w:rPr>
      </w:pPr>
    </w:p>
    <w:p w14:paraId="5AB1E4CC">
      <w:pPr>
        <w:spacing w:before="120" w:after="50"/>
        <w:rPr>
          <w:rFonts w:ascii="宋体" w:hAnsi="宋体"/>
          <w:bCs/>
          <w:color w:val="auto"/>
          <w:sz w:val="24"/>
          <w:szCs w:val="20"/>
          <w:highlight w:val="none"/>
        </w:rPr>
      </w:pPr>
    </w:p>
    <w:p w14:paraId="75A33F32">
      <w:pPr>
        <w:spacing w:before="120" w:after="50"/>
        <w:rPr>
          <w:rFonts w:ascii="宋体" w:hAnsi="宋体"/>
          <w:bCs/>
          <w:color w:val="auto"/>
          <w:sz w:val="24"/>
          <w:szCs w:val="20"/>
          <w:highlight w:val="none"/>
        </w:rPr>
      </w:pPr>
    </w:p>
    <w:p w14:paraId="12BC603F">
      <w:pPr>
        <w:spacing w:before="120" w:after="50"/>
        <w:rPr>
          <w:rFonts w:ascii="宋体" w:hAnsi="宋体"/>
          <w:bCs/>
          <w:color w:val="auto"/>
          <w:sz w:val="24"/>
          <w:szCs w:val="20"/>
          <w:highlight w:val="none"/>
        </w:rPr>
      </w:pPr>
    </w:p>
    <w:p w14:paraId="5FC506C2">
      <w:pPr>
        <w:spacing w:before="120" w:after="50"/>
        <w:rPr>
          <w:rFonts w:ascii="宋体" w:hAnsi="宋体"/>
          <w:bCs/>
          <w:color w:val="auto"/>
          <w:sz w:val="24"/>
          <w:szCs w:val="20"/>
          <w:highlight w:val="none"/>
        </w:rPr>
      </w:pPr>
    </w:p>
    <w:p w14:paraId="24A13152">
      <w:pPr>
        <w:spacing w:before="120" w:after="50"/>
        <w:ind w:firstLine="540"/>
        <w:rPr>
          <w:rFonts w:ascii="宋体" w:hAnsi="宋体"/>
          <w:bCs/>
          <w:color w:val="auto"/>
          <w:sz w:val="24"/>
          <w:highlight w:val="none"/>
        </w:rPr>
      </w:pPr>
      <w:r>
        <w:rPr>
          <w:rFonts w:hint="eastAsia" w:ascii="宋体" w:hAnsi="宋体"/>
          <w:bCs/>
          <w:color w:val="auto"/>
          <w:sz w:val="24"/>
          <w:highlight w:val="none"/>
        </w:rPr>
        <w:t>项目名称：</w:t>
      </w:r>
    </w:p>
    <w:p w14:paraId="56EDDF65">
      <w:pPr>
        <w:spacing w:before="120" w:after="50"/>
        <w:ind w:firstLine="540"/>
        <w:rPr>
          <w:rFonts w:ascii="宋体" w:hAnsi="宋体"/>
          <w:bCs/>
          <w:color w:val="auto"/>
          <w:sz w:val="24"/>
          <w:szCs w:val="20"/>
          <w:highlight w:val="none"/>
        </w:rPr>
      </w:pPr>
    </w:p>
    <w:p w14:paraId="7E9FFFE7">
      <w:pPr>
        <w:spacing w:before="120" w:after="50"/>
        <w:ind w:firstLine="540"/>
        <w:rPr>
          <w:rFonts w:ascii="宋体" w:hAnsi="宋体"/>
          <w:bCs/>
          <w:color w:val="auto"/>
          <w:sz w:val="24"/>
          <w:highlight w:val="none"/>
        </w:rPr>
      </w:pPr>
      <w:r>
        <w:rPr>
          <w:rFonts w:hint="eastAsia" w:ascii="宋体" w:hAnsi="宋体"/>
          <w:bCs/>
          <w:color w:val="auto"/>
          <w:sz w:val="24"/>
          <w:highlight w:val="none"/>
        </w:rPr>
        <w:t>项目编号：</w:t>
      </w:r>
    </w:p>
    <w:p w14:paraId="5B29356E">
      <w:pPr>
        <w:spacing w:before="120" w:after="50"/>
        <w:ind w:firstLine="540"/>
        <w:rPr>
          <w:rFonts w:ascii="宋体" w:hAnsi="宋体"/>
          <w:bCs/>
          <w:color w:val="auto"/>
          <w:sz w:val="24"/>
          <w:szCs w:val="20"/>
          <w:highlight w:val="none"/>
        </w:rPr>
      </w:pPr>
      <w:r>
        <w:rPr>
          <w:rFonts w:hint="eastAsia" w:ascii="宋体" w:hAnsi="宋体"/>
          <w:bCs/>
          <w:color w:val="auto"/>
          <w:sz w:val="24"/>
          <w:highlight w:val="none"/>
        </w:rPr>
        <w:t xml:space="preserve"> </w:t>
      </w:r>
    </w:p>
    <w:p w14:paraId="56F3A82F">
      <w:pPr>
        <w:spacing w:before="120" w:after="50"/>
        <w:ind w:firstLine="540"/>
        <w:rPr>
          <w:rFonts w:ascii="宋体" w:hAnsi="宋体"/>
          <w:bCs/>
          <w:color w:val="auto"/>
          <w:sz w:val="24"/>
          <w:highlight w:val="none"/>
        </w:rPr>
      </w:pPr>
      <w:r>
        <w:rPr>
          <w:rFonts w:hint="eastAsia" w:ascii="宋体" w:hAnsi="宋体"/>
          <w:bCs/>
          <w:color w:val="auto"/>
          <w:sz w:val="24"/>
          <w:highlight w:val="none"/>
        </w:rPr>
        <w:t>所投分标：</w:t>
      </w:r>
    </w:p>
    <w:p w14:paraId="5C87EA24">
      <w:pPr>
        <w:pStyle w:val="7"/>
        <w:spacing w:before="50" w:after="50"/>
        <w:ind w:firstLine="540"/>
        <w:rPr>
          <w:rFonts w:ascii="宋体" w:hAnsi="宋体"/>
          <w:bCs/>
          <w:color w:val="auto"/>
          <w:sz w:val="24"/>
          <w:szCs w:val="24"/>
          <w:highlight w:val="none"/>
        </w:rPr>
      </w:pPr>
    </w:p>
    <w:p w14:paraId="652E4376">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投标人名称：</w:t>
      </w:r>
    </w:p>
    <w:p w14:paraId="3ADF04A6">
      <w:pPr>
        <w:pStyle w:val="7"/>
        <w:spacing w:before="50" w:after="50"/>
        <w:ind w:firstLine="540"/>
        <w:rPr>
          <w:rFonts w:ascii="宋体" w:hAnsi="宋体"/>
          <w:bCs/>
          <w:color w:val="auto"/>
          <w:sz w:val="24"/>
          <w:szCs w:val="24"/>
          <w:highlight w:val="none"/>
        </w:rPr>
      </w:pPr>
    </w:p>
    <w:p w14:paraId="18C214AC">
      <w:pPr>
        <w:pStyle w:val="7"/>
        <w:spacing w:before="50" w:after="50"/>
        <w:ind w:firstLine="960"/>
        <w:rPr>
          <w:rFonts w:ascii="宋体" w:hAnsi="宋体"/>
          <w:bCs/>
          <w:color w:val="auto"/>
          <w:sz w:val="24"/>
          <w:szCs w:val="24"/>
          <w:highlight w:val="none"/>
        </w:rPr>
      </w:pPr>
    </w:p>
    <w:p w14:paraId="689FBF15">
      <w:pPr>
        <w:spacing w:before="12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53727619">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69298561">
      <w:pPr>
        <w:spacing w:before="120" w:after="50"/>
        <w:rPr>
          <w:rFonts w:ascii="宋体" w:hAnsi="宋体"/>
          <w:color w:val="auto"/>
          <w:sz w:val="24"/>
          <w:szCs w:val="20"/>
          <w:highlight w:val="none"/>
        </w:rPr>
      </w:pPr>
    </w:p>
    <w:p w14:paraId="78EED471">
      <w:pPr>
        <w:spacing w:before="120" w:after="50" w:line="360" w:lineRule="auto"/>
        <w:jc w:val="left"/>
        <w:rPr>
          <w:rFonts w:ascii="宋体" w:hAnsi="宋体"/>
          <w:color w:val="auto"/>
          <w:sz w:val="24"/>
          <w:szCs w:val="20"/>
          <w:highlight w:val="none"/>
        </w:rPr>
      </w:pPr>
      <w:r>
        <w:rPr>
          <w:rFonts w:ascii="宋体" w:hAnsi="宋体"/>
          <w:b/>
          <w:bCs/>
          <w:color w:val="auto"/>
          <w:sz w:val="24"/>
          <w:highlight w:val="none"/>
        </w:rPr>
        <w:br w:type="page" w:clear="all"/>
      </w:r>
      <w:r>
        <w:rPr>
          <w:rFonts w:hint="eastAsia" w:ascii="宋体" w:hAnsi="宋体"/>
          <w:b/>
          <w:bCs/>
          <w:color w:val="auto"/>
          <w:sz w:val="24"/>
          <w:highlight w:val="none"/>
        </w:rPr>
        <w:t>2.资格证明文件目录</w:t>
      </w:r>
    </w:p>
    <w:p w14:paraId="7D58FD11">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59F1657E">
      <w:pPr>
        <w:spacing w:before="50" w:after="120"/>
        <w:jc w:val="left"/>
        <w:rPr>
          <w:rFonts w:ascii="宋体" w:hAnsi="宋体"/>
          <w:color w:val="auto"/>
          <w:sz w:val="24"/>
          <w:highlight w:val="none"/>
        </w:rPr>
      </w:pPr>
    </w:p>
    <w:p w14:paraId="1CCF7768">
      <w:pPr>
        <w:spacing w:before="50" w:after="120"/>
        <w:jc w:val="left"/>
        <w:rPr>
          <w:rFonts w:ascii="宋体" w:hAnsi="宋体"/>
          <w:color w:val="auto"/>
          <w:sz w:val="24"/>
          <w:highlight w:val="none"/>
        </w:rPr>
      </w:pPr>
    </w:p>
    <w:p w14:paraId="5E248215">
      <w:pPr>
        <w:spacing w:before="120" w:after="50"/>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w:t>
      </w:r>
      <w:r>
        <w:rPr>
          <w:rFonts w:hint="eastAsia" w:ascii="宋体" w:hAnsi="宋体"/>
          <w:b/>
          <w:color w:val="auto"/>
          <w:sz w:val="28"/>
          <w:szCs w:val="28"/>
          <w:highlight w:val="none"/>
        </w:rPr>
        <w:t>投标人直接控股股东信息表</w:t>
      </w:r>
    </w:p>
    <w:p w14:paraId="399F4D66">
      <w:pPr>
        <w:spacing w:before="50" w:after="120"/>
        <w:jc w:val="center"/>
        <w:rPr>
          <w:rFonts w:ascii="宋体" w:hAnsi="宋体"/>
          <w:b/>
          <w:color w:val="auto"/>
          <w:sz w:val="28"/>
          <w:szCs w:val="28"/>
          <w:highlight w:val="none"/>
        </w:rPr>
      </w:pPr>
    </w:p>
    <w:p w14:paraId="2F691FDE">
      <w:pPr>
        <w:spacing w:before="50" w:after="120" w:line="360" w:lineRule="auto"/>
        <w:jc w:val="center"/>
        <w:rPr>
          <w:rFonts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52"/>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F9E3A34">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EF84B02">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66270E1">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99149F8">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CF8DF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685A1D4">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6BC7191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2B9D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53A08A">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42C100">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F2E203">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D54BBB">
            <w:pPr>
              <w:spacing w:line="360" w:lineRule="auto"/>
              <w:jc w:val="center"/>
              <w:rPr>
                <w:rFonts w:ascii="宋体" w:hAnsi="宋体" w:cs="宋体"/>
                <w:color w:val="auto"/>
                <w:sz w:val="24"/>
                <w:highlight w:val="none"/>
              </w:rPr>
            </w:pPr>
          </w:p>
        </w:tc>
      </w:tr>
      <w:tr w14:paraId="433C8C9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19ED6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B674CC">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AB75CD">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D2FC15">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1D9DD4">
            <w:pPr>
              <w:spacing w:line="360" w:lineRule="auto"/>
              <w:jc w:val="center"/>
              <w:rPr>
                <w:rFonts w:ascii="宋体" w:hAnsi="宋体" w:cs="宋体"/>
                <w:color w:val="auto"/>
                <w:sz w:val="24"/>
                <w:highlight w:val="none"/>
              </w:rPr>
            </w:pPr>
          </w:p>
        </w:tc>
      </w:tr>
      <w:tr w14:paraId="3C6A045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E9FD4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A776A0">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7E9111">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903B2C">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3B0CE1">
            <w:pPr>
              <w:spacing w:line="360" w:lineRule="auto"/>
              <w:jc w:val="center"/>
              <w:rPr>
                <w:rFonts w:ascii="宋体" w:hAnsi="宋体" w:cs="宋体"/>
                <w:color w:val="auto"/>
                <w:sz w:val="24"/>
                <w:highlight w:val="none"/>
              </w:rPr>
            </w:pPr>
          </w:p>
        </w:tc>
      </w:tr>
      <w:tr w14:paraId="29BE8A8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35F11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7018D7">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75BD21">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E590B3">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ED0AA8">
            <w:pPr>
              <w:spacing w:line="360" w:lineRule="auto"/>
              <w:jc w:val="center"/>
              <w:rPr>
                <w:rFonts w:ascii="宋体" w:hAnsi="宋体" w:cs="宋体"/>
                <w:color w:val="auto"/>
                <w:sz w:val="24"/>
                <w:highlight w:val="none"/>
              </w:rPr>
            </w:pPr>
          </w:p>
        </w:tc>
      </w:tr>
    </w:tbl>
    <w:p w14:paraId="0DD51910">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432F413F">
      <w:pPr>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6E6DDD7">
      <w:pPr>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61D92D50">
      <w:pPr>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63AC3658">
      <w:pPr>
        <w:spacing w:line="360" w:lineRule="auto"/>
        <w:jc w:val="left"/>
        <w:rPr>
          <w:rFonts w:ascii="宋体" w:hAnsi="宋体"/>
          <w:color w:val="auto"/>
          <w:sz w:val="24"/>
          <w:highlight w:val="none"/>
        </w:rPr>
      </w:pPr>
    </w:p>
    <w:p w14:paraId="60ADB777">
      <w:pPr>
        <w:spacing w:line="360" w:lineRule="auto"/>
        <w:jc w:val="left"/>
        <w:rPr>
          <w:rFonts w:ascii="宋体" w:hAnsi="宋体"/>
          <w:color w:val="auto"/>
          <w:sz w:val="24"/>
          <w:highlight w:val="none"/>
        </w:rPr>
      </w:pPr>
    </w:p>
    <w:p w14:paraId="036446D9">
      <w:pPr>
        <w:spacing w:line="360" w:lineRule="auto"/>
        <w:jc w:val="left"/>
        <w:rPr>
          <w:rFonts w:ascii="宋体" w:hAnsi="宋体"/>
          <w:color w:val="auto"/>
          <w:sz w:val="24"/>
          <w:highlight w:val="none"/>
        </w:rPr>
      </w:pPr>
    </w:p>
    <w:p w14:paraId="38FE948D">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1995B506">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1F4E6BD1">
      <w:pPr>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1E8AF317">
      <w:pPr>
        <w:jc w:val="center"/>
        <w:rPr>
          <w:rFonts w:ascii="宋体" w:hAnsi="宋体"/>
          <w:b/>
          <w:color w:val="auto"/>
          <w:sz w:val="28"/>
          <w:szCs w:val="28"/>
          <w:highlight w:val="none"/>
        </w:rPr>
      </w:pPr>
    </w:p>
    <w:p w14:paraId="539C7BBE">
      <w:pPr>
        <w:spacing w:line="360" w:lineRule="auto"/>
        <w:jc w:val="left"/>
        <w:rPr>
          <w:rFonts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24"/>
          <w:highlight w:val="none"/>
        </w:rPr>
        <w:t>4.</w:t>
      </w:r>
      <w:r>
        <w:rPr>
          <w:rFonts w:hint="eastAsia"/>
          <w:color w:val="auto"/>
          <w:highlight w:val="none"/>
        </w:rPr>
        <w:t xml:space="preserve"> </w:t>
      </w:r>
      <w:r>
        <w:rPr>
          <w:rFonts w:hint="eastAsia" w:ascii="宋体" w:hAnsi="宋体"/>
          <w:b/>
          <w:color w:val="auto"/>
          <w:sz w:val="28"/>
          <w:szCs w:val="28"/>
          <w:highlight w:val="none"/>
        </w:rPr>
        <w:t>投标人直接管理关系信息表</w:t>
      </w:r>
    </w:p>
    <w:p w14:paraId="3543FF51">
      <w:pPr>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52"/>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256D799">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CA6915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D231C1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6FA4605">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A5D24B9">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69E39DD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99F54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647A52">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B54C1D">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35FACF">
            <w:pPr>
              <w:spacing w:line="360" w:lineRule="auto"/>
              <w:jc w:val="center"/>
              <w:rPr>
                <w:rFonts w:ascii="宋体" w:hAnsi="宋体" w:cs="宋体"/>
                <w:color w:val="auto"/>
                <w:sz w:val="24"/>
                <w:highlight w:val="none"/>
              </w:rPr>
            </w:pPr>
          </w:p>
        </w:tc>
      </w:tr>
      <w:tr w14:paraId="13B34B3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2BBF6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5B0BB8">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DD4CE3">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DB7F67">
            <w:pPr>
              <w:spacing w:line="360" w:lineRule="auto"/>
              <w:jc w:val="center"/>
              <w:rPr>
                <w:rFonts w:ascii="宋体" w:hAnsi="宋体" w:cs="宋体"/>
                <w:color w:val="auto"/>
                <w:sz w:val="24"/>
                <w:highlight w:val="none"/>
              </w:rPr>
            </w:pPr>
          </w:p>
        </w:tc>
      </w:tr>
      <w:tr w14:paraId="7CAA645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594AA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92DCE9">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31BF79">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8B3CDA">
            <w:pPr>
              <w:spacing w:line="360" w:lineRule="auto"/>
              <w:jc w:val="center"/>
              <w:rPr>
                <w:rFonts w:ascii="宋体" w:hAnsi="宋体" w:cs="宋体"/>
                <w:color w:val="auto"/>
                <w:sz w:val="24"/>
                <w:highlight w:val="none"/>
              </w:rPr>
            </w:pPr>
          </w:p>
        </w:tc>
      </w:tr>
      <w:tr w14:paraId="2EB9043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D9369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0F89BB">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23AD17">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B42340">
            <w:pPr>
              <w:spacing w:line="360" w:lineRule="auto"/>
              <w:jc w:val="center"/>
              <w:rPr>
                <w:rFonts w:ascii="宋体" w:hAnsi="宋体" w:cs="宋体"/>
                <w:color w:val="auto"/>
                <w:sz w:val="24"/>
                <w:highlight w:val="none"/>
              </w:rPr>
            </w:pPr>
          </w:p>
        </w:tc>
      </w:tr>
    </w:tbl>
    <w:p w14:paraId="0AE2E9FA">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3E36E04E">
      <w:pPr>
        <w:spacing w:line="360" w:lineRule="auto"/>
        <w:ind w:firstLine="48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A47EAEC">
      <w:pPr>
        <w:spacing w:line="360" w:lineRule="auto"/>
        <w:ind w:firstLine="48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40C50BB">
      <w:pPr>
        <w:spacing w:line="360" w:lineRule="auto"/>
        <w:ind w:firstLine="48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3781C61D">
      <w:pPr>
        <w:spacing w:line="360" w:lineRule="auto"/>
        <w:jc w:val="left"/>
        <w:rPr>
          <w:rFonts w:ascii="宋体" w:hAnsi="宋体"/>
          <w:color w:val="auto"/>
          <w:sz w:val="24"/>
          <w:highlight w:val="none"/>
        </w:rPr>
      </w:pPr>
    </w:p>
    <w:p w14:paraId="089A1883">
      <w:pPr>
        <w:spacing w:line="360" w:lineRule="auto"/>
        <w:jc w:val="left"/>
        <w:rPr>
          <w:rFonts w:ascii="宋体" w:hAnsi="宋体"/>
          <w:color w:val="auto"/>
          <w:sz w:val="24"/>
          <w:highlight w:val="none"/>
        </w:rPr>
      </w:pPr>
    </w:p>
    <w:p w14:paraId="1AAB0221">
      <w:pPr>
        <w:spacing w:line="360" w:lineRule="auto"/>
        <w:jc w:val="left"/>
        <w:rPr>
          <w:rFonts w:ascii="宋体" w:hAnsi="宋体"/>
          <w:color w:val="auto"/>
          <w:sz w:val="24"/>
          <w:highlight w:val="none"/>
        </w:rPr>
      </w:pPr>
    </w:p>
    <w:p w14:paraId="2D7D69BB">
      <w:pPr>
        <w:spacing w:line="360" w:lineRule="auto"/>
        <w:jc w:val="left"/>
        <w:rPr>
          <w:color w:val="auto"/>
          <w:sz w:val="24"/>
          <w:highlight w:val="none"/>
        </w:rPr>
      </w:pPr>
    </w:p>
    <w:p w14:paraId="3F4DF82F">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2D370754">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3320FCB4">
      <w:pPr>
        <w:spacing w:line="360" w:lineRule="auto"/>
        <w:ind w:right="480" w:firstLine="24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138B6168">
      <w:pPr>
        <w:spacing w:before="120" w:after="50"/>
        <w:jc w:val="left"/>
        <w:rPr>
          <w:rFonts w:ascii="宋体" w:hAnsi="宋体"/>
          <w:b/>
          <w:color w:val="auto"/>
          <w:sz w:val="24"/>
          <w:szCs w:val="20"/>
          <w:highlight w:val="none"/>
        </w:rPr>
      </w:pPr>
    </w:p>
    <w:p w14:paraId="6524885A">
      <w:pPr>
        <w:spacing w:before="120" w:after="50"/>
        <w:jc w:val="left"/>
        <w:rPr>
          <w:rFonts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5.投标声明</w:t>
      </w:r>
    </w:p>
    <w:p w14:paraId="458FE007">
      <w:pPr>
        <w:spacing w:before="50" w:after="120"/>
        <w:jc w:val="left"/>
        <w:rPr>
          <w:rFonts w:ascii="宋体" w:hAnsi="宋体"/>
          <w:color w:val="auto"/>
          <w:highlight w:val="none"/>
        </w:rPr>
      </w:pPr>
    </w:p>
    <w:p w14:paraId="3B9245A2">
      <w:pPr>
        <w:spacing w:before="50" w:after="12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投标声明</w:t>
      </w:r>
    </w:p>
    <w:p w14:paraId="75863090">
      <w:pPr>
        <w:spacing w:line="400" w:lineRule="exact"/>
        <w:contextualSpacing/>
        <w:jc w:val="left"/>
        <w:rPr>
          <w:color w:val="auto"/>
          <w:sz w:val="24"/>
          <w:highlight w:val="none"/>
        </w:rPr>
      </w:pPr>
      <w:r>
        <w:rPr>
          <w:rFonts w:hint="eastAsia"/>
          <w:color w:val="auto"/>
          <w:sz w:val="24"/>
          <w:highlight w:val="none"/>
        </w:rPr>
        <w:t>（采购人名称）：</w:t>
      </w:r>
    </w:p>
    <w:p w14:paraId="380206EA">
      <w:pPr>
        <w:spacing w:line="400" w:lineRule="exact"/>
        <w:ind w:firstLine="523"/>
        <w:contextualSpacing/>
        <w:jc w:val="left"/>
        <w:rPr>
          <w:rFonts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40D00990">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80BA8E4">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425AE28F">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33B2567A">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5BAC4795">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7B4300FB">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5489A5ED">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3FAF61F8">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464E3E03">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（六）法律、行政法规规定的其他条件。</w:t>
      </w:r>
    </w:p>
    <w:p w14:paraId="42ADC78A">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1FCCD9CB">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10CC005D">
      <w:pPr>
        <w:spacing w:before="50" w:after="50"/>
        <w:rPr>
          <w:rFonts w:ascii="宋体" w:hAnsi="宋体"/>
          <w:color w:val="auto"/>
          <w:sz w:val="24"/>
          <w:highlight w:val="none"/>
        </w:rPr>
      </w:pPr>
      <w:r>
        <w:rPr>
          <w:rFonts w:hint="eastAsia" w:ascii="宋体" w:hAnsi="宋体"/>
          <w:b/>
          <w:color w:val="auto"/>
          <w:sz w:val="24"/>
          <w:highlight w:val="none"/>
        </w:rPr>
        <w:t xml:space="preserve">    </w:t>
      </w:r>
      <w:r>
        <w:rPr>
          <w:rFonts w:hint="eastAsia" w:ascii="宋体" w:hAnsi="宋体"/>
          <w:color w:val="auto"/>
          <w:sz w:val="24"/>
          <w:highlight w:val="none"/>
        </w:rPr>
        <w:t xml:space="preserve">            </w:t>
      </w:r>
    </w:p>
    <w:p w14:paraId="7D36AB6D">
      <w:pPr>
        <w:spacing w:before="50" w:after="50"/>
        <w:ind w:firstLine="840"/>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355B64EB">
      <w:pPr>
        <w:spacing w:line="400" w:lineRule="exact"/>
        <w:contextualSpacing/>
        <w:jc w:val="left"/>
        <w:rPr>
          <w:rFonts w:ascii="宋体" w:hAnsi="宋体"/>
          <w:color w:val="auto"/>
          <w:sz w:val="24"/>
          <w:highlight w:val="none"/>
        </w:rPr>
      </w:pPr>
    </w:p>
    <w:p w14:paraId="0E3B49A4">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1384C9E2">
      <w:pPr>
        <w:spacing w:line="400" w:lineRule="exact"/>
        <w:contextualSpacing/>
        <w:jc w:val="left"/>
        <w:rPr>
          <w:rFonts w:ascii="宋体" w:hAnsi="宋体"/>
          <w:color w:val="auto"/>
          <w:highlight w:val="none"/>
        </w:rPr>
      </w:pPr>
      <w:r>
        <w:rPr>
          <w:rFonts w:hint="eastAsia" w:ascii="宋体" w:hAnsi="宋体"/>
          <w:color w:val="auto"/>
          <w:sz w:val="24"/>
          <w:highlight w:val="none"/>
        </w:rPr>
        <w:t xml:space="preserve">                                                  年    月    日</w:t>
      </w:r>
    </w:p>
    <w:p w14:paraId="6841AA82">
      <w:pPr>
        <w:spacing w:line="440" w:lineRule="exact"/>
        <w:contextualSpacing/>
        <w:rPr>
          <w:rFonts w:ascii="宋体" w:hAnsi="宋体"/>
          <w:b/>
          <w:color w:val="auto"/>
          <w:sz w:val="24"/>
          <w:highlight w:val="none"/>
        </w:rPr>
      </w:pPr>
      <w:bookmarkStart w:id="165" w:name="_Toc19686838"/>
      <w:r>
        <w:rPr>
          <w:rFonts w:hint="eastAsia" w:ascii="宋体" w:hAnsi="宋体"/>
          <w:b/>
          <w:color w:val="auto"/>
          <w:sz w:val="24"/>
          <w:highlight w:val="none"/>
        </w:rPr>
        <w:t>注：如为联合体投标，盖章处须加盖联合体牵头人电子签章并由联合体牵头人法定代表人签字或者盖章或者电子签名，否则投标无效。</w:t>
      </w:r>
    </w:p>
    <w:p w14:paraId="3A371B0A">
      <w:pPr>
        <w:rPr>
          <w:b/>
          <w:color w:val="auto"/>
          <w:sz w:val="28"/>
          <w:szCs w:val="28"/>
          <w:highlight w:val="none"/>
        </w:rPr>
      </w:pPr>
      <w:r>
        <w:rPr>
          <w:b/>
          <w:color w:val="auto"/>
          <w:sz w:val="28"/>
          <w:szCs w:val="28"/>
          <w:highlight w:val="none"/>
        </w:rPr>
        <w:br w:type="page" w:clear="all"/>
      </w:r>
      <w:r>
        <w:rPr>
          <w:rFonts w:hint="eastAsia"/>
          <w:b/>
          <w:color w:val="auto"/>
          <w:sz w:val="28"/>
          <w:szCs w:val="28"/>
          <w:highlight w:val="none"/>
        </w:rPr>
        <w:t>三、商务及技术文件格式</w:t>
      </w:r>
      <w:bookmarkEnd w:id="165"/>
    </w:p>
    <w:p w14:paraId="6F1511FE">
      <w:pPr>
        <w:spacing w:before="120" w:after="50" w:line="360" w:lineRule="auto"/>
        <w:jc w:val="left"/>
        <w:rPr>
          <w:rFonts w:ascii="宋体" w:hAnsi="宋体"/>
          <w:b/>
          <w:color w:val="auto"/>
          <w:sz w:val="24"/>
          <w:highlight w:val="none"/>
        </w:rPr>
      </w:pPr>
      <w:r>
        <w:rPr>
          <w:rFonts w:hint="eastAsia" w:ascii="宋体" w:hAnsi="宋体"/>
          <w:b/>
          <w:color w:val="auto"/>
          <w:sz w:val="24"/>
          <w:highlight w:val="none"/>
        </w:rPr>
        <w:t xml:space="preserve">1.商务及技术文件封面格式： </w:t>
      </w:r>
    </w:p>
    <w:p w14:paraId="1660226E">
      <w:pPr>
        <w:spacing w:before="120" w:after="50"/>
        <w:jc w:val="center"/>
        <w:rPr>
          <w:rFonts w:ascii="方正小标宋_GBK" w:hAnsi="方正小标宋_GBK" w:eastAsia="方正小标宋_GBK" w:cs="方正小标宋_GBK"/>
          <w:color w:val="auto"/>
          <w:sz w:val="24"/>
          <w:highlight w:val="none"/>
        </w:rPr>
      </w:pPr>
      <w:r>
        <w:rPr>
          <w:rFonts w:hint="eastAsia" w:ascii="方正小标宋_GBK" w:hAnsi="方正小标宋_GBK" w:eastAsia="方正小标宋_GBK" w:cs="方正小标宋_GBK"/>
          <w:bCs/>
          <w:color w:val="auto"/>
          <w:sz w:val="48"/>
          <w:szCs w:val="48"/>
          <w:highlight w:val="none"/>
        </w:rPr>
        <w:t>电子投标文件</w:t>
      </w:r>
    </w:p>
    <w:p w14:paraId="011591D5">
      <w:pPr>
        <w:spacing w:before="120" w:after="50"/>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商务及技术文件</w:t>
      </w:r>
    </w:p>
    <w:p w14:paraId="338850E0">
      <w:pPr>
        <w:spacing w:before="120" w:after="50"/>
        <w:rPr>
          <w:rFonts w:ascii="宋体" w:hAnsi="宋体"/>
          <w:bCs/>
          <w:color w:val="auto"/>
          <w:sz w:val="24"/>
          <w:szCs w:val="20"/>
          <w:highlight w:val="none"/>
        </w:rPr>
      </w:pPr>
    </w:p>
    <w:p w14:paraId="0F937992">
      <w:pPr>
        <w:spacing w:before="120" w:after="50"/>
        <w:ind w:firstLine="540"/>
        <w:rPr>
          <w:rFonts w:ascii="宋体" w:hAnsi="宋体"/>
          <w:bCs/>
          <w:color w:val="auto"/>
          <w:sz w:val="24"/>
          <w:highlight w:val="none"/>
        </w:rPr>
      </w:pPr>
      <w:r>
        <w:rPr>
          <w:rFonts w:hint="eastAsia" w:ascii="宋体" w:hAnsi="宋体"/>
          <w:bCs/>
          <w:color w:val="auto"/>
          <w:sz w:val="24"/>
          <w:highlight w:val="none"/>
        </w:rPr>
        <w:t>项目名称：</w:t>
      </w:r>
    </w:p>
    <w:p w14:paraId="27AB8D00">
      <w:pPr>
        <w:spacing w:before="120" w:after="50"/>
        <w:ind w:firstLine="540"/>
        <w:rPr>
          <w:rFonts w:ascii="宋体" w:hAnsi="宋体"/>
          <w:bCs/>
          <w:color w:val="auto"/>
          <w:sz w:val="24"/>
          <w:szCs w:val="20"/>
          <w:highlight w:val="none"/>
        </w:rPr>
      </w:pPr>
    </w:p>
    <w:p w14:paraId="7B4D089C">
      <w:pPr>
        <w:spacing w:before="120" w:after="50"/>
        <w:ind w:firstLine="540"/>
        <w:rPr>
          <w:rFonts w:ascii="宋体" w:hAnsi="宋体"/>
          <w:bCs/>
          <w:color w:val="auto"/>
          <w:sz w:val="24"/>
          <w:highlight w:val="none"/>
        </w:rPr>
      </w:pPr>
      <w:r>
        <w:rPr>
          <w:rFonts w:hint="eastAsia" w:ascii="宋体" w:hAnsi="宋体"/>
          <w:bCs/>
          <w:color w:val="auto"/>
          <w:sz w:val="24"/>
          <w:highlight w:val="none"/>
        </w:rPr>
        <w:t>项目编号：</w:t>
      </w:r>
    </w:p>
    <w:p w14:paraId="5550356E">
      <w:pPr>
        <w:spacing w:before="120" w:after="50"/>
        <w:ind w:firstLine="540"/>
        <w:rPr>
          <w:rFonts w:ascii="宋体" w:hAnsi="宋体"/>
          <w:bCs/>
          <w:color w:val="auto"/>
          <w:sz w:val="24"/>
          <w:szCs w:val="20"/>
          <w:highlight w:val="none"/>
        </w:rPr>
      </w:pPr>
      <w:r>
        <w:rPr>
          <w:rFonts w:hint="eastAsia" w:ascii="宋体" w:hAnsi="宋体"/>
          <w:bCs/>
          <w:color w:val="auto"/>
          <w:sz w:val="24"/>
          <w:highlight w:val="none"/>
        </w:rPr>
        <w:t xml:space="preserve"> </w:t>
      </w:r>
    </w:p>
    <w:p w14:paraId="011E9CA6">
      <w:pPr>
        <w:spacing w:before="120" w:after="50"/>
        <w:ind w:firstLine="540"/>
        <w:rPr>
          <w:rFonts w:ascii="宋体" w:hAnsi="宋体"/>
          <w:bCs/>
          <w:color w:val="auto"/>
          <w:sz w:val="24"/>
          <w:highlight w:val="none"/>
        </w:rPr>
      </w:pPr>
      <w:r>
        <w:rPr>
          <w:rFonts w:hint="eastAsia" w:ascii="宋体" w:hAnsi="宋体"/>
          <w:bCs/>
          <w:color w:val="auto"/>
          <w:sz w:val="24"/>
          <w:highlight w:val="none"/>
        </w:rPr>
        <w:t>所投分标：</w:t>
      </w:r>
    </w:p>
    <w:p w14:paraId="0E6C3E0F">
      <w:pPr>
        <w:spacing w:before="120" w:after="50"/>
        <w:ind w:firstLine="540"/>
        <w:rPr>
          <w:rFonts w:ascii="宋体" w:hAnsi="宋体"/>
          <w:bCs/>
          <w:color w:val="auto"/>
          <w:sz w:val="24"/>
          <w:szCs w:val="20"/>
          <w:highlight w:val="none"/>
        </w:rPr>
      </w:pPr>
    </w:p>
    <w:p w14:paraId="6995904D">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投标人名称：</w:t>
      </w:r>
    </w:p>
    <w:p w14:paraId="29CDD0EC">
      <w:pPr>
        <w:pStyle w:val="7"/>
        <w:spacing w:before="50" w:after="50"/>
        <w:ind w:firstLine="540"/>
        <w:rPr>
          <w:rFonts w:ascii="宋体" w:hAnsi="宋体"/>
          <w:bCs/>
          <w:color w:val="auto"/>
          <w:sz w:val="24"/>
          <w:szCs w:val="24"/>
          <w:highlight w:val="none"/>
        </w:rPr>
      </w:pPr>
    </w:p>
    <w:p w14:paraId="57D4C1F4">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投标人地址：</w:t>
      </w:r>
    </w:p>
    <w:p w14:paraId="18218DC7">
      <w:pPr>
        <w:pStyle w:val="7"/>
        <w:spacing w:before="50" w:after="50"/>
        <w:ind w:firstLine="960"/>
        <w:rPr>
          <w:rFonts w:ascii="宋体" w:hAnsi="宋体"/>
          <w:bCs/>
          <w:color w:val="auto"/>
          <w:sz w:val="24"/>
          <w:szCs w:val="24"/>
          <w:highlight w:val="none"/>
        </w:rPr>
      </w:pPr>
    </w:p>
    <w:p w14:paraId="5A48C07E">
      <w:pPr>
        <w:spacing w:before="12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340D7A44">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04184A0A">
      <w:pPr>
        <w:spacing w:line="360" w:lineRule="auto"/>
        <w:jc w:val="left"/>
        <w:rPr>
          <w:rFonts w:ascii="宋体" w:hAnsi="宋体"/>
          <w:b/>
          <w:color w:val="auto"/>
          <w:sz w:val="24"/>
          <w:highlight w:val="none"/>
        </w:rPr>
      </w:pPr>
      <w:r>
        <w:rPr>
          <w:rFonts w:ascii="宋体" w:hAnsi="宋体"/>
          <w:color w:val="auto"/>
          <w:sz w:val="24"/>
          <w:szCs w:val="20"/>
          <w:highlight w:val="none"/>
        </w:rPr>
        <w:br w:type="page" w:clear="all"/>
      </w:r>
      <w:r>
        <w:rPr>
          <w:rFonts w:hint="eastAsia" w:ascii="宋体" w:hAnsi="宋体"/>
          <w:b/>
          <w:color w:val="auto"/>
          <w:sz w:val="24"/>
          <w:highlight w:val="none"/>
        </w:rPr>
        <w:t>2.商务及技术文件目录</w:t>
      </w:r>
    </w:p>
    <w:p w14:paraId="32DD121D">
      <w:pPr>
        <w:spacing w:before="50" w:after="120" w:line="360" w:lineRule="auto"/>
        <w:ind w:firstLine="560"/>
        <w:jc w:val="left"/>
        <w:rPr>
          <w:rFonts w:ascii="微软雅黑" w:hAnsi="微软雅黑" w:eastAsia="微软雅黑"/>
          <w:b/>
          <w:bCs/>
          <w:color w:val="auto"/>
          <w:sz w:val="32"/>
          <w:szCs w:val="32"/>
          <w:highlight w:val="none"/>
        </w:rPr>
      </w:pPr>
      <w:r>
        <w:rPr>
          <w:rFonts w:hint="eastAsia" w:ascii="宋体" w:hAnsi="宋体"/>
          <w:color w:val="auto"/>
          <w:sz w:val="28"/>
          <w:szCs w:val="28"/>
          <w:highlight w:val="none"/>
        </w:rPr>
        <w:t>根据招标文件规定及投标人提供的材料自行编写目录。</w:t>
      </w:r>
    </w:p>
    <w:p w14:paraId="660CAA04">
      <w:pPr>
        <w:spacing w:before="50" w:after="120"/>
        <w:jc w:val="left"/>
        <w:rPr>
          <w:rFonts w:ascii="宋体" w:hAnsi="宋体"/>
          <w:color w:val="auto"/>
          <w:highlight w:val="none"/>
        </w:rPr>
      </w:pPr>
    </w:p>
    <w:p w14:paraId="0EE3403C">
      <w:pPr>
        <w:spacing w:before="120" w:after="50"/>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3.投标人参加本项目无围标串标行为的承诺</w:t>
      </w:r>
    </w:p>
    <w:p w14:paraId="3F23FD09">
      <w:pPr>
        <w:spacing w:before="120" w:after="50"/>
        <w:jc w:val="left"/>
        <w:rPr>
          <w:rFonts w:ascii="宋体" w:hAnsi="宋体"/>
          <w:b/>
          <w:color w:val="auto"/>
          <w:sz w:val="24"/>
          <w:highlight w:val="none"/>
        </w:rPr>
      </w:pPr>
    </w:p>
    <w:p w14:paraId="62AF27CC">
      <w:pPr>
        <w:spacing w:line="360" w:lineRule="auto"/>
        <w:contextualSpacing/>
        <w:rPr>
          <w:rFonts w:ascii="方正小标宋_GBK" w:hAnsi="方正小标宋_GBK" w:eastAsia="方正小标宋_GBK" w:cs="方正小标宋_GBK"/>
          <w:b/>
          <w:color w:val="auto"/>
          <w:sz w:val="24"/>
          <w:highlight w:val="none"/>
        </w:rPr>
      </w:pPr>
      <w:r>
        <w:rPr>
          <w:rFonts w:hint="eastAsia" w:ascii="方正小标宋_GBK" w:hAnsi="方正小标宋_GBK" w:eastAsia="方正小标宋_GBK" w:cs="方正小标宋_GBK"/>
          <w:bCs/>
          <w:color w:val="auto"/>
          <w:spacing w:val="-11"/>
          <w:sz w:val="44"/>
          <w:szCs w:val="44"/>
          <w:highlight w:val="none"/>
        </w:rPr>
        <w:t>投标人参加本项目无围标串标行为的承诺函</w:t>
      </w:r>
    </w:p>
    <w:p w14:paraId="74969BAA">
      <w:pPr>
        <w:spacing w:line="440" w:lineRule="exact"/>
        <w:contextualSpacing/>
        <w:jc w:val="left"/>
        <w:rPr>
          <w:rFonts w:ascii="宋体" w:hAnsi="宋体"/>
          <w:b/>
          <w:color w:val="auto"/>
          <w:sz w:val="24"/>
          <w:highlight w:val="none"/>
        </w:rPr>
      </w:pPr>
      <w:r>
        <w:rPr>
          <w:rFonts w:hint="eastAsia" w:ascii="宋体" w:hAnsi="宋体"/>
          <w:b/>
          <w:color w:val="auto"/>
          <w:sz w:val="24"/>
          <w:highlight w:val="none"/>
        </w:rPr>
        <w:t>一、我方承诺无下列相互串通投标的情形：</w:t>
      </w:r>
    </w:p>
    <w:p w14:paraId="50DED1CD">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1.不同投标人的投标文件由同一单位或者个人编制；</w:t>
      </w:r>
    </w:p>
    <w:p w14:paraId="0F2387DB">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2.不同投标人委托同一单位或者个人办理投标事宜；</w:t>
      </w:r>
    </w:p>
    <w:p w14:paraId="611FA2FD">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15BCBA3A">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0440EF48">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5.不同投标人的投标文件相互混装；</w:t>
      </w:r>
    </w:p>
    <w:p w14:paraId="4A285713">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08A15D68">
      <w:pPr>
        <w:spacing w:line="440" w:lineRule="exact"/>
        <w:contextualSpacing/>
        <w:jc w:val="left"/>
        <w:rPr>
          <w:rFonts w:ascii="宋体" w:hAnsi="宋体"/>
          <w:color w:val="auto"/>
          <w:sz w:val="24"/>
          <w:highlight w:val="none"/>
        </w:rPr>
      </w:pPr>
      <w:r>
        <w:rPr>
          <w:rFonts w:hint="eastAsia" w:ascii="宋体" w:hAnsi="宋体"/>
          <w:b/>
          <w:color w:val="auto"/>
          <w:sz w:val="24"/>
          <w:highlight w:val="none"/>
        </w:rPr>
        <w:t>二、我方承诺无下列恶意串通的情形：</w:t>
      </w:r>
    </w:p>
    <w:p w14:paraId="318908AB">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711E5033">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32F7AAB1">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625C0D02">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006BF539">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48AB49F9">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6E41AD1F">
      <w:pPr>
        <w:spacing w:line="440" w:lineRule="exact"/>
        <w:ind w:firstLine="470"/>
        <w:contextualSpacing/>
        <w:jc w:val="left"/>
        <w:rPr>
          <w:rFonts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689B777E">
      <w:pPr>
        <w:spacing w:line="440" w:lineRule="exact"/>
        <w:ind w:firstLine="472"/>
        <w:contextualSpacing/>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2F441915">
      <w:pPr>
        <w:pStyle w:val="26"/>
        <w:spacing w:line="440" w:lineRule="exact"/>
        <w:ind w:firstLine="960"/>
        <w:contextualSpacing/>
        <w:rPr>
          <w:rFonts w:hAnsi="宋体"/>
          <w:color w:val="auto"/>
          <w:sz w:val="24"/>
          <w:szCs w:val="24"/>
          <w:highlight w:val="none"/>
        </w:rPr>
      </w:pPr>
      <w:r>
        <w:rPr>
          <w:rFonts w:hint="eastAsia" w:hAnsi="宋体"/>
          <w:color w:val="auto"/>
          <w:sz w:val="24"/>
          <w:highlight w:val="none"/>
        </w:rPr>
        <w:t>法定代表人或者委托代理人</w:t>
      </w:r>
      <w:r>
        <w:rPr>
          <w:rFonts w:hint="eastAsia" w:hAnsi="宋体"/>
          <w:color w:val="auto"/>
          <w:spacing w:val="20"/>
          <w:sz w:val="24"/>
          <w:highlight w:val="none"/>
        </w:rPr>
        <w:t>（签字或者电子签名）：</w:t>
      </w:r>
      <w:r>
        <w:rPr>
          <w:rFonts w:hint="eastAsia" w:hAnsi="宋体"/>
          <w:color w:val="auto"/>
          <w:spacing w:val="20"/>
          <w:sz w:val="24"/>
          <w:highlight w:val="none"/>
          <w:u w:val="single"/>
        </w:rPr>
        <w:t xml:space="preserve">        </w:t>
      </w:r>
    </w:p>
    <w:p w14:paraId="6282FB37">
      <w:pPr>
        <w:pStyle w:val="26"/>
        <w:spacing w:line="440" w:lineRule="exact"/>
        <w:contextualSpacing/>
        <w:jc w:val="center"/>
        <w:rPr>
          <w:rFonts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投标人名称（电子签章）</w:t>
      </w:r>
    </w:p>
    <w:p w14:paraId="55EC5CD9">
      <w:pPr>
        <w:pStyle w:val="26"/>
        <w:spacing w:line="440" w:lineRule="exact"/>
        <w:contextualSpacing/>
        <w:rPr>
          <w:rFonts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67B2D1F0">
      <w:pPr>
        <w:spacing w:before="120" w:after="50"/>
        <w:jc w:val="left"/>
        <w:rPr>
          <w:rFonts w:ascii="宋体" w:hAnsi="宋体"/>
          <w:b/>
          <w:color w:val="auto"/>
          <w:sz w:val="24"/>
          <w:szCs w:val="20"/>
          <w:highlight w:val="none"/>
        </w:rPr>
      </w:pPr>
      <w:r>
        <w:rPr>
          <w:rFonts w:hint="eastAsia" w:ascii="宋体" w:hAnsi="宋体"/>
          <w:b/>
          <w:color w:val="auto"/>
          <w:sz w:val="24"/>
          <w:highlight w:val="none"/>
        </w:rPr>
        <w:t>4.法定代表人身份证明</w:t>
      </w:r>
    </w:p>
    <w:p w14:paraId="522CCD9C">
      <w:pPr>
        <w:spacing w:before="240" w:after="120"/>
        <w:ind w:left="540"/>
        <w:jc w:val="center"/>
        <w:rPr>
          <w:rFonts w:ascii="宋体" w:hAnsi="Courier New"/>
          <w:b/>
          <w:color w:val="auto"/>
          <w:sz w:val="32"/>
          <w:szCs w:val="32"/>
          <w:highlight w:val="none"/>
        </w:rPr>
      </w:pPr>
    </w:p>
    <w:p w14:paraId="1BD8C951">
      <w:pPr>
        <w:spacing w:before="240" w:after="120"/>
        <w:ind w:left="540"/>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法定代表人身份证明</w:t>
      </w:r>
    </w:p>
    <w:p w14:paraId="66AFF4A0">
      <w:pPr>
        <w:spacing w:line="500" w:lineRule="exact"/>
        <w:ind w:left="54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074893EB">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065F402B">
      <w:pPr>
        <w:spacing w:line="500" w:lineRule="exact"/>
        <w:ind w:left="540"/>
        <w:rPr>
          <w:rFonts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0F2D6207">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5B16670E">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057C6CFD">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116DE4C7">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3FEE68FB">
      <w:pPr>
        <w:spacing w:line="500" w:lineRule="exact"/>
        <w:ind w:left="540"/>
        <w:rPr>
          <w:rFonts w:ascii="宋体" w:hAnsi="宋体"/>
          <w:color w:val="auto"/>
          <w:sz w:val="24"/>
          <w:highlight w:val="none"/>
        </w:rPr>
      </w:pPr>
    </w:p>
    <w:p w14:paraId="383E31FC">
      <w:pPr>
        <w:spacing w:line="500" w:lineRule="exact"/>
        <w:ind w:left="540"/>
        <w:rPr>
          <w:rFonts w:ascii="宋体" w:hAnsi="宋体"/>
          <w:color w:val="auto"/>
          <w:sz w:val="24"/>
          <w:highlight w:val="none"/>
        </w:rPr>
      </w:pPr>
    </w:p>
    <w:p w14:paraId="4510715B">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22D97D9D">
      <w:pPr>
        <w:spacing w:line="500" w:lineRule="exact"/>
        <w:ind w:left="540"/>
        <w:rPr>
          <w:rFonts w:ascii="宋体" w:hAnsi="宋体"/>
          <w:color w:val="auto"/>
          <w:sz w:val="24"/>
          <w:highlight w:val="none"/>
        </w:rPr>
      </w:pPr>
    </w:p>
    <w:p w14:paraId="0CB4A370">
      <w:pPr>
        <w:spacing w:line="500" w:lineRule="exact"/>
        <w:ind w:left="540"/>
        <w:jc w:val="right"/>
        <w:rPr>
          <w:rFonts w:ascii="宋体" w:hAnsi="宋体"/>
          <w:color w:val="auto"/>
          <w:sz w:val="24"/>
          <w:highlight w:val="none"/>
        </w:rPr>
      </w:pPr>
      <w:r>
        <w:rPr>
          <w:rFonts w:hint="eastAsia" w:ascii="宋体" w:hAnsi="宋体"/>
          <w:color w:val="auto"/>
          <w:sz w:val="24"/>
          <w:highlight w:val="none"/>
        </w:rPr>
        <w:t>投标人名称（电子签章）</w:t>
      </w:r>
    </w:p>
    <w:p w14:paraId="08EECA65">
      <w:pPr>
        <w:spacing w:line="500" w:lineRule="exact"/>
        <w:ind w:left="540"/>
        <w:jc w:val="right"/>
        <w:rPr>
          <w:rFonts w:ascii="宋体" w:hAnsi="宋体"/>
          <w:color w:val="auto"/>
          <w:sz w:val="24"/>
          <w:highlight w:val="none"/>
        </w:rPr>
      </w:pPr>
    </w:p>
    <w:p w14:paraId="4BD73BD7">
      <w:pPr>
        <w:spacing w:before="120" w:after="50"/>
        <w:ind w:left="540"/>
        <w:jc w:val="right"/>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B1F74F5">
      <w:pPr>
        <w:spacing w:before="120" w:after="50"/>
        <w:jc w:val="center"/>
        <w:rPr>
          <w:rFonts w:ascii="宋体" w:hAnsi="宋体"/>
          <w:b/>
          <w:color w:val="auto"/>
          <w:sz w:val="24"/>
          <w:highlight w:val="none"/>
        </w:rPr>
      </w:pPr>
    </w:p>
    <w:p w14:paraId="20D6AA48">
      <w:pPr>
        <w:spacing w:before="120" w:after="50"/>
        <w:jc w:val="left"/>
        <w:rPr>
          <w:rFonts w:ascii="宋体" w:hAnsi="宋体"/>
          <w:b/>
          <w:color w:val="auto"/>
          <w:sz w:val="24"/>
          <w:szCs w:val="20"/>
          <w:highlight w:val="none"/>
        </w:rPr>
      </w:pPr>
      <w:r>
        <w:rPr>
          <w:rFonts w:hint="eastAsia" w:ascii="宋体" w:hAnsi="宋体"/>
          <w:color w:val="auto"/>
          <w:sz w:val="24"/>
          <w:highlight w:val="none"/>
        </w:rPr>
        <w:t>注：自然人投标的无需提供</w:t>
      </w:r>
    </w:p>
    <w:p w14:paraId="664F4660">
      <w:pPr>
        <w:spacing w:before="120" w:after="50"/>
        <w:jc w:val="left"/>
        <w:rPr>
          <w:rFonts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5.授权委托书格式</w:t>
      </w:r>
    </w:p>
    <w:p w14:paraId="0A4BAFE3">
      <w:pPr>
        <w:spacing w:before="120" w:after="50"/>
        <w:jc w:val="center"/>
        <w:rPr>
          <w:rFonts w:ascii="宋体" w:hAnsi="宋体"/>
          <w:b/>
          <w:color w:val="auto"/>
          <w:sz w:val="44"/>
          <w:szCs w:val="44"/>
          <w:highlight w:val="none"/>
        </w:rPr>
      </w:pPr>
    </w:p>
    <w:p w14:paraId="14A7573B">
      <w:pPr>
        <w:spacing w:line="360" w:lineRule="auto"/>
        <w:contextualSpacing/>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授权委托书</w:t>
      </w:r>
    </w:p>
    <w:p w14:paraId="72CA3C03">
      <w:pPr>
        <w:spacing w:line="360" w:lineRule="auto"/>
        <w:contextualSpacing/>
        <w:jc w:val="center"/>
        <w:rPr>
          <w:rFonts w:ascii="方正小标宋_GBK" w:hAnsi="方正小标宋_GBK" w:eastAsia="方正小标宋_GBK" w:cs="方正小标宋_GBK"/>
          <w:bCs/>
          <w:color w:val="auto"/>
          <w:sz w:val="32"/>
          <w:szCs w:val="32"/>
          <w:highlight w:val="none"/>
        </w:rPr>
      </w:pPr>
      <w:r>
        <w:rPr>
          <w:rFonts w:hint="eastAsia" w:ascii="方正小标宋_GBK" w:hAnsi="方正小标宋_GBK" w:eastAsia="方正小标宋_GBK" w:cs="方正小标宋_GBK"/>
          <w:bCs/>
          <w:color w:val="auto"/>
          <w:sz w:val="32"/>
          <w:szCs w:val="32"/>
          <w:highlight w:val="none"/>
        </w:rPr>
        <w:t>（非联合体投标格式）</w:t>
      </w:r>
    </w:p>
    <w:p w14:paraId="536D272A">
      <w:pPr>
        <w:spacing w:line="360" w:lineRule="auto"/>
        <w:contextualSpacing/>
        <w:jc w:val="center"/>
        <w:rPr>
          <w:rFonts w:ascii="方正小标宋_GBK" w:hAnsi="方正小标宋_GBK" w:eastAsia="方正小标宋_GBK" w:cs="方正小标宋_GBK"/>
          <w:bCs/>
          <w:color w:val="auto"/>
          <w:sz w:val="24"/>
          <w:highlight w:val="none"/>
        </w:rPr>
      </w:pPr>
      <w:r>
        <w:rPr>
          <w:rFonts w:hint="eastAsia" w:ascii="方正小标宋_GBK" w:hAnsi="方正小标宋_GBK" w:eastAsia="方正小标宋_GBK" w:cs="方正小标宋_GBK"/>
          <w:bCs/>
          <w:color w:val="auto"/>
          <w:sz w:val="32"/>
          <w:szCs w:val="32"/>
          <w:highlight w:val="none"/>
        </w:rPr>
        <w:t>（如有委托时）</w:t>
      </w:r>
    </w:p>
    <w:p w14:paraId="1D845BA3">
      <w:pPr>
        <w:spacing w:line="440" w:lineRule="exact"/>
        <w:contextualSpacing/>
        <w:jc w:val="center"/>
        <w:rPr>
          <w:rFonts w:ascii="宋体" w:hAnsi="宋体"/>
          <w:b/>
          <w:color w:val="auto"/>
          <w:sz w:val="24"/>
          <w:highlight w:val="none"/>
        </w:rPr>
      </w:pPr>
    </w:p>
    <w:p w14:paraId="79BC4CD6">
      <w:pPr>
        <w:spacing w:line="440" w:lineRule="exact"/>
        <w:contextualSpacing/>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47DC98AA">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74D99363">
      <w:pPr>
        <w:spacing w:line="440" w:lineRule="exact"/>
        <w:contextualSpacing/>
        <w:rPr>
          <w:rFonts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59F830CE">
      <w:pPr>
        <w:spacing w:line="440" w:lineRule="exact"/>
        <w:ind w:firstLine="480"/>
        <w:contextualSpacing/>
        <w:rPr>
          <w:rFonts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217521C9">
      <w:pPr>
        <w:spacing w:line="440" w:lineRule="exact"/>
        <w:ind w:firstLine="480"/>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259DD26B">
      <w:pPr>
        <w:spacing w:line="440" w:lineRule="exact"/>
        <w:ind w:firstLine="480"/>
        <w:contextualSpacing/>
        <w:rPr>
          <w:rFonts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329E27C4">
      <w:pPr>
        <w:spacing w:line="440" w:lineRule="exact"/>
        <w:contextualSpacing/>
        <w:rPr>
          <w:rFonts w:ascii="宋体" w:hAnsi="宋体"/>
          <w:color w:val="auto"/>
          <w:sz w:val="24"/>
          <w:highlight w:val="none"/>
        </w:rPr>
      </w:pPr>
    </w:p>
    <w:p w14:paraId="78685C52">
      <w:pPr>
        <w:spacing w:line="440" w:lineRule="exact"/>
        <w:contextualSpacing/>
        <w:rPr>
          <w:rFonts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56AAB8FD">
      <w:pPr>
        <w:spacing w:line="440" w:lineRule="exact"/>
        <w:contextualSpacing/>
        <w:rPr>
          <w:rFonts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6E879DD8">
      <w:pPr>
        <w:spacing w:line="440" w:lineRule="exact"/>
        <w:contextualSpacing/>
        <w:rPr>
          <w:rFonts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63BF62CD">
      <w:pPr>
        <w:spacing w:line="440" w:lineRule="exact"/>
        <w:contextualSpacing/>
        <w:rPr>
          <w:rFonts w:ascii="宋体" w:hAnsi="宋体"/>
          <w:color w:val="auto"/>
          <w:sz w:val="24"/>
          <w:highlight w:val="none"/>
        </w:rPr>
      </w:pPr>
      <w:r>
        <w:rPr>
          <w:rFonts w:hint="eastAsia" w:ascii="宋体" w:hAnsi="宋体"/>
          <w:color w:val="auto"/>
          <w:sz w:val="24"/>
          <w:highlight w:val="none"/>
        </w:rPr>
        <w:t xml:space="preserve"> </w:t>
      </w:r>
    </w:p>
    <w:p w14:paraId="403E2BB6">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投标人名称（电子签章）：</w:t>
      </w:r>
    </w:p>
    <w:p w14:paraId="2C1FCBC5">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年    月    日</w:t>
      </w:r>
    </w:p>
    <w:p w14:paraId="5AD9188F">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w:t>
      </w:r>
      <w:bookmarkStart w:id="166" w:name="_Hlk65851555"/>
      <w:bookmarkStart w:id="167" w:name="_Hlk65851620"/>
      <w:r>
        <w:rPr>
          <w:rFonts w:hint="eastAsia" w:ascii="宋体" w:hAnsi="宋体" w:cs="仿宋_GB2312"/>
          <w:color w:val="auto"/>
          <w:sz w:val="24"/>
          <w:highlight w:val="none"/>
        </w:rPr>
        <w:t>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w:t>
      </w:r>
      <w:bookmarkEnd w:id="166"/>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bookmarkEnd w:id="167"/>
    </w:p>
    <w:p w14:paraId="5590178A">
      <w:pPr>
        <w:spacing w:line="440" w:lineRule="exact"/>
        <w:ind w:firstLine="48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13E3F110">
      <w:pPr>
        <w:spacing w:before="120" w:after="50"/>
        <w:ind w:firstLine="566"/>
        <w:jc w:val="center"/>
        <w:rPr>
          <w:rFonts w:ascii="宋体" w:hAnsi="宋体"/>
          <w:color w:val="auto"/>
          <w:sz w:val="24"/>
          <w:highlight w:val="none"/>
        </w:rPr>
      </w:pPr>
      <w:r>
        <w:rPr>
          <w:rFonts w:ascii="宋体" w:hAnsi="宋体"/>
          <w:color w:val="auto"/>
          <w:sz w:val="24"/>
          <w:highlight w:val="none"/>
        </w:rPr>
        <w:br w:type="page" w:clear="all"/>
      </w:r>
    </w:p>
    <w:p w14:paraId="2AA3A3D1">
      <w:pPr>
        <w:rPr>
          <w:rFonts w:ascii="宋体" w:hAnsi="宋体"/>
          <w:b/>
          <w:color w:val="auto"/>
          <w:sz w:val="24"/>
          <w:szCs w:val="20"/>
          <w:highlight w:val="none"/>
        </w:rPr>
      </w:pPr>
      <w:r>
        <w:rPr>
          <w:rFonts w:hint="eastAsia" w:ascii="宋体" w:hAnsi="宋体"/>
          <w:b/>
          <w:color w:val="auto"/>
          <w:sz w:val="24"/>
          <w:highlight w:val="none"/>
        </w:rPr>
        <w:t>6.商务要求偏离表格式</w:t>
      </w:r>
    </w:p>
    <w:p w14:paraId="62D05AD2">
      <w:pPr>
        <w:spacing w:before="50"/>
        <w:jc w:val="left"/>
        <w:rPr>
          <w:rFonts w:ascii="宋体" w:hAnsi="宋体"/>
          <w:color w:val="auto"/>
          <w:sz w:val="24"/>
          <w:highlight w:val="none"/>
        </w:rPr>
      </w:pPr>
    </w:p>
    <w:p w14:paraId="6E391895">
      <w:pPr>
        <w:pStyle w:val="26"/>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1F70F45B">
      <w:pPr>
        <w:spacing w:before="50"/>
        <w:jc w:val="left"/>
        <w:rPr>
          <w:rFonts w:ascii="宋体" w:hAnsi="宋体"/>
          <w:color w:val="auto"/>
          <w:sz w:val="24"/>
          <w:highlight w:val="none"/>
          <w:u w:val="single"/>
        </w:rPr>
      </w:pPr>
    </w:p>
    <w:tbl>
      <w:tblPr>
        <w:tblStyle w:val="52"/>
        <w:tblW w:w="8641"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7BA60F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4B5B1402">
            <w:pPr>
              <w:spacing w:before="120"/>
              <w:jc w:val="center"/>
              <w:rPr>
                <w:rFonts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001B7F7A">
            <w:pPr>
              <w:spacing w:before="120"/>
              <w:jc w:val="center"/>
              <w:rPr>
                <w:rFonts w:ascii="宋体" w:hAnsi="宋体"/>
                <w:color w:val="auto"/>
                <w:sz w:val="24"/>
                <w:highlight w:val="none"/>
              </w:rPr>
            </w:pPr>
            <w:r>
              <w:rPr>
                <w:rFonts w:hint="eastAsia" w:ascii="宋体" w:hAnsi="宋体"/>
                <w:color w:val="auto"/>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tcPr>
          <w:p w14:paraId="39F60A44">
            <w:pPr>
              <w:spacing w:before="120"/>
              <w:jc w:val="center"/>
              <w:rPr>
                <w:rFonts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2EF4AD38">
            <w:pPr>
              <w:spacing w:before="120"/>
              <w:jc w:val="center"/>
              <w:rPr>
                <w:rFonts w:ascii="宋体" w:hAnsi="宋体"/>
                <w:color w:val="auto"/>
                <w:sz w:val="24"/>
                <w:highlight w:val="none"/>
              </w:rPr>
            </w:pPr>
            <w:r>
              <w:rPr>
                <w:rFonts w:hint="eastAsia" w:ascii="宋体" w:hAnsi="宋体"/>
                <w:color w:val="auto"/>
                <w:sz w:val="24"/>
                <w:highlight w:val="none"/>
              </w:rPr>
              <w:t>偏离说明</w:t>
            </w:r>
          </w:p>
        </w:tc>
      </w:tr>
      <w:tr w14:paraId="1D2B21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2CA94533">
            <w:pPr>
              <w:jc w:val="center"/>
              <w:rPr>
                <w:rFonts w:ascii="宋体" w:hAnsi="宋体"/>
                <w:iCs/>
                <w:color w:val="auto"/>
                <w:sz w:val="24"/>
                <w:highlight w:val="none"/>
              </w:rPr>
            </w:pPr>
            <w:r>
              <w:rPr>
                <w:rFonts w:hint="eastAsia" w:ascii="宋体" w:hAnsi="宋体"/>
                <w:iCs/>
                <w:color w:val="auto"/>
                <w:sz w:val="24"/>
                <w:highlight w:val="none"/>
              </w:rPr>
              <w:t>交付的时间和地点</w:t>
            </w:r>
          </w:p>
        </w:tc>
        <w:tc>
          <w:tcPr>
            <w:tcW w:w="3336" w:type="dxa"/>
            <w:tcBorders>
              <w:top w:val="single" w:color="auto" w:sz="4" w:space="0"/>
              <w:left w:val="single" w:color="auto" w:sz="4" w:space="0"/>
              <w:bottom w:val="single" w:color="auto" w:sz="4" w:space="0"/>
              <w:right w:val="single" w:color="auto" w:sz="4" w:space="0"/>
            </w:tcBorders>
          </w:tcPr>
          <w:p w14:paraId="74D06F4B">
            <w:pPr>
              <w:spacing w:before="120"/>
              <w:jc w:val="center"/>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7B4A922B">
            <w:pPr>
              <w:spacing w:before="120"/>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76D67A9F">
            <w:pPr>
              <w:spacing w:before="120"/>
              <w:jc w:val="center"/>
              <w:rPr>
                <w:rFonts w:ascii="宋体" w:hAnsi="宋体"/>
                <w:color w:val="auto"/>
                <w:sz w:val="24"/>
                <w:highlight w:val="none"/>
              </w:rPr>
            </w:pPr>
          </w:p>
        </w:tc>
      </w:tr>
      <w:tr w14:paraId="21BAA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1AAFCE3D">
            <w:pPr>
              <w:jc w:val="center"/>
              <w:rPr>
                <w:rFonts w:ascii="宋体" w:hAnsi="宋体"/>
                <w:iCs/>
                <w:color w:val="auto"/>
                <w:sz w:val="24"/>
                <w:highlight w:val="none"/>
              </w:rPr>
            </w:pPr>
            <w:r>
              <w:rPr>
                <w:rFonts w:hint="eastAsia" w:ascii="宋体" w:hAnsi="宋体"/>
                <w:iCs/>
                <w:color w:val="auto"/>
                <w:sz w:val="24"/>
                <w:highlight w:val="none"/>
              </w:rPr>
              <w:t>合同签订时间</w:t>
            </w:r>
          </w:p>
        </w:tc>
        <w:tc>
          <w:tcPr>
            <w:tcW w:w="3336" w:type="dxa"/>
            <w:tcBorders>
              <w:top w:val="single" w:color="auto" w:sz="4" w:space="0"/>
              <w:left w:val="single" w:color="auto" w:sz="4" w:space="0"/>
              <w:bottom w:val="single" w:color="auto" w:sz="4" w:space="0"/>
              <w:right w:val="single" w:color="auto" w:sz="4" w:space="0"/>
            </w:tcBorders>
          </w:tcPr>
          <w:p w14:paraId="6587C53D">
            <w:pPr>
              <w:spacing w:before="120"/>
              <w:rPr>
                <w:rFonts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tcPr>
          <w:p w14:paraId="24A68F27">
            <w:pPr>
              <w:spacing w:before="12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24CE846A">
            <w:pPr>
              <w:spacing w:before="120"/>
              <w:ind w:left="43"/>
              <w:jc w:val="center"/>
              <w:rPr>
                <w:rFonts w:ascii="宋体" w:hAnsi="宋体"/>
                <w:color w:val="auto"/>
                <w:sz w:val="24"/>
                <w:highlight w:val="none"/>
              </w:rPr>
            </w:pPr>
          </w:p>
        </w:tc>
      </w:tr>
      <w:tr w14:paraId="57DA42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10BEA702">
            <w:pPr>
              <w:spacing w:before="120"/>
              <w:jc w:val="center"/>
              <w:rPr>
                <w:rFonts w:ascii="宋体" w:hAnsi="宋体"/>
                <w:color w:val="auto"/>
                <w:sz w:val="24"/>
                <w:highlight w:val="none"/>
              </w:rPr>
            </w:pPr>
            <w:r>
              <w:rPr>
                <w:rFonts w:hint="eastAsia" w:ascii="宋体" w:hAnsi="宋体"/>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7D19BC6F">
            <w:pPr>
              <w:spacing w:before="120"/>
              <w:jc w:val="center"/>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5F5EDDD1">
            <w:pPr>
              <w:spacing w:before="120"/>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55707F8E">
            <w:pPr>
              <w:spacing w:before="120"/>
              <w:jc w:val="center"/>
              <w:rPr>
                <w:rFonts w:ascii="宋体" w:hAnsi="宋体"/>
                <w:color w:val="auto"/>
                <w:sz w:val="24"/>
                <w:highlight w:val="none"/>
              </w:rPr>
            </w:pPr>
          </w:p>
        </w:tc>
      </w:tr>
    </w:tbl>
    <w:p w14:paraId="6B2C7F05">
      <w:pPr>
        <w:pStyle w:val="17"/>
        <w:rPr>
          <w:rFonts w:ascii="宋体" w:hAnsi="宋体"/>
          <w:color w:val="auto"/>
          <w:highlight w:val="none"/>
        </w:rPr>
      </w:pPr>
      <w:r>
        <w:rPr>
          <w:rFonts w:hint="eastAsia" w:ascii="宋体" w:hAnsi="宋体"/>
          <w:color w:val="auto"/>
          <w:highlight w:val="none"/>
        </w:rPr>
        <w:t>注：</w:t>
      </w:r>
    </w:p>
    <w:p w14:paraId="2511C0A1">
      <w:pPr>
        <w:pStyle w:val="20"/>
        <w:spacing w:line="520" w:lineRule="exact"/>
        <w:ind w:firstLine="0"/>
        <w:rPr>
          <w:rFonts w:hAnsi="仿宋_GB2312" w:cs="仿宋_GB2312"/>
          <w:color w:val="auto"/>
          <w:szCs w:val="32"/>
          <w:highlight w:val="none"/>
        </w:rPr>
      </w:pPr>
      <w:r>
        <w:rPr>
          <w:rFonts w:hint="eastAsia" w:ascii="宋体" w:hAnsi="宋体" w:eastAsia="宋体"/>
          <w:color w:val="auto"/>
          <w:sz w:val="24"/>
          <w:szCs w:val="24"/>
          <w:highlight w:val="none"/>
        </w:rPr>
        <w:t>1.</w:t>
      </w:r>
      <w:r>
        <w:rPr>
          <w:rFonts w:hint="eastAsia"/>
          <w:color w:val="auto"/>
          <w:highlight w:val="none"/>
        </w:rPr>
        <w:t xml:space="preserve"> </w:t>
      </w:r>
      <w:r>
        <w:rPr>
          <w:rFonts w:hint="eastAsia" w:ascii="宋体" w:hAnsi="宋体" w:eastAsia="宋体"/>
          <w:color w:val="auto"/>
          <w:sz w:val="24"/>
          <w:szCs w:val="24"/>
          <w:highlight w:val="none"/>
        </w:rPr>
        <w:t>说明：应对照招标文件“第二章 采购需求”中的商务要求逐条作明确的投标响应，并作出偏离说明。</w:t>
      </w:r>
    </w:p>
    <w:p w14:paraId="3517A3DA">
      <w:pPr>
        <w:pStyle w:val="17"/>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66F5A0FC">
      <w:pPr>
        <w:spacing w:before="50" w:after="50"/>
        <w:rPr>
          <w:rFonts w:ascii="宋体" w:hAnsi="宋体"/>
          <w:color w:val="auto"/>
          <w:sz w:val="24"/>
          <w:highlight w:val="none"/>
        </w:rPr>
      </w:pPr>
    </w:p>
    <w:p w14:paraId="782DC5A0">
      <w:pPr>
        <w:spacing w:before="50" w:after="50"/>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0F03826A">
      <w:pPr>
        <w:spacing w:before="12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14AED695">
      <w:pPr>
        <w:spacing w:before="120"/>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126ABCD7">
      <w:pPr>
        <w:spacing w:before="120"/>
        <w:rPr>
          <w:rFonts w:ascii="宋体" w:hAnsi="宋体"/>
          <w:color w:val="auto"/>
          <w:sz w:val="24"/>
          <w:szCs w:val="20"/>
          <w:highlight w:val="none"/>
        </w:rPr>
      </w:pPr>
    </w:p>
    <w:p w14:paraId="23DB4C1D">
      <w:pPr>
        <w:spacing w:before="120" w:after="50"/>
        <w:jc w:val="left"/>
        <w:rPr>
          <w:rFonts w:ascii="宋体" w:hAnsi="宋体"/>
          <w:color w:val="auto"/>
          <w:sz w:val="24"/>
          <w:szCs w:val="20"/>
          <w:highlight w:val="none"/>
        </w:rPr>
      </w:pPr>
    </w:p>
    <w:p w14:paraId="2F03BD5E">
      <w:pPr>
        <w:spacing w:before="120" w:after="50"/>
        <w:jc w:val="left"/>
        <w:rPr>
          <w:rFonts w:ascii="宋体" w:hAnsi="宋体"/>
          <w:b/>
          <w:color w:val="auto"/>
          <w:sz w:val="24"/>
          <w:highlight w:val="none"/>
        </w:rPr>
      </w:pPr>
      <w:r>
        <w:rPr>
          <w:rFonts w:ascii="宋体" w:hAnsi="宋体"/>
          <w:color w:val="auto"/>
          <w:sz w:val="24"/>
          <w:szCs w:val="20"/>
          <w:highlight w:val="none"/>
        </w:rPr>
        <w:br w:type="page" w:clear="all"/>
      </w:r>
      <w:r>
        <w:rPr>
          <w:rFonts w:hint="eastAsia" w:ascii="宋体" w:hAnsi="宋体"/>
          <w:b/>
          <w:color w:val="auto"/>
          <w:sz w:val="24"/>
          <w:highlight w:val="none"/>
        </w:rPr>
        <w:t>7.投标人业绩证明材料</w:t>
      </w:r>
    </w:p>
    <w:p w14:paraId="3D8487E7">
      <w:pPr>
        <w:pStyle w:val="37"/>
        <w:ind w:left="480" w:hanging="480"/>
        <w:rPr>
          <w:rFonts w:ascii="宋体" w:hAnsi="宋体"/>
          <w:color w:val="auto"/>
          <w:sz w:val="24"/>
          <w:highlight w:val="none"/>
        </w:rPr>
      </w:pPr>
    </w:p>
    <w:p w14:paraId="205E9112">
      <w:pPr>
        <w:pStyle w:val="37"/>
        <w:ind w:left="480" w:hanging="480"/>
        <w:rPr>
          <w:rFonts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52"/>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1770"/>
        <w:gridCol w:w="1770"/>
        <w:gridCol w:w="2856"/>
      </w:tblGrid>
      <w:tr w14:paraId="1FBFA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132" w:type="dxa"/>
            <w:vMerge w:val="restart"/>
            <w:tcBorders>
              <w:top w:val="single" w:color="auto" w:sz="4" w:space="0"/>
              <w:left w:val="single" w:color="auto" w:sz="4" w:space="0"/>
              <w:bottom w:val="single" w:color="auto" w:sz="4" w:space="0"/>
              <w:right w:val="single" w:color="auto" w:sz="4" w:space="0"/>
            </w:tcBorders>
            <w:vAlign w:val="center"/>
          </w:tcPr>
          <w:p w14:paraId="66F02572">
            <w:pPr>
              <w:spacing w:line="240" w:lineRule="exact"/>
              <w:jc w:val="center"/>
              <w:rPr>
                <w:rFonts w:ascii="宋体" w:hAnsi="宋体"/>
                <w:color w:val="auto"/>
                <w:sz w:val="24"/>
                <w:highlight w:val="none"/>
              </w:rPr>
            </w:pPr>
            <w:r>
              <w:rPr>
                <w:rFonts w:hint="eastAsia" w:ascii="宋体" w:hAnsi="宋体"/>
                <w:color w:val="auto"/>
                <w:sz w:val="24"/>
                <w:highlight w:val="none"/>
              </w:rPr>
              <w:t>采购人名称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14:paraId="25D97250">
            <w:pPr>
              <w:spacing w:line="240" w:lineRule="exact"/>
              <w:jc w:val="center"/>
              <w:rPr>
                <w:rFonts w:ascii="宋体" w:hAnsi="宋体"/>
                <w:color w:val="auto"/>
                <w:sz w:val="24"/>
                <w:highlight w:val="none"/>
              </w:rPr>
            </w:pPr>
            <w:r>
              <w:rPr>
                <w:rFonts w:hint="eastAsia" w:ascii="宋体" w:hAnsi="宋体"/>
                <w:color w:val="auto"/>
                <w:sz w:val="24"/>
                <w:highlight w:val="none"/>
              </w:rPr>
              <w:t>项目名称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14:paraId="2203301F">
            <w:pPr>
              <w:spacing w:line="240" w:lineRule="exact"/>
              <w:jc w:val="center"/>
              <w:rPr>
                <w:rFonts w:ascii="宋体" w:hAnsi="宋体"/>
                <w:color w:val="auto"/>
                <w:sz w:val="24"/>
                <w:highlight w:val="none"/>
              </w:rPr>
            </w:pPr>
            <w:r>
              <w:rPr>
                <w:rFonts w:hint="eastAsia" w:ascii="宋体" w:hAnsi="宋体"/>
                <w:color w:val="auto"/>
                <w:sz w:val="24"/>
                <w:highlight w:val="none"/>
              </w:rPr>
              <w:t>合同金额</w:t>
            </w:r>
          </w:p>
          <w:p w14:paraId="6F59CC8E">
            <w:pPr>
              <w:spacing w:line="240" w:lineRule="exact"/>
              <w:jc w:val="center"/>
              <w:rPr>
                <w:rFonts w:ascii="宋体" w:hAnsi="宋体"/>
                <w:color w:val="auto"/>
                <w:sz w:val="24"/>
                <w:highlight w:val="none"/>
              </w:rPr>
            </w:pPr>
            <w:r>
              <w:rPr>
                <w:rFonts w:hint="eastAsia" w:ascii="宋体" w:hAnsi="宋体"/>
                <w:color w:val="auto"/>
                <w:sz w:val="24"/>
                <w:highlight w:val="none"/>
              </w:rPr>
              <w:t>（万元）</w:t>
            </w:r>
          </w:p>
        </w:tc>
        <w:tc>
          <w:tcPr>
            <w:tcW w:w="2856" w:type="dxa"/>
            <w:vMerge w:val="restart"/>
            <w:tcBorders>
              <w:top w:val="single" w:color="auto" w:sz="4" w:space="0"/>
              <w:left w:val="single" w:color="auto" w:sz="4" w:space="0"/>
              <w:bottom w:val="single" w:color="auto" w:sz="4" w:space="0"/>
              <w:right w:val="single" w:color="auto" w:sz="4" w:space="0"/>
            </w:tcBorders>
            <w:vAlign w:val="center"/>
          </w:tcPr>
          <w:p w14:paraId="630965BC">
            <w:pPr>
              <w:spacing w:line="240" w:lineRule="exact"/>
              <w:jc w:val="center"/>
              <w:rPr>
                <w:rFonts w:ascii="宋体" w:hAnsi="宋体"/>
                <w:color w:val="auto"/>
                <w:sz w:val="24"/>
                <w:highlight w:val="none"/>
              </w:rPr>
            </w:pPr>
            <w:r>
              <w:rPr>
                <w:rFonts w:hint="eastAsia" w:ascii="宋体" w:hAnsi="宋体"/>
                <w:color w:val="auto"/>
                <w:sz w:val="24"/>
                <w:highlight w:val="none"/>
              </w:rPr>
              <w:t>采购人联系人及</w:t>
            </w:r>
          </w:p>
          <w:p w14:paraId="7A90CAC4">
            <w:pPr>
              <w:spacing w:line="240" w:lineRule="exact"/>
              <w:jc w:val="center"/>
              <w:rPr>
                <w:rFonts w:ascii="宋体" w:hAnsi="宋体"/>
                <w:color w:val="auto"/>
                <w:sz w:val="24"/>
                <w:highlight w:val="none"/>
              </w:rPr>
            </w:pPr>
            <w:r>
              <w:rPr>
                <w:rFonts w:hint="eastAsia" w:ascii="宋体" w:hAnsi="宋体"/>
                <w:color w:val="auto"/>
                <w:sz w:val="24"/>
                <w:highlight w:val="none"/>
              </w:rPr>
              <w:t>联系电话</w:t>
            </w:r>
          </w:p>
        </w:tc>
      </w:tr>
      <w:tr w14:paraId="392D03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132" w:type="dxa"/>
            <w:tcBorders>
              <w:top w:val="single" w:color="auto" w:sz="4" w:space="0"/>
              <w:left w:val="single" w:color="auto" w:sz="4" w:space="0"/>
              <w:bottom w:val="single" w:color="auto" w:sz="4" w:space="0"/>
              <w:right w:val="single" w:color="auto" w:sz="4" w:space="0"/>
            </w:tcBorders>
          </w:tcPr>
          <w:p w14:paraId="16D68DB6">
            <w:pPr>
              <w:spacing w:line="24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40073C69">
            <w:pPr>
              <w:spacing w:line="24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70A551F2">
            <w:pPr>
              <w:spacing w:line="240" w:lineRule="exact"/>
              <w:jc w:val="left"/>
              <w:rPr>
                <w:rFonts w:ascii="宋体" w:hAnsi="宋体"/>
                <w:color w:val="auto"/>
                <w:sz w:val="24"/>
                <w:highlight w:val="none"/>
              </w:rPr>
            </w:pPr>
          </w:p>
        </w:tc>
        <w:tc>
          <w:tcPr>
            <w:tcW w:w="2856" w:type="dxa"/>
            <w:tcBorders>
              <w:top w:val="single" w:color="auto" w:sz="4" w:space="0"/>
              <w:left w:val="single" w:color="auto" w:sz="4" w:space="0"/>
              <w:bottom w:val="single" w:color="auto" w:sz="4" w:space="0"/>
              <w:right w:val="single" w:color="auto" w:sz="4" w:space="0"/>
            </w:tcBorders>
          </w:tcPr>
          <w:p w14:paraId="1145ADE6">
            <w:pPr>
              <w:spacing w:line="240" w:lineRule="exact"/>
              <w:jc w:val="left"/>
              <w:rPr>
                <w:rFonts w:ascii="宋体" w:hAnsi="宋体"/>
                <w:color w:val="auto"/>
                <w:sz w:val="24"/>
                <w:highlight w:val="none"/>
              </w:rPr>
            </w:pPr>
          </w:p>
        </w:tc>
      </w:tr>
      <w:tr w14:paraId="3BA36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2" w:type="dxa"/>
            <w:tcBorders>
              <w:top w:val="single" w:color="auto" w:sz="4" w:space="0"/>
              <w:left w:val="single" w:color="auto" w:sz="4" w:space="0"/>
              <w:bottom w:val="single" w:color="auto" w:sz="4" w:space="0"/>
              <w:right w:val="single" w:color="auto" w:sz="4" w:space="0"/>
            </w:tcBorders>
          </w:tcPr>
          <w:p w14:paraId="0EDDFA22">
            <w:pPr>
              <w:spacing w:before="50" w:after="12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74D1A877">
            <w:pPr>
              <w:spacing w:before="50" w:after="12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2A38CD53">
            <w:pPr>
              <w:spacing w:before="50" w:after="120" w:line="400" w:lineRule="exact"/>
              <w:jc w:val="left"/>
              <w:rPr>
                <w:rFonts w:ascii="宋体" w:hAnsi="宋体"/>
                <w:color w:val="auto"/>
                <w:sz w:val="24"/>
                <w:highlight w:val="none"/>
              </w:rPr>
            </w:pPr>
          </w:p>
        </w:tc>
        <w:tc>
          <w:tcPr>
            <w:tcW w:w="2856" w:type="dxa"/>
            <w:tcBorders>
              <w:top w:val="single" w:color="auto" w:sz="4" w:space="0"/>
              <w:left w:val="single" w:color="auto" w:sz="4" w:space="0"/>
              <w:bottom w:val="single" w:color="auto" w:sz="4" w:space="0"/>
              <w:right w:val="single" w:color="auto" w:sz="4" w:space="0"/>
            </w:tcBorders>
          </w:tcPr>
          <w:p w14:paraId="6029B8CD">
            <w:pPr>
              <w:spacing w:before="50" w:after="120" w:line="400" w:lineRule="exact"/>
              <w:jc w:val="left"/>
              <w:rPr>
                <w:rFonts w:ascii="宋体" w:hAnsi="宋体"/>
                <w:color w:val="auto"/>
                <w:sz w:val="24"/>
                <w:highlight w:val="none"/>
              </w:rPr>
            </w:pPr>
          </w:p>
        </w:tc>
      </w:tr>
      <w:tr w14:paraId="51455E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132" w:type="dxa"/>
            <w:tcBorders>
              <w:top w:val="single" w:color="auto" w:sz="4" w:space="0"/>
              <w:left w:val="single" w:color="auto" w:sz="4" w:space="0"/>
              <w:bottom w:val="single" w:color="auto" w:sz="4" w:space="0"/>
              <w:right w:val="single" w:color="auto" w:sz="4" w:space="0"/>
            </w:tcBorders>
          </w:tcPr>
          <w:p w14:paraId="07ADEB2D">
            <w:pPr>
              <w:spacing w:before="50" w:after="12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3623DEFC">
            <w:pPr>
              <w:spacing w:before="50" w:after="12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192E47E2">
            <w:pPr>
              <w:spacing w:before="50" w:after="120" w:line="400" w:lineRule="exact"/>
              <w:jc w:val="left"/>
              <w:rPr>
                <w:rFonts w:ascii="宋体" w:hAnsi="宋体"/>
                <w:color w:val="auto"/>
                <w:sz w:val="24"/>
                <w:highlight w:val="none"/>
              </w:rPr>
            </w:pPr>
          </w:p>
        </w:tc>
        <w:tc>
          <w:tcPr>
            <w:tcW w:w="2856" w:type="dxa"/>
            <w:tcBorders>
              <w:top w:val="single" w:color="auto" w:sz="4" w:space="0"/>
              <w:left w:val="single" w:color="auto" w:sz="4" w:space="0"/>
              <w:bottom w:val="single" w:color="auto" w:sz="4" w:space="0"/>
              <w:right w:val="single" w:color="auto" w:sz="4" w:space="0"/>
            </w:tcBorders>
          </w:tcPr>
          <w:p w14:paraId="1F8876E1">
            <w:pPr>
              <w:spacing w:before="50" w:after="120" w:line="400" w:lineRule="exact"/>
              <w:jc w:val="left"/>
              <w:rPr>
                <w:rFonts w:ascii="宋体" w:hAnsi="宋体"/>
                <w:color w:val="auto"/>
                <w:sz w:val="24"/>
                <w:highlight w:val="none"/>
              </w:rPr>
            </w:pPr>
          </w:p>
        </w:tc>
      </w:tr>
      <w:tr w14:paraId="43FA32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2" w:type="dxa"/>
            <w:tcBorders>
              <w:top w:val="single" w:color="auto" w:sz="4" w:space="0"/>
              <w:left w:val="single" w:color="auto" w:sz="4" w:space="0"/>
              <w:bottom w:val="single" w:color="auto" w:sz="4" w:space="0"/>
              <w:right w:val="single" w:color="auto" w:sz="4" w:space="0"/>
            </w:tcBorders>
          </w:tcPr>
          <w:p w14:paraId="6D35B0B3">
            <w:pPr>
              <w:spacing w:before="50" w:after="12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3FC8A1AA">
            <w:pPr>
              <w:spacing w:before="50" w:after="12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0EEEBA1F">
            <w:pPr>
              <w:spacing w:before="50" w:after="120" w:line="400" w:lineRule="exact"/>
              <w:jc w:val="left"/>
              <w:rPr>
                <w:rFonts w:ascii="宋体" w:hAnsi="宋体"/>
                <w:color w:val="auto"/>
                <w:sz w:val="24"/>
                <w:highlight w:val="none"/>
              </w:rPr>
            </w:pPr>
          </w:p>
        </w:tc>
        <w:tc>
          <w:tcPr>
            <w:tcW w:w="2856" w:type="dxa"/>
            <w:tcBorders>
              <w:top w:val="single" w:color="auto" w:sz="4" w:space="0"/>
              <w:left w:val="single" w:color="auto" w:sz="4" w:space="0"/>
              <w:bottom w:val="single" w:color="auto" w:sz="4" w:space="0"/>
              <w:right w:val="single" w:color="auto" w:sz="4" w:space="0"/>
            </w:tcBorders>
          </w:tcPr>
          <w:p w14:paraId="7766F60C">
            <w:pPr>
              <w:spacing w:before="50" w:after="120" w:line="400" w:lineRule="exact"/>
              <w:jc w:val="left"/>
              <w:rPr>
                <w:rFonts w:ascii="宋体" w:hAnsi="宋体"/>
                <w:color w:val="auto"/>
                <w:sz w:val="24"/>
                <w:highlight w:val="none"/>
              </w:rPr>
            </w:pPr>
          </w:p>
        </w:tc>
      </w:tr>
      <w:tr w14:paraId="23A8B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2" w:type="dxa"/>
            <w:tcBorders>
              <w:top w:val="single" w:color="auto" w:sz="4" w:space="0"/>
              <w:left w:val="single" w:color="auto" w:sz="4" w:space="0"/>
              <w:bottom w:val="single" w:color="auto" w:sz="4" w:space="0"/>
              <w:right w:val="single" w:color="auto" w:sz="4" w:space="0"/>
            </w:tcBorders>
          </w:tcPr>
          <w:p w14:paraId="707BD9D5">
            <w:pPr>
              <w:spacing w:before="50" w:after="12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5A60A7C7">
            <w:pPr>
              <w:spacing w:before="50" w:after="12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4911709B">
            <w:pPr>
              <w:spacing w:before="50" w:after="120" w:line="400" w:lineRule="exact"/>
              <w:jc w:val="left"/>
              <w:rPr>
                <w:rFonts w:ascii="宋体" w:hAnsi="宋体"/>
                <w:color w:val="auto"/>
                <w:sz w:val="24"/>
                <w:highlight w:val="none"/>
              </w:rPr>
            </w:pPr>
          </w:p>
        </w:tc>
        <w:tc>
          <w:tcPr>
            <w:tcW w:w="2856" w:type="dxa"/>
            <w:tcBorders>
              <w:top w:val="single" w:color="auto" w:sz="4" w:space="0"/>
              <w:left w:val="single" w:color="auto" w:sz="4" w:space="0"/>
              <w:bottom w:val="single" w:color="auto" w:sz="4" w:space="0"/>
              <w:right w:val="single" w:color="auto" w:sz="4" w:space="0"/>
            </w:tcBorders>
          </w:tcPr>
          <w:p w14:paraId="3D19D90E">
            <w:pPr>
              <w:spacing w:before="50" w:after="120" w:line="400" w:lineRule="exact"/>
              <w:jc w:val="left"/>
              <w:rPr>
                <w:rFonts w:ascii="宋体" w:hAnsi="宋体"/>
                <w:color w:val="auto"/>
                <w:sz w:val="24"/>
                <w:highlight w:val="none"/>
              </w:rPr>
            </w:pPr>
          </w:p>
        </w:tc>
      </w:tr>
    </w:tbl>
    <w:p w14:paraId="19F70435">
      <w:pPr>
        <w:pStyle w:val="14"/>
        <w:spacing w:before="0" w:after="0" w:line="360" w:lineRule="auto"/>
        <w:contextualSpacing/>
        <w:rPr>
          <w:rFonts w:ascii="宋体" w:hAnsi="宋体" w:eastAsia="宋体"/>
          <w:color w:val="auto"/>
          <w:sz w:val="24"/>
          <w:szCs w:val="24"/>
          <w:highlight w:val="none"/>
        </w:rPr>
      </w:pPr>
    </w:p>
    <w:p w14:paraId="346928EA">
      <w:pPr>
        <w:pStyle w:val="14"/>
        <w:spacing w:before="0" w:after="0" w:line="360" w:lineRule="auto"/>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415373AC">
      <w:pPr>
        <w:pStyle w:val="14"/>
        <w:spacing w:before="0" w:after="0" w:line="360" w:lineRule="auto"/>
        <w:contextualSpacing/>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39895F15">
      <w:pPr>
        <w:spacing w:line="360" w:lineRule="auto"/>
        <w:ind w:right="480"/>
        <w:contextualSpacing/>
        <w:jc w:val="left"/>
        <w:rPr>
          <w:rFonts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66117B0C">
      <w:pPr>
        <w:spacing w:before="50"/>
        <w:ind w:firstLine="480"/>
        <w:jc w:val="left"/>
        <w:rPr>
          <w:rFonts w:ascii="宋体" w:hAnsi="宋体"/>
          <w:color w:val="auto"/>
          <w:sz w:val="24"/>
          <w:szCs w:val="20"/>
          <w:highlight w:val="none"/>
        </w:rPr>
      </w:pPr>
    </w:p>
    <w:p w14:paraId="47AA7412">
      <w:pPr>
        <w:spacing w:line="360" w:lineRule="auto"/>
        <w:ind w:right="480" w:firstLine="240"/>
        <w:jc w:val="left"/>
        <w:rPr>
          <w:rFonts w:ascii="宋体" w:hAnsi="宋体"/>
          <w:color w:val="auto"/>
          <w:szCs w:val="21"/>
          <w:highlight w:val="none"/>
        </w:rPr>
      </w:pPr>
      <w:r>
        <w:rPr>
          <w:rFonts w:ascii="宋体" w:hAnsi="宋体"/>
          <w:color w:val="auto"/>
          <w:sz w:val="24"/>
          <w:highlight w:val="none"/>
        </w:rPr>
        <w:br w:type="page" w:clear="all"/>
      </w:r>
    </w:p>
    <w:p w14:paraId="7133A1EA">
      <w:pPr>
        <w:spacing w:before="120" w:after="50"/>
        <w:jc w:val="left"/>
        <w:rPr>
          <w:rFonts w:ascii="宋体" w:hAnsi="宋体"/>
          <w:b/>
          <w:color w:val="auto"/>
          <w:sz w:val="24"/>
          <w:highlight w:val="none"/>
        </w:rPr>
      </w:pPr>
      <w:r>
        <w:rPr>
          <w:rFonts w:hint="eastAsia" w:ascii="宋体" w:hAnsi="宋体"/>
          <w:b/>
          <w:color w:val="auto"/>
          <w:sz w:val="24"/>
          <w:highlight w:val="none"/>
        </w:rPr>
        <w:t>8 设备性能配置清单格式</w:t>
      </w:r>
    </w:p>
    <w:p w14:paraId="64D783DE">
      <w:pPr>
        <w:spacing w:before="120" w:after="50"/>
        <w:ind w:left="142"/>
        <w:jc w:val="left"/>
        <w:rPr>
          <w:rFonts w:ascii="宋体" w:hAnsi="宋体"/>
          <w:b/>
          <w:color w:val="auto"/>
          <w:sz w:val="24"/>
          <w:highlight w:val="none"/>
        </w:rPr>
      </w:pPr>
    </w:p>
    <w:p w14:paraId="3AEAD136">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设备性能配置清单</w:t>
      </w:r>
    </w:p>
    <w:p w14:paraId="5D68DE3B">
      <w:pPr>
        <w:pStyle w:val="26"/>
        <w:rPr>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52"/>
        <w:tblW w:w="85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6"/>
        <w:gridCol w:w="1736"/>
        <w:gridCol w:w="940"/>
        <w:gridCol w:w="763"/>
        <w:gridCol w:w="1316"/>
        <w:gridCol w:w="1186"/>
        <w:gridCol w:w="703"/>
        <w:gridCol w:w="1428"/>
      </w:tblGrid>
      <w:tr w14:paraId="6F349A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14:paraId="1B226091">
            <w:pPr>
              <w:spacing w:before="50" w:after="50"/>
              <w:jc w:val="center"/>
              <w:rPr>
                <w:rFonts w:ascii="宋体" w:hAnsi="宋体"/>
                <w:color w:val="auto"/>
                <w:sz w:val="24"/>
                <w:highlight w:val="none"/>
              </w:rPr>
            </w:pPr>
            <w:r>
              <w:rPr>
                <w:rFonts w:hint="eastAsia" w:ascii="宋体" w:hAnsi="宋体"/>
                <w:color w:val="auto"/>
                <w:sz w:val="24"/>
                <w:highlight w:val="none"/>
              </w:rPr>
              <w:t>序号</w:t>
            </w:r>
          </w:p>
        </w:tc>
        <w:tc>
          <w:tcPr>
            <w:tcW w:w="1736" w:type="dxa"/>
            <w:tcBorders>
              <w:top w:val="single" w:color="auto" w:sz="4" w:space="0"/>
              <w:left w:val="single" w:color="auto" w:sz="4" w:space="0"/>
              <w:bottom w:val="single" w:color="auto" w:sz="4" w:space="0"/>
              <w:right w:val="single" w:color="auto" w:sz="4" w:space="0"/>
            </w:tcBorders>
            <w:vAlign w:val="center"/>
          </w:tcPr>
          <w:p w14:paraId="10DF5A11">
            <w:pPr>
              <w:spacing w:before="50" w:after="50"/>
              <w:jc w:val="center"/>
              <w:rPr>
                <w:rFonts w:ascii="宋体" w:hAnsi="宋体"/>
                <w:color w:val="auto"/>
                <w:sz w:val="24"/>
                <w:highlight w:val="none"/>
              </w:rPr>
            </w:pPr>
            <w:r>
              <w:rPr>
                <w:rFonts w:hint="eastAsia" w:hAnsi="宋体" w:cs="Courier New"/>
                <w:color w:val="auto"/>
                <w:sz w:val="24"/>
                <w:highlight w:val="none"/>
              </w:rPr>
              <w:t>标的的名称（货物名称）</w:t>
            </w:r>
          </w:p>
        </w:tc>
        <w:tc>
          <w:tcPr>
            <w:tcW w:w="940" w:type="dxa"/>
            <w:tcBorders>
              <w:top w:val="single" w:color="auto" w:sz="4" w:space="0"/>
              <w:left w:val="single" w:color="auto" w:sz="4" w:space="0"/>
              <w:bottom w:val="single" w:color="auto" w:sz="4" w:space="0"/>
              <w:right w:val="single" w:color="auto" w:sz="4" w:space="0"/>
            </w:tcBorders>
            <w:vAlign w:val="center"/>
          </w:tcPr>
          <w:p w14:paraId="638F0B46">
            <w:pPr>
              <w:spacing w:before="50" w:after="50"/>
              <w:jc w:val="center"/>
              <w:rPr>
                <w:rFonts w:ascii="宋体" w:hAnsi="宋体"/>
                <w:color w:val="auto"/>
                <w:sz w:val="24"/>
                <w:highlight w:val="none"/>
              </w:rPr>
            </w:pPr>
            <w:r>
              <w:rPr>
                <w:rFonts w:hint="eastAsia" w:ascii="宋体" w:hAnsi="宋体"/>
                <w:color w:val="auto"/>
                <w:sz w:val="24"/>
                <w:highlight w:val="none"/>
              </w:rPr>
              <w:t>数量及单位</w:t>
            </w:r>
          </w:p>
        </w:tc>
        <w:tc>
          <w:tcPr>
            <w:tcW w:w="763" w:type="dxa"/>
            <w:tcBorders>
              <w:top w:val="single" w:color="auto" w:sz="4" w:space="0"/>
              <w:left w:val="single" w:color="auto" w:sz="4" w:space="0"/>
              <w:bottom w:val="single" w:color="auto" w:sz="4" w:space="0"/>
              <w:right w:val="single" w:color="auto" w:sz="4" w:space="0"/>
            </w:tcBorders>
            <w:vAlign w:val="center"/>
          </w:tcPr>
          <w:p w14:paraId="01B0791D">
            <w:pPr>
              <w:spacing w:before="50" w:after="50"/>
              <w:jc w:val="center"/>
              <w:rPr>
                <w:rFonts w:ascii="宋体" w:hAnsi="宋体"/>
                <w:color w:val="auto"/>
                <w:sz w:val="24"/>
                <w:highlight w:val="none"/>
              </w:rPr>
            </w:pPr>
            <w:r>
              <w:rPr>
                <w:rFonts w:hint="eastAsia" w:ascii="宋体" w:hAnsi="宋体"/>
                <w:color w:val="auto"/>
                <w:sz w:val="24"/>
                <w:highlight w:val="none"/>
              </w:rPr>
              <w:t>品牌</w:t>
            </w:r>
          </w:p>
        </w:tc>
        <w:tc>
          <w:tcPr>
            <w:tcW w:w="1316" w:type="dxa"/>
            <w:tcBorders>
              <w:top w:val="single" w:color="auto" w:sz="4" w:space="0"/>
              <w:left w:val="single" w:color="auto" w:sz="4" w:space="0"/>
              <w:bottom w:val="single" w:color="auto" w:sz="4" w:space="0"/>
              <w:right w:val="single" w:color="auto" w:sz="4" w:space="0"/>
            </w:tcBorders>
          </w:tcPr>
          <w:p w14:paraId="6A230A99">
            <w:pPr>
              <w:spacing w:before="50" w:after="50"/>
              <w:jc w:val="center"/>
              <w:rPr>
                <w:rFonts w:ascii="宋体" w:hAnsi="宋体"/>
                <w:color w:val="auto"/>
                <w:sz w:val="24"/>
                <w:highlight w:val="none"/>
              </w:rPr>
            </w:pPr>
          </w:p>
          <w:p w14:paraId="5D5A9135">
            <w:pPr>
              <w:spacing w:before="50" w:after="50"/>
              <w:jc w:val="center"/>
              <w:rPr>
                <w:rFonts w:ascii="宋体" w:hAnsi="宋体"/>
                <w:color w:val="auto"/>
                <w:sz w:val="24"/>
                <w:highlight w:val="none"/>
              </w:rPr>
            </w:pPr>
            <w:r>
              <w:rPr>
                <w:rFonts w:hint="eastAsia" w:ascii="宋体" w:hAnsi="宋体"/>
                <w:color w:val="auto"/>
                <w:sz w:val="24"/>
                <w:highlight w:val="none"/>
              </w:rPr>
              <w:t>规格型号</w:t>
            </w:r>
          </w:p>
        </w:tc>
        <w:tc>
          <w:tcPr>
            <w:tcW w:w="1186" w:type="dxa"/>
            <w:tcBorders>
              <w:top w:val="single" w:color="auto" w:sz="4" w:space="0"/>
              <w:left w:val="single" w:color="auto" w:sz="4" w:space="0"/>
              <w:bottom w:val="single" w:color="auto" w:sz="4" w:space="0"/>
              <w:right w:val="single" w:color="auto" w:sz="4" w:space="0"/>
            </w:tcBorders>
            <w:vAlign w:val="center"/>
          </w:tcPr>
          <w:p w14:paraId="7681983C">
            <w:pPr>
              <w:spacing w:before="50" w:after="50"/>
              <w:jc w:val="center"/>
              <w:rPr>
                <w:rFonts w:ascii="宋体" w:hAnsi="宋体"/>
                <w:color w:val="auto"/>
                <w:sz w:val="24"/>
                <w:highlight w:val="none"/>
              </w:rPr>
            </w:pPr>
            <w:r>
              <w:rPr>
                <w:rFonts w:hint="eastAsia" w:ascii="宋体" w:hAnsi="宋体"/>
                <w:color w:val="auto"/>
                <w:sz w:val="24"/>
                <w:highlight w:val="none"/>
              </w:rPr>
              <w:t>制造商</w:t>
            </w:r>
          </w:p>
        </w:tc>
        <w:tc>
          <w:tcPr>
            <w:tcW w:w="703" w:type="dxa"/>
            <w:tcBorders>
              <w:top w:val="single" w:color="auto" w:sz="4" w:space="0"/>
              <w:left w:val="single" w:color="auto" w:sz="4" w:space="0"/>
              <w:bottom w:val="single" w:color="auto" w:sz="4" w:space="0"/>
              <w:right w:val="single" w:color="auto" w:sz="4" w:space="0"/>
            </w:tcBorders>
            <w:vAlign w:val="center"/>
          </w:tcPr>
          <w:p w14:paraId="64BA2AE8">
            <w:pPr>
              <w:spacing w:before="50" w:after="50"/>
              <w:jc w:val="center"/>
              <w:rPr>
                <w:rFonts w:ascii="宋体" w:hAnsi="宋体"/>
                <w:color w:val="auto"/>
                <w:sz w:val="24"/>
                <w:highlight w:val="none"/>
              </w:rPr>
            </w:pPr>
            <w:r>
              <w:rPr>
                <w:rFonts w:hint="eastAsia" w:ascii="宋体" w:hAnsi="宋体"/>
                <w:color w:val="auto"/>
                <w:sz w:val="24"/>
                <w:highlight w:val="none"/>
              </w:rPr>
              <w:t>原产地</w:t>
            </w:r>
          </w:p>
        </w:tc>
        <w:tc>
          <w:tcPr>
            <w:tcW w:w="1428" w:type="dxa"/>
            <w:tcBorders>
              <w:top w:val="single" w:color="auto" w:sz="4" w:space="0"/>
              <w:left w:val="single" w:color="auto" w:sz="4" w:space="0"/>
              <w:bottom w:val="single" w:color="auto" w:sz="4" w:space="0"/>
              <w:right w:val="single" w:color="auto" w:sz="4" w:space="0"/>
            </w:tcBorders>
            <w:vAlign w:val="center"/>
          </w:tcPr>
          <w:p w14:paraId="550D02E3">
            <w:pPr>
              <w:spacing w:before="50" w:after="50"/>
              <w:jc w:val="center"/>
              <w:rPr>
                <w:rFonts w:ascii="宋体" w:hAnsi="宋体"/>
                <w:color w:val="auto"/>
                <w:sz w:val="24"/>
                <w:highlight w:val="none"/>
              </w:rPr>
            </w:pPr>
            <w:r>
              <w:rPr>
                <w:rFonts w:hint="eastAsia" w:ascii="宋体" w:hAnsi="宋体"/>
                <w:color w:val="auto"/>
                <w:sz w:val="24"/>
                <w:highlight w:val="none"/>
              </w:rPr>
              <w:t>参数性能、指标及配置</w:t>
            </w:r>
          </w:p>
        </w:tc>
      </w:tr>
      <w:tr w14:paraId="0B31A4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14:paraId="5028557B">
            <w:pPr>
              <w:spacing w:before="50" w:after="50"/>
              <w:jc w:val="center"/>
              <w:rPr>
                <w:rFonts w:ascii="宋体" w:hAnsi="宋体"/>
                <w:color w:val="auto"/>
                <w:sz w:val="24"/>
                <w:highlight w:val="none"/>
              </w:rPr>
            </w:pPr>
          </w:p>
        </w:tc>
        <w:tc>
          <w:tcPr>
            <w:tcW w:w="1736" w:type="dxa"/>
            <w:tcBorders>
              <w:top w:val="single" w:color="auto" w:sz="4" w:space="0"/>
              <w:left w:val="single" w:color="auto" w:sz="4" w:space="0"/>
              <w:bottom w:val="single" w:color="auto" w:sz="4" w:space="0"/>
              <w:right w:val="single" w:color="auto" w:sz="4" w:space="0"/>
            </w:tcBorders>
            <w:vAlign w:val="center"/>
          </w:tcPr>
          <w:p w14:paraId="3664325D">
            <w:pPr>
              <w:spacing w:before="50" w:after="50"/>
              <w:jc w:val="center"/>
              <w:rPr>
                <w:rFonts w:ascii="宋体" w:hAnsi="宋体"/>
                <w:color w:val="auto"/>
                <w:sz w:val="24"/>
                <w:highlight w:val="none"/>
              </w:rPr>
            </w:pPr>
          </w:p>
        </w:tc>
        <w:tc>
          <w:tcPr>
            <w:tcW w:w="940" w:type="dxa"/>
            <w:tcBorders>
              <w:top w:val="single" w:color="auto" w:sz="4" w:space="0"/>
              <w:left w:val="single" w:color="auto" w:sz="4" w:space="0"/>
              <w:bottom w:val="single" w:color="auto" w:sz="4" w:space="0"/>
              <w:right w:val="single" w:color="auto" w:sz="4" w:space="0"/>
            </w:tcBorders>
            <w:vAlign w:val="center"/>
          </w:tcPr>
          <w:p w14:paraId="3CECFC17">
            <w:pPr>
              <w:spacing w:before="50" w:after="50"/>
              <w:jc w:val="center"/>
              <w:rPr>
                <w:rFonts w:ascii="宋体" w:hAnsi="宋体"/>
                <w:color w:val="auto"/>
                <w:sz w:val="24"/>
                <w:highlight w:val="none"/>
              </w:rPr>
            </w:pPr>
          </w:p>
        </w:tc>
        <w:tc>
          <w:tcPr>
            <w:tcW w:w="763" w:type="dxa"/>
            <w:tcBorders>
              <w:top w:val="single" w:color="auto" w:sz="4" w:space="0"/>
              <w:left w:val="single" w:color="auto" w:sz="4" w:space="0"/>
              <w:bottom w:val="single" w:color="auto" w:sz="4" w:space="0"/>
              <w:right w:val="single" w:color="auto" w:sz="4" w:space="0"/>
            </w:tcBorders>
            <w:vAlign w:val="center"/>
          </w:tcPr>
          <w:p w14:paraId="6A8FE42E">
            <w:pPr>
              <w:spacing w:before="50" w:after="50"/>
              <w:jc w:val="center"/>
              <w:rPr>
                <w:rFonts w:ascii="宋体" w:hAnsi="宋体"/>
                <w:color w:val="auto"/>
                <w:sz w:val="24"/>
                <w:highlight w:val="none"/>
              </w:rPr>
            </w:pPr>
          </w:p>
        </w:tc>
        <w:tc>
          <w:tcPr>
            <w:tcW w:w="1316" w:type="dxa"/>
            <w:tcBorders>
              <w:top w:val="single" w:color="auto" w:sz="4" w:space="0"/>
              <w:left w:val="single" w:color="auto" w:sz="4" w:space="0"/>
              <w:bottom w:val="single" w:color="auto" w:sz="4" w:space="0"/>
              <w:right w:val="single" w:color="auto" w:sz="4" w:space="0"/>
            </w:tcBorders>
          </w:tcPr>
          <w:p w14:paraId="2D31B325">
            <w:pPr>
              <w:spacing w:before="50" w:after="50"/>
              <w:jc w:val="center"/>
              <w:rPr>
                <w:rFonts w:ascii="宋体" w:hAnsi="宋体"/>
                <w:color w:val="auto"/>
                <w:sz w:val="24"/>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66B264A3">
            <w:pPr>
              <w:spacing w:before="50" w:after="50"/>
              <w:jc w:val="center"/>
              <w:rPr>
                <w:rFonts w:ascii="宋体" w:hAnsi="宋体"/>
                <w:color w:val="auto"/>
                <w:sz w:val="24"/>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14:paraId="64CBA504">
            <w:pPr>
              <w:spacing w:before="50" w:after="50"/>
              <w:jc w:val="center"/>
              <w:rPr>
                <w:rFonts w:ascii="宋体" w:hAnsi="宋体"/>
                <w:color w:val="auto"/>
                <w:sz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7386888E">
            <w:pPr>
              <w:spacing w:before="50" w:after="50"/>
              <w:jc w:val="center"/>
              <w:rPr>
                <w:rFonts w:ascii="宋体" w:hAnsi="宋体"/>
                <w:color w:val="auto"/>
                <w:sz w:val="24"/>
                <w:highlight w:val="none"/>
              </w:rPr>
            </w:pPr>
          </w:p>
        </w:tc>
      </w:tr>
      <w:tr w14:paraId="3FF01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14:paraId="0A79DDFF">
            <w:pPr>
              <w:spacing w:before="50" w:after="50"/>
              <w:jc w:val="center"/>
              <w:rPr>
                <w:rFonts w:ascii="宋体" w:hAnsi="宋体"/>
                <w:color w:val="auto"/>
                <w:sz w:val="24"/>
                <w:highlight w:val="none"/>
              </w:rPr>
            </w:pPr>
          </w:p>
        </w:tc>
        <w:tc>
          <w:tcPr>
            <w:tcW w:w="1736" w:type="dxa"/>
            <w:tcBorders>
              <w:top w:val="single" w:color="auto" w:sz="4" w:space="0"/>
              <w:left w:val="single" w:color="auto" w:sz="4" w:space="0"/>
              <w:bottom w:val="single" w:color="auto" w:sz="4" w:space="0"/>
              <w:right w:val="single" w:color="auto" w:sz="4" w:space="0"/>
            </w:tcBorders>
            <w:vAlign w:val="center"/>
          </w:tcPr>
          <w:p w14:paraId="00462AF3">
            <w:pPr>
              <w:spacing w:before="50" w:after="50"/>
              <w:jc w:val="center"/>
              <w:rPr>
                <w:rFonts w:ascii="宋体" w:hAnsi="宋体"/>
                <w:color w:val="auto"/>
                <w:sz w:val="24"/>
                <w:highlight w:val="none"/>
              </w:rPr>
            </w:pPr>
          </w:p>
        </w:tc>
        <w:tc>
          <w:tcPr>
            <w:tcW w:w="940" w:type="dxa"/>
            <w:tcBorders>
              <w:top w:val="single" w:color="auto" w:sz="4" w:space="0"/>
              <w:left w:val="single" w:color="auto" w:sz="4" w:space="0"/>
              <w:bottom w:val="single" w:color="auto" w:sz="4" w:space="0"/>
              <w:right w:val="single" w:color="auto" w:sz="4" w:space="0"/>
            </w:tcBorders>
            <w:vAlign w:val="center"/>
          </w:tcPr>
          <w:p w14:paraId="1EEA5F4E">
            <w:pPr>
              <w:spacing w:before="50" w:after="50"/>
              <w:jc w:val="center"/>
              <w:rPr>
                <w:rFonts w:ascii="宋体" w:hAnsi="宋体"/>
                <w:color w:val="auto"/>
                <w:sz w:val="24"/>
                <w:highlight w:val="none"/>
              </w:rPr>
            </w:pPr>
          </w:p>
        </w:tc>
        <w:tc>
          <w:tcPr>
            <w:tcW w:w="763" w:type="dxa"/>
            <w:tcBorders>
              <w:top w:val="single" w:color="auto" w:sz="4" w:space="0"/>
              <w:left w:val="single" w:color="auto" w:sz="4" w:space="0"/>
              <w:bottom w:val="single" w:color="auto" w:sz="4" w:space="0"/>
              <w:right w:val="single" w:color="auto" w:sz="4" w:space="0"/>
            </w:tcBorders>
            <w:vAlign w:val="center"/>
          </w:tcPr>
          <w:p w14:paraId="20570191">
            <w:pPr>
              <w:spacing w:before="50" w:after="50"/>
              <w:jc w:val="center"/>
              <w:rPr>
                <w:rFonts w:ascii="宋体" w:hAnsi="宋体"/>
                <w:color w:val="auto"/>
                <w:sz w:val="24"/>
                <w:highlight w:val="none"/>
              </w:rPr>
            </w:pPr>
          </w:p>
        </w:tc>
        <w:tc>
          <w:tcPr>
            <w:tcW w:w="1316" w:type="dxa"/>
            <w:tcBorders>
              <w:top w:val="single" w:color="auto" w:sz="4" w:space="0"/>
              <w:left w:val="single" w:color="auto" w:sz="4" w:space="0"/>
              <w:bottom w:val="single" w:color="auto" w:sz="4" w:space="0"/>
              <w:right w:val="single" w:color="auto" w:sz="4" w:space="0"/>
            </w:tcBorders>
          </w:tcPr>
          <w:p w14:paraId="44E3CB74">
            <w:pPr>
              <w:spacing w:before="50" w:after="50"/>
              <w:jc w:val="center"/>
              <w:rPr>
                <w:rFonts w:ascii="宋体" w:hAnsi="宋体"/>
                <w:color w:val="auto"/>
                <w:sz w:val="24"/>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7200E852">
            <w:pPr>
              <w:spacing w:before="50" w:after="50"/>
              <w:jc w:val="center"/>
              <w:rPr>
                <w:rFonts w:ascii="宋体" w:hAnsi="宋体"/>
                <w:color w:val="auto"/>
                <w:sz w:val="24"/>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14:paraId="27DD810F">
            <w:pPr>
              <w:spacing w:before="50" w:after="50"/>
              <w:jc w:val="center"/>
              <w:rPr>
                <w:rFonts w:ascii="宋体" w:hAnsi="宋体"/>
                <w:color w:val="auto"/>
                <w:sz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77ACEC3F">
            <w:pPr>
              <w:spacing w:before="50" w:after="50"/>
              <w:jc w:val="center"/>
              <w:rPr>
                <w:rFonts w:ascii="宋体" w:hAnsi="宋体"/>
                <w:color w:val="auto"/>
                <w:sz w:val="24"/>
                <w:highlight w:val="none"/>
              </w:rPr>
            </w:pPr>
          </w:p>
        </w:tc>
      </w:tr>
      <w:tr w14:paraId="36E1C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14:paraId="78D121A0">
            <w:pPr>
              <w:spacing w:before="50" w:after="50"/>
              <w:jc w:val="center"/>
              <w:rPr>
                <w:rFonts w:ascii="宋体" w:hAnsi="宋体"/>
                <w:color w:val="auto"/>
                <w:sz w:val="24"/>
                <w:highlight w:val="none"/>
              </w:rPr>
            </w:pPr>
          </w:p>
        </w:tc>
        <w:tc>
          <w:tcPr>
            <w:tcW w:w="1736" w:type="dxa"/>
            <w:tcBorders>
              <w:top w:val="single" w:color="auto" w:sz="4" w:space="0"/>
              <w:left w:val="single" w:color="auto" w:sz="4" w:space="0"/>
              <w:bottom w:val="single" w:color="auto" w:sz="4" w:space="0"/>
              <w:right w:val="single" w:color="auto" w:sz="4" w:space="0"/>
            </w:tcBorders>
            <w:vAlign w:val="center"/>
          </w:tcPr>
          <w:p w14:paraId="0A03DFE1">
            <w:pPr>
              <w:spacing w:before="50" w:after="50"/>
              <w:jc w:val="center"/>
              <w:rPr>
                <w:rFonts w:ascii="宋体" w:hAnsi="宋体"/>
                <w:color w:val="auto"/>
                <w:sz w:val="24"/>
                <w:highlight w:val="none"/>
              </w:rPr>
            </w:pPr>
          </w:p>
        </w:tc>
        <w:tc>
          <w:tcPr>
            <w:tcW w:w="940" w:type="dxa"/>
            <w:tcBorders>
              <w:top w:val="single" w:color="auto" w:sz="4" w:space="0"/>
              <w:left w:val="single" w:color="auto" w:sz="4" w:space="0"/>
              <w:bottom w:val="single" w:color="auto" w:sz="4" w:space="0"/>
              <w:right w:val="single" w:color="auto" w:sz="4" w:space="0"/>
            </w:tcBorders>
            <w:vAlign w:val="center"/>
          </w:tcPr>
          <w:p w14:paraId="51B06BD1">
            <w:pPr>
              <w:spacing w:before="50" w:after="50"/>
              <w:jc w:val="center"/>
              <w:rPr>
                <w:rFonts w:ascii="宋体" w:hAnsi="宋体"/>
                <w:color w:val="auto"/>
                <w:sz w:val="24"/>
                <w:highlight w:val="none"/>
              </w:rPr>
            </w:pPr>
          </w:p>
        </w:tc>
        <w:tc>
          <w:tcPr>
            <w:tcW w:w="763" w:type="dxa"/>
            <w:tcBorders>
              <w:top w:val="single" w:color="auto" w:sz="4" w:space="0"/>
              <w:left w:val="single" w:color="auto" w:sz="4" w:space="0"/>
              <w:bottom w:val="single" w:color="auto" w:sz="4" w:space="0"/>
              <w:right w:val="single" w:color="auto" w:sz="4" w:space="0"/>
            </w:tcBorders>
            <w:vAlign w:val="center"/>
          </w:tcPr>
          <w:p w14:paraId="782509CA">
            <w:pPr>
              <w:spacing w:before="50" w:after="50"/>
              <w:jc w:val="center"/>
              <w:rPr>
                <w:rFonts w:ascii="宋体" w:hAnsi="宋体"/>
                <w:color w:val="auto"/>
                <w:sz w:val="24"/>
                <w:highlight w:val="none"/>
              </w:rPr>
            </w:pPr>
          </w:p>
        </w:tc>
        <w:tc>
          <w:tcPr>
            <w:tcW w:w="1316" w:type="dxa"/>
            <w:tcBorders>
              <w:top w:val="single" w:color="auto" w:sz="4" w:space="0"/>
              <w:left w:val="single" w:color="auto" w:sz="4" w:space="0"/>
              <w:bottom w:val="single" w:color="auto" w:sz="4" w:space="0"/>
              <w:right w:val="single" w:color="auto" w:sz="4" w:space="0"/>
            </w:tcBorders>
          </w:tcPr>
          <w:p w14:paraId="3FF5748E">
            <w:pPr>
              <w:spacing w:before="50" w:after="50"/>
              <w:jc w:val="center"/>
              <w:rPr>
                <w:rFonts w:ascii="宋体" w:hAnsi="宋体"/>
                <w:color w:val="auto"/>
                <w:sz w:val="24"/>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46855443">
            <w:pPr>
              <w:spacing w:before="50" w:after="50"/>
              <w:jc w:val="center"/>
              <w:rPr>
                <w:rFonts w:ascii="宋体" w:hAnsi="宋体"/>
                <w:color w:val="auto"/>
                <w:sz w:val="24"/>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14:paraId="03FE5EAB">
            <w:pPr>
              <w:spacing w:before="50" w:after="50"/>
              <w:jc w:val="center"/>
              <w:rPr>
                <w:rFonts w:ascii="宋体" w:hAnsi="宋体"/>
                <w:color w:val="auto"/>
                <w:sz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50826ECE">
            <w:pPr>
              <w:spacing w:before="50" w:after="50"/>
              <w:jc w:val="center"/>
              <w:rPr>
                <w:rFonts w:ascii="宋体" w:hAnsi="宋体"/>
                <w:color w:val="auto"/>
                <w:sz w:val="24"/>
                <w:highlight w:val="none"/>
              </w:rPr>
            </w:pPr>
          </w:p>
        </w:tc>
      </w:tr>
    </w:tbl>
    <w:p w14:paraId="0E976AC0">
      <w:pPr>
        <w:spacing w:line="360" w:lineRule="auto"/>
        <w:contextualSpacing/>
        <w:rPr>
          <w:rFonts w:ascii="宋体" w:hAnsi="宋体"/>
          <w:color w:val="auto"/>
          <w:sz w:val="24"/>
          <w:highlight w:val="none"/>
        </w:rPr>
      </w:pPr>
      <w:r>
        <w:rPr>
          <w:rFonts w:hint="eastAsia" w:ascii="宋体" w:hAnsi="宋体"/>
          <w:color w:val="auto"/>
          <w:sz w:val="24"/>
          <w:highlight w:val="none"/>
        </w:rPr>
        <w:t>备注：</w:t>
      </w:r>
    </w:p>
    <w:p w14:paraId="61E70663">
      <w:pPr>
        <w:spacing w:line="360" w:lineRule="auto"/>
        <w:ind w:firstLine="480"/>
        <w:contextualSpacing/>
        <w:rPr>
          <w:rFonts w:ascii="宋体" w:hAnsi="宋体"/>
          <w:b/>
          <w:color w:val="auto"/>
          <w:sz w:val="24"/>
          <w:highlight w:val="none"/>
        </w:rPr>
      </w:pPr>
      <w:r>
        <w:rPr>
          <w:rFonts w:hint="eastAsia" w:ascii="宋体" w:hAnsi="宋体"/>
          <w:color w:val="auto"/>
          <w:sz w:val="24"/>
          <w:highlight w:val="none"/>
        </w:rPr>
        <w:t>以上设备性能配置清单中“标的的名称、数量及单位、品牌、规格型号、制造商、原产地、参数性能、指标及配置”必须如实填写完整，品牌、规格型号没有则填无，填写有缺漏</w:t>
      </w:r>
      <w:r>
        <w:rPr>
          <w:rFonts w:hint="eastAsia" w:ascii="宋体" w:hAnsi="宋体"/>
          <w:bCs/>
          <w:color w:val="auto"/>
          <w:sz w:val="24"/>
          <w:highlight w:val="none"/>
        </w:rPr>
        <w:t>的，</w:t>
      </w:r>
      <w:r>
        <w:rPr>
          <w:rFonts w:hint="eastAsia" w:ascii="宋体" w:hAnsi="宋体"/>
          <w:b/>
          <w:color w:val="auto"/>
          <w:sz w:val="24"/>
          <w:highlight w:val="none"/>
        </w:rPr>
        <w:t>作无效投标处理。</w:t>
      </w:r>
      <w:r>
        <w:rPr>
          <w:rFonts w:hint="eastAsia" w:hAnsi="宋体" w:cs="Courier New"/>
          <w:color w:val="auto"/>
          <w:sz w:val="24"/>
          <w:highlight w:val="none"/>
        </w:rPr>
        <w:t>标的的名称</w:t>
      </w:r>
      <w:r>
        <w:rPr>
          <w:rFonts w:hint="eastAsia" w:ascii="宋体" w:hAnsi="宋体"/>
          <w:color w:val="auto"/>
          <w:sz w:val="24"/>
          <w:highlight w:val="none"/>
        </w:rPr>
        <w:t>、数量及单位、品牌必须与“开标一览表”一致，</w:t>
      </w:r>
      <w:r>
        <w:rPr>
          <w:rFonts w:hint="eastAsia" w:ascii="宋体" w:hAnsi="宋体"/>
          <w:b/>
          <w:color w:val="auto"/>
          <w:sz w:val="24"/>
          <w:highlight w:val="none"/>
        </w:rPr>
        <w:t>否则按无效投标处理。</w:t>
      </w:r>
    </w:p>
    <w:p w14:paraId="76ECFE78">
      <w:pPr>
        <w:spacing w:line="360" w:lineRule="auto"/>
        <w:ind w:firstLine="480"/>
        <w:contextualSpacing/>
        <w:rPr>
          <w:rFonts w:ascii="宋体" w:hAnsi="宋体"/>
          <w:color w:val="auto"/>
          <w:sz w:val="24"/>
          <w:highlight w:val="none"/>
        </w:rPr>
      </w:pPr>
    </w:p>
    <w:p w14:paraId="7CEB411E">
      <w:pPr>
        <w:spacing w:line="360" w:lineRule="auto"/>
        <w:contextualSpacing/>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682E2218">
      <w:pPr>
        <w:spacing w:line="360" w:lineRule="auto"/>
        <w:contextualSpacing/>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CDED8D8">
      <w:pPr>
        <w:spacing w:line="360" w:lineRule="auto"/>
        <w:contextualSpacing/>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1C31C66A">
      <w:pPr>
        <w:spacing w:before="50" w:after="120"/>
        <w:jc w:val="left"/>
        <w:rPr>
          <w:rFonts w:ascii="宋体" w:hAnsi="宋体"/>
          <w:color w:val="auto"/>
          <w:sz w:val="24"/>
          <w:szCs w:val="20"/>
          <w:highlight w:val="none"/>
        </w:rPr>
      </w:pPr>
    </w:p>
    <w:p w14:paraId="3C959238">
      <w:pPr>
        <w:spacing w:before="50" w:after="120"/>
        <w:jc w:val="left"/>
        <w:rPr>
          <w:rFonts w:ascii="宋体" w:hAnsi="宋体"/>
          <w:color w:val="auto"/>
          <w:sz w:val="24"/>
          <w:szCs w:val="20"/>
          <w:highlight w:val="none"/>
        </w:rPr>
      </w:pPr>
    </w:p>
    <w:p w14:paraId="511753A5">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9. 技术要求偏离表格式</w:t>
      </w:r>
    </w:p>
    <w:p w14:paraId="06F0D0F7">
      <w:pPr>
        <w:spacing w:before="120" w:after="50"/>
        <w:ind w:left="142"/>
        <w:jc w:val="left"/>
        <w:rPr>
          <w:rFonts w:ascii="宋体" w:hAnsi="宋体"/>
          <w:b/>
          <w:color w:val="auto"/>
          <w:sz w:val="24"/>
          <w:highlight w:val="none"/>
        </w:rPr>
      </w:pPr>
    </w:p>
    <w:p w14:paraId="5F8D360C">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技术要求偏离表</w:t>
      </w:r>
    </w:p>
    <w:p w14:paraId="475F4B8B">
      <w:pPr>
        <w:pStyle w:val="26"/>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52"/>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3BFA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2DE1DD87">
            <w:pPr>
              <w:pStyle w:val="26"/>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项号</w:t>
            </w:r>
          </w:p>
        </w:tc>
        <w:tc>
          <w:tcPr>
            <w:tcW w:w="2143" w:type="dxa"/>
            <w:vAlign w:val="center"/>
          </w:tcPr>
          <w:p w14:paraId="4CFC4934">
            <w:pPr>
              <w:pStyle w:val="26"/>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标的的名称</w:t>
            </w:r>
          </w:p>
        </w:tc>
        <w:tc>
          <w:tcPr>
            <w:tcW w:w="1834" w:type="dxa"/>
            <w:vAlign w:val="center"/>
          </w:tcPr>
          <w:p w14:paraId="05911C79">
            <w:pPr>
              <w:pStyle w:val="26"/>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技术要求</w:t>
            </w:r>
          </w:p>
        </w:tc>
        <w:tc>
          <w:tcPr>
            <w:tcW w:w="2181" w:type="dxa"/>
            <w:vAlign w:val="center"/>
          </w:tcPr>
          <w:p w14:paraId="2AFDF37F">
            <w:pPr>
              <w:pStyle w:val="26"/>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投标响应</w:t>
            </w:r>
          </w:p>
        </w:tc>
        <w:tc>
          <w:tcPr>
            <w:tcW w:w="1934" w:type="dxa"/>
            <w:vAlign w:val="center"/>
          </w:tcPr>
          <w:p w14:paraId="6B73290C">
            <w:pPr>
              <w:pStyle w:val="26"/>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偏离说明</w:t>
            </w:r>
          </w:p>
        </w:tc>
      </w:tr>
      <w:tr w14:paraId="4E7D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B4CB522">
            <w:pPr>
              <w:pStyle w:val="26"/>
              <w:spacing w:line="600" w:lineRule="exact"/>
              <w:jc w:val="center"/>
              <w:rPr>
                <w:rFonts w:hAnsi="宋体" w:cs="Courier New"/>
                <w:color w:val="auto"/>
                <w:sz w:val="24"/>
                <w:szCs w:val="24"/>
                <w:highlight w:val="none"/>
              </w:rPr>
            </w:pPr>
          </w:p>
        </w:tc>
        <w:tc>
          <w:tcPr>
            <w:tcW w:w="2143" w:type="dxa"/>
            <w:vAlign w:val="center"/>
          </w:tcPr>
          <w:p w14:paraId="68CD888E">
            <w:pPr>
              <w:pStyle w:val="26"/>
              <w:spacing w:line="600" w:lineRule="exact"/>
              <w:jc w:val="center"/>
              <w:rPr>
                <w:rFonts w:hAnsi="宋体" w:cs="Courier New"/>
                <w:color w:val="auto"/>
                <w:sz w:val="24"/>
                <w:szCs w:val="24"/>
                <w:highlight w:val="none"/>
              </w:rPr>
            </w:pPr>
          </w:p>
        </w:tc>
        <w:tc>
          <w:tcPr>
            <w:tcW w:w="1834" w:type="dxa"/>
            <w:vAlign w:val="center"/>
          </w:tcPr>
          <w:p w14:paraId="2FFC9A0F">
            <w:pPr>
              <w:pStyle w:val="26"/>
              <w:spacing w:line="600" w:lineRule="exact"/>
              <w:jc w:val="center"/>
              <w:rPr>
                <w:rFonts w:hAnsi="宋体" w:cs="Courier New"/>
                <w:color w:val="auto"/>
                <w:sz w:val="24"/>
                <w:szCs w:val="24"/>
                <w:highlight w:val="none"/>
              </w:rPr>
            </w:pPr>
          </w:p>
        </w:tc>
        <w:tc>
          <w:tcPr>
            <w:tcW w:w="2181" w:type="dxa"/>
            <w:vAlign w:val="center"/>
          </w:tcPr>
          <w:p w14:paraId="08AF0F90">
            <w:pPr>
              <w:pStyle w:val="26"/>
              <w:spacing w:line="600" w:lineRule="exact"/>
              <w:jc w:val="center"/>
              <w:rPr>
                <w:rFonts w:hAnsi="宋体" w:cs="Courier New"/>
                <w:color w:val="auto"/>
                <w:sz w:val="24"/>
                <w:szCs w:val="24"/>
                <w:highlight w:val="none"/>
              </w:rPr>
            </w:pPr>
          </w:p>
        </w:tc>
        <w:tc>
          <w:tcPr>
            <w:tcW w:w="1934" w:type="dxa"/>
            <w:vAlign w:val="center"/>
          </w:tcPr>
          <w:p w14:paraId="3EF4C02F">
            <w:pPr>
              <w:pStyle w:val="26"/>
              <w:spacing w:line="600" w:lineRule="exact"/>
              <w:jc w:val="center"/>
              <w:rPr>
                <w:rFonts w:hAnsi="宋体" w:cs="Courier New"/>
                <w:color w:val="auto"/>
                <w:sz w:val="24"/>
                <w:szCs w:val="24"/>
                <w:highlight w:val="none"/>
              </w:rPr>
            </w:pPr>
          </w:p>
        </w:tc>
      </w:tr>
      <w:tr w14:paraId="6510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4661F9A">
            <w:pPr>
              <w:pStyle w:val="26"/>
              <w:spacing w:line="600" w:lineRule="exact"/>
              <w:rPr>
                <w:rFonts w:hAnsi="宋体" w:cs="Courier New"/>
                <w:color w:val="auto"/>
                <w:sz w:val="24"/>
                <w:szCs w:val="24"/>
                <w:highlight w:val="none"/>
              </w:rPr>
            </w:pPr>
          </w:p>
        </w:tc>
        <w:tc>
          <w:tcPr>
            <w:tcW w:w="2143" w:type="dxa"/>
          </w:tcPr>
          <w:p w14:paraId="1CD74026">
            <w:pPr>
              <w:pStyle w:val="26"/>
              <w:spacing w:line="600" w:lineRule="exact"/>
              <w:rPr>
                <w:rFonts w:hAnsi="宋体" w:cs="Courier New"/>
                <w:color w:val="auto"/>
                <w:sz w:val="24"/>
                <w:szCs w:val="24"/>
                <w:highlight w:val="none"/>
              </w:rPr>
            </w:pPr>
          </w:p>
        </w:tc>
        <w:tc>
          <w:tcPr>
            <w:tcW w:w="1834" w:type="dxa"/>
          </w:tcPr>
          <w:p w14:paraId="08C4A62F">
            <w:pPr>
              <w:pStyle w:val="26"/>
              <w:spacing w:line="600" w:lineRule="exact"/>
              <w:rPr>
                <w:rFonts w:hAnsi="宋体" w:cs="Courier New"/>
                <w:color w:val="auto"/>
                <w:sz w:val="24"/>
                <w:szCs w:val="24"/>
                <w:highlight w:val="none"/>
              </w:rPr>
            </w:pPr>
          </w:p>
        </w:tc>
        <w:tc>
          <w:tcPr>
            <w:tcW w:w="2181" w:type="dxa"/>
          </w:tcPr>
          <w:p w14:paraId="7B280B46">
            <w:pPr>
              <w:pStyle w:val="26"/>
              <w:spacing w:line="600" w:lineRule="exact"/>
              <w:rPr>
                <w:rFonts w:hAnsi="宋体" w:cs="Courier New"/>
                <w:color w:val="auto"/>
                <w:sz w:val="24"/>
                <w:szCs w:val="24"/>
                <w:highlight w:val="none"/>
              </w:rPr>
            </w:pPr>
          </w:p>
        </w:tc>
        <w:tc>
          <w:tcPr>
            <w:tcW w:w="1934" w:type="dxa"/>
          </w:tcPr>
          <w:p w14:paraId="4A457118">
            <w:pPr>
              <w:pStyle w:val="26"/>
              <w:spacing w:line="600" w:lineRule="exact"/>
              <w:rPr>
                <w:rFonts w:hAnsi="宋体" w:cs="Courier New"/>
                <w:color w:val="auto"/>
                <w:sz w:val="24"/>
                <w:szCs w:val="24"/>
                <w:highlight w:val="none"/>
              </w:rPr>
            </w:pPr>
          </w:p>
        </w:tc>
      </w:tr>
      <w:tr w14:paraId="79C0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3EC2EC7">
            <w:pPr>
              <w:pStyle w:val="26"/>
              <w:spacing w:line="600" w:lineRule="exact"/>
              <w:rPr>
                <w:rFonts w:hAnsi="宋体" w:cs="Courier New"/>
                <w:color w:val="auto"/>
                <w:sz w:val="24"/>
                <w:szCs w:val="24"/>
                <w:highlight w:val="none"/>
              </w:rPr>
            </w:pPr>
          </w:p>
        </w:tc>
        <w:tc>
          <w:tcPr>
            <w:tcW w:w="2143" w:type="dxa"/>
          </w:tcPr>
          <w:p w14:paraId="56CB656E">
            <w:pPr>
              <w:pStyle w:val="26"/>
              <w:spacing w:line="600" w:lineRule="exact"/>
              <w:rPr>
                <w:rFonts w:hAnsi="宋体" w:cs="Courier New"/>
                <w:color w:val="auto"/>
                <w:sz w:val="24"/>
                <w:szCs w:val="24"/>
                <w:highlight w:val="none"/>
              </w:rPr>
            </w:pPr>
          </w:p>
        </w:tc>
        <w:tc>
          <w:tcPr>
            <w:tcW w:w="1834" w:type="dxa"/>
          </w:tcPr>
          <w:p w14:paraId="53FEFE55">
            <w:pPr>
              <w:pStyle w:val="26"/>
              <w:spacing w:line="600" w:lineRule="exact"/>
              <w:rPr>
                <w:rFonts w:hAnsi="宋体" w:cs="Courier New"/>
                <w:color w:val="auto"/>
                <w:sz w:val="24"/>
                <w:szCs w:val="24"/>
                <w:highlight w:val="none"/>
              </w:rPr>
            </w:pPr>
          </w:p>
        </w:tc>
        <w:tc>
          <w:tcPr>
            <w:tcW w:w="2181" w:type="dxa"/>
          </w:tcPr>
          <w:p w14:paraId="786FE6C1">
            <w:pPr>
              <w:pStyle w:val="26"/>
              <w:spacing w:line="600" w:lineRule="exact"/>
              <w:rPr>
                <w:rFonts w:hAnsi="宋体" w:cs="Courier New"/>
                <w:color w:val="auto"/>
                <w:sz w:val="24"/>
                <w:szCs w:val="24"/>
                <w:highlight w:val="none"/>
              </w:rPr>
            </w:pPr>
          </w:p>
        </w:tc>
        <w:tc>
          <w:tcPr>
            <w:tcW w:w="1934" w:type="dxa"/>
          </w:tcPr>
          <w:p w14:paraId="77F47F2F">
            <w:pPr>
              <w:pStyle w:val="26"/>
              <w:spacing w:line="600" w:lineRule="exact"/>
              <w:rPr>
                <w:rFonts w:hAnsi="宋体" w:cs="Courier New"/>
                <w:color w:val="auto"/>
                <w:sz w:val="24"/>
                <w:szCs w:val="24"/>
                <w:highlight w:val="none"/>
              </w:rPr>
            </w:pPr>
          </w:p>
        </w:tc>
      </w:tr>
    </w:tbl>
    <w:p w14:paraId="5A664670">
      <w:pPr>
        <w:pStyle w:val="17"/>
        <w:rPr>
          <w:rFonts w:ascii="宋体" w:hAnsi="宋体"/>
          <w:color w:val="auto"/>
          <w:highlight w:val="none"/>
        </w:rPr>
      </w:pPr>
      <w:r>
        <w:rPr>
          <w:rFonts w:hint="eastAsia" w:ascii="宋体" w:hAnsi="宋体"/>
          <w:color w:val="auto"/>
          <w:highlight w:val="none"/>
        </w:rPr>
        <w:t>注：</w:t>
      </w:r>
    </w:p>
    <w:p w14:paraId="20A9244F">
      <w:pPr>
        <w:pStyle w:val="20"/>
        <w:spacing w:line="360" w:lineRule="auto"/>
        <w:ind w:firstLine="0"/>
        <w:rPr>
          <w:rFonts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采购需求”中的“技术要求”逐条作明确的投标响应，并作出偏离说明。</w:t>
      </w:r>
    </w:p>
    <w:p w14:paraId="13E2BA93">
      <w:pPr>
        <w:pStyle w:val="17"/>
        <w:spacing w:line="360" w:lineRule="auto"/>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投标人根据投标货物的性能指标，对照招标文件技术要求，在“偏离说明”中注明“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7C1C6500">
      <w:pPr>
        <w:pStyle w:val="20"/>
        <w:spacing w:line="360" w:lineRule="auto"/>
        <w:ind w:firstLine="0"/>
        <w:rPr>
          <w:rFonts w:ascii="宋体" w:hAnsi="宋体"/>
          <w:color w:val="auto"/>
          <w:sz w:val="24"/>
          <w:highlight w:val="none"/>
        </w:rPr>
      </w:pPr>
      <w:r>
        <w:rPr>
          <w:rFonts w:hint="eastAsia" w:ascii="宋体" w:hAnsi="宋体" w:eastAsia="宋体"/>
          <w:color w:val="auto"/>
          <w:sz w:val="24"/>
          <w:szCs w:val="24"/>
          <w:highlight w:val="none"/>
        </w:rPr>
        <w:t>3</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如技术要求偏离表中的投标响应与佐证材料不一致的，以佐证材料为准。</w:t>
      </w:r>
    </w:p>
    <w:p w14:paraId="685BBBC4">
      <w:pPr>
        <w:spacing w:before="50" w:after="50" w:line="360" w:lineRule="auto"/>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223F3754">
      <w:pPr>
        <w:spacing w:before="50" w:after="50" w:line="360" w:lineRule="auto"/>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6E3A6548">
      <w:pPr>
        <w:spacing w:before="50" w:after="50" w:line="360" w:lineRule="auto"/>
        <w:rPr>
          <w:rFonts w:ascii="宋体" w:hAnsi="宋体"/>
          <w:color w:val="auto"/>
          <w:spacing w:val="20"/>
          <w:sz w:val="24"/>
          <w:highlight w:val="none"/>
          <w:u w:val="singl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514C7E35">
      <w:pPr>
        <w:spacing w:before="50" w:after="50" w:line="360" w:lineRule="auto"/>
        <w:rPr>
          <w:rFonts w:ascii="宋体" w:hAnsi="宋体"/>
          <w:color w:val="auto"/>
          <w:sz w:val="24"/>
          <w:szCs w:val="20"/>
          <w:highlight w:val="none"/>
        </w:rPr>
      </w:pPr>
    </w:p>
    <w:p w14:paraId="7E928540">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10. 项目实施人员一览表格式</w:t>
      </w:r>
    </w:p>
    <w:p w14:paraId="560EEBD3">
      <w:pPr>
        <w:spacing w:before="120" w:after="50"/>
        <w:ind w:left="142"/>
        <w:jc w:val="left"/>
        <w:rPr>
          <w:rFonts w:ascii="宋体" w:hAnsi="宋体"/>
          <w:b/>
          <w:color w:val="auto"/>
          <w:sz w:val="24"/>
          <w:highlight w:val="none"/>
        </w:rPr>
      </w:pPr>
    </w:p>
    <w:p w14:paraId="1579D5FF">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7E135107">
      <w:pPr>
        <w:pStyle w:val="26"/>
        <w:rPr>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52"/>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7BEE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6187EFD">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709" w:type="dxa"/>
            <w:vAlign w:val="center"/>
          </w:tcPr>
          <w:p w14:paraId="34CC9D15">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1701" w:type="dxa"/>
            <w:vAlign w:val="center"/>
          </w:tcPr>
          <w:p w14:paraId="28B2FB0F">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vAlign w:val="center"/>
          </w:tcPr>
          <w:p w14:paraId="75562C69">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证书编号</w:t>
            </w:r>
          </w:p>
        </w:tc>
        <w:tc>
          <w:tcPr>
            <w:tcW w:w="1698" w:type="dxa"/>
            <w:vAlign w:val="center"/>
          </w:tcPr>
          <w:p w14:paraId="05F2C0AB">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参加本单位</w:t>
            </w:r>
          </w:p>
          <w:p w14:paraId="4CD611CC">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工作时间</w:t>
            </w:r>
          </w:p>
        </w:tc>
        <w:tc>
          <w:tcPr>
            <w:tcW w:w="1843" w:type="dxa"/>
            <w:vAlign w:val="center"/>
          </w:tcPr>
          <w:p w14:paraId="4B75A95B">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劳动合同编号</w:t>
            </w:r>
          </w:p>
        </w:tc>
      </w:tr>
      <w:tr w14:paraId="1399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99EA0BA">
            <w:pPr>
              <w:spacing w:before="50" w:after="120"/>
              <w:jc w:val="center"/>
              <w:rPr>
                <w:rFonts w:ascii="宋体" w:hAnsi="宋体"/>
                <w:color w:val="auto"/>
                <w:sz w:val="24"/>
                <w:szCs w:val="20"/>
                <w:highlight w:val="none"/>
              </w:rPr>
            </w:pPr>
          </w:p>
        </w:tc>
        <w:tc>
          <w:tcPr>
            <w:tcW w:w="709" w:type="dxa"/>
            <w:vAlign w:val="center"/>
          </w:tcPr>
          <w:p w14:paraId="7588ACC0">
            <w:pPr>
              <w:spacing w:before="50" w:after="120"/>
              <w:jc w:val="center"/>
              <w:rPr>
                <w:rFonts w:ascii="宋体" w:hAnsi="宋体"/>
                <w:color w:val="auto"/>
                <w:sz w:val="24"/>
                <w:szCs w:val="20"/>
                <w:highlight w:val="none"/>
              </w:rPr>
            </w:pPr>
          </w:p>
        </w:tc>
        <w:tc>
          <w:tcPr>
            <w:tcW w:w="1701" w:type="dxa"/>
            <w:vAlign w:val="center"/>
          </w:tcPr>
          <w:p w14:paraId="17582FE6">
            <w:pPr>
              <w:spacing w:before="50" w:after="120"/>
              <w:jc w:val="center"/>
              <w:rPr>
                <w:rFonts w:ascii="宋体" w:hAnsi="宋体"/>
                <w:color w:val="auto"/>
                <w:sz w:val="24"/>
                <w:szCs w:val="20"/>
                <w:highlight w:val="none"/>
              </w:rPr>
            </w:pPr>
          </w:p>
        </w:tc>
        <w:tc>
          <w:tcPr>
            <w:tcW w:w="1420" w:type="dxa"/>
            <w:vAlign w:val="center"/>
          </w:tcPr>
          <w:p w14:paraId="2D323EA2">
            <w:pPr>
              <w:spacing w:before="50" w:after="120"/>
              <w:jc w:val="center"/>
              <w:rPr>
                <w:rFonts w:ascii="宋体" w:hAnsi="宋体"/>
                <w:color w:val="auto"/>
                <w:sz w:val="24"/>
                <w:szCs w:val="20"/>
                <w:highlight w:val="none"/>
              </w:rPr>
            </w:pPr>
          </w:p>
        </w:tc>
        <w:tc>
          <w:tcPr>
            <w:tcW w:w="1698" w:type="dxa"/>
            <w:vAlign w:val="center"/>
          </w:tcPr>
          <w:p w14:paraId="7B99898A">
            <w:pPr>
              <w:spacing w:before="50" w:after="120"/>
              <w:jc w:val="center"/>
              <w:rPr>
                <w:rFonts w:ascii="宋体" w:hAnsi="宋体"/>
                <w:color w:val="auto"/>
                <w:sz w:val="24"/>
                <w:szCs w:val="20"/>
                <w:highlight w:val="none"/>
              </w:rPr>
            </w:pPr>
          </w:p>
        </w:tc>
        <w:tc>
          <w:tcPr>
            <w:tcW w:w="1843" w:type="dxa"/>
            <w:vAlign w:val="center"/>
          </w:tcPr>
          <w:p w14:paraId="4C3E7848">
            <w:pPr>
              <w:spacing w:before="50" w:after="120"/>
              <w:jc w:val="center"/>
              <w:rPr>
                <w:rFonts w:ascii="宋体" w:hAnsi="宋体"/>
                <w:color w:val="auto"/>
                <w:sz w:val="24"/>
                <w:szCs w:val="20"/>
                <w:highlight w:val="none"/>
              </w:rPr>
            </w:pPr>
          </w:p>
        </w:tc>
      </w:tr>
      <w:tr w14:paraId="3277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757C60C">
            <w:pPr>
              <w:spacing w:before="50" w:after="120"/>
              <w:jc w:val="center"/>
              <w:rPr>
                <w:rFonts w:ascii="宋体" w:hAnsi="宋体"/>
                <w:color w:val="auto"/>
                <w:sz w:val="24"/>
                <w:szCs w:val="20"/>
                <w:highlight w:val="none"/>
              </w:rPr>
            </w:pPr>
          </w:p>
        </w:tc>
        <w:tc>
          <w:tcPr>
            <w:tcW w:w="709" w:type="dxa"/>
            <w:vAlign w:val="center"/>
          </w:tcPr>
          <w:p w14:paraId="7D55C38D">
            <w:pPr>
              <w:spacing w:before="50" w:after="120"/>
              <w:jc w:val="center"/>
              <w:rPr>
                <w:rFonts w:ascii="宋体" w:hAnsi="宋体"/>
                <w:color w:val="auto"/>
                <w:sz w:val="24"/>
                <w:szCs w:val="20"/>
                <w:highlight w:val="none"/>
              </w:rPr>
            </w:pPr>
          </w:p>
        </w:tc>
        <w:tc>
          <w:tcPr>
            <w:tcW w:w="1701" w:type="dxa"/>
            <w:vAlign w:val="center"/>
          </w:tcPr>
          <w:p w14:paraId="5E3BE88A">
            <w:pPr>
              <w:spacing w:before="50" w:after="120"/>
              <w:jc w:val="center"/>
              <w:rPr>
                <w:rFonts w:ascii="宋体" w:hAnsi="宋体"/>
                <w:color w:val="auto"/>
                <w:sz w:val="24"/>
                <w:szCs w:val="20"/>
                <w:highlight w:val="none"/>
              </w:rPr>
            </w:pPr>
          </w:p>
        </w:tc>
        <w:tc>
          <w:tcPr>
            <w:tcW w:w="1420" w:type="dxa"/>
            <w:vAlign w:val="center"/>
          </w:tcPr>
          <w:p w14:paraId="3B54DAC3">
            <w:pPr>
              <w:spacing w:before="50" w:after="120"/>
              <w:jc w:val="center"/>
              <w:rPr>
                <w:rFonts w:ascii="宋体" w:hAnsi="宋体"/>
                <w:color w:val="auto"/>
                <w:sz w:val="24"/>
                <w:szCs w:val="20"/>
                <w:highlight w:val="none"/>
              </w:rPr>
            </w:pPr>
          </w:p>
        </w:tc>
        <w:tc>
          <w:tcPr>
            <w:tcW w:w="1698" w:type="dxa"/>
            <w:vAlign w:val="center"/>
          </w:tcPr>
          <w:p w14:paraId="41594282">
            <w:pPr>
              <w:spacing w:before="50" w:after="120"/>
              <w:jc w:val="center"/>
              <w:rPr>
                <w:rFonts w:ascii="宋体" w:hAnsi="宋体"/>
                <w:color w:val="auto"/>
                <w:sz w:val="24"/>
                <w:szCs w:val="20"/>
                <w:highlight w:val="none"/>
              </w:rPr>
            </w:pPr>
          </w:p>
        </w:tc>
        <w:tc>
          <w:tcPr>
            <w:tcW w:w="1843" w:type="dxa"/>
            <w:vAlign w:val="center"/>
          </w:tcPr>
          <w:p w14:paraId="18593CA3">
            <w:pPr>
              <w:spacing w:before="50" w:after="120"/>
              <w:jc w:val="center"/>
              <w:rPr>
                <w:rFonts w:ascii="宋体" w:hAnsi="宋体"/>
                <w:color w:val="auto"/>
                <w:sz w:val="24"/>
                <w:szCs w:val="20"/>
                <w:highlight w:val="none"/>
              </w:rPr>
            </w:pPr>
          </w:p>
        </w:tc>
      </w:tr>
      <w:tr w14:paraId="3B92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E586D1E">
            <w:pPr>
              <w:spacing w:before="50" w:after="120"/>
              <w:jc w:val="center"/>
              <w:rPr>
                <w:rFonts w:ascii="宋体" w:hAnsi="宋体"/>
                <w:color w:val="auto"/>
                <w:sz w:val="24"/>
                <w:szCs w:val="20"/>
                <w:highlight w:val="none"/>
              </w:rPr>
            </w:pPr>
          </w:p>
        </w:tc>
        <w:tc>
          <w:tcPr>
            <w:tcW w:w="709" w:type="dxa"/>
            <w:vAlign w:val="center"/>
          </w:tcPr>
          <w:p w14:paraId="615EFD0D">
            <w:pPr>
              <w:spacing w:before="50" w:after="120"/>
              <w:jc w:val="center"/>
              <w:rPr>
                <w:rFonts w:ascii="宋体" w:hAnsi="宋体"/>
                <w:color w:val="auto"/>
                <w:sz w:val="24"/>
                <w:szCs w:val="20"/>
                <w:highlight w:val="none"/>
              </w:rPr>
            </w:pPr>
          </w:p>
        </w:tc>
        <w:tc>
          <w:tcPr>
            <w:tcW w:w="1701" w:type="dxa"/>
            <w:vAlign w:val="center"/>
          </w:tcPr>
          <w:p w14:paraId="141EBDCF">
            <w:pPr>
              <w:spacing w:before="50" w:after="120"/>
              <w:jc w:val="center"/>
              <w:rPr>
                <w:rFonts w:ascii="宋体" w:hAnsi="宋体"/>
                <w:color w:val="auto"/>
                <w:sz w:val="24"/>
                <w:szCs w:val="20"/>
                <w:highlight w:val="none"/>
              </w:rPr>
            </w:pPr>
          </w:p>
        </w:tc>
        <w:tc>
          <w:tcPr>
            <w:tcW w:w="1420" w:type="dxa"/>
            <w:vAlign w:val="center"/>
          </w:tcPr>
          <w:p w14:paraId="7A6458C1">
            <w:pPr>
              <w:spacing w:before="50" w:after="120"/>
              <w:jc w:val="center"/>
              <w:rPr>
                <w:rFonts w:ascii="宋体" w:hAnsi="宋体"/>
                <w:color w:val="auto"/>
                <w:sz w:val="24"/>
                <w:szCs w:val="20"/>
                <w:highlight w:val="none"/>
              </w:rPr>
            </w:pPr>
          </w:p>
        </w:tc>
        <w:tc>
          <w:tcPr>
            <w:tcW w:w="1698" w:type="dxa"/>
            <w:vAlign w:val="center"/>
          </w:tcPr>
          <w:p w14:paraId="76ADEAE8">
            <w:pPr>
              <w:spacing w:before="50" w:after="120"/>
              <w:jc w:val="center"/>
              <w:rPr>
                <w:rFonts w:ascii="宋体" w:hAnsi="宋体"/>
                <w:color w:val="auto"/>
                <w:sz w:val="24"/>
                <w:szCs w:val="20"/>
                <w:highlight w:val="none"/>
              </w:rPr>
            </w:pPr>
          </w:p>
        </w:tc>
        <w:tc>
          <w:tcPr>
            <w:tcW w:w="1843" w:type="dxa"/>
            <w:vAlign w:val="center"/>
          </w:tcPr>
          <w:p w14:paraId="0919BDCC">
            <w:pPr>
              <w:spacing w:before="50" w:after="120"/>
              <w:jc w:val="center"/>
              <w:rPr>
                <w:rFonts w:ascii="宋体" w:hAnsi="宋体"/>
                <w:color w:val="auto"/>
                <w:sz w:val="24"/>
                <w:szCs w:val="20"/>
                <w:highlight w:val="none"/>
              </w:rPr>
            </w:pPr>
          </w:p>
        </w:tc>
      </w:tr>
    </w:tbl>
    <w:p w14:paraId="0D39D4CA">
      <w:pPr>
        <w:spacing w:before="50" w:after="120"/>
        <w:jc w:val="left"/>
        <w:rPr>
          <w:rFonts w:ascii="宋体" w:hAnsi="宋体"/>
          <w:color w:val="auto"/>
          <w:sz w:val="24"/>
          <w:szCs w:val="20"/>
          <w:highlight w:val="none"/>
        </w:rPr>
      </w:pPr>
    </w:p>
    <w:p w14:paraId="7EA50E63">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1D25F755">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在填写时，如本表格不适合投标单位的实际情况，可根据本表格式自行制表填写。</w:t>
      </w:r>
    </w:p>
    <w:p w14:paraId="548E4C06">
      <w:pPr>
        <w:spacing w:line="360" w:lineRule="auto"/>
        <w:contextualSpacing/>
        <w:jc w:val="left"/>
        <w:rPr>
          <w:rFonts w:ascii="宋体" w:hAnsi="宋体"/>
          <w:color w:val="auto"/>
          <w:sz w:val="24"/>
          <w:szCs w:val="20"/>
          <w:highlight w:val="none"/>
        </w:rPr>
      </w:pPr>
      <w:r>
        <w:rPr>
          <w:rFonts w:ascii="宋体" w:hAnsi="宋体"/>
          <w:color w:val="auto"/>
          <w:sz w:val="24"/>
          <w:szCs w:val="20"/>
          <w:highlight w:val="none"/>
        </w:rPr>
        <w:t>2.</w:t>
      </w:r>
      <w:r>
        <w:rPr>
          <w:rFonts w:hint="eastAsia" w:ascii="宋体" w:hAnsi="宋体"/>
          <w:color w:val="auto"/>
          <w:sz w:val="24"/>
          <w:szCs w:val="20"/>
          <w:highlight w:val="none"/>
        </w:rPr>
        <w:t>投标人应当附本表所列证书的复印件并加盖投标人电子签章。</w:t>
      </w:r>
    </w:p>
    <w:p w14:paraId="72075B57">
      <w:pPr>
        <w:spacing w:line="360" w:lineRule="auto"/>
        <w:contextualSpacing/>
        <w:jc w:val="left"/>
        <w:rPr>
          <w:rFonts w:ascii="宋体" w:hAnsi="宋体"/>
          <w:color w:val="auto"/>
          <w:sz w:val="24"/>
          <w:szCs w:val="20"/>
          <w:highlight w:val="none"/>
        </w:rPr>
      </w:pPr>
    </w:p>
    <w:p w14:paraId="1F481EA8">
      <w:pPr>
        <w:spacing w:line="360" w:lineRule="auto"/>
        <w:contextualSpacing/>
        <w:jc w:val="left"/>
        <w:rPr>
          <w:rFonts w:ascii="宋体" w:hAnsi="宋体"/>
          <w:color w:val="auto"/>
          <w:sz w:val="24"/>
          <w:szCs w:val="20"/>
          <w:highlight w:val="none"/>
        </w:rPr>
      </w:pPr>
    </w:p>
    <w:p w14:paraId="2CCCC4DC">
      <w:pPr>
        <w:spacing w:line="360" w:lineRule="auto"/>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46A8FDBE">
      <w:pPr>
        <w:spacing w:line="360" w:lineRule="auto"/>
        <w:contextualSpacing/>
        <w:jc w:val="left"/>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5C1B4959">
      <w:pPr>
        <w:spacing w:line="360" w:lineRule="auto"/>
        <w:contextualSpacing/>
        <w:jc w:val="left"/>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1DD9C7AE">
      <w:pPr>
        <w:spacing w:before="50" w:after="120"/>
        <w:jc w:val="left"/>
        <w:rPr>
          <w:rFonts w:ascii="宋体" w:hAnsi="宋体"/>
          <w:color w:val="auto"/>
          <w:sz w:val="24"/>
          <w:szCs w:val="20"/>
          <w:highlight w:val="none"/>
        </w:rPr>
      </w:pPr>
    </w:p>
    <w:p w14:paraId="46CE2AB6">
      <w:pPr>
        <w:spacing w:before="120" w:after="50"/>
        <w:ind w:left="142"/>
        <w:jc w:val="left"/>
        <w:rPr>
          <w:b/>
          <w:color w:val="auto"/>
          <w:sz w:val="28"/>
          <w:szCs w:val="28"/>
          <w:highlight w:val="none"/>
        </w:rPr>
      </w:pPr>
      <w:r>
        <w:rPr>
          <w:rFonts w:ascii="宋体" w:hAnsi="宋体"/>
          <w:b/>
          <w:color w:val="auto"/>
          <w:sz w:val="24"/>
          <w:highlight w:val="none"/>
        </w:rPr>
        <w:br w:type="page" w:clear="all"/>
      </w:r>
      <w:r>
        <w:rPr>
          <w:rFonts w:hint="eastAsia"/>
          <w:b/>
          <w:color w:val="auto"/>
          <w:sz w:val="28"/>
          <w:szCs w:val="28"/>
          <w:highlight w:val="none"/>
        </w:rPr>
        <w:t>四、其他文书、文件格式</w:t>
      </w:r>
    </w:p>
    <w:p w14:paraId="6E497369">
      <w:pPr>
        <w:spacing w:before="120" w:after="50"/>
        <w:jc w:val="left"/>
        <w:rPr>
          <w:color w:val="auto"/>
          <w:highlight w:val="none"/>
        </w:rPr>
      </w:pPr>
      <w:r>
        <w:rPr>
          <w:rFonts w:hint="eastAsia" w:ascii="宋体" w:hAnsi="宋体"/>
          <w:b/>
          <w:color w:val="auto"/>
          <w:sz w:val="24"/>
          <w:highlight w:val="none"/>
        </w:rPr>
        <w:t>1.中小企业声明函格式</w:t>
      </w:r>
    </w:p>
    <w:p w14:paraId="12DD878C">
      <w:pPr>
        <w:rPr>
          <w:color w:val="auto"/>
          <w:highlight w:val="none"/>
        </w:rPr>
      </w:pPr>
    </w:p>
    <w:p w14:paraId="57A5B7D6">
      <w:pPr>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中小企业声明函（货物）</w:t>
      </w:r>
    </w:p>
    <w:p w14:paraId="0B8A6C81">
      <w:pPr>
        <w:spacing w:before="2" w:line="500" w:lineRule="exact"/>
        <w:rPr>
          <w:rFonts w:ascii="宋体" w:hAnsi="宋体" w:cs="宋体"/>
          <w:b/>
          <w:bCs/>
          <w:color w:val="auto"/>
          <w:sz w:val="27"/>
          <w:szCs w:val="27"/>
          <w:highlight w:val="none"/>
        </w:rPr>
      </w:pPr>
    </w:p>
    <w:p w14:paraId="58714995">
      <w:pPr>
        <w:pStyle w:val="18"/>
        <w:spacing w:line="360" w:lineRule="auto"/>
        <w:ind w:left="-426" w:right="142" w:firstLine="480"/>
        <w:contextualSpacing/>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采购活动，提供的货物全部由符合政策要求的中小企业制造。相关企业（含联合体中的中小企业、签订分包意向协议的中小企业）的具体情况如下：</w:t>
      </w:r>
    </w:p>
    <w:p w14:paraId="0D20C63A">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3D616488">
      <w:pPr>
        <w:tabs>
          <w:tab w:val="left" w:pos="1065"/>
          <w:tab w:val="left" w:pos="6477"/>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5C5A777E">
      <w:pPr>
        <w:pStyle w:val="18"/>
        <w:spacing w:line="360" w:lineRule="auto"/>
        <w:ind w:left="142" w:right="142"/>
        <w:contextualSpacing/>
        <w:rPr>
          <w:rFonts w:ascii="宋体" w:hAnsi="宋体"/>
          <w:color w:val="auto"/>
          <w:highlight w:val="none"/>
        </w:rPr>
      </w:pPr>
      <w:r>
        <w:rPr>
          <w:rFonts w:ascii="宋体" w:hAnsi="宋体"/>
          <w:color w:val="auto"/>
          <w:highlight w:val="none"/>
        </w:rPr>
        <w:t xml:space="preserve">…… </w:t>
      </w:r>
    </w:p>
    <w:p w14:paraId="15A6FE8F">
      <w:pPr>
        <w:pStyle w:val="18"/>
        <w:spacing w:line="360" w:lineRule="auto"/>
        <w:ind w:left="-405" w:right="142" w:firstLine="453"/>
        <w:contextualSpacing/>
        <w:rPr>
          <w:rFonts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42806900">
      <w:pPr>
        <w:pStyle w:val="18"/>
        <w:spacing w:line="360" w:lineRule="auto"/>
        <w:ind w:left="-426" w:right="142" w:firstLine="567"/>
        <w:contextualSpacing/>
        <w:rPr>
          <w:rFonts w:ascii="宋体" w:hAnsi="宋体"/>
          <w:color w:val="auto"/>
          <w:highlight w:val="none"/>
        </w:rPr>
      </w:pPr>
      <w:r>
        <w:rPr>
          <w:rFonts w:ascii="宋体" w:hAnsi="宋体"/>
          <w:color w:val="auto"/>
          <w:highlight w:val="none"/>
        </w:rPr>
        <w:t>本企业对上述声明内容的真实性负责。如有虚假，将依法承担相应责任。</w:t>
      </w:r>
    </w:p>
    <w:p w14:paraId="5348EF8E">
      <w:pPr>
        <w:pStyle w:val="18"/>
        <w:spacing w:line="360" w:lineRule="auto"/>
        <w:ind w:left="3960" w:right="1808"/>
        <w:contextualSpacing/>
        <w:rPr>
          <w:rFonts w:ascii="宋体" w:hAnsi="宋体"/>
          <w:color w:val="auto"/>
          <w:highlight w:val="none"/>
        </w:rPr>
      </w:pPr>
    </w:p>
    <w:p w14:paraId="301AEA29">
      <w:pPr>
        <w:pStyle w:val="18"/>
        <w:spacing w:line="360" w:lineRule="auto"/>
        <w:ind w:left="3960" w:right="1808"/>
        <w:contextualSpacing/>
        <w:rPr>
          <w:rFonts w:ascii="宋体" w:hAnsi="宋体"/>
          <w:color w:val="auto"/>
          <w:highlight w:val="none"/>
        </w:rPr>
      </w:pPr>
      <w:r>
        <w:rPr>
          <w:rFonts w:ascii="宋体" w:hAnsi="宋体"/>
          <w:color w:val="auto"/>
          <w:highlight w:val="none"/>
        </w:rPr>
        <w:t>企业名称（</w:t>
      </w:r>
      <w:r>
        <w:rPr>
          <w:rFonts w:hint="eastAsia" w:ascii="宋体" w:hAnsi="宋体"/>
          <w:color w:val="auto"/>
          <w:highlight w:val="none"/>
        </w:rPr>
        <w:t>电子签章</w:t>
      </w:r>
      <w:r>
        <w:rPr>
          <w:rFonts w:ascii="宋体" w:hAnsi="宋体"/>
          <w:color w:val="auto"/>
          <w:highlight w:val="none"/>
        </w:rPr>
        <w:t xml:space="preserve">）： </w:t>
      </w:r>
    </w:p>
    <w:p w14:paraId="1395FCFD">
      <w:pPr>
        <w:pStyle w:val="18"/>
        <w:spacing w:line="360" w:lineRule="auto"/>
        <w:ind w:left="3960" w:right="1808"/>
        <w:contextualSpacing/>
        <w:rPr>
          <w:rFonts w:ascii="宋体" w:hAnsi="宋体"/>
          <w:color w:val="auto"/>
          <w:highlight w:val="none"/>
        </w:rPr>
      </w:pPr>
      <w:r>
        <w:rPr>
          <w:rFonts w:ascii="宋体" w:hAnsi="宋体"/>
          <w:color w:val="auto"/>
          <w:highlight w:val="none"/>
        </w:rPr>
        <w:t>日</w:t>
      </w:r>
      <w:r>
        <w:rPr>
          <w:rFonts w:hint="eastAsia" w:ascii="宋体" w:hAnsi="宋体"/>
          <w:color w:val="auto"/>
          <w:highlight w:val="none"/>
        </w:rPr>
        <w:t xml:space="preserve"> </w:t>
      </w:r>
      <w:r>
        <w:rPr>
          <w:rFonts w:ascii="宋体" w:hAnsi="宋体"/>
          <w:color w:val="auto"/>
          <w:highlight w:val="none"/>
        </w:rPr>
        <w:t>期：</w:t>
      </w:r>
    </w:p>
    <w:p w14:paraId="7C17446F">
      <w:pPr>
        <w:pStyle w:val="18"/>
        <w:spacing w:line="360" w:lineRule="auto"/>
        <w:ind w:left="3960" w:right="1808"/>
        <w:contextualSpacing/>
        <w:rPr>
          <w:rFonts w:ascii="宋体" w:hAnsi="宋体"/>
          <w:color w:val="auto"/>
          <w:highlight w:val="none"/>
        </w:rPr>
      </w:pPr>
    </w:p>
    <w:p w14:paraId="23A93DF4">
      <w:pPr>
        <w:pStyle w:val="18"/>
        <w:spacing w:line="360" w:lineRule="auto"/>
        <w:ind w:left="3960" w:right="1808"/>
        <w:contextualSpacing/>
        <w:rPr>
          <w:rFonts w:ascii="宋体" w:hAnsi="宋体"/>
          <w:color w:val="auto"/>
          <w:highlight w:val="none"/>
        </w:rPr>
      </w:pPr>
    </w:p>
    <w:p w14:paraId="2EBA7536">
      <w:pPr>
        <w:pStyle w:val="18"/>
        <w:spacing w:line="360" w:lineRule="auto"/>
        <w:ind w:left="-426" w:right="142" w:firstLine="567"/>
        <w:contextualSpacing/>
        <w:rPr>
          <w:rFonts w:ascii="宋体" w:hAnsi="宋体"/>
          <w:color w:val="auto"/>
          <w:highlight w:val="none"/>
        </w:rPr>
      </w:pPr>
      <w:r>
        <w:rPr>
          <w:rFonts w:hint="eastAsia" w:ascii="宋体" w:hAnsi="宋体"/>
          <w:color w:val="auto"/>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422F5B9A">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2.残疾人福利性单位声明函格式</w:t>
      </w:r>
    </w:p>
    <w:p w14:paraId="2DDA0B9F">
      <w:pPr>
        <w:spacing w:line="588" w:lineRule="exact"/>
        <w:jc w:val="center"/>
        <w:rPr>
          <w:rFonts w:ascii="仿宋_GB2312" w:eastAsia="仿宋_GB2312"/>
          <w:b/>
          <w:color w:val="auto"/>
          <w:spacing w:val="6"/>
          <w:sz w:val="32"/>
          <w:szCs w:val="32"/>
          <w:highlight w:val="none"/>
        </w:rPr>
      </w:pPr>
    </w:p>
    <w:p w14:paraId="20FCA316">
      <w:pPr>
        <w:spacing w:line="588" w:lineRule="exact"/>
        <w:jc w:val="center"/>
        <w:rPr>
          <w:rFonts w:ascii="方正小标宋_GBK" w:hAnsi="方正小标宋_GBK" w:eastAsia="方正小标宋_GBK" w:cs="方正小标宋_GBK"/>
          <w:bCs/>
          <w:color w:val="auto"/>
          <w:spacing w:val="6"/>
          <w:sz w:val="44"/>
          <w:szCs w:val="44"/>
          <w:highlight w:val="none"/>
        </w:rPr>
      </w:pPr>
      <w:r>
        <w:rPr>
          <w:rFonts w:hint="eastAsia" w:ascii="方正小标宋_GBK" w:hAnsi="方正小标宋_GBK" w:eastAsia="方正小标宋_GBK" w:cs="方正小标宋_GBK"/>
          <w:bCs/>
          <w:color w:val="auto"/>
          <w:spacing w:val="6"/>
          <w:sz w:val="44"/>
          <w:szCs w:val="44"/>
          <w:highlight w:val="none"/>
        </w:rPr>
        <w:t>残疾人福利性单位声明函</w:t>
      </w:r>
    </w:p>
    <w:p w14:paraId="1709520B">
      <w:pPr>
        <w:spacing w:line="360" w:lineRule="auto"/>
        <w:contextualSpacing/>
        <w:rPr>
          <w:rFonts w:ascii="仿宋_GB2312" w:eastAsia="仿宋_GB2312"/>
          <w:bCs/>
          <w:color w:val="auto"/>
          <w:spacing w:val="6"/>
          <w:sz w:val="30"/>
          <w:szCs w:val="30"/>
          <w:highlight w:val="none"/>
        </w:rPr>
      </w:pPr>
    </w:p>
    <w:p w14:paraId="5B9D3BAC">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3A0720DB">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3E845690">
      <w:pPr>
        <w:spacing w:line="360" w:lineRule="auto"/>
        <w:ind w:firstLine="504"/>
        <w:contextualSpacing/>
        <w:rPr>
          <w:rFonts w:ascii="宋体" w:hAnsi="宋体"/>
          <w:color w:val="auto"/>
          <w:spacing w:val="6"/>
          <w:sz w:val="24"/>
          <w:highlight w:val="none"/>
        </w:rPr>
      </w:pPr>
    </w:p>
    <w:p w14:paraId="75F9A674">
      <w:pPr>
        <w:spacing w:line="360" w:lineRule="auto"/>
        <w:ind w:firstLine="504"/>
        <w:contextualSpacing/>
        <w:rPr>
          <w:rFonts w:ascii="宋体" w:hAnsi="宋体"/>
          <w:color w:val="auto"/>
          <w:spacing w:val="6"/>
          <w:sz w:val="24"/>
          <w:highlight w:val="none"/>
        </w:rPr>
      </w:pPr>
    </w:p>
    <w:p w14:paraId="0573AFAC">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422712F4">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700F00B1">
      <w:pPr>
        <w:spacing w:line="360" w:lineRule="auto"/>
        <w:contextualSpacing/>
        <w:rPr>
          <w:rFonts w:ascii="宋体" w:hAnsi="宋体"/>
          <w:color w:val="auto"/>
          <w:sz w:val="24"/>
          <w:highlight w:val="none"/>
        </w:rPr>
      </w:pPr>
    </w:p>
    <w:p w14:paraId="0A9A6F47">
      <w:pPr>
        <w:spacing w:line="360" w:lineRule="auto"/>
        <w:contextualSpacing/>
        <w:rPr>
          <w:rFonts w:ascii="宋体" w:hAnsi="宋体"/>
          <w:color w:val="auto"/>
          <w:sz w:val="24"/>
          <w:highlight w:val="none"/>
        </w:rPr>
      </w:pPr>
    </w:p>
    <w:p w14:paraId="61ABBCB3">
      <w:pPr>
        <w:spacing w:line="360" w:lineRule="auto"/>
        <w:contextualSpacing/>
        <w:rPr>
          <w:rFonts w:ascii="宋体" w:hAnsi="宋体"/>
          <w:color w:val="auto"/>
          <w:sz w:val="24"/>
          <w:highlight w:val="none"/>
        </w:rPr>
      </w:pPr>
    </w:p>
    <w:p w14:paraId="14730AED">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C76EF28">
      <w:pPr>
        <w:pStyle w:val="18"/>
        <w:rPr>
          <w:rFonts w:ascii="宋体" w:hAnsi="宋体"/>
          <w:b/>
          <w:color w:val="auto"/>
          <w:highlight w:val="none"/>
        </w:rPr>
      </w:pPr>
      <w:r>
        <w:rPr>
          <w:rFonts w:ascii="宋体" w:hAnsi="宋体"/>
          <w:color w:val="auto"/>
          <w:highlight w:val="none"/>
        </w:rPr>
        <w:br w:type="page" w:clear="all"/>
      </w:r>
      <w:r>
        <w:rPr>
          <w:rFonts w:hint="eastAsia" w:ascii="宋体" w:hAnsi="宋体"/>
          <w:b/>
          <w:color w:val="auto"/>
          <w:highlight w:val="none"/>
        </w:rPr>
        <w:t>3.</w:t>
      </w:r>
      <w:r>
        <w:rPr>
          <w:rFonts w:hint="eastAsia"/>
          <w:color w:val="auto"/>
          <w:highlight w:val="none"/>
        </w:rPr>
        <w:t xml:space="preserve"> </w:t>
      </w:r>
      <w:r>
        <w:rPr>
          <w:rFonts w:hint="eastAsia" w:ascii="宋体" w:hAnsi="宋体"/>
          <w:b/>
          <w:color w:val="auto"/>
          <w:highlight w:val="none"/>
        </w:rPr>
        <w:t>关于符合本国产品标准的声明函格式</w:t>
      </w:r>
    </w:p>
    <w:p w14:paraId="19C188D5">
      <w:pPr>
        <w:pStyle w:val="18"/>
        <w:rPr>
          <w:color w:val="auto"/>
          <w:highlight w:val="none"/>
        </w:rPr>
      </w:pPr>
    </w:p>
    <w:p w14:paraId="30AB08CE">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2C7D8DDF">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 </w:t>
      </w:r>
    </w:p>
    <w:p w14:paraId="67B85EFA">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27209B27">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28ECE416">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22F6ED52">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w:t>
      </w:r>
    </w:p>
    <w:p w14:paraId="75FB27A5">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3F2CE25F">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 </w:t>
      </w:r>
    </w:p>
    <w:p w14:paraId="37F5330D">
      <w:pPr>
        <w:widowControl/>
        <w:shd w:val="clear" w:color="auto" w:fill="FFFFFF"/>
        <w:spacing w:before="30" w:after="30"/>
        <w:jc w:val="right"/>
        <w:rPr>
          <w:rFonts w:ascii="宋体" w:hAnsi="宋体" w:cs="宋体"/>
          <w:color w:val="auto"/>
          <w:sz w:val="24"/>
          <w:highlight w:val="none"/>
        </w:rPr>
      </w:pPr>
      <w:r>
        <w:rPr>
          <w:rFonts w:hint="eastAsia" w:ascii="宋体" w:hAnsi="宋体" w:cs="宋体"/>
          <w:color w:val="auto"/>
          <w:sz w:val="24"/>
          <w:highlight w:val="none"/>
        </w:rPr>
        <w:t>公司（单位）名称（盖章）：　        </w:t>
      </w:r>
    </w:p>
    <w:p w14:paraId="54B439B6">
      <w:pPr>
        <w:widowControl/>
        <w:shd w:val="clear" w:color="auto" w:fill="FFFFFF"/>
        <w:jc w:val="right"/>
        <w:rPr>
          <w:rFonts w:ascii="宋体" w:hAnsi="宋体" w:cs="宋体"/>
          <w:color w:val="auto"/>
          <w:sz w:val="24"/>
          <w:highlight w:val="none"/>
        </w:rPr>
      </w:pPr>
      <w:r>
        <w:rPr>
          <w:rFonts w:hint="eastAsia" w:ascii="宋体" w:hAnsi="宋体" w:cs="宋体"/>
          <w:color w:val="auto"/>
          <w:sz w:val="24"/>
          <w:highlight w:val="none"/>
        </w:rPr>
        <w:t>日期：　     年　  月　  日         </w:t>
      </w:r>
    </w:p>
    <w:p w14:paraId="2116D99B">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__________________</w:t>
      </w:r>
    </w:p>
    <w:p w14:paraId="04A6C4A9">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0CD34776">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206938F6">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FBAE697">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402D3C05">
      <w:pPr>
        <w:rPr>
          <w:rFonts w:ascii="宋体" w:hAnsi="宋体"/>
          <w:color w:val="auto"/>
          <w:sz w:val="24"/>
          <w:highlight w:val="none"/>
        </w:rPr>
      </w:pPr>
      <w:r>
        <w:rPr>
          <w:rFonts w:hint="eastAsia" w:ascii="宋体" w:hAnsi="宋体" w:cs="宋体"/>
          <w:color w:val="auto"/>
          <w:szCs w:val="21"/>
          <w:highlight w:val="none"/>
        </w:rPr>
        <w:t>5.该产品的关键工序要求实施前，“关键工序”栏可不填，下同。</w:t>
      </w:r>
      <w:r>
        <w:rPr>
          <w:rFonts w:ascii="宋体" w:hAnsi="宋体"/>
          <w:color w:val="auto"/>
          <w:sz w:val="24"/>
          <w:highlight w:val="none"/>
        </w:rPr>
        <w:br w:type="page" w:clear="all"/>
      </w:r>
    </w:p>
    <w:p w14:paraId="22646DC0">
      <w:pPr>
        <w:spacing w:line="360" w:lineRule="auto"/>
        <w:jc w:val="left"/>
        <w:rPr>
          <w:rFonts w:ascii="宋体" w:hAnsi="宋体"/>
          <w:color w:val="auto"/>
          <w:sz w:val="24"/>
          <w:highlight w:val="none"/>
        </w:rPr>
      </w:pPr>
      <w:r>
        <w:rPr>
          <w:rFonts w:hint="eastAsia" w:ascii="宋体" w:hAnsi="宋体"/>
          <w:b/>
          <w:color w:val="auto"/>
          <w:sz w:val="24"/>
          <w:highlight w:val="none"/>
        </w:rPr>
        <w:t>4.质疑函（格式）</w:t>
      </w:r>
    </w:p>
    <w:p w14:paraId="01D321BD">
      <w:pPr>
        <w:spacing w:line="360" w:lineRule="auto"/>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质疑函（格式）</w:t>
      </w:r>
    </w:p>
    <w:p w14:paraId="1BC211F9">
      <w:pPr>
        <w:pStyle w:val="26"/>
        <w:spacing w:line="360" w:lineRule="auto"/>
        <w:ind w:firstLine="482"/>
        <w:rPr>
          <w:rFonts w:hAnsi="宋体"/>
          <w:b/>
          <w:bCs/>
          <w:color w:val="auto"/>
          <w:sz w:val="24"/>
          <w:szCs w:val="24"/>
          <w:highlight w:val="none"/>
        </w:rPr>
      </w:pPr>
      <w:r>
        <w:rPr>
          <w:rFonts w:hint="eastAsia" w:hAnsi="宋体"/>
          <w:b/>
          <w:bCs/>
          <w:color w:val="auto"/>
          <w:sz w:val="24"/>
          <w:szCs w:val="24"/>
          <w:highlight w:val="none"/>
        </w:rPr>
        <w:t>一、质疑供应商基本信息：</w:t>
      </w:r>
    </w:p>
    <w:p w14:paraId="7F384DC7">
      <w:pPr>
        <w:pStyle w:val="26"/>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E0CD7B6">
      <w:pPr>
        <w:pStyle w:val="26"/>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DBC23E1">
      <w:pPr>
        <w:pStyle w:val="26"/>
        <w:spacing w:line="360" w:lineRule="auto"/>
        <w:ind w:firstLine="480"/>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5B94281">
      <w:pPr>
        <w:pStyle w:val="26"/>
        <w:spacing w:line="360" w:lineRule="auto"/>
        <w:ind w:firstLine="480"/>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5F3951E9">
      <w:pPr>
        <w:pStyle w:val="26"/>
        <w:spacing w:line="360" w:lineRule="auto"/>
        <w:ind w:firstLine="480"/>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5084C02">
      <w:pPr>
        <w:pStyle w:val="26"/>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A58C5F1">
      <w:pPr>
        <w:pStyle w:val="26"/>
        <w:spacing w:line="360" w:lineRule="auto"/>
        <w:ind w:firstLine="482"/>
        <w:rPr>
          <w:rFonts w:hAnsi="宋体"/>
          <w:b/>
          <w:bCs/>
          <w:color w:val="auto"/>
          <w:sz w:val="24"/>
          <w:szCs w:val="24"/>
          <w:highlight w:val="none"/>
        </w:rPr>
      </w:pPr>
      <w:r>
        <w:rPr>
          <w:rFonts w:hint="eastAsia" w:hAnsi="宋体"/>
          <w:b/>
          <w:bCs/>
          <w:color w:val="auto"/>
          <w:sz w:val="24"/>
          <w:szCs w:val="24"/>
          <w:highlight w:val="none"/>
        </w:rPr>
        <w:t>二、质疑项目基本情况：</w:t>
      </w:r>
    </w:p>
    <w:p w14:paraId="5AAE6087">
      <w:pPr>
        <w:pStyle w:val="26"/>
        <w:spacing w:line="360" w:lineRule="auto"/>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EB9FACC">
      <w:pPr>
        <w:pStyle w:val="26"/>
        <w:spacing w:line="360" w:lineRule="auto"/>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6FD7698E">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5F959C2">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质疑事项：</w:t>
      </w:r>
    </w:p>
    <w:p w14:paraId="39F533FB">
      <w:pPr>
        <w:pStyle w:val="26"/>
        <w:spacing w:line="360" w:lineRule="auto"/>
        <w:ind w:left="25" w:firstLine="352"/>
        <w:rPr>
          <w:rFonts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0ED7E91F">
      <w:pPr>
        <w:pStyle w:val="26"/>
        <w:spacing w:line="360" w:lineRule="auto"/>
        <w:ind w:left="25" w:firstLine="352"/>
        <w:rPr>
          <w:rFonts w:hAnsi="宋体"/>
          <w:color w:val="auto"/>
          <w:sz w:val="24"/>
          <w:szCs w:val="24"/>
          <w:highlight w:val="none"/>
        </w:rPr>
      </w:pPr>
      <w:r>
        <w:rPr>
          <w:rFonts w:hint="eastAsia" w:hAnsi="宋体"/>
          <w:color w:val="auto"/>
          <w:sz w:val="24"/>
          <w:szCs w:val="24"/>
          <w:highlight w:val="none"/>
        </w:rPr>
        <w:t xml:space="preserve">□招标过程   </w:t>
      </w:r>
    </w:p>
    <w:p w14:paraId="0C1701F0">
      <w:pPr>
        <w:pStyle w:val="26"/>
        <w:spacing w:line="360" w:lineRule="auto"/>
        <w:ind w:left="25" w:firstLine="352"/>
        <w:rPr>
          <w:rFonts w:hAnsi="宋体"/>
          <w:bCs/>
          <w:color w:val="auto"/>
          <w:sz w:val="24"/>
          <w:szCs w:val="24"/>
          <w:highlight w:val="none"/>
          <w:u w:val="single"/>
        </w:rPr>
      </w:pPr>
      <w:r>
        <w:rPr>
          <w:rFonts w:hint="eastAsia" w:hAnsi="宋体"/>
          <w:color w:val="auto"/>
          <w:sz w:val="24"/>
          <w:szCs w:val="24"/>
          <w:highlight w:val="none"/>
        </w:rPr>
        <w:t xml:space="preserve">□招标结果   </w:t>
      </w:r>
    </w:p>
    <w:p w14:paraId="69B20616">
      <w:pPr>
        <w:pStyle w:val="26"/>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三、质疑事项具体内容</w:t>
      </w:r>
    </w:p>
    <w:p w14:paraId="6DA07925">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05463A6">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007F9DAB">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3AD04BBD">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质疑事项2</w:t>
      </w:r>
    </w:p>
    <w:p w14:paraId="63F6685A">
      <w:pPr>
        <w:pStyle w:val="26"/>
        <w:spacing w:line="360" w:lineRule="auto"/>
        <w:ind w:left="25" w:firstLine="472"/>
        <w:rPr>
          <w:rFonts w:hAnsi="宋体"/>
          <w:color w:val="auto"/>
          <w:sz w:val="24"/>
          <w:szCs w:val="24"/>
          <w:highlight w:val="none"/>
        </w:rPr>
      </w:pPr>
      <w:r>
        <w:rPr>
          <w:rFonts w:hAnsi="宋体"/>
          <w:color w:val="auto"/>
          <w:sz w:val="24"/>
          <w:szCs w:val="24"/>
          <w:highlight w:val="none"/>
        </w:rPr>
        <w:t>……</w:t>
      </w:r>
    </w:p>
    <w:p w14:paraId="7F0E3010">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四、与质疑事项相关的质疑请求：</w:t>
      </w:r>
    </w:p>
    <w:p w14:paraId="5E56E12D">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60975DB">
      <w:pPr>
        <w:pStyle w:val="26"/>
        <w:spacing w:line="360" w:lineRule="auto"/>
        <w:ind w:left="25" w:firstLine="352"/>
        <w:rPr>
          <w:rFonts w:hAnsi="宋体"/>
          <w:color w:val="auto"/>
          <w:sz w:val="24"/>
          <w:szCs w:val="24"/>
          <w:highlight w:val="none"/>
        </w:rPr>
      </w:pPr>
    </w:p>
    <w:p w14:paraId="73FB2BB8">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05C937E5">
      <w:pPr>
        <w:pStyle w:val="26"/>
        <w:spacing w:line="360" w:lineRule="auto"/>
        <w:ind w:left="25" w:firstLine="352"/>
        <w:rPr>
          <w:rFonts w:hAnsi="宋体"/>
          <w:color w:val="auto"/>
          <w:sz w:val="24"/>
          <w:szCs w:val="24"/>
          <w:highlight w:val="none"/>
        </w:rPr>
      </w:pPr>
    </w:p>
    <w:p w14:paraId="1371FE06">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172AD7A4">
      <w:pPr>
        <w:pStyle w:val="26"/>
        <w:spacing w:line="360" w:lineRule="auto"/>
        <w:rPr>
          <w:rFonts w:hAnsi="宋体"/>
          <w:b/>
          <w:color w:val="auto"/>
          <w:sz w:val="24"/>
          <w:szCs w:val="24"/>
          <w:highlight w:val="none"/>
        </w:rPr>
      </w:pPr>
    </w:p>
    <w:p w14:paraId="619F6F8A">
      <w:pPr>
        <w:pStyle w:val="26"/>
        <w:spacing w:line="360" w:lineRule="auto"/>
        <w:rPr>
          <w:rFonts w:hAnsi="宋体"/>
          <w:b/>
          <w:color w:val="auto"/>
          <w:sz w:val="24"/>
          <w:szCs w:val="24"/>
          <w:highlight w:val="none"/>
        </w:rPr>
      </w:pPr>
      <w:r>
        <w:rPr>
          <w:rFonts w:hint="eastAsia" w:hAnsi="宋体"/>
          <w:b/>
          <w:color w:val="auto"/>
          <w:sz w:val="24"/>
          <w:szCs w:val="24"/>
          <w:highlight w:val="none"/>
        </w:rPr>
        <w:t>说明：</w:t>
      </w:r>
    </w:p>
    <w:p w14:paraId="3C86ED7B">
      <w:pPr>
        <w:pStyle w:val="26"/>
        <w:spacing w:line="360" w:lineRule="auto"/>
        <w:ind w:left="25" w:firstLine="354"/>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F515430">
      <w:pPr>
        <w:pStyle w:val="26"/>
        <w:spacing w:line="360" w:lineRule="auto"/>
        <w:ind w:left="25" w:firstLine="354"/>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E177A60">
      <w:pPr>
        <w:pStyle w:val="26"/>
        <w:spacing w:line="360" w:lineRule="auto"/>
        <w:ind w:left="25" w:firstLine="354"/>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5BE6C8C">
      <w:pPr>
        <w:pStyle w:val="26"/>
        <w:spacing w:line="360" w:lineRule="auto"/>
        <w:ind w:left="25" w:firstLine="354"/>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65570F1F">
      <w:pPr>
        <w:pStyle w:val="26"/>
        <w:spacing w:line="360" w:lineRule="auto"/>
        <w:ind w:left="25" w:firstLine="354"/>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57EC176A">
      <w:pPr>
        <w:pStyle w:val="26"/>
        <w:rPr>
          <w:b/>
          <w:color w:val="auto"/>
          <w:sz w:val="24"/>
          <w:szCs w:val="24"/>
          <w:highlight w:val="none"/>
        </w:rPr>
      </w:pPr>
    </w:p>
    <w:p w14:paraId="174B20B7">
      <w:pPr>
        <w:spacing w:line="360" w:lineRule="auto"/>
        <w:jc w:val="left"/>
        <w:rPr>
          <w:rFonts w:ascii="宋体" w:hAnsi="宋体"/>
          <w:b/>
          <w:bCs/>
          <w:color w:val="auto"/>
          <w:sz w:val="32"/>
          <w:szCs w:val="32"/>
          <w:highlight w:val="none"/>
        </w:rPr>
      </w:pPr>
      <w:r>
        <w:rPr>
          <w:rFonts w:eastAsia="隶书"/>
          <w:color w:val="auto"/>
          <w:sz w:val="44"/>
          <w:highlight w:val="none"/>
        </w:rPr>
        <w:br w:type="page" w:clear="all"/>
      </w:r>
      <w:r>
        <w:rPr>
          <w:rFonts w:hint="eastAsia" w:ascii="宋体" w:hAnsi="宋体" w:eastAsia="隶书"/>
          <w:b/>
          <w:color w:val="auto"/>
          <w:sz w:val="24"/>
          <w:highlight w:val="none"/>
        </w:rPr>
        <w:t>5</w:t>
      </w:r>
      <w:r>
        <w:rPr>
          <w:rFonts w:hint="eastAsia" w:ascii="宋体" w:hAnsi="宋体"/>
          <w:b/>
          <w:color w:val="auto"/>
          <w:sz w:val="24"/>
          <w:highlight w:val="none"/>
        </w:rPr>
        <w:t>.投诉书（格式）</w:t>
      </w:r>
    </w:p>
    <w:p w14:paraId="3832D2D7">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_GBK" w:hAnsi="方正小标宋_GBK" w:eastAsia="方正小标宋_GBK" w:cs="方正小标宋_GBK"/>
          <w:color w:val="auto"/>
          <w:sz w:val="44"/>
          <w:szCs w:val="44"/>
          <w:highlight w:val="none"/>
        </w:rPr>
        <w:t>投诉书（格式）</w:t>
      </w:r>
    </w:p>
    <w:p w14:paraId="10CF4B17">
      <w:pPr>
        <w:pStyle w:val="26"/>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7B8061AE">
      <w:pPr>
        <w:pStyle w:val="26"/>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730567C">
      <w:pPr>
        <w:pStyle w:val="26"/>
        <w:spacing w:line="360" w:lineRule="auto"/>
        <w:ind w:firstLine="480"/>
        <w:jc w:val="left"/>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47299B4">
      <w:pPr>
        <w:pStyle w:val="26"/>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1B7F733F">
      <w:pPr>
        <w:pStyle w:val="26"/>
        <w:spacing w:line="360" w:lineRule="auto"/>
        <w:ind w:firstLine="480"/>
        <w:jc w:val="left"/>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374FE19">
      <w:pPr>
        <w:pStyle w:val="26"/>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A44C020">
      <w:pPr>
        <w:pStyle w:val="26"/>
        <w:spacing w:line="360" w:lineRule="auto"/>
        <w:ind w:firstLine="48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A8B6A8E">
      <w:pPr>
        <w:pStyle w:val="26"/>
        <w:spacing w:line="360" w:lineRule="auto"/>
        <w:ind w:firstLine="48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183CF1B">
      <w:pPr>
        <w:pStyle w:val="26"/>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被投诉人1：</w:t>
      </w:r>
    </w:p>
    <w:p w14:paraId="48AD3306">
      <w:pPr>
        <w:pStyle w:val="26"/>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378B3C74">
      <w:pPr>
        <w:pStyle w:val="26"/>
        <w:spacing w:line="360" w:lineRule="auto"/>
        <w:ind w:firstLine="48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39B0EB8">
      <w:pPr>
        <w:pStyle w:val="26"/>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E90AE38">
      <w:pPr>
        <w:pStyle w:val="26"/>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被投诉人2：</w:t>
      </w:r>
    </w:p>
    <w:p w14:paraId="2F785A1C">
      <w:pPr>
        <w:pStyle w:val="26"/>
        <w:spacing w:line="360" w:lineRule="auto"/>
        <w:ind w:firstLine="480"/>
        <w:jc w:val="left"/>
        <w:rPr>
          <w:rFonts w:hAnsi="宋体"/>
          <w:bCs/>
          <w:color w:val="auto"/>
          <w:sz w:val="24"/>
          <w:szCs w:val="24"/>
          <w:highlight w:val="none"/>
        </w:rPr>
      </w:pPr>
      <w:r>
        <w:rPr>
          <w:rFonts w:hAnsi="宋体"/>
          <w:bCs/>
          <w:color w:val="auto"/>
          <w:sz w:val="24"/>
          <w:szCs w:val="24"/>
          <w:highlight w:val="none"/>
        </w:rPr>
        <w:t>……</w:t>
      </w:r>
    </w:p>
    <w:p w14:paraId="3725ADC1">
      <w:pPr>
        <w:pStyle w:val="26"/>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3B8786D3">
      <w:pPr>
        <w:pStyle w:val="26"/>
        <w:spacing w:line="360" w:lineRule="auto"/>
        <w:ind w:firstLine="48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94C31F4">
      <w:pPr>
        <w:pStyle w:val="26"/>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254DA8">
      <w:pPr>
        <w:pStyle w:val="26"/>
        <w:spacing w:line="360" w:lineRule="auto"/>
        <w:ind w:firstLine="482"/>
        <w:rPr>
          <w:rFonts w:hAnsi="宋体"/>
          <w:b/>
          <w:bCs/>
          <w:color w:val="auto"/>
          <w:sz w:val="24"/>
          <w:szCs w:val="24"/>
          <w:highlight w:val="none"/>
        </w:rPr>
      </w:pPr>
      <w:r>
        <w:rPr>
          <w:rFonts w:hint="eastAsia" w:hAnsi="宋体"/>
          <w:b/>
          <w:bCs/>
          <w:color w:val="auto"/>
          <w:sz w:val="24"/>
          <w:szCs w:val="24"/>
          <w:highlight w:val="none"/>
        </w:rPr>
        <w:t>二、投诉项目基本情况：</w:t>
      </w:r>
    </w:p>
    <w:p w14:paraId="41211513">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招标项目的名称：</w:t>
      </w:r>
      <w:r>
        <w:rPr>
          <w:rFonts w:hint="eastAsia" w:hAnsi="宋体"/>
          <w:bCs/>
          <w:color w:val="auto"/>
          <w:sz w:val="24"/>
          <w:szCs w:val="24"/>
          <w:highlight w:val="none"/>
          <w:u w:val="single"/>
        </w:rPr>
        <w:t xml:space="preserve">                                                                   </w:t>
      </w:r>
    </w:p>
    <w:p w14:paraId="2D325B16">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招标项目的编号：</w:t>
      </w:r>
      <w:r>
        <w:rPr>
          <w:rFonts w:hint="eastAsia" w:hAnsi="宋体"/>
          <w:bCs/>
          <w:color w:val="auto"/>
          <w:sz w:val="24"/>
          <w:szCs w:val="24"/>
          <w:highlight w:val="none"/>
          <w:u w:val="single"/>
        </w:rPr>
        <w:t xml:space="preserve">                                          </w:t>
      </w:r>
    </w:p>
    <w:p w14:paraId="7FDD2505">
      <w:pPr>
        <w:pStyle w:val="26"/>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61E21C56">
      <w:pPr>
        <w:pStyle w:val="26"/>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3A660242">
      <w:pPr>
        <w:pStyle w:val="26"/>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招标</w:t>
      </w:r>
      <w:r>
        <w:rPr>
          <w:rFonts w:hint="eastAsia" w:hAnsi="宋体"/>
          <w:bCs/>
          <w:color w:val="auto"/>
          <w:sz w:val="24"/>
          <w:szCs w:val="24"/>
          <w:highlight w:val="none"/>
        </w:rPr>
        <w:t>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67170D8">
      <w:pPr>
        <w:pStyle w:val="26"/>
        <w:spacing w:line="360" w:lineRule="auto"/>
        <w:ind w:left="25" w:firstLine="472"/>
        <w:rPr>
          <w:rFonts w:hAnsi="宋体"/>
          <w:b/>
          <w:color w:val="auto"/>
          <w:sz w:val="24"/>
          <w:szCs w:val="24"/>
          <w:highlight w:val="none"/>
        </w:rPr>
      </w:pPr>
      <w:r>
        <w:rPr>
          <w:rFonts w:hint="eastAsia" w:hAnsi="宋体"/>
          <w:color w:val="auto"/>
          <w:sz w:val="24"/>
          <w:szCs w:val="24"/>
          <w:highlight w:val="none"/>
        </w:rPr>
        <w:t>招标</w:t>
      </w:r>
      <w:r>
        <w:rPr>
          <w:rFonts w:hint="eastAsia" w:hAnsi="宋体"/>
          <w:bCs/>
          <w:color w:val="auto"/>
          <w:sz w:val="24"/>
          <w:szCs w:val="24"/>
          <w:highlight w:val="none"/>
        </w:rPr>
        <w:t>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9030A9F">
      <w:pPr>
        <w:pStyle w:val="26"/>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三、质疑基本情况</w:t>
      </w:r>
    </w:p>
    <w:p w14:paraId="04BB7538">
      <w:pPr>
        <w:pStyle w:val="26"/>
        <w:spacing w:line="360" w:lineRule="auto"/>
        <w:ind w:left="25" w:firstLine="48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268C97C6">
      <w:pPr>
        <w:pStyle w:val="26"/>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AA743C5">
      <w:pPr>
        <w:pStyle w:val="26"/>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DDFC949">
      <w:pPr>
        <w:pStyle w:val="26"/>
        <w:spacing w:line="360" w:lineRule="auto"/>
        <w:ind w:firstLine="48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0D39E4F1">
      <w:pPr>
        <w:pStyle w:val="26"/>
        <w:spacing w:line="360" w:lineRule="auto"/>
        <w:ind w:left="25" w:firstLine="472"/>
        <w:rPr>
          <w:rFonts w:hAnsi="宋体"/>
          <w:b/>
          <w:color w:val="auto"/>
          <w:sz w:val="24"/>
          <w:szCs w:val="24"/>
          <w:highlight w:val="none"/>
        </w:rPr>
      </w:pPr>
      <w:r>
        <w:rPr>
          <w:rFonts w:hint="eastAsia" w:hAnsi="宋体"/>
          <w:b/>
          <w:color w:val="auto"/>
          <w:sz w:val="24"/>
          <w:szCs w:val="24"/>
          <w:highlight w:val="none"/>
        </w:rPr>
        <w:t>四、投诉事项具体内容</w:t>
      </w:r>
    </w:p>
    <w:p w14:paraId="0110A8ED">
      <w:pPr>
        <w:pStyle w:val="26"/>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772D487D">
      <w:pPr>
        <w:pStyle w:val="26"/>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1F42CCB0">
      <w:pPr>
        <w:pStyle w:val="26"/>
        <w:spacing w:line="360" w:lineRule="auto"/>
        <w:ind w:left="25" w:firstLine="472"/>
        <w:rPr>
          <w:rFonts w:hAnsi="宋体"/>
          <w:color w:val="auto"/>
          <w:sz w:val="24"/>
          <w:szCs w:val="24"/>
          <w:highlight w:val="none"/>
        </w:rPr>
      </w:pPr>
      <w:r>
        <w:rPr>
          <w:rFonts w:hint="eastAsia" w:hAnsi="宋体"/>
          <w:bCs/>
          <w:color w:val="auto"/>
          <w:sz w:val="24"/>
          <w:szCs w:val="24"/>
          <w:highlight w:val="none"/>
          <w:u w:val="single"/>
        </w:rPr>
        <w:t xml:space="preserve">                                                                                        </w:t>
      </w:r>
    </w:p>
    <w:p w14:paraId="60B342E5">
      <w:pPr>
        <w:pStyle w:val="26"/>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81A258E">
      <w:pPr>
        <w:pStyle w:val="26"/>
        <w:spacing w:line="360" w:lineRule="auto"/>
        <w:ind w:left="25" w:firstLine="352"/>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E1F94AB">
      <w:pPr>
        <w:pStyle w:val="26"/>
        <w:spacing w:line="360" w:lineRule="auto"/>
        <w:ind w:left="25" w:firstLine="472"/>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1C976D64">
      <w:pPr>
        <w:pStyle w:val="26"/>
        <w:spacing w:line="360" w:lineRule="auto"/>
        <w:ind w:left="25" w:firstLine="472"/>
        <w:rPr>
          <w:rFonts w:hAnsi="宋体"/>
          <w:bCs/>
          <w:color w:val="auto"/>
          <w:sz w:val="24"/>
          <w:szCs w:val="24"/>
          <w:highlight w:val="none"/>
        </w:rPr>
      </w:pPr>
      <w:r>
        <w:rPr>
          <w:rFonts w:hAnsi="宋体"/>
          <w:bCs/>
          <w:color w:val="auto"/>
          <w:sz w:val="24"/>
          <w:szCs w:val="24"/>
          <w:highlight w:val="none"/>
        </w:rPr>
        <w:t>……</w:t>
      </w:r>
    </w:p>
    <w:p w14:paraId="784C662C">
      <w:pPr>
        <w:pStyle w:val="26"/>
        <w:spacing w:line="360" w:lineRule="auto"/>
        <w:ind w:left="25" w:firstLine="472"/>
        <w:rPr>
          <w:rFonts w:hAnsi="宋体"/>
          <w:b/>
          <w:color w:val="auto"/>
          <w:sz w:val="24"/>
          <w:szCs w:val="24"/>
          <w:highlight w:val="none"/>
        </w:rPr>
      </w:pPr>
      <w:r>
        <w:rPr>
          <w:rFonts w:hint="eastAsia" w:hAnsi="宋体"/>
          <w:b/>
          <w:color w:val="auto"/>
          <w:sz w:val="24"/>
          <w:szCs w:val="24"/>
          <w:highlight w:val="none"/>
        </w:rPr>
        <w:t>五、与投诉事项相关的投诉请求：</w:t>
      </w:r>
    </w:p>
    <w:p w14:paraId="25F8A5D0">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FDF1E8">
      <w:pPr>
        <w:pStyle w:val="26"/>
        <w:spacing w:line="360" w:lineRule="auto"/>
        <w:ind w:left="25" w:firstLine="352"/>
        <w:rPr>
          <w:rFonts w:hAnsi="宋体"/>
          <w:color w:val="auto"/>
          <w:sz w:val="24"/>
          <w:szCs w:val="24"/>
          <w:highlight w:val="none"/>
        </w:rPr>
      </w:pPr>
    </w:p>
    <w:p w14:paraId="7F3626D9">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5B7D3D4E">
      <w:pPr>
        <w:pStyle w:val="26"/>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6EA5B785">
      <w:pPr>
        <w:pStyle w:val="26"/>
        <w:spacing w:line="360" w:lineRule="auto"/>
        <w:ind w:left="25" w:firstLine="472"/>
        <w:rPr>
          <w:rFonts w:hAnsi="宋体"/>
          <w:color w:val="auto"/>
          <w:sz w:val="24"/>
          <w:szCs w:val="24"/>
          <w:highlight w:val="none"/>
        </w:rPr>
      </w:pPr>
      <w:r>
        <w:rPr>
          <w:rFonts w:hint="eastAsia" w:hAnsi="宋体"/>
          <w:bCs/>
          <w:color w:val="auto"/>
          <w:sz w:val="24"/>
          <w:szCs w:val="24"/>
          <w:highlight w:val="none"/>
        </w:rPr>
        <w:t xml:space="preserve">                                                                              </w:t>
      </w:r>
    </w:p>
    <w:p w14:paraId="667E4F84">
      <w:pPr>
        <w:pStyle w:val="26"/>
        <w:spacing w:line="360" w:lineRule="auto"/>
        <w:rPr>
          <w:rFonts w:hAnsi="宋体"/>
          <w:b/>
          <w:color w:val="auto"/>
          <w:sz w:val="24"/>
          <w:szCs w:val="24"/>
          <w:highlight w:val="none"/>
        </w:rPr>
      </w:pPr>
      <w:r>
        <w:rPr>
          <w:rFonts w:hint="eastAsia" w:hAnsi="宋体"/>
          <w:b/>
          <w:color w:val="auto"/>
          <w:sz w:val="24"/>
          <w:szCs w:val="24"/>
          <w:highlight w:val="none"/>
        </w:rPr>
        <w:t>说明：</w:t>
      </w:r>
    </w:p>
    <w:p w14:paraId="16BD71DE">
      <w:pPr>
        <w:pStyle w:val="26"/>
        <w:spacing w:line="360" w:lineRule="auto"/>
        <w:ind w:left="25" w:firstLine="354"/>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7CC60F3C">
      <w:pPr>
        <w:pStyle w:val="26"/>
        <w:spacing w:line="360" w:lineRule="auto"/>
        <w:ind w:left="25" w:firstLine="354"/>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5437CD6">
      <w:pPr>
        <w:pStyle w:val="26"/>
        <w:spacing w:line="360" w:lineRule="auto"/>
        <w:ind w:left="25" w:firstLine="354"/>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19190A51">
      <w:pPr>
        <w:pStyle w:val="26"/>
        <w:spacing w:line="360" w:lineRule="auto"/>
        <w:ind w:left="25" w:firstLine="354"/>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0AD8077">
      <w:pPr>
        <w:pStyle w:val="26"/>
        <w:spacing w:line="360" w:lineRule="auto"/>
        <w:ind w:left="25" w:firstLine="354"/>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4B265A87">
      <w:pPr>
        <w:pStyle w:val="26"/>
        <w:spacing w:line="360" w:lineRule="auto"/>
        <w:ind w:left="25" w:firstLine="354"/>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6" w:type="first"/>
      <w:headerReference r:id="rId3" w:type="default"/>
      <w:footerReference r:id="rId4" w:type="default"/>
      <w:footerReference r:id="rId5" w:type="even"/>
      <w:pgSz w:w="11906" w:h="16838"/>
      <w:pgMar w:top="1440" w:right="1797" w:bottom="1440" w:left="1797"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_x000B__x000C_">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0000009F" w:csb1="00000000"/>
  </w:font>
  <w:font w:name="Arial Unicode MS">
    <w:altName w:val="宋体"/>
    <w:panose1 w:val="020B0604020202020204"/>
    <w:charset w:val="86"/>
    <w:family w:val="swiss"/>
    <w:pitch w:val="default"/>
    <w:sig w:usb0="00000000" w:usb1="00000000" w:usb2="0000003F" w:usb3="00000000" w:csb0="003F01FF" w:csb1="00000000"/>
  </w:font>
  <w:font w:name="华文楷体">
    <w:altName w:val="楷体_GB2312"/>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717EE">
    <w:pPr>
      <w:pStyle w:val="19"/>
      <w:jc w:val="center"/>
    </w:pPr>
    <w:r>
      <w:fldChar w:fldCharType="begin"/>
    </w:r>
    <w:r>
      <w:instrText xml:space="preserve"> PAGE   \* MERGEFORMAT </w:instrText>
    </w:r>
    <w:r>
      <w:fldChar w:fldCharType="separate"/>
    </w:r>
    <w:r>
      <w:rPr>
        <w:lang w:val="zh-CN"/>
      </w:rPr>
      <w:t>51</w:t>
    </w:r>
    <w:r>
      <w:fldChar w:fldCharType="end"/>
    </w:r>
  </w:p>
  <w:p w14:paraId="344DE4EC">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8BF21">
    <w:pPr>
      <w:pStyle w:val="19"/>
      <w:framePr w:wrap="around" w:vAnchor="text" w:hAnchor="margin" w:xAlign="center" w:y="1"/>
      <w:rPr>
        <w:rStyle w:val="57"/>
      </w:rPr>
    </w:pPr>
    <w:r>
      <w:fldChar w:fldCharType="begin"/>
    </w:r>
    <w:r>
      <w:rPr>
        <w:rStyle w:val="57"/>
      </w:rPr>
      <w:instrText xml:space="preserve">PAGE  </w:instrText>
    </w:r>
    <w:r>
      <w:fldChar w:fldCharType="end"/>
    </w:r>
  </w:p>
  <w:p w14:paraId="51F93F50">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8DE85">
    <w:pPr>
      <w:pStyle w:val="19"/>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1B9D8">
    <w:pPr>
      <w:pStyle w:val="33"/>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22"/>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2">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5C6CC1A7"/>
    <w:multiLevelType w:val="multilevel"/>
    <w:tmpl w:val="5C6CC1A7"/>
    <w:lvl w:ilvl="0" w:tentative="0">
      <w:start w:val="1"/>
      <w:numFmt w:val="decimal"/>
      <w:suff w:val="nothing"/>
      <w:lvlText w:val="%1"/>
      <w:lvlJc w:val="center"/>
      <w:pPr>
        <w:tabs>
          <w:tab w:val="left" w:pos="0"/>
        </w:tabs>
        <w:ind w:left="0" w:firstLine="0"/>
      </w:pPr>
      <w:rPr>
        <w:rFonts w:hint="default"/>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7"/>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1E6"/>
    <w:rsid w:val="004F5534"/>
    <w:rsid w:val="008041E6"/>
    <w:rsid w:val="00FD02BB"/>
    <w:rsid w:val="09540C99"/>
    <w:rsid w:val="14CB208D"/>
    <w:rsid w:val="16EA7DCF"/>
    <w:rsid w:val="18F72DE5"/>
    <w:rsid w:val="1E6D69B1"/>
    <w:rsid w:val="1E8A6AB3"/>
    <w:rsid w:val="391E4E02"/>
    <w:rsid w:val="461E495F"/>
    <w:rsid w:val="50DC60F3"/>
    <w:rsid w:val="512042FA"/>
    <w:rsid w:val="512B6F0A"/>
    <w:rsid w:val="5C17621B"/>
    <w:rsid w:val="5C280751"/>
    <w:rsid w:val="5F63514C"/>
    <w:rsid w:val="6C883488"/>
    <w:rsid w:val="75F21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qFormat="1" w:unhideWhenUsed="0" w:uiPriority="99" w:semiHidden="0"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216"/>
    <w:qFormat/>
    <w:uiPriority w:val="0"/>
    <w:pPr>
      <w:keepNext/>
      <w:keepLines/>
      <w:spacing w:before="340" w:after="330" w:line="578" w:lineRule="auto"/>
      <w:outlineLvl w:val="0"/>
    </w:pPr>
    <w:rPr>
      <w:b/>
      <w:bCs/>
      <w:sz w:val="44"/>
      <w:szCs w:val="44"/>
    </w:rPr>
  </w:style>
  <w:style w:type="paragraph" w:styleId="3">
    <w:name w:val="heading 2"/>
    <w:basedOn w:val="1"/>
    <w:next w:val="1"/>
    <w:link w:val="21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18"/>
    <w:qFormat/>
    <w:uiPriority w:val="0"/>
    <w:pPr>
      <w:keepNext/>
      <w:keepLines/>
      <w:spacing w:before="260" w:after="260" w:line="416" w:lineRule="auto"/>
      <w:outlineLvl w:val="2"/>
    </w:pPr>
    <w:rPr>
      <w:b/>
      <w:bCs/>
      <w:sz w:val="32"/>
      <w:szCs w:val="32"/>
    </w:rPr>
  </w:style>
  <w:style w:type="paragraph" w:styleId="5">
    <w:name w:val="heading 4"/>
    <w:basedOn w:val="1"/>
    <w:next w:val="1"/>
    <w:link w:val="19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7"/>
    <w:link w:val="219"/>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220"/>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221"/>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222"/>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223"/>
    <w:qFormat/>
    <w:uiPriority w:val="0"/>
    <w:pPr>
      <w:keepNext/>
      <w:keepLines/>
      <w:numPr>
        <w:ilvl w:val="8"/>
        <w:numId w:val="1"/>
      </w:numPr>
      <w:spacing w:before="240" w:after="64" w:line="320"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ind w:left="454" w:hanging="284"/>
      <w:jc w:val="left"/>
    </w:pPr>
    <w:rPr>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224"/>
    <w:unhideWhenUsed/>
    <w:qFormat/>
    <w:uiPriority w:val="0"/>
    <w:pPr>
      <w:shd w:val="clear" w:color="auto" w:fill="000080"/>
    </w:pPr>
    <w:rPr>
      <w:rFonts w:hint="eastAsia" w:ascii="宋体" w:hAnsi="宋体"/>
      <w:sz w:val="20"/>
      <w:szCs w:val="20"/>
    </w:rPr>
  </w:style>
  <w:style w:type="paragraph" w:styleId="16">
    <w:name w:val="annotation text"/>
    <w:basedOn w:val="1"/>
    <w:link w:val="225"/>
    <w:unhideWhenUsed/>
    <w:qFormat/>
    <w:uiPriority w:val="0"/>
    <w:pPr>
      <w:jc w:val="left"/>
    </w:pPr>
  </w:style>
  <w:style w:type="paragraph" w:styleId="17">
    <w:name w:val="Body Text 3"/>
    <w:basedOn w:val="1"/>
    <w:link w:val="226"/>
    <w:qFormat/>
    <w:uiPriority w:val="0"/>
    <w:pPr>
      <w:spacing w:line="500" w:lineRule="exact"/>
    </w:pPr>
    <w:rPr>
      <w:b/>
      <w:bCs/>
      <w:sz w:val="24"/>
    </w:rPr>
  </w:style>
  <w:style w:type="paragraph" w:styleId="18">
    <w:name w:val="Body Text"/>
    <w:basedOn w:val="1"/>
    <w:next w:val="19"/>
    <w:link w:val="215"/>
    <w:qFormat/>
    <w:uiPriority w:val="99"/>
    <w:pPr>
      <w:spacing w:line="380" w:lineRule="exact"/>
    </w:pPr>
    <w:rPr>
      <w:sz w:val="24"/>
    </w:rPr>
  </w:style>
  <w:style w:type="paragraph" w:styleId="19">
    <w:name w:val="footer"/>
    <w:basedOn w:val="1"/>
    <w:next w:val="1"/>
    <w:link w:val="233"/>
    <w:unhideWhenUsed/>
    <w:qFormat/>
    <w:uiPriority w:val="99"/>
    <w:pPr>
      <w:tabs>
        <w:tab w:val="center" w:pos="4153"/>
        <w:tab w:val="right" w:pos="8306"/>
      </w:tabs>
      <w:jc w:val="left"/>
    </w:pPr>
    <w:rPr>
      <w:sz w:val="18"/>
      <w:szCs w:val="18"/>
    </w:rPr>
  </w:style>
  <w:style w:type="paragraph" w:styleId="20">
    <w:name w:val="Body Text Indent"/>
    <w:basedOn w:val="1"/>
    <w:next w:val="21"/>
    <w:link w:val="227"/>
    <w:qFormat/>
    <w:uiPriority w:val="0"/>
    <w:pPr>
      <w:ind w:firstLine="830"/>
    </w:pPr>
    <w:rPr>
      <w:rFonts w:ascii="仿宋_GB2312" w:eastAsia="仿宋_GB2312"/>
      <w:sz w:val="32"/>
      <w:szCs w:val="20"/>
    </w:rPr>
  </w:style>
  <w:style w:type="paragraph" w:customStyle="1" w:styleId="21">
    <w:name w:val="样式 正文文本缩进 + 首行缩进:  2 字符 行距: 1.5 倍行距"/>
    <w:basedOn w:val="20"/>
    <w:qFormat/>
    <w:uiPriority w:val="99"/>
    <w:rPr>
      <w:rFonts w:cs="??"/>
    </w:rPr>
  </w:style>
  <w:style w:type="paragraph" w:styleId="22">
    <w:name w:val="List Number 3"/>
    <w:basedOn w:val="1"/>
    <w:qFormat/>
    <w:uiPriority w:val="0"/>
    <w:pPr>
      <w:numPr>
        <w:ilvl w:val="0"/>
        <w:numId w:val="2"/>
      </w:numPr>
    </w:pPr>
  </w:style>
  <w:style w:type="paragraph" w:styleId="23">
    <w:name w:val="List 2"/>
    <w:basedOn w:val="1"/>
    <w:qFormat/>
    <w:uiPriority w:val="0"/>
    <w:pPr>
      <w:ind w:left="100" w:hanging="200"/>
    </w:pPr>
    <w:rPr>
      <w:sz w:val="28"/>
    </w:rPr>
  </w:style>
  <w:style w:type="paragraph" w:styleId="24">
    <w:name w:val="toc 5"/>
    <w:basedOn w:val="1"/>
    <w:next w:val="1"/>
    <w:unhideWhenUsed/>
    <w:qFormat/>
    <w:uiPriority w:val="39"/>
    <w:pPr>
      <w:ind w:left="1680"/>
    </w:pPr>
    <w:rPr>
      <w:rFonts w:ascii="Calibri" w:hAnsi="Calibri"/>
      <w:szCs w:val="22"/>
    </w:rPr>
  </w:style>
  <w:style w:type="paragraph" w:styleId="25">
    <w:name w:val="toc 3"/>
    <w:basedOn w:val="1"/>
    <w:next w:val="1"/>
    <w:unhideWhenUsed/>
    <w:qFormat/>
    <w:uiPriority w:val="39"/>
    <w:pPr>
      <w:ind w:left="840"/>
    </w:pPr>
    <w:rPr>
      <w:rFonts w:ascii="Calibri" w:hAnsi="Calibri"/>
      <w:szCs w:val="22"/>
    </w:rPr>
  </w:style>
  <w:style w:type="paragraph" w:styleId="26">
    <w:name w:val="Plain Text"/>
    <w:basedOn w:val="1"/>
    <w:link w:val="228"/>
    <w:qFormat/>
    <w:uiPriority w:val="0"/>
    <w:rPr>
      <w:rFonts w:ascii="宋体" w:hAnsi="Courier New"/>
      <w:sz w:val="20"/>
      <w:szCs w:val="21"/>
    </w:rPr>
  </w:style>
  <w:style w:type="paragraph" w:styleId="27">
    <w:name w:val="toc 8"/>
    <w:basedOn w:val="1"/>
    <w:next w:val="1"/>
    <w:unhideWhenUsed/>
    <w:qFormat/>
    <w:uiPriority w:val="39"/>
    <w:pPr>
      <w:ind w:left="2940"/>
    </w:pPr>
    <w:rPr>
      <w:rFonts w:ascii="Calibri" w:hAnsi="Calibri"/>
      <w:szCs w:val="22"/>
    </w:rPr>
  </w:style>
  <w:style w:type="paragraph" w:styleId="28">
    <w:name w:val="Date"/>
    <w:basedOn w:val="1"/>
    <w:next w:val="1"/>
    <w:link w:val="229"/>
    <w:qFormat/>
    <w:uiPriority w:val="0"/>
    <w:pPr>
      <w:ind w:left="100"/>
    </w:pPr>
    <w:rPr>
      <w:rFonts w:ascii="宋体" w:hAnsi="Courier New"/>
      <w:sz w:val="20"/>
      <w:szCs w:val="21"/>
    </w:rPr>
  </w:style>
  <w:style w:type="paragraph" w:styleId="29">
    <w:name w:val="Body Text Indent 2"/>
    <w:basedOn w:val="1"/>
    <w:link w:val="230"/>
    <w:qFormat/>
    <w:uiPriority w:val="0"/>
    <w:pPr>
      <w:ind w:firstLine="630"/>
    </w:pPr>
    <w:rPr>
      <w:sz w:val="32"/>
      <w:szCs w:val="20"/>
    </w:rPr>
  </w:style>
  <w:style w:type="paragraph" w:styleId="30">
    <w:name w:val="endnote text"/>
    <w:basedOn w:val="1"/>
    <w:link w:val="231"/>
    <w:unhideWhenUsed/>
    <w:qFormat/>
    <w:uiPriority w:val="99"/>
    <w:pPr>
      <w:jc w:val="left"/>
    </w:pPr>
  </w:style>
  <w:style w:type="paragraph" w:styleId="31">
    <w:name w:val="Balloon Text"/>
    <w:basedOn w:val="1"/>
    <w:link w:val="232"/>
    <w:semiHidden/>
    <w:qFormat/>
    <w:uiPriority w:val="0"/>
    <w:rPr>
      <w:sz w:val="18"/>
      <w:szCs w:val="18"/>
    </w:rPr>
  </w:style>
  <w:style w:type="paragraph" w:styleId="32">
    <w:name w:val="envelope return"/>
    <w:basedOn w:val="1"/>
    <w:qFormat/>
    <w:uiPriority w:val="99"/>
    <w:rPr>
      <w:rFonts w:ascii="Arial" w:hAnsi="Arial"/>
    </w:rPr>
  </w:style>
  <w:style w:type="paragraph" w:styleId="33">
    <w:name w:val="header"/>
    <w:basedOn w:val="1"/>
    <w:link w:val="234"/>
    <w:unhideWhenUsed/>
    <w:qFormat/>
    <w:uiPriority w:val="99"/>
    <w:pPr>
      <w:pBdr>
        <w:bottom w:val="single" w:color="000000" w:sz="6" w:space="1"/>
      </w:pBdr>
      <w:tabs>
        <w:tab w:val="center" w:pos="0"/>
        <w:tab w:val="left" w:pos="8306"/>
      </w:tabs>
      <w:jc w:val="center"/>
    </w:pPr>
    <w:rPr>
      <w:sz w:val="18"/>
      <w:szCs w:val="18"/>
    </w:rPr>
  </w:style>
  <w:style w:type="paragraph" w:styleId="34">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5">
    <w:name w:val="toc 4"/>
    <w:basedOn w:val="1"/>
    <w:next w:val="1"/>
    <w:unhideWhenUsed/>
    <w:qFormat/>
    <w:uiPriority w:val="39"/>
    <w:pPr>
      <w:ind w:left="1260"/>
    </w:pPr>
    <w:rPr>
      <w:rFonts w:ascii="Calibri" w:hAnsi="Calibri"/>
      <w:szCs w:val="22"/>
    </w:rPr>
  </w:style>
  <w:style w:type="paragraph" w:styleId="36">
    <w:name w:val="Subtitle"/>
    <w:basedOn w:val="1"/>
    <w:next w:val="1"/>
    <w:link w:val="19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7">
    <w:name w:val="List"/>
    <w:basedOn w:val="1"/>
    <w:qFormat/>
    <w:uiPriority w:val="0"/>
    <w:pPr>
      <w:ind w:left="200" w:hanging="200"/>
    </w:pPr>
    <w:rPr>
      <w:sz w:val="28"/>
    </w:rPr>
  </w:style>
  <w:style w:type="paragraph" w:styleId="38">
    <w:name w:val="footnote text"/>
    <w:basedOn w:val="1"/>
    <w:link w:val="235"/>
    <w:unhideWhenUsed/>
    <w:qFormat/>
    <w:uiPriority w:val="99"/>
    <w:pPr>
      <w:jc w:val="left"/>
    </w:pPr>
    <w:rPr>
      <w:sz w:val="18"/>
      <w:szCs w:val="18"/>
    </w:rPr>
  </w:style>
  <w:style w:type="paragraph" w:styleId="39">
    <w:name w:val="toc 6"/>
    <w:basedOn w:val="1"/>
    <w:next w:val="1"/>
    <w:unhideWhenUsed/>
    <w:qFormat/>
    <w:uiPriority w:val="39"/>
    <w:pPr>
      <w:ind w:left="2100"/>
    </w:pPr>
    <w:rPr>
      <w:rFonts w:ascii="Calibri" w:hAnsi="Calibri"/>
      <w:szCs w:val="22"/>
    </w:rPr>
  </w:style>
  <w:style w:type="paragraph" w:styleId="40">
    <w:name w:val="Body Text Indent 3"/>
    <w:basedOn w:val="1"/>
    <w:link w:val="236"/>
    <w:qFormat/>
    <w:uiPriority w:val="0"/>
    <w:pPr>
      <w:spacing w:after="120"/>
      <w:ind w:left="420"/>
    </w:pPr>
    <w:rPr>
      <w:sz w:val="16"/>
      <w:szCs w:val="16"/>
    </w:rPr>
  </w:style>
  <w:style w:type="paragraph" w:styleId="41">
    <w:name w:val="table of figures"/>
    <w:basedOn w:val="1"/>
    <w:next w:val="1"/>
    <w:unhideWhenUsed/>
    <w:qFormat/>
    <w:uiPriority w:val="99"/>
  </w:style>
  <w:style w:type="paragraph" w:styleId="42">
    <w:name w:val="toc 2"/>
    <w:basedOn w:val="1"/>
    <w:next w:val="1"/>
    <w:unhideWhenUsed/>
    <w:qFormat/>
    <w:uiPriority w:val="39"/>
    <w:pPr>
      <w:ind w:left="420"/>
    </w:pPr>
  </w:style>
  <w:style w:type="paragraph" w:styleId="43">
    <w:name w:val="toc 9"/>
    <w:basedOn w:val="1"/>
    <w:next w:val="1"/>
    <w:unhideWhenUsed/>
    <w:qFormat/>
    <w:uiPriority w:val="39"/>
    <w:pPr>
      <w:ind w:left="3360"/>
    </w:pPr>
    <w:rPr>
      <w:rFonts w:ascii="Calibri" w:hAnsi="Calibri"/>
      <w:szCs w:val="22"/>
    </w:rPr>
  </w:style>
  <w:style w:type="paragraph" w:styleId="44">
    <w:name w:val="Body Text 2"/>
    <w:basedOn w:val="1"/>
    <w:link w:val="237"/>
    <w:qFormat/>
    <w:uiPriority w:val="0"/>
    <w:pPr>
      <w:spacing w:after="120" w:line="480" w:lineRule="auto"/>
    </w:pPr>
    <w:rPr>
      <w:sz w:val="20"/>
    </w:rPr>
  </w:style>
  <w:style w:type="paragraph" w:styleId="45">
    <w:name w:val="Normal (Web)"/>
    <w:basedOn w:val="1"/>
    <w:qFormat/>
    <w:uiPriority w:val="99"/>
    <w:pPr>
      <w:widowControl/>
      <w:spacing w:before="100" w:beforeAutospacing="1" w:after="100" w:afterAutospacing="1"/>
      <w:jc w:val="left"/>
    </w:pPr>
    <w:rPr>
      <w:rFonts w:ascii="宋体" w:hAnsi="宋体"/>
      <w:sz w:val="24"/>
    </w:rPr>
  </w:style>
  <w:style w:type="paragraph" w:styleId="46">
    <w:name w:val="index 1"/>
    <w:basedOn w:val="1"/>
    <w:next w:val="1"/>
    <w:semiHidden/>
    <w:qFormat/>
    <w:uiPriority w:val="0"/>
    <w:pPr>
      <w:spacing w:line="400" w:lineRule="exact"/>
      <w:ind w:firstLine="420"/>
    </w:pPr>
    <w:rPr>
      <w:rFonts w:ascii="宋体" w:hAnsi="Courier New"/>
      <w:b/>
      <w:szCs w:val="20"/>
    </w:rPr>
  </w:style>
  <w:style w:type="paragraph" w:styleId="47">
    <w:name w:val="Title"/>
    <w:basedOn w:val="1"/>
    <w:link w:val="238"/>
    <w:qFormat/>
    <w:uiPriority w:val="10"/>
    <w:pPr>
      <w:spacing w:before="240" w:after="60"/>
      <w:jc w:val="center"/>
      <w:outlineLvl w:val="0"/>
    </w:pPr>
    <w:rPr>
      <w:rFonts w:ascii="Cambria" w:hAnsi="Cambria"/>
      <w:b/>
      <w:bCs/>
      <w:sz w:val="32"/>
      <w:szCs w:val="32"/>
    </w:rPr>
  </w:style>
  <w:style w:type="paragraph" w:styleId="48">
    <w:name w:val="annotation subject"/>
    <w:basedOn w:val="16"/>
    <w:next w:val="16"/>
    <w:link w:val="239"/>
    <w:unhideWhenUsed/>
    <w:qFormat/>
    <w:uiPriority w:val="99"/>
    <w:rPr>
      <w:b/>
      <w:bCs/>
    </w:rPr>
  </w:style>
  <w:style w:type="paragraph" w:styleId="49">
    <w:name w:val="Body Text First Indent"/>
    <w:basedOn w:val="18"/>
    <w:unhideWhenUsed/>
    <w:qFormat/>
    <w:uiPriority w:val="0"/>
    <w:pPr>
      <w:ind w:firstLine="420"/>
    </w:pPr>
    <w:rPr>
      <w:sz w:val="21"/>
    </w:rPr>
  </w:style>
  <w:style w:type="paragraph" w:styleId="50">
    <w:name w:val="Body Text First Indent 2"/>
    <w:basedOn w:val="20"/>
    <w:next w:val="51"/>
    <w:qFormat/>
    <w:uiPriority w:val="99"/>
    <w:pPr>
      <w:ind w:firstLine="420"/>
    </w:pPr>
  </w:style>
  <w:style w:type="paragraph" w:customStyle="1" w:styleId="51">
    <w:name w:val="**正文"/>
    <w:basedOn w:val="1"/>
    <w:qFormat/>
    <w:uiPriority w:val="99"/>
    <w:pPr>
      <w:ind w:firstLine="482"/>
    </w:pPr>
    <w:rPr>
      <w:rFonts w:ascii="??" w:hAnsi="??"/>
      <w:sz w:val="24"/>
    </w:rPr>
  </w:style>
  <w:style w:type="table" w:styleId="53">
    <w:name w:val="Table Grid"/>
    <w:basedOn w:val="52"/>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5">
    <w:name w:val="Strong"/>
    <w:basedOn w:val="54"/>
    <w:qFormat/>
    <w:uiPriority w:val="22"/>
    <w:rPr>
      <w:b/>
    </w:rPr>
  </w:style>
  <w:style w:type="character" w:styleId="56">
    <w:name w:val="endnote reference"/>
    <w:unhideWhenUsed/>
    <w:qFormat/>
    <w:uiPriority w:val="99"/>
    <w:rPr>
      <w:vertAlign w:val="superscript"/>
    </w:rPr>
  </w:style>
  <w:style w:type="character" w:styleId="57">
    <w:name w:val="page number"/>
    <w:qFormat/>
    <w:uiPriority w:val="0"/>
  </w:style>
  <w:style w:type="character" w:styleId="58">
    <w:name w:val="FollowedHyperlink"/>
    <w:qFormat/>
    <w:uiPriority w:val="0"/>
    <w:rPr>
      <w:color w:val="800080"/>
      <w:u w:val="single"/>
    </w:rPr>
  </w:style>
  <w:style w:type="character" w:styleId="59">
    <w:name w:val="Emphasis"/>
    <w:basedOn w:val="54"/>
    <w:qFormat/>
    <w:uiPriority w:val="20"/>
    <w:rPr>
      <w:i/>
      <w:iCs/>
    </w:rPr>
  </w:style>
  <w:style w:type="character" w:styleId="60">
    <w:name w:val="Hyperlink"/>
    <w:qFormat/>
    <w:uiPriority w:val="99"/>
    <w:rPr>
      <w:color w:val="0000FF"/>
      <w:u w:val="single"/>
    </w:rPr>
  </w:style>
  <w:style w:type="character" w:styleId="61">
    <w:name w:val="annotation reference"/>
    <w:unhideWhenUsed/>
    <w:qFormat/>
    <w:uiPriority w:val="0"/>
    <w:rPr>
      <w:sz w:val="21"/>
      <w:szCs w:val="21"/>
    </w:rPr>
  </w:style>
  <w:style w:type="character" w:styleId="62">
    <w:name w:val="footnote reference"/>
    <w:unhideWhenUsed/>
    <w:qFormat/>
    <w:uiPriority w:val="99"/>
    <w:rPr>
      <w:vertAlign w:val="superscript"/>
    </w:rPr>
  </w:style>
  <w:style w:type="table" w:customStyle="1" w:styleId="63">
    <w:name w:val="Table Grid Light"/>
    <w:basedOn w:val="5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4">
    <w:name w:val="无格式表格 11"/>
    <w:basedOn w:val="5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5">
    <w:name w:val="无格式表格 21"/>
    <w:basedOn w:val="5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6">
    <w:name w:val="无格式表格 31"/>
    <w:basedOn w:val="52"/>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7">
    <w:name w:val="无格式表格 41"/>
    <w:basedOn w:val="52"/>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8">
    <w:name w:val="无格式表格 51"/>
    <w:basedOn w:val="52"/>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9">
    <w:name w:val="网格表 1 浅色1"/>
    <w:basedOn w:val="5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0">
    <w:name w:val="Grid Table 1 Light - Accent 1"/>
    <w:basedOn w:val="52"/>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1">
    <w:name w:val="Grid Table 1 Light - Accent 2"/>
    <w:basedOn w:val="5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2">
    <w:name w:val="Grid Table 1 Light - Accent 3"/>
    <w:basedOn w:val="52"/>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3">
    <w:name w:val="Grid Table 1 Light - Accent 4"/>
    <w:basedOn w:val="52"/>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4">
    <w:name w:val="Grid Table 1 Light - Accent 5"/>
    <w:basedOn w:val="5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5">
    <w:name w:val="Grid Table 1 Light - Accent 6"/>
    <w:basedOn w:val="52"/>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6">
    <w:name w:val="网格表 21"/>
    <w:basedOn w:val="5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2 - Accent 1"/>
    <w:basedOn w:val="52"/>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8">
    <w:name w:val="Grid Table 2 - Accent 2"/>
    <w:basedOn w:val="5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9">
    <w:name w:val="Grid Table 2 - Accent 3"/>
    <w:basedOn w:val="52"/>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0">
    <w:name w:val="Grid Table 2 - Accent 4"/>
    <w:basedOn w:val="52"/>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1">
    <w:name w:val="Grid Table 2 - Accent 5"/>
    <w:basedOn w:val="52"/>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2">
    <w:name w:val="Grid Table 2 - Accent 6"/>
    <w:basedOn w:val="52"/>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3">
    <w:name w:val="网格表 31"/>
    <w:basedOn w:val="5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3 - Accent 1"/>
    <w:basedOn w:val="52"/>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5">
    <w:name w:val="Grid Table 3 - Accent 2"/>
    <w:basedOn w:val="5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6">
    <w:name w:val="Grid Table 3 - Accent 3"/>
    <w:basedOn w:val="52"/>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7">
    <w:name w:val="Grid Table 3 - Accent 4"/>
    <w:basedOn w:val="52"/>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8">
    <w:name w:val="Grid Table 3 - Accent 5"/>
    <w:basedOn w:val="52"/>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9">
    <w:name w:val="Grid Table 3 - Accent 6"/>
    <w:basedOn w:val="52"/>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0">
    <w:name w:val="网格表 41"/>
    <w:basedOn w:val="5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1">
    <w:name w:val="Grid Table 4 - Accent 1"/>
    <w:basedOn w:val="52"/>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2">
    <w:name w:val="Grid Table 4 - Accent 2"/>
    <w:basedOn w:val="5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3">
    <w:name w:val="Grid Table 4 - Accent 3"/>
    <w:basedOn w:val="52"/>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4">
    <w:name w:val="Grid Table 4 - Accent 4"/>
    <w:basedOn w:val="52"/>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5">
    <w:name w:val="Grid Table 4 - Accent 5"/>
    <w:basedOn w:val="52"/>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6">
    <w:name w:val="Grid Table 4 - Accent 6"/>
    <w:basedOn w:val="52"/>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7">
    <w:name w:val="网格表 5 深色1"/>
    <w:basedOn w:val="5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8">
    <w:name w:val="Grid Table 5 Dark- Accent 1"/>
    <w:basedOn w:val="5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9">
    <w:name w:val="Grid Table 5 Dark - Accent 2"/>
    <w:basedOn w:val="5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0">
    <w:name w:val="Grid Table 5 Dark - Accent 3"/>
    <w:basedOn w:val="5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1">
    <w:name w:val="Grid Table 5 Dark- Accent 4"/>
    <w:basedOn w:val="5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2">
    <w:name w:val="Grid Table 5 Dark - Accent 5"/>
    <w:basedOn w:val="5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3">
    <w:name w:val="Grid Table 5 Dark - Accent 6"/>
    <w:basedOn w:val="5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4">
    <w:name w:val="网格表 6 彩色1"/>
    <w:basedOn w:val="5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5">
    <w:name w:val="Grid Table 6 Colorful - Accent 1"/>
    <w:basedOn w:val="52"/>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6">
    <w:name w:val="Grid Table 6 Colorful - Accent 2"/>
    <w:basedOn w:val="5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7">
    <w:name w:val="Grid Table 6 Colorful - Accent 3"/>
    <w:basedOn w:val="52"/>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8">
    <w:name w:val="Grid Table 6 Colorful - Accent 4"/>
    <w:basedOn w:val="52"/>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9">
    <w:name w:val="Grid Table 6 Colorful - Accent 5"/>
    <w:basedOn w:val="52"/>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0">
    <w:name w:val="Grid Table 6 Colorful - Accent 6"/>
    <w:basedOn w:val="52"/>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1">
    <w:name w:val="网格表 7 彩色1"/>
    <w:basedOn w:val="5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2">
    <w:name w:val="Grid Table 7 Colorful - Accent 1"/>
    <w:basedOn w:val="52"/>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3">
    <w:name w:val="Grid Table 7 Colorful - Accent 2"/>
    <w:basedOn w:val="5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4">
    <w:name w:val="Grid Table 7 Colorful - Accent 3"/>
    <w:basedOn w:val="52"/>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5">
    <w:name w:val="Grid Table 7 Colorful - Accent 4"/>
    <w:basedOn w:val="52"/>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6">
    <w:name w:val="Grid Table 7 Colorful - Accent 5"/>
    <w:basedOn w:val="52"/>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7">
    <w:name w:val="Grid Table 7 Colorful - Accent 6"/>
    <w:basedOn w:val="52"/>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8">
    <w:name w:val="清单表 1 浅色1"/>
    <w:basedOn w:val="52"/>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9">
    <w:name w:val="List Table 1 Light - Accent 1"/>
    <w:basedOn w:val="52"/>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0">
    <w:name w:val="List Table 1 Light - Accent 2"/>
    <w:basedOn w:val="52"/>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1">
    <w:name w:val="List Table 1 Light - Accent 3"/>
    <w:basedOn w:val="52"/>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2">
    <w:name w:val="List Table 1 Light - Accent 4"/>
    <w:basedOn w:val="52"/>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3">
    <w:name w:val="List Table 1 Light - Accent 5"/>
    <w:basedOn w:val="52"/>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4">
    <w:name w:val="List Table 1 Light - Accent 6"/>
    <w:basedOn w:val="52"/>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5">
    <w:name w:val="清单表 21"/>
    <w:basedOn w:val="5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6">
    <w:name w:val="List Table 2 - Accent 1"/>
    <w:basedOn w:val="52"/>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7">
    <w:name w:val="List Table 2 - Accent 2"/>
    <w:basedOn w:val="5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8">
    <w:name w:val="List Table 2 - Accent 3"/>
    <w:basedOn w:val="52"/>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9">
    <w:name w:val="List Table 2 - Accent 4"/>
    <w:basedOn w:val="52"/>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0">
    <w:name w:val="List Table 2 - Accent 5"/>
    <w:basedOn w:val="52"/>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1">
    <w:name w:val="List Table 2 - Accent 6"/>
    <w:basedOn w:val="52"/>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2">
    <w:name w:val="清单表 31"/>
    <w:basedOn w:val="5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3">
    <w:name w:val="List Table 3 - Accent 1"/>
    <w:basedOn w:val="52"/>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4">
    <w:name w:val="List Table 3 - Accent 2"/>
    <w:basedOn w:val="5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5">
    <w:name w:val="List Table 3 - Accent 3"/>
    <w:basedOn w:val="52"/>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6">
    <w:name w:val="List Table 3 - Accent 4"/>
    <w:basedOn w:val="52"/>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7">
    <w:name w:val="List Table 3 - Accent 5"/>
    <w:basedOn w:val="52"/>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8">
    <w:name w:val="List Table 3 - Accent 6"/>
    <w:basedOn w:val="52"/>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9">
    <w:name w:val="清单表 41"/>
    <w:basedOn w:val="5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0">
    <w:name w:val="List Table 4 - Accent 1"/>
    <w:basedOn w:val="52"/>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1">
    <w:name w:val="List Table 4 - Accent 2"/>
    <w:basedOn w:val="5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2">
    <w:name w:val="List Table 4 - Accent 3"/>
    <w:basedOn w:val="52"/>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3">
    <w:name w:val="List Table 4 - Accent 4"/>
    <w:basedOn w:val="52"/>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4">
    <w:name w:val="List Table 4 - Accent 5"/>
    <w:basedOn w:val="52"/>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5">
    <w:name w:val="List Table 4 - Accent 6"/>
    <w:basedOn w:val="52"/>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6">
    <w:name w:val="清单表 5 深色1"/>
    <w:basedOn w:val="5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7">
    <w:name w:val="List Table 5 Dark - Accent 1"/>
    <w:basedOn w:val="52"/>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8">
    <w:name w:val="List Table 5 Dark - Accent 2"/>
    <w:basedOn w:val="5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9">
    <w:name w:val="List Table 5 Dark - Accent 3"/>
    <w:basedOn w:val="52"/>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0">
    <w:name w:val="List Table 5 Dark - Accent 4"/>
    <w:basedOn w:val="52"/>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1">
    <w:name w:val="List Table 5 Dark - Accent 5"/>
    <w:basedOn w:val="52"/>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2">
    <w:name w:val="List Table 5 Dark - Accent 6"/>
    <w:basedOn w:val="52"/>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3">
    <w:name w:val="清单表 6 彩色1"/>
    <w:basedOn w:val="52"/>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4">
    <w:name w:val="List Table 6 Colorful - Accent 1"/>
    <w:basedOn w:val="52"/>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5">
    <w:name w:val="List Table 6 Colorful - Accent 2"/>
    <w:basedOn w:val="52"/>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6">
    <w:name w:val="List Table 6 Colorful - Accent 3"/>
    <w:basedOn w:val="52"/>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7">
    <w:name w:val="List Table 6 Colorful - Accent 4"/>
    <w:basedOn w:val="52"/>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8">
    <w:name w:val="List Table 6 Colorful - Accent 5"/>
    <w:basedOn w:val="52"/>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9">
    <w:name w:val="List Table 6 Colorful - Accent 6"/>
    <w:basedOn w:val="52"/>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0">
    <w:name w:val="清单表 7 彩色1"/>
    <w:basedOn w:val="52"/>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1">
    <w:name w:val="List Table 7 Colorful - Accent 1"/>
    <w:basedOn w:val="52"/>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2">
    <w:name w:val="List Table 7 Colorful - Accent 2"/>
    <w:basedOn w:val="52"/>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3">
    <w:name w:val="List Table 7 Colorful - Accent 3"/>
    <w:basedOn w:val="52"/>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4">
    <w:name w:val="List Table 7 Colorful - Accent 4"/>
    <w:basedOn w:val="52"/>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5">
    <w:name w:val="List Table 7 Colorful - Accent 5"/>
    <w:basedOn w:val="52"/>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6">
    <w:name w:val="List Table 7 Colorful - Accent 6"/>
    <w:basedOn w:val="52"/>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7">
    <w:name w:val="Lined - Accent"/>
    <w:basedOn w:val="5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8">
    <w:name w:val="Lined - Accent 1"/>
    <w:basedOn w:val="5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9">
    <w:name w:val="Lined - Accent 2"/>
    <w:basedOn w:val="5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0">
    <w:name w:val="Lined - Accent 3"/>
    <w:basedOn w:val="5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1">
    <w:name w:val="Lined - Accent 4"/>
    <w:basedOn w:val="5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2">
    <w:name w:val="Lined - Accent 5"/>
    <w:basedOn w:val="5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3">
    <w:name w:val="Lined - Accent 6"/>
    <w:basedOn w:val="5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4">
    <w:name w:val="Bordered &amp; Lined - Accent"/>
    <w:basedOn w:val="52"/>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5">
    <w:name w:val="Bordered &amp; Lined - Accent 1"/>
    <w:basedOn w:val="52"/>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6">
    <w:name w:val="Bordered &amp; Lined - Accent 2"/>
    <w:basedOn w:val="5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7">
    <w:name w:val="Bordered &amp; Lined - Accent 3"/>
    <w:basedOn w:val="52"/>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8">
    <w:name w:val="Bordered &amp; Lined - Accent 4"/>
    <w:basedOn w:val="52"/>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9">
    <w:name w:val="Bordered &amp; Lined - Accent 5"/>
    <w:basedOn w:val="52"/>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0">
    <w:name w:val="Bordered &amp; Lined - Accent 6"/>
    <w:basedOn w:val="52"/>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1">
    <w:name w:val="Bordered"/>
    <w:basedOn w:val="5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2">
    <w:name w:val="Bordered - Accent 1"/>
    <w:basedOn w:val="52"/>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3">
    <w:name w:val="Bordered - Accent 2"/>
    <w:basedOn w:val="5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4">
    <w:name w:val="Bordered - Accent 3"/>
    <w:basedOn w:val="52"/>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5">
    <w:name w:val="Bordered - Accent 4"/>
    <w:basedOn w:val="52"/>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6">
    <w:name w:val="Bordered - Accent 5"/>
    <w:basedOn w:val="5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7">
    <w:name w:val="Bordered - Accent 6"/>
    <w:basedOn w:val="52"/>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8">
    <w:name w:val="Heading 1 Char"/>
    <w:basedOn w:val="54"/>
    <w:qFormat/>
    <w:uiPriority w:val="9"/>
    <w:rPr>
      <w:rFonts w:ascii="Arial" w:hAnsi="Arial" w:eastAsia="Arial" w:cs="Arial"/>
      <w:color w:val="376092" w:themeColor="accent1" w:themeShade="BF"/>
      <w:sz w:val="40"/>
      <w:szCs w:val="40"/>
    </w:rPr>
  </w:style>
  <w:style w:type="character" w:customStyle="1" w:styleId="189">
    <w:name w:val="Heading 2 Char"/>
    <w:basedOn w:val="54"/>
    <w:qFormat/>
    <w:uiPriority w:val="9"/>
    <w:rPr>
      <w:rFonts w:ascii="Arial" w:hAnsi="Arial" w:eastAsia="Arial" w:cs="Arial"/>
      <w:color w:val="376092" w:themeColor="accent1" w:themeShade="BF"/>
      <w:sz w:val="32"/>
      <w:szCs w:val="32"/>
    </w:rPr>
  </w:style>
  <w:style w:type="character" w:customStyle="1" w:styleId="190">
    <w:name w:val="Heading 3 Char"/>
    <w:basedOn w:val="54"/>
    <w:qFormat/>
    <w:uiPriority w:val="9"/>
    <w:rPr>
      <w:rFonts w:ascii="Arial" w:hAnsi="Arial" w:eastAsia="Arial" w:cs="Arial"/>
      <w:color w:val="376092" w:themeColor="accent1" w:themeShade="BF"/>
      <w:sz w:val="28"/>
      <w:szCs w:val="28"/>
    </w:rPr>
  </w:style>
  <w:style w:type="character" w:customStyle="1" w:styleId="191">
    <w:name w:val="标题 4 Char"/>
    <w:basedOn w:val="54"/>
    <w:link w:val="5"/>
    <w:qFormat/>
    <w:uiPriority w:val="9"/>
    <w:rPr>
      <w:rFonts w:ascii="Arial" w:hAnsi="Arial" w:eastAsia="Arial" w:cs="Arial"/>
      <w:i/>
      <w:iCs/>
      <w:color w:val="376092" w:themeColor="accent1" w:themeShade="BF"/>
    </w:rPr>
  </w:style>
  <w:style w:type="character" w:customStyle="1" w:styleId="192">
    <w:name w:val="Heading 5 Char"/>
    <w:basedOn w:val="54"/>
    <w:qFormat/>
    <w:uiPriority w:val="9"/>
    <w:rPr>
      <w:rFonts w:ascii="Arial" w:hAnsi="Arial" w:eastAsia="Arial" w:cs="Arial"/>
      <w:color w:val="376092" w:themeColor="accent1" w:themeShade="BF"/>
    </w:rPr>
  </w:style>
  <w:style w:type="character" w:customStyle="1" w:styleId="193">
    <w:name w:val="Heading 6 Char"/>
    <w:basedOn w:val="54"/>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4">
    <w:name w:val="Heading 7 Char"/>
    <w:basedOn w:val="54"/>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95">
    <w:name w:val="Heading 8 Char"/>
    <w:basedOn w:val="54"/>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6">
    <w:name w:val="Heading 9 Char"/>
    <w:basedOn w:val="54"/>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7">
    <w:name w:val="Title Char"/>
    <w:basedOn w:val="54"/>
    <w:qFormat/>
    <w:uiPriority w:val="10"/>
    <w:rPr>
      <w:rFonts w:ascii="Arial" w:hAnsi="Arial" w:eastAsia="Arial" w:cs="Arial"/>
      <w:spacing w:val="-10"/>
      <w:sz w:val="56"/>
      <w:szCs w:val="56"/>
    </w:rPr>
  </w:style>
  <w:style w:type="character" w:customStyle="1" w:styleId="198">
    <w:name w:val="副标题 Char"/>
    <w:basedOn w:val="54"/>
    <w:link w:val="3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9">
    <w:name w:val="Quote"/>
    <w:basedOn w:val="1"/>
    <w:next w:val="1"/>
    <w:link w:val="20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0">
    <w:name w:val="引用 Char"/>
    <w:basedOn w:val="54"/>
    <w:link w:val="199"/>
    <w:qFormat/>
    <w:uiPriority w:val="29"/>
    <w:rPr>
      <w:i/>
      <w:iCs/>
      <w:color w:val="404040" w:themeColor="text1" w:themeTint="BF"/>
      <w14:textFill>
        <w14:solidFill>
          <w14:schemeClr w14:val="tx1">
            <w14:lumMod w14:val="75000"/>
            <w14:lumOff w14:val="25000"/>
          </w14:schemeClr>
        </w14:solidFill>
      </w14:textFill>
    </w:rPr>
  </w:style>
  <w:style w:type="character" w:customStyle="1" w:styleId="201">
    <w:name w:val="明显强调1"/>
    <w:basedOn w:val="54"/>
    <w:qFormat/>
    <w:uiPriority w:val="21"/>
    <w:rPr>
      <w:i/>
      <w:iCs/>
      <w:color w:val="376092" w:themeColor="accent1" w:themeShade="BF"/>
    </w:rPr>
  </w:style>
  <w:style w:type="paragraph" w:styleId="202">
    <w:name w:val="Intense Quote"/>
    <w:basedOn w:val="1"/>
    <w:next w:val="1"/>
    <w:link w:val="203"/>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03">
    <w:name w:val="明显引用 Char"/>
    <w:basedOn w:val="54"/>
    <w:link w:val="202"/>
    <w:qFormat/>
    <w:uiPriority w:val="30"/>
    <w:rPr>
      <w:i/>
      <w:iCs/>
      <w:color w:val="376092" w:themeColor="accent1" w:themeShade="BF"/>
    </w:rPr>
  </w:style>
  <w:style w:type="character" w:customStyle="1" w:styleId="204">
    <w:name w:val="明显参考1"/>
    <w:basedOn w:val="54"/>
    <w:qFormat/>
    <w:uiPriority w:val="32"/>
    <w:rPr>
      <w:b/>
      <w:bCs/>
      <w:smallCaps/>
      <w:color w:val="376092" w:themeColor="accent1" w:themeShade="BF"/>
      <w:spacing w:val="5"/>
    </w:rPr>
  </w:style>
  <w:style w:type="character" w:customStyle="1" w:styleId="205">
    <w:name w:val="不明显强调1"/>
    <w:basedOn w:val="54"/>
    <w:qFormat/>
    <w:uiPriority w:val="19"/>
    <w:rPr>
      <w:i/>
      <w:iCs/>
      <w:color w:val="404040" w:themeColor="text1" w:themeTint="BF"/>
      <w14:textFill>
        <w14:solidFill>
          <w14:schemeClr w14:val="tx1">
            <w14:lumMod w14:val="75000"/>
            <w14:lumOff w14:val="25000"/>
          </w14:schemeClr>
        </w14:solidFill>
      </w14:textFill>
    </w:rPr>
  </w:style>
  <w:style w:type="character" w:customStyle="1" w:styleId="206">
    <w:name w:val="不明显参考1"/>
    <w:basedOn w:val="5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7">
    <w:name w:val="书籍标题1"/>
    <w:basedOn w:val="54"/>
    <w:qFormat/>
    <w:uiPriority w:val="33"/>
    <w:rPr>
      <w:b/>
      <w:bCs/>
      <w:i/>
      <w:iCs/>
      <w:spacing w:val="5"/>
    </w:rPr>
  </w:style>
  <w:style w:type="character" w:customStyle="1" w:styleId="208">
    <w:name w:val="Header Char"/>
    <w:basedOn w:val="54"/>
    <w:qFormat/>
    <w:uiPriority w:val="99"/>
  </w:style>
  <w:style w:type="character" w:customStyle="1" w:styleId="209">
    <w:name w:val="Footer Char"/>
    <w:basedOn w:val="54"/>
    <w:qFormat/>
    <w:uiPriority w:val="99"/>
  </w:style>
  <w:style w:type="character" w:customStyle="1" w:styleId="210">
    <w:name w:val="Footnote Text Char"/>
    <w:basedOn w:val="54"/>
    <w:semiHidden/>
    <w:qFormat/>
    <w:uiPriority w:val="99"/>
    <w:rPr>
      <w:sz w:val="20"/>
      <w:szCs w:val="20"/>
    </w:rPr>
  </w:style>
  <w:style w:type="character" w:customStyle="1" w:styleId="211">
    <w:name w:val="Endnote Text Char"/>
    <w:basedOn w:val="54"/>
    <w:semiHidden/>
    <w:qFormat/>
    <w:uiPriority w:val="99"/>
    <w:rPr>
      <w:sz w:val="20"/>
      <w:szCs w:val="20"/>
    </w:rPr>
  </w:style>
  <w:style w:type="character" w:styleId="212">
    <w:name w:val="Placeholder Text"/>
    <w:basedOn w:val="54"/>
    <w:semiHidden/>
    <w:qFormat/>
    <w:uiPriority w:val="99"/>
    <w:rPr>
      <w:color w:val="666666"/>
    </w:rPr>
  </w:style>
  <w:style w:type="paragraph" w:customStyle="1" w:styleId="213">
    <w:name w:val="TOC 标题1"/>
    <w:unhideWhenUsed/>
    <w:qFormat/>
    <w:uiPriority w:val="39"/>
    <w:rPr>
      <w:rFonts w:ascii="Times New Roman" w:hAnsi="Times New Roman" w:eastAsia="宋体" w:cs="Times New Roman"/>
      <w:lang w:val="en-US" w:eastAsia="zh-CN" w:bidi="ar-SA"/>
    </w:rPr>
  </w:style>
  <w:style w:type="paragraph" w:customStyle="1" w:styleId="214">
    <w:name w:val="首行缩进"/>
    <w:basedOn w:val="1"/>
    <w:qFormat/>
    <w:uiPriority w:val="0"/>
    <w:pPr>
      <w:widowControl/>
      <w:ind w:firstLine="480"/>
      <w:jc w:val="left"/>
    </w:pPr>
    <w:rPr>
      <w:sz w:val="24"/>
      <w:lang w:val="zh-CN"/>
    </w:rPr>
  </w:style>
  <w:style w:type="character" w:customStyle="1" w:styleId="215">
    <w:name w:val="正文文本 Char"/>
    <w:link w:val="18"/>
    <w:qFormat/>
    <w:uiPriority w:val="99"/>
    <w:rPr>
      <w:rFonts w:ascii="Times New Roman" w:hAnsi="Times New Roman" w:eastAsia="宋体" w:cs="Times New Roman"/>
      <w:sz w:val="24"/>
      <w:szCs w:val="24"/>
    </w:rPr>
  </w:style>
  <w:style w:type="character" w:customStyle="1" w:styleId="216">
    <w:name w:val="标题 1 Char"/>
    <w:link w:val="2"/>
    <w:qFormat/>
    <w:uiPriority w:val="0"/>
    <w:rPr>
      <w:rFonts w:ascii="Times New Roman" w:hAnsi="Times New Roman" w:eastAsia="宋体" w:cs="Times New Roman"/>
      <w:b/>
      <w:bCs/>
      <w:sz w:val="44"/>
      <w:szCs w:val="44"/>
    </w:rPr>
  </w:style>
  <w:style w:type="character" w:customStyle="1" w:styleId="217">
    <w:name w:val="标题 2 Char"/>
    <w:link w:val="3"/>
    <w:qFormat/>
    <w:uiPriority w:val="0"/>
    <w:rPr>
      <w:rFonts w:ascii="Arial" w:hAnsi="Arial" w:eastAsia="黑体" w:cs="Times New Roman"/>
      <w:b/>
      <w:bCs/>
      <w:sz w:val="32"/>
      <w:szCs w:val="32"/>
    </w:rPr>
  </w:style>
  <w:style w:type="character" w:customStyle="1" w:styleId="218">
    <w:name w:val="标题 3 Char"/>
    <w:link w:val="4"/>
    <w:qFormat/>
    <w:uiPriority w:val="0"/>
    <w:rPr>
      <w:rFonts w:ascii="Times New Roman" w:hAnsi="Times New Roman" w:eastAsia="宋体" w:cs="Times New Roman"/>
      <w:b/>
      <w:bCs/>
      <w:sz w:val="32"/>
      <w:szCs w:val="32"/>
    </w:rPr>
  </w:style>
  <w:style w:type="character" w:customStyle="1" w:styleId="219">
    <w:name w:val="标题 5 Char1"/>
    <w:link w:val="6"/>
    <w:qFormat/>
    <w:uiPriority w:val="0"/>
    <w:rPr>
      <w:b/>
      <w:sz w:val="28"/>
      <w:szCs w:val="24"/>
    </w:rPr>
  </w:style>
  <w:style w:type="character" w:customStyle="1" w:styleId="220">
    <w:name w:val="标题 6 Char"/>
    <w:link w:val="8"/>
    <w:qFormat/>
    <w:uiPriority w:val="0"/>
    <w:rPr>
      <w:rFonts w:ascii="Arial" w:hAnsi="Arial" w:eastAsia="黑体"/>
      <w:b/>
      <w:sz w:val="24"/>
      <w:szCs w:val="24"/>
    </w:rPr>
  </w:style>
  <w:style w:type="character" w:customStyle="1" w:styleId="221">
    <w:name w:val="标题 7 Char"/>
    <w:link w:val="9"/>
    <w:qFormat/>
    <w:uiPriority w:val="0"/>
    <w:rPr>
      <w:rFonts w:ascii="Times New Roman" w:hAnsi="Times New Roman"/>
      <w:b/>
      <w:sz w:val="24"/>
      <w:szCs w:val="24"/>
    </w:rPr>
  </w:style>
  <w:style w:type="character" w:customStyle="1" w:styleId="222">
    <w:name w:val="标题 8 Char"/>
    <w:link w:val="10"/>
    <w:qFormat/>
    <w:uiPriority w:val="0"/>
    <w:rPr>
      <w:rFonts w:ascii="Arial" w:hAnsi="Arial" w:eastAsia="黑体"/>
      <w:sz w:val="24"/>
      <w:szCs w:val="24"/>
    </w:rPr>
  </w:style>
  <w:style w:type="character" w:customStyle="1" w:styleId="223">
    <w:name w:val="标题 9 Char"/>
    <w:link w:val="11"/>
    <w:qFormat/>
    <w:uiPriority w:val="0"/>
    <w:rPr>
      <w:rFonts w:ascii="Arial" w:hAnsi="Arial" w:eastAsia="黑体"/>
      <w:sz w:val="21"/>
      <w:szCs w:val="24"/>
    </w:rPr>
  </w:style>
  <w:style w:type="character" w:customStyle="1" w:styleId="224">
    <w:name w:val="文档结构图 Char"/>
    <w:link w:val="15"/>
    <w:qFormat/>
    <w:uiPriority w:val="0"/>
    <w:rPr>
      <w:rFonts w:hint="eastAsia" w:ascii="宋体" w:hAnsi="宋体" w:eastAsia="宋体" w:cs="宋体"/>
    </w:rPr>
  </w:style>
  <w:style w:type="character" w:customStyle="1" w:styleId="225">
    <w:name w:val="批注文字 Char2"/>
    <w:link w:val="16"/>
    <w:qFormat/>
    <w:uiPriority w:val="0"/>
    <w:rPr>
      <w:rFonts w:ascii="Times New Roman" w:hAnsi="Times New Roman"/>
      <w:sz w:val="21"/>
      <w:szCs w:val="24"/>
    </w:rPr>
  </w:style>
  <w:style w:type="character" w:customStyle="1" w:styleId="226">
    <w:name w:val="正文文本 3 Char"/>
    <w:link w:val="17"/>
    <w:qFormat/>
    <w:uiPriority w:val="0"/>
    <w:rPr>
      <w:rFonts w:ascii="Times New Roman" w:hAnsi="Times New Roman" w:eastAsia="宋体" w:cs="Times New Roman"/>
      <w:b/>
      <w:bCs/>
      <w:sz w:val="24"/>
      <w:szCs w:val="24"/>
    </w:rPr>
  </w:style>
  <w:style w:type="character" w:customStyle="1" w:styleId="227">
    <w:name w:val="正文文本缩进 Char"/>
    <w:link w:val="20"/>
    <w:qFormat/>
    <w:uiPriority w:val="0"/>
    <w:rPr>
      <w:rFonts w:ascii="仿宋_GB2312" w:hAnsi="Times New Roman" w:eastAsia="仿宋_GB2312" w:cs="Times New Roman"/>
      <w:sz w:val="32"/>
      <w:szCs w:val="20"/>
    </w:rPr>
  </w:style>
  <w:style w:type="character" w:customStyle="1" w:styleId="228">
    <w:name w:val="纯文本 Char1"/>
    <w:link w:val="26"/>
    <w:qFormat/>
    <w:uiPriority w:val="0"/>
    <w:rPr>
      <w:rFonts w:ascii="宋体" w:hAnsi="Courier New" w:eastAsia="宋体" w:cs="Courier New"/>
      <w:szCs w:val="21"/>
    </w:rPr>
  </w:style>
  <w:style w:type="character" w:customStyle="1" w:styleId="229">
    <w:name w:val="日期 Char"/>
    <w:link w:val="28"/>
    <w:qFormat/>
    <w:uiPriority w:val="0"/>
    <w:rPr>
      <w:rFonts w:ascii="宋体" w:hAnsi="Courier New" w:eastAsia="宋体" w:cs="Courier New"/>
      <w:szCs w:val="21"/>
    </w:rPr>
  </w:style>
  <w:style w:type="character" w:customStyle="1" w:styleId="230">
    <w:name w:val="正文文本缩进 2 Char"/>
    <w:link w:val="29"/>
    <w:qFormat/>
    <w:uiPriority w:val="0"/>
    <w:rPr>
      <w:rFonts w:ascii="Times New Roman" w:hAnsi="Times New Roman" w:eastAsia="宋体" w:cs="Times New Roman"/>
      <w:sz w:val="32"/>
      <w:szCs w:val="20"/>
    </w:rPr>
  </w:style>
  <w:style w:type="character" w:customStyle="1" w:styleId="231">
    <w:name w:val="尾注文本 Char"/>
    <w:link w:val="30"/>
    <w:semiHidden/>
    <w:qFormat/>
    <w:uiPriority w:val="99"/>
    <w:rPr>
      <w:rFonts w:ascii="Times New Roman" w:hAnsi="Times New Roman"/>
      <w:sz w:val="21"/>
      <w:szCs w:val="24"/>
    </w:rPr>
  </w:style>
  <w:style w:type="character" w:customStyle="1" w:styleId="232">
    <w:name w:val="批注框文本 Char"/>
    <w:link w:val="31"/>
    <w:semiHidden/>
    <w:qFormat/>
    <w:uiPriority w:val="0"/>
    <w:rPr>
      <w:rFonts w:ascii="Times New Roman" w:hAnsi="Times New Roman" w:eastAsia="宋体" w:cs="Times New Roman"/>
      <w:sz w:val="18"/>
      <w:szCs w:val="18"/>
    </w:rPr>
  </w:style>
  <w:style w:type="character" w:customStyle="1" w:styleId="233">
    <w:name w:val="页脚 Char"/>
    <w:link w:val="19"/>
    <w:qFormat/>
    <w:uiPriority w:val="99"/>
    <w:rPr>
      <w:sz w:val="18"/>
      <w:szCs w:val="18"/>
    </w:rPr>
  </w:style>
  <w:style w:type="character" w:customStyle="1" w:styleId="234">
    <w:name w:val="页眉 Char"/>
    <w:link w:val="33"/>
    <w:qFormat/>
    <w:uiPriority w:val="99"/>
    <w:rPr>
      <w:rFonts w:ascii="Times New Roman" w:hAnsi="Times New Roman"/>
      <w:sz w:val="18"/>
      <w:szCs w:val="18"/>
    </w:rPr>
  </w:style>
  <w:style w:type="character" w:customStyle="1" w:styleId="235">
    <w:name w:val="脚注文本 Char"/>
    <w:link w:val="38"/>
    <w:semiHidden/>
    <w:qFormat/>
    <w:uiPriority w:val="99"/>
    <w:rPr>
      <w:rFonts w:ascii="Times New Roman" w:hAnsi="Times New Roman"/>
      <w:sz w:val="18"/>
      <w:szCs w:val="18"/>
    </w:rPr>
  </w:style>
  <w:style w:type="character" w:customStyle="1" w:styleId="236">
    <w:name w:val="正文文本缩进 3 Char"/>
    <w:link w:val="40"/>
    <w:qFormat/>
    <w:uiPriority w:val="0"/>
    <w:rPr>
      <w:rFonts w:ascii="Times New Roman" w:hAnsi="Times New Roman" w:eastAsia="宋体" w:cs="Times New Roman"/>
      <w:sz w:val="16"/>
      <w:szCs w:val="16"/>
    </w:rPr>
  </w:style>
  <w:style w:type="character" w:customStyle="1" w:styleId="237">
    <w:name w:val="正文文本 2 Char"/>
    <w:link w:val="44"/>
    <w:qFormat/>
    <w:uiPriority w:val="0"/>
    <w:rPr>
      <w:rFonts w:ascii="Times New Roman" w:hAnsi="Times New Roman" w:eastAsia="宋体" w:cs="Times New Roman"/>
      <w:szCs w:val="24"/>
    </w:rPr>
  </w:style>
  <w:style w:type="character" w:customStyle="1" w:styleId="238">
    <w:name w:val="标题 Char"/>
    <w:link w:val="47"/>
    <w:qFormat/>
    <w:uiPriority w:val="10"/>
    <w:rPr>
      <w:rFonts w:ascii="Cambria" w:hAnsi="Cambria" w:cs="Times New Roman"/>
      <w:b/>
      <w:bCs/>
      <w:sz w:val="32"/>
      <w:szCs w:val="32"/>
    </w:rPr>
  </w:style>
  <w:style w:type="character" w:customStyle="1" w:styleId="239">
    <w:name w:val="批注主题 Char"/>
    <w:link w:val="48"/>
    <w:semiHidden/>
    <w:qFormat/>
    <w:uiPriority w:val="99"/>
    <w:rPr>
      <w:rFonts w:ascii="Times New Roman" w:hAnsi="Times New Roman"/>
      <w:b/>
      <w:bCs/>
      <w:sz w:val="21"/>
      <w:szCs w:val="24"/>
    </w:rPr>
  </w:style>
  <w:style w:type="character" w:customStyle="1" w:styleId="240">
    <w:name w:val="批注文字 Char1"/>
    <w:semiHidden/>
    <w:qFormat/>
    <w:uiPriority w:val="0"/>
    <w:rPr>
      <w:rFonts w:ascii="Times New Roman" w:hAnsi="Times New Roman"/>
      <w:sz w:val="21"/>
      <w:szCs w:val="24"/>
    </w:rPr>
  </w:style>
  <w:style w:type="character" w:customStyle="1" w:styleId="241">
    <w:name w:val="case31"/>
    <w:qFormat/>
    <w:uiPriority w:val="0"/>
    <w:rPr>
      <w:rFonts w:hint="default" w:ascii="_x000B__x000C_" w:hAnsi="_x000B__x000C_"/>
      <w:sz w:val="21"/>
      <w:szCs w:val="21"/>
    </w:rPr>
  </w:style>
  <w:style w:type="character" w:customStyle="1" w:styleId="242">
    <w:name w:val="批注文字 Char"/>
    <w:qFormat/>
    <w:uiPriority w:val="99"/>
    <w:rPr>
      <w:rFonts w:ascii="Times New Roman" w:hAnsi="Times New Roman"/>
      <w:sz w:val="21"/>
      <w:szCs w:val="24"/>
    </w:rPr>
  </w:style>
  <w:style w:type="character" w:customStyle="1" w:styleId="243">
    <w:name w:val="纯文本 Char"/>
    <w:qFormat/>
    <w:uiPriority w:val="0"/>
    <w:rPr>
      <w:rFonts w:ascii="宋体" w:hAnsi="Courier New" w:eastAsia="宋体"/>
      <w:sz w:val="21"/>
      <w:lang w:val="en-US" w:eastAsia="zh-CN" w:bidi="ar-SA"/>
    </w:rPr>
  </w:style>
  <w:style w:type="character" w:customStyle="1" w:styleId="244">
    <w:name w:val="纯文本 字符1"/>
    <w:qFormat/>
    <w:uiPriority w:val="0"/>
    <w:rPr>
      <w:rFonts w:ascii="宋体" w:hAnsi="Courier New"/>
    </w:rPr>
  </w:style>
  <w:style w:type="character" w:customStyle="1" w:styleId="245">
    <w:name w:val="批注文字 字符1"/>
    <w:qFormat/>
    <w:uiPriority w:val="0"/>
    <w:rPr>
      <w:rFonts w:ascii="Times New Roman" w:hAnsi="Times New Roman"/>
      <w:sz w:val="21"/>
      <w:szCs w:val="24"/>
    </w:rPr>
  </w:style>
  <w:style w:type="character" w:customStyle="1" w:styleId="246">
    <w:name w:val="正文文本 Char1"/>
    <w:semiHidden/>
    <w:qFormat/>
    <w:uiPriority w:val="99"/>
    <w:rPr>
      <w:sz w:val="24"/>
      <w:szCs w:val="24"/>
    </w:rPr>
  </w:style>
  <w:style w:type="character" w:customStyle="1" w:styleId="247">
    <w:name w:val="apple-style-span"/>
    <w:qFormat/>
    <w:uiPriority w:val="0"/>
  </w:style>
  <w:style w:type="character" w:customStyle="1" w:styleId="248">
    <w:name w:val="textcontents"/>
    <w:qFormat/>
    <w:uiPriority w:val="0"/>
  </w:style>
  <w:style w:type="character" w:customStyle="1" w:styleId="249">
    <w:name w:val="普通文字 Char Char2"/>
    <w:qFormat/>
    <w:uiPriority w:val="0"/>
    <w:rPr>
      <w:rFonts w:ascii="宋体" w:hAnsi="Courier New" w:eastAsia="宋体"/>
      <w:sz w:val="21"/>
      <w:lang w:val="en-US" w:eastAsia="zh-CN" w:bidi="ar-SA"/>
    </w:rPr>
  </w:style>
  <w:style w:type="character" w:customStyle="1" w:styleId="250">
    <w:name w:val="标题 5 Char"/>
    <w:qFormat/>
    <w:uiPriority w:val="0"/>
    <w:rPr>
      <w:b/>
      <w:sz w:val="28"/>
      <w:szCs w:val="24"/>
    </w:rPr>
  </w:style>
  <w:style w:type="character" w:customStyle="1" w:styleId="251">
    <w:name w:val="批注文字 字符"/>
    <w:qFormat/>
    <w:uiPriority w:val="0"/>
    <w:rPr>
      <w:rFonts w:ascii="Times New Roman" w:hAnsi="Times New Roman"/>
      <w:sz w:val="21"/>
      <w:szCs w:val="24"/>
    </w:rPr>
  </w:style>
  <w:style w:type="character" w:customStyle="1" w:styleId="252">
    <w:name w:val="标题 1 字符"/>
    <w:qFormat/>
    <w:uiPriority w:val="9"/>
    <w:rPr>
      <w:rFonts w:ascii="Times New Roman" w:hAnsi="Times New Roman" w:eastAsia="宋体" w:cs="Times New Roman"/>
      <w:b/>
      <w:bCs/>
      <w:sz w:val="44"/>
      <w:szCs w:val="44"/>
    </w:rPr>
  </w:style>
  <w:style w:type="character" w:customStyle="1" w:styleId="253">
    <w:name w:val="纯文本 字符"/>
    <w:qFormat/>
    <w:uiPriority w:val="0"/>
    <w:rPr>
      <w:rFonts w:ascii="宋体" w:hAnsi="Courier New" w:eastAsia="宋体" w:cs="Courier New"/>
      <w:szCs w:val="21"/>
    </w:rPr>
  </w:style>
  <w:style w:type="character" w:customStyle="1" w:styleId="254">
    <w:name w:val="headline-content4"/>
    <w:qFormat/>
    <w:uiPriority w:val="0"/>
  </w:style>
  <w:style w:type="character" w:customStyle="1" w:styleId="255">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56">
    <w:name w:val="正文文本缩进 字符"/>
    <w:qFormat/>
    <w:uiPriority w:val="0"/>
    <w:rPr>
      <w:rFonts w:ascii="仿宋_GB2312" w:hAnsi="Times New Roman" w:eastAsia="仿宋_GB2312" w:cs="Times New Roman"/>
      <w:sz w:val="32"/>
      <w:szCs w:val="20"/>
    </w:rPr>
  </w:style>
  <w:style w:type="paragraph" w:customStyle="1" w:styleId="257">
    <w:name w:val="Char1"/>
    <w:basedOn w:val="1"/>
    <w:qFormat/>
    <w:uiPriority w:val="0"/>
    <w:rPr>
      <w:szCs w:val="21"/>
    </w:rPr>
  </w:style>
  <w:style w:type="paragraph" w:styleId="258">
    <w:name w:val="List Paragraph"/>
    <w:basedOn w:val="1"/>
    <w:qFormat/>
    <w:uiPriority w:val="34"/>
    <w:pPr>
      <w:ind w:firstLine="420"/>
    </w:pPr>
  </w:style>
  <w:style w:type="paragraph" w:customStyle="1" w:styleId="25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60">
    <w:name w:val="默认段落字体 Para Char Char Char Char Char Char Char Char Char1 Char Char Char Char"/>
    <w:basedOn w:val="1"/>
    <w:qFormat/>
    <w:uiPriority w:val="0"/>
    <w:rPr>
      <w:rFonts w:ascii="Tahoma" w:hAnsi="Tahoma"/>
      <w:sz w:val="24"/>
      <w:szCs w:val="20"/>
    </w:rPr>
  </w:style>
  <w:style w:type="paragraph" w:customStyle="1" w:styleId="261">
    <w:name w:val="样式"/>
    <w:qFormat/>
    <w:uiPriority w:val="0"/>
    <w:pPr>
      <w:widowControl w:val="0"/>
      <w:jc w:val="center"/>
    </w:pPr>
    <w:rPr>
      <w:rFonts w:ascii="宋体" w:hAnsi="宋体" w:eastAsia="宋体" w:cs="宋体"/>
      <w:sz w:val="24"/>
      <w:szCs w:val="24"/>
      <w:lang w:val="en-US" w:eastAsia="zh-CN" w:bidi="ar-SA"/>
    </w:rPr>
  </w:style>
  <w:style w:type="paragraph" w:customStyle="1" w:styleId="262">
    <w:name w:val="纯文本1"/>
    <w:basedOn w:val="1"/>
    <w:next w:val="1"/>
    <w:qFormat/>
    <w:uiPriority w:val="0"/>
    <w:rPr>
      <w:rFonts w:ascii="宋体" w:hAnsi="Courier New" w:cs="Century"/>
      <w:szCs w:val="21"/>
    </w:rPr>
  </w:style>
  <w:style w:type="paragraph" w:customStyle="1" w:styleId="263">
    <w:name w:val="Table Paragraph"/>
    <w:basedOn w:val="1"/>
    <w:qFormat/>
    <w:uiPriority w:val="1"/>
    <w:pPr>
      <w:jc w:val="left"/>
    </w:pPr>
    <w:rPr>
      <w:rFonts w:ascii="Calibri" w:hAnsi="Calibri"/>
      <w:sz w:val="22"/>
      <w:szCs w:val="22"/>
      <w:lang w:eastAsia="en-US"/>
    </w:rPr>
  </w:style>
  <w:style w:type="paragraph" w:customStyle="1" w:styleId="26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65">
    <w:name w:val="表格"/>
    <w:basedOn w:val="1"/>
    <w:qFormat/>
    <w:uiPriority w:val="0"/>
    <w:pPr>
      <w:spacing w:line="400" w:lineRule="exact"/>
    </w:pPr>
    <w:rPr>
      <w:sz w:val="24"/>
    </w:rPr>
  </w:style>
  <w:style w:type="paragraph" w:customStyle="1" w:styleId="266">
    <w:name w:val="样式 首行缩进:  2 字符"/>
    <w:basedOn w:val="1"/>
    <w:qFormat/>
    <w:uiPriority w:val="0"/>
    <w:pPr>
      <w:spacing w:line="400" w:lineRule="exact"/>
      <w:ind w:firstLine="200"/>
    </w:pPr>
    <w:rPr>
      <w:rFonts w:cs="宋体"/>
      <w:sz w:val="24"/>
    </w:rPr>
  </w:style>
  <w:style w:type="paragraph" w:customStyle="1" w:styleId="267">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6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69">
    <w:name w:val="正文首行缩进两字符"/>
    <w:basedOn w:val="1"/>
    <w:qFormat/>
    <w:uiPriority w:val="0"/>
    <w:pPr>
      <w:spacing w:line="360" w:lineRule="auto"/>
      <w:ind w:firstLine="200"/>
    </w:pPr>
  </w:style>
  <w:style w:type="paragraph" w:customStyle="1" w:styleId="270">
    <w:name w:val="正文段"/>
    <w:basedOn w:val="1"/>
    <w:qFormat/>
    <w:uiPriority w:val="0"/>
    <w:pPr>
      <w:widowControl/>
      <w:spacing w:after="50"/>
      <w:ind w:firstLine="200"/>
    </w:pPr>
    <w:rPr>
      <w:sz w:val="24"/>
      <w:szCs w:val="20"/>
    </w:rPr>
  </w:style>
  <w:style w:type="table" w:customStyle="1" w:styleId="271">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272">
    <w:name w:val="页脚 字符"/>
    <w:qFormat/>
    <w:uiPriority w:val="99"/>
  </w:style>
  <w:style w:type="character" w:customStyle="1" w:styleId="273">
    <w:name w:val="正文2 Char Char"/>
    <w:link w:val="274"/>
    <w:qFormat/>
    <w:uiPriority w:val="0"/>
    <w:rPr>
      <w:sz w:val="24"/>
    </w:rPr>
  </w:style>
  <w:style w:type="paragraph" w:customStyle="1" w:styleId="274">
    <w:name w:val="正文2"/>
    <w:basedOn w:val="1"/>
    <w:link w:val="273"/>
    <w:qFormat/>
    <w:uiPriority w:val="0"/>
    <w:pPr>
      <w:spacing w:before="156" w:line="360" w:lineRule="auto"/>
      <w:ind w:firstLine="510"/>
    </w:pPr>
    <w:rPr>
      <w:sz w:val="24"/>
      <w:szCs w:val="20"/>
    </w:rPr>
  </w:style>
  <w:style w:type="paragraph" w:customStyle="1" w:styleId="275">
    <w:name w:val="_Style 112"/>
    <w:unhideWhenUsed/>
    <w:qFormat/>
    <w:uiPriority w:val="99"/>
    <w:rPr>
      <w:rFonts w:ascii="Times New Roman" w:hAnsi="Times New Roman" w:eastAsia="宋体" w:cs="Times New Roman"/>
      <w:sz w:val="21"/>
      <w:szCs w:val="24"/>
      <w:lang w:val="en-US" w:eastAsia="zh-CN" w:bidi="ar-SA"/>
    </w:rPr>
  </w:style>
  <w:style w:type="character" w:customStyle="1" w:styleId="276">
    <w:name w:val="表格文字 Char1"/>
    <w:link w:val="277"/>
    <w:qFormat/>
    <w:uiPriority w:val="0"/>
    <w:rPr>
      <w:bCs/>
      <w:spacing w:val="10"/>
      <w:sz w:val="24"/>
    </w:rPr>
  </w:style>
  <w:style w:type="paragraph" w:customStyle="1" w:styleId="277">
    <w:name w:val="表格文字"/>
    <w:basedOn w:val="1"/>
    <w:next w:val="18"/>
    <w:link w:val="276"/>
    <w:qFormat/>
    <w:uiPriority w:val="0"/>
    <w:pPr>
      <w:spacing w:before="25" w:after="25"/>
      <w:jc w:val="left"/>
    </w:pPr>
    <w:rPr>
      <w:bCs/>
      <w:spacing w:val="10"/>
      <w:sz w:val="24"/>
      <w:szCs w:val="20"/>
    </w:rPr>
  </w:style>
  <w:style w:type="paragraph" w:customStyle="1" w:styleId="278">
    <w:name w:val="AONormal"/>
    <w:qFormat/>
    <w:uiPriority w:val="0"/>
    <w:pPr>
      <w:spacing w:line="400" w:lineRule="exact"/>
      <w:ind w:firstLine="440"/>
    </w:pPr>
    <w:rPr>
      <w:rFonts w:ascii="华文楷体" w:hAnsi="华文楷体" w:eastAsia="华文楷体" w:cs="华文楷体"/>
      <w:sz w:val="22"/>
      <w:szCs w:val="21"/>
      <w:lang w:val="en-US" w:eastAsia="zh-CN" w:bidi="ar-SA"/>
    </w:rPr>
  </w:style>
  <w:style w:type="paragraph" w:customStyle="1" w:styleId="279">
    <w:name w:val="列出段落1"/>
    <w:basedOn w:val="1"/>
    <w:qFormat/>
    <w:uiPriority w:val="0"/>
    <w:pPr>
      <w:ind w:firstLine="420"/>
    </w:pPr>
    <w:rPr>
      <w:szCs w:val="21"/>
    </w:rPr>
  </w:style>
  <w:style w:type="paragraph" w:customStyle="1" w:styleId="280">
    <w:name w:val="Default"/>
    <w:next w:val="281"/>
    <w:qFormat/>
    <w:uiPriority w:val="99"/>
    <w:pPr>
      <w:widowControl w:val="0"/>
    </w:pPr>
    <w:rPr>
      <w:rFonts w:ascii="Times New Roman" w:hAnsi="Times New Roman" w:eastAsia="宋体" w:cs="Times New Roman"/>
      <w:color w:val="000000"/>
      <w:sz w:val="24"/>
      <w:szCs w:val="24"/>
      <w:lang w:val="en-US" w:eastAsia="zh-CN" w:bidi="ar-SA"/>
    </w:rPr>
  </w:style>
  <w:style w:type="paragraph" w:customStyle="1" w:styleId="281">
    <w:name w:val="TOC 71"/>
    <w:next w:val="1"/>
    <w:qFormat/>
    <w:uiPriority w:val="0"/>
    <w:pPr>
      <w:ind w:left="2550"/>
      <w:jc w:val="both"/>
    </w:pPr>
    <w:rPr>
      <w:rFonts w:ascii="Times New Roman" w:hAnsi="Times New Roman" w:eastAsia="宋体" w:cs="Times New Roman"/>
      <w:sz w:val="21"/>
      <w:szCs w:val="22"/>
      <w:lang w:val="en-US" w:eastAsia="zh-CN" w:bidi="ar-SA"/>
    </w:rPr>
  </w:style>
  <w:style w:type="character" w:customStyle="1" w:styleId="282">
    <w:name w:val="纯文本 Char2"/>
    <w:qFormat/>
    <w:uiPriority w:val="0"/>
    <w:rPr>
      <w:rFonts w:ascii="宋体" w:hAnsi="Courier New" w:eastAsia="宋体" w:cs="Courier New"/>
      <w:szCs w:val="21"/>
    </w:rPr>
  </w:style>
  <w:style w:type="character" w:customStyle="1" w:styleId="283">
    <w:name w:val="font11"/>
    <w:basedOn w:val="54"/>
    <w:qFormat/>
    <w:uiPriority w:val="0"/>
    <w:rPr>
      <w:rFonts w:hint="eastAsia" w:ascii="宋体" w:hAnsi="宋体" w:eastAsia="宋体" w:cs="宋体"/>
      <w:color w:val="000000"/>
      <w:sz w:val="24"/>
      <w:szCs w:val="24"/>
      <w:u w:val="none"/>
    </w:rPr>
  </w:style>
  <w:style w:type="paragraph" w:customStyle="1" w:styleId="284">
    <w:name w:val="p15"/>
    <w:basedOn w:val="1"/>
    <w:qFormat/>
    <w:uiPriority w:val="0"/>
    <w:pPr>
      <w:widowControl/>
      <w:ind w:firstLine="420"/>
    </w:pPr>
    <w:rPr>
      <w:szCs w:val="21"/>
    </w:rPr>
  </w:style>
  <w:style w:type="paragraph" w:styleId="285">
    <w:name w:val="No Spacing"/>
    <w:qFormat/>
    <w:uiPriority w:val="1"/>
    <w:pPr>
      <w:widowControl w:val="0"/>
      <w:jc w:val="both"/>
    </w:pPr>
    <w:rPr>
      <w:rFonts w:ascii="Calibri" w:hAnsi="Calibri" w:eastAsia="宋体" w:cs="Times New Roman"/>
      <w:sz w:val="21"/>
      <w:szCs w:val="22"/>
      <w:lang w:val="en-US" w:eastAsia="zh-CN" w:bidi="ar-SA"/>
    </w:rPr>
  </w:style>
  <w:style w:type="paragraph" w:customStyle="1" w:styleId="286">
    <w:name w:val="BodyText"/>
    <w:basedOn w:val="1"/>
    <w:qFormat/>
    <w:uiPriority w:val="0"/>
    <w:pPr>
      <w:spacing w:line="380" w:lineRule="exact"/>
    </w:pPr>
    <w:rPr>
      <w:sz w:val="24"/>
    </w:rPr>
  </w:style>
  <w:style w:type="character" w:customStyle="1" w:styleId="287">
    <w:name w:val="NormalCharacter"/>
    <w:qFormat/>
    <w:uiPriority w:val="0"/>
  </w:style>
  <w:style w:type="paragraph" w:customStyle="1" w:styleId="288">
    <w:name w:val="列出段落2"/>
    <w:basedOn w:val="1"/>
    <w:qFormat/>
    <w:uiPriority w:val="34"/>
    <w:pPr>
      <w:widowControl/>
      <w:spacing w:after="200" w:line="276" w:lineRule="auto"/>
      <w:ind w:left="720"/>
      <w:contextualSpacing/>
      <w:jc w:val="left"/>
    </w:pPr>
    <w:rPr>
      <w:sz w:val="22"/>
    </w:rPr>
  </w:style>
  <w:style w:type="paragraph" w:customStyle="1" w:styleId="289">
    <w:name w:val="二级无"/>
    <w:basedOn w:val="1"/>
    <w:qFormat/>
    <w:uiPriority w:val="0"/>
    <w:pPr>
      <w:widowControl/>
      <w:jc w:val="left"/>
      <w:outlineLvl w:val="3"/>
    </w:pPr>
    <w:rPr>
      <w:rFonts w:ascii="宋体"/>
      <w:szCs w:val="21"/>
    </w:rPr>
  </w:style>
  <w:style w:type="paragraph" w:customStyle="1" w:styleId="290">
    <w:name w:val="正文1"/>
    <w:qFormat/>
    <w:uiPriority w:val="0"/>
    <w:pPr>
      <w:widowControl w:val="0"/>
      <w:spacing w:line="312" w:lineRule="atLeast"/>
      <w:jc w:val="both"/>
    </w:pPr>
    <w:rPr>
      <w:rFonts w:ascii="宋体" w:hAnsi="Calibri" w:eastAsia="宋体" w:cs="Times New Roman"/>
      <w:sz w:val="34"/>
      <w:szCs w:val="22"/>
      <w:lang w:val="en-US" w:eastAsia="zh-CN" w:bidi="ar-SA"/>
    </w:rPr>
  </w:style>
  <w:style w:type="paragraph" w:customStyle="1" w:styleId="291">
    <w:name w:val="段"/>
    <w:qFormat/>
    <w:uiPriority w:val="0"/>
    <w:pPr>
      <w:ind w:firstLine="42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5E5AC-F08C-4561-ADA3-74327A43A3D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83</Pages>
  <Words>29125</Words>
  <Characters>31880</Characters>
  <Lines>394</Lines>
  <Paragraphs>111</Paragraphs>
  <TotalTime>12</TotalTime>
  <ScaleCrop>false</ScaleCrop>
  <LinksUpToDate>false</LinksUpToDate>
  <CharactersWithSpaces>32499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2024-05-20T09:01:00Z</dcterms:created>
  <dc:creator>番茄花园</dc:creator>
  <cp:lastModifiedBy>　　　　　              </cp:lastModifiedBy>
  <cp:lastPrinted>2026-07-06T01:56:00Z</cp:lastPrinted>
  <dcterms:modified xsi:type="dcterms:W3CDTF">2026-07-06T01:56:49Z</dcterms:modified>
  <dc:title>公开招标采购文件范本</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97D873326E834F4294A644668EE0F481_13</vt:lpwstr>
  </property>
  <property fmtid="{D5CDD505-2E9C-101B-9397-08002B2CF9AE}" pid="4" name="KSOTemplateDocerSaveRecord">
    <vt:lpwstr>eyJoZGlkIjoiZjNmNGY2YzQwMGUxZTcyMGZkNjhjZTcyOGJmMmVlOGIiLCJ1c2VySWQiOiI4NjM4MjIxMzQifQ==</vt:lpwstr>
  </property>
</Properties>
</file>